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As filed with the Securities and Exchange Commission on November 25, 2024</w:t>
      </w:r>
    </w:p>
    <w:p>
      <w:pPr>
        <w:spacing w:after="0" w:line="6" w:lineRule="exact"/>
        <w:rPr>
          <w:sz w:val="24"/>
          <w:szCs w:val="24"/>
          <w:color w:val="auto"/>
        </w:rPr>
      </w:pPr>
    </w:p>
    <w:p>
      <w:pPr>
        <w:ind w:left="9140"/>
        <w:spacing w:after="0"/>
        <w:rPr>
          <w:sz w:val="20"/>
          <w:szCs w:val="20"/>
          <w:color w:val="auto"/>
        </w:rPr>
      </w:pPr>
      <w:r>
        <w:rPr>
          <w:rFonts w:ascii="Arial" w:cs="Arial" w:eastAsia="Arial" w:hAnsi="Arial"/>
          <w:sz w:val="15"/>
          <w:szCs w:val="15"/>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98425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117475</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S-3</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117475</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Mereo BioPharma Group plc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117475</wp:posOffset>
            </wp:positionV>
            <wp:extent cx="1817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75" w:lineRule="exact"/>
        <w:rPr>
          <w:sz w:val="24"/>
          <w:szCs w:val="24"/>
          <w:color w:val="auto"/>
        </w:rPr>
      </w:pPr>
    </w:p>
    <w:tbl>
      <w:tblPr>
        <w:tblLayout w:type="fixed"/>
        <w:tblInd w:w="1940" w:type="dxa"/>
        <w:tblCellMar>
          <w:top w:w="0" w:type="dxa"/>
          <w:left w:w="0" w:type="dxa"/>
          <w:bottom w:w="0" w:type="dxa"/>
          <w:right w:w="0" w:type="dxa"/>
        </w:tblCellMar>
      </w:tblPr>
      <w:tr>
        <w:trPr>
          <w:trHeight w:val="172"/>
        </w:trPr>
        <w:tc>
          <w:tcPr>
            <w:tcW w:w="3860" w:type="dxa"/>
            <w:vAlign w:val="bottom"/>
          </w:tcPr>
          <w:p>
            <w:pPr>
              <w:jc w:val="center"/>
              <w:ind w:right="1870"/>
              <w:spacing w:after="0"/>
              <w:rPr>
                <w:sz w:val="20"/>
                <w:szCs w:val="20"/>
                <w:color w:val="auto"/>
              </w:rPr>
            </w:pPr>
            <w:r>
              <w:rPr>
                <w:rFonts w:ascii="Arial" w:cs="Arial" w:eastAsia="Arial" w:hAnsi="Arial"/>
                <w:sz w:val="15"/>
                <w:szCs w:val="15"/>
                <w:b w:val="1"/>
                <w:bCs w:val="1"/>
                <w:color w:val="auto"/>
              </w:rPr>
              <w:t>England and Wales</w:t>
            </w:r>
          </w:p>
        </w:tc>
        <w:tc>
          <w:tcPr>
            <w:tcW w:w="3380" w:type="dxa"/>
            <w:vAlign w:val="bottom"/>
          </w:tcPr>
          <w:p>
            <w:pPr>
              <w:jc w:val="center"/>
              <w:ind w:left="1870"/>
              <w:spacing w:after="0"/>
              <w:rPr>
                <w:sz w:val="20"/>
                <w:szCs w:val="20"/>
                <w:color w:val="auto"/>
              </w:rPr>
            </w:pPr>
            <w:r>
              <w:rPr>
                <w:rFonts w:ascii="Arial" w:cs="Arial" w:eastAsia="Arial" w:hAnsi="Arial"/>
                <w:sz w:val="15"/>
                <w:szCs w:val="15"/>
                <w:b w:val="1"/>
                <w:bCs w:val="1"/>
                <w:color w:val="auto"/>
              </w:rPr>
              <w:t>Not Applicable</w:t>
            </w:r>
          </w:p>
        </w:tc>
      </w:tr>
      <w:tr>
        <w:trPr>
          <w:trHeight w:val="149"/>
        </w:trPr>
        <w:tc>
          <w:tcPr>
            <w:tcW w:w="3860" w:type="dxa"/>
            <w:vAlign w:val="bottom"/>
          </w:tcPr>
          <w:p>
            <w:pPr>
              <w:jc w:val="center"/>
              <w:ind w:right="1870"/>
              <w:spacing w:after="0"/>
              <w:rPr>
                <w:sz w:val="20"/>
                <w:szCs w:val="20"/>
                <w:color w:val="auto"/>
              </w:rPr>
            </w:pPr>
            <w:r>
              <w:rPr>
                <w:rFonts w:ascii="Arial" w:cs="Arial" w:eastAsia="Arial" w:hAnsi="Arial"/>
                <w:sz w:val="13"/>
                <w:szCs w:val="13"/>
                <w:b w:val="1"/>
                <w:bCs w:val="1"/>
                <w:color w:val="auto"/>
              </w:rPr>
              <w:t>(State or other jurisdiction of</w:t>
            </w:r>
          </w:p>
        </w:tc>
        <w:tc>
          <w:tcPr>
            <w:tcW w:w="3380" w:type="dxa"/>
            <w:vAlign w:val="bottom"/>
          </w:tcPr>
          <w:p>
            <w:pPr>
              <w:jc w:val="center"/>
              <w:ind w:left="1870"/>
              <w:spacing w:after="0"/>
              <w:rPr>
                <w:sz w:val="20"/>
                <w:szCs w:val="20"/>
                <w:color w:val="auto"/>
              </w:rPr>
            </w:pPr>
            <w:r>
              <w:rPr>
                <w:rFonts w:ascii="Arial" w:cs="Arial" w:eastAsia="Arial" w:hAnsi="Arial"/>
                <w:sz w:val="13"/>
                <w:szCs w:val="13"/>
                <w:b w:val="1"/>
                <w:bCs w:val="1"/>
                <w:color w:val="auto"/>
              </w:rPr>
              <w:t>(I.R.S. Employer</w:t>
            </w:r>
          </w:p>
        </w:tc>
      </w:tr>
      <w:tr>
        <w:trPr>
          <w:trHeight w:val="186"/>
        </w:trPr>
        <w:tc>
          <w:tcPr>
            <w:tcW w:w="3860" w:type="dxa"/>
            <w:vAlign w:val="bottom"/>
          </w:tcPr>
          <w:p>
            <w:pPr>
              <w:jc w:val="center"/>
              <w:ind w:right="1870"/>
              <w:spacing w:after="0"/>
              <w:rPr>
                <w:sz w:val="20"/>
                <w:szCs w:val="20"/>
                <w:color w:val="auto"/>
              </w:rPr>
            </w:pPr>
            <w:r>
              <w:rPr>
                <w:rFonts w:ascii="Arial" w:cs="Arial" w:eastAsia="Arial" w:hAnsi="Arial"/>
                <w:sz w:val="13"/>
                <w:szCs w:val="13"/>
                <w:b w:val="1"/>
                <w:bCs w:val="1"/>
                <w:color w:val="auto"/>
              </w:rPr>
              <w:t>incorporation or organization)</w:t>
            </w:r>
          </w:p>
        </w:tc>
        <w:tc>
          <w:tcPr>
            <w:tcW w:w="3380" w:type="dxa"/>
            <w:vAlign w:val="bottom"/>
          </w:tcPr>
          <w:p>
            <w:pPr>
              <w:jc w:val="center"/>
              <w:ind w:left="1870"/>
              <w:spacing w:after="0"/>
              <w:rPr>
                <w:sz w:val="20"/>
                <w:szCs w:val="20"/>
                <w:color w:val="auto"/>
              </w:rPr>
            </w:pPr>
            <w:r>
              <w:rPr>
                <w:rFonts w:ascii="Arial" w:cs="Arial" w:eastAsia="Arial" w:hAnsi="Arial"/>
                <w:sz w:val="13"/>
                <w:szCs w:val="13"/>
                <w:b w:val="1"/>
                <w:bCs w:val="1"/>
                <w:color w:val="auto"/>
              </w:rPr>
              <w:t>Identification Number)</w:t>
            </w:r>
          </w:p>
        </w:tc>
      </w:tr>
    </w:tbl>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One Cavendish Place, 4</w:t>
      </w:r>
      <w:r>
        <w:rPr>
          <w:rFonts w:ascii="Arial" w:cs="Arial" w:eastAsia="Arial" w:hAnsi="Arial"/>
          <w:sz w:val="11"/>
          <w:szCs w:val="11"/>
          <w:b w:val="1"/>
          <w:bCs w:val="1"/>
          <w:color w:val="auto"/>
        </w:rPr>
        <w:t>th</w:t>
      </w:r>
      <w:r>
        <w:rPr>
          <w:rFonts w:ascii="Arial" w:cs="Arial" w:eastAsia="Arial" w:hAnsi="Arial"/>
          <w:sz w:val="15"/>
          <w:szCs w:val="15"/>
          <w:b w:val="1"/>
          <w:bCs w:val="1"/>
          <w:color w:val="auto"/>
        </w:rPr>
        <w:t xml:space="preserve"> Floor</w:t>
      </w:r>
    </w:p>
    <w:p>
      <w:pPr>
        <w:jc w:val="center"/>
        <w:ind w:right="-179"/>
        <w:spacing w:after="0" w:line="233" w:lineRule="auto"/>
        <w:rPr>
          <w:sz w:val="20"/>
          <w:szCs w:val="20"/>
          <w:color w:val="auto"/>
        </w:rPr>
      </w:pPr>
      <w:r>
        <w:rPr>
          <w:rFonts w:ascii="Arial" w:cs="Arial" w:eastAsia="Arial" w:hAnsi="Arial"/>
          <w:sz w:val="15"/>
          <w:szCs w:val="15"/>
          <w:b w:val="1"/>
          <w:bCs w:val="1"/>
          <w:color w:val="auto"/>
        </w:rPr>
        <w:t>London, W1G 0QF United Kingdom</w:t>
      </w:r>
    </w:p>
    <w:p>
      <w:pPr>
        <w:jc w:val="center"/>
        <w:ind w:right="-179"/>
        <w:spacing w:after="0" w:line="229" w:lineRule="auto"/>
        <w:rPr>
          <w:sz w:val="20"/>
          <w:szCs w:val="20"/>
          <w:color w:val="auto"/>
        </w:rPr>
      </w:pPr>
      <w:r>
        <w:rPr>
          <w:rFonts w:ascii="Arial" w:cs="Arial" w:eastAsia="Arial" w:hAnsi="Arial"/>
          <w:sz w:val="15"/>
          <w:szCs w:val="15"/>
          <w:b w:val="1"/>
          <w:bCs w:val="1"/>
          <w:color w:val="auto"/>
        </w:rPr>
        <w:t>+(44) 333 023 7300</w:t>
      </w:r>
    </w:p>
    <w:p>
      <w:pPr>
        <w:jc w:val="center"/>
        <w:ind w:right="-17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120015</wp:posOffset>
            </wp:positionV>
            <wp:extent cx="1817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44"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Mereo US Holdings Inc.</w:t>
      </w:r>
    </w:p>
    <w:p>
      <w:pPr>
        <w:jc w:val="center"/>
        <w:ind w:right="-179"/>
        <w:spacing w:after="0" w:line="233" w:lineRule="auto"/>
        <w:rPr>
          <w:sz w:val="20"/>
          <w:szCs w:val="20"/>
          <w:color w:val="auto"/>
        </w:rPr>
      </w:pPr>
      <w:r>
        <w:rPr>
          <w:rFonts w:ascii="Arial" w:cs="Arial" w:eastAsia="Arial" w:hAnsi="Arial"/>
          <w:sz w:val="15"/>
          <w:szCs w:val="15"/>
          <w:b w:val="1"/>
          <w:bCs w:val="1"/>
          <w:color w:val="auto"/>
        </w:rPr>
        <w:t>251 Little Falls Drive</w:t>
      </w:r>
    </w:p>
    <w:p>
      <w:pPr>
        <w:jc w:val="center"/>
        <w:ind w:right="-179"/>
        <w:spacing w:after="0" w:line="225" w:lineRule="auto"/>
        <w:rPr>
          <w:sz w:val="20"/>
          <w:szCs w:val="20"/>
          <w:color w:val="auto"/>
        </w:rPr>
      </w:pPr>
      <w:r>
        <w:rPr>
          <w:rFonts w:ascii="Arial" w:cs="Arial" w:eastAsia="Arial" w:hAnsi="Arial"/>
          <w:sz w:val="15"/>
          <w:szCs w:val="15"/>
          <w:b w:val="1"/>
          <w:bCs w:val="1"/>
          <w:color w:val="auto"/>
        </w:rPr>
        <w:t>Wilmington, Delaware 19808</w:t>
      </w:r>
    </w:p>
    <w:p>
      <w:pPr>
        <w:jc w:val="center"/>
        <w:ind w:right="-179"/>
        <w:spacing w:after="0" w:line="229" w:lineRule="auto"/>
        <w:rPr>
          <w:sz w:val="20"/>
          <w:szCs w:val="20"/>
          <w:color w:val="auto"/>
        </w:rPr>
      </w:pPr>
      <w:r>
        <w:rPr>
          <w:rFonts w:ascii="Arial" w:cs="Arial" w:eastAsia="Arial" w:hAnsi="Arial"/>
          <w:sz w:val="15"/>
          <w:szCs w:val="15"/>
          <w:b w:val="1"/>
          <w:bCs w:val="1"/>
          <w:color w:val="auto"/>
        </w:rPr>
        <w:t>+1 302 636 5401</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120015</wp:posOffset>
            </wp:positionV>
            <wp:extent cx="1817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32"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i w:val="1"/>
          <w:iCs w:val="1"/>
          <w:color w:val="auto"/>
        </w:rPr>
        <w:t>Copies to:</w:t>
      </w:r>
    </w:p>
    <w:p>
      <w:pPr>
        <w:spacing w:after="0" w:line="96"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David S. Bakst</w:t>
      </w:r>
    </w:p>
    <w:p>
      <w:pPr>
        <w:jc w:val="center"/>
        <w:ind w:right="-179"/>
        <w:spacing w:after="0" w:line="233" w:lineRule="auto"/>
        <w:rPr>
          <w:sz w:val="20"/>
          <w:szCs w:val="20"/>
          <w:color w:val="auto"/>
        </w:rPr>
      </w:pPr>
      <w:r>
        <w:rPr>
          <w:rFonts w:ascii="Arial" w:cs="Arial" w:eastAsia="Arial" w:hAnsi="Arial"/>
          <w:sz w:val="15"/>
          <w:szCs w:val="15"/>
          <w:b w:val="1"/>
          <w:bCs w:val="1"/>
          <w:color w:val="auto"/>
        </w:rPr>
        <w:t>Mayer Brown LLP</w:t>
      </w:r>
    </w:p>
    <w:p>
      <w:pPr>
        <w:jc w:val="center"/>
        <w:ind w:right="-179"/>
        <w:spacing w:after="0" w:line="225" w:lineRule="auto"/>
        <w:rPr>
          <w:sz w:val="20"/>
          <w:szCs w:val="20"/>
          <w:color w:val="auto"/>
        </w:rPr>
      </w:pPr>
      <w:r>
        <w:rPr>
          <w:rFonts w:ascii="Arial" w:cs="Arial" w:eastAsia="Arial" w:hAnsi="Arial"/>
          <w:sz w:val="15"/>
          <w:szCs w:val="15"/>
          <w:b w:val="1"/>
          <w:bCs w:val="1"/>
          <w:color w:val="auto"/>
        </w:rPr>
        <w:t>1221 Avenue of the Americas</w:t>
      </w:r>
    </w:p>
    <w:p>
      <w:pPr>
        <w:jc w:val="center"/>
        <w:ind w:right="-179"/>
        <w:spacing w:after="0" w:line="225" w:lineRule="auto"/>
        <w:rPr>
          <w:sz w:val="20"/>
          <w:szCs w:val="20"/>
          <w:color w:val="auto"/>
        </w:rPr>
      </w:pPr>
      <w:r>
        <w:rPr>
          <w:rFonts w:ascii="Arial" w:cs="Arial" w:eastAsia="Arial" w:hAnsi="Arial"/>
          <w:sz w:val="15"/>
          <w:szCs w:val="15"/>
          <w:b w:val="1"/>
          <w:bCs w:val="1"/>
          <w:color w:val="auto"/>
        </w:rPr>
        <w:t>New York, New York 10020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+1 212 506-2500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115570</wp:posOffset>
            </wp:positionV>
            <wp:extent cx="1817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26" w:lineRule="exact"/>
        <w:rPr>
          <w:sz w:val="24"/>
          <w:szCs w:val="24"/>
          <w:color w:val="auto"/>
        </w:rPr>
      </w:pPr>
    </w:p>
    <w:p>
      <w:pPr>
        <w:ind w:left="120"/>
        <w:spacing w:after="0"/>
        <w:rPr>
          <w:sz w:val="20"/>
          <w:szCs w:val="20"/>
          <w:color w:val="auto"/>
        </w:rPr>
      </w:pPr>
      <w:r>
        <w:rPr>
          <w:rFonts w:ascii="Arial" w:cs="Arial" w:eastAsia="Arial" w:hAnsi="Arial"/>
          <w:sz w:val="15"/>
          <w:szCs w:val="15"/>
          <w:color w:val="auto"/>
        </w:rPr>
        <w:t>From time to time after the effective date of this registration statement. (Approximate date of commencement of proposed sale to the public)</w:t>
      </w:r>
    </w:p>
    <w:p>
      <w:pPr>
        <w:spacing w:after="0" w:line="48"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06" w:lineRule="exact"/>
        <w:rPr>
          <w:sz w:val="24"/>
          <w:szCs w:val="24"/>
          <w:color w:val="auto"/>
        </w:rPr>
      </w:pPr>
    </w:p>
    <w:p>
      <w:pPr>
        <w:ind w:left="120" w:right="240" w:firstLine="440"/>
        <w:spacing w:after="0" w:line="199"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22" w:lineRule="exact"/>
        <w:rPr>
          <w:sz w:val="24"/>
          <w:szCs w:val="24"/>
          <w:color w:val="auto"/>
        </w:rPr>
      </w:pPr>
    </w:p>
    <w:p>
      <w:pPr>
        <w:ind w:left="120" w:right="160" w:firstLine="440"/>
        <w:spacing w:after="0" w:line="199"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5" w:lineRule="exact"/>
        <w:rPr>
          <w:sz w:val="24"/>
          <w:szCs w:val="24"/>
          <w:color w:val="auto"/>
        </w:rPr>
      </w:pPr>
    </w:p>
    <w:p>
      <w:pPr>
        <w:ind w:left="120" w:right="620" w:firstLine="440"/>
        <w:spacing w:after="0" w:line="199"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2" w:lineRule="exact"/>
        <w:rPr>
          <w:sz w:val="24"/>
          <w:szCs w:val="24"/>
          <w:color w:val="auto"/>
        </w:rPr>
      </w:pPr>
    </w:p>
    <w:p>
      <w:pPr>
        <w:ind w:left="120" w:right="160" w:firstLine="440"/>
        <w:spacing w:after="0" w:line="199" w:lineRule="exact"/>
        <w:rPr>
          <w:sz w:val="20"/>
          <w:szCs w:val="20"/>
          <w:color w:val="auto"/>
        </w:rPr>
      </w:pPr>
      <w:r>
        <w:rPr>
          <w:rFonts w:ascii="Arial" w:cs="Arial" w:eastAsia="Arial" w:hAnsi="Arial"/>
          <w:sz w:val="15"/>
          <w:szCs w:val="15"/>
          <w:color w:val="auto"/>
        </w:rPr>
        <w:t xml:space="preserve">If this Form is a registration statement pursuant to General Instruction I.D. or a post-effective amendment thereto that shall become effective on filing with the Securities and Exchange Commission pursuant to Rule 462(e) under the Securities Act, check the following box. </w:t>
      </w:r>
      <w:r>
        <w:rPr>
          <w:rFonts w:ascii="MS PGothic" w:cs="MS PGothic" w:eastAsia="MS PGothic" w:hAnsi="MS PGothic"/>
          <w:sz w:val="15"/>
          <w:szCs w:val="15"/>
          <w:color w:val="auto"/>
        </w:rPr>
        <w:t>☐</w:t>
      </w:r>
    </w:p>
    <w:p>
      <w:pPr>
        <w:spacing w:after="0" w:line="22" w:lineRule="exact"/>
        <w:rPr>
          <w:sz w:val="24"/>
          <w:szCs w:val="24"/>
          <w:color w:val="auto"/>
        </w:rPr>
      </w:pPr>
    </w:p>
    <w:p>
      <w:pPr>
        <w:ind w:left="120" w:right="500" w:firstLine="440"/>
        <w:spacing w:after="0" w:line="199"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35" w:lineRule="exact"/>
        <w:rPr>
          <w:sz w:val="24"/>
          <w:szCs w:val="24"/>
          <w:color w:val="auto"/>
        </w:rPr>
      </w:pPr>
    </w:p>
    <w:p>
      <w:pPr>
        <w:ind w:left="120" w:firstLine="440"/>
        <w:spacing w:after="0" w:line="24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120" w:type="dxa"/>
        <w:tblCellMar>
          <w:top w:w="0" w:type="dxa"/>
          <w:left w:w="0" w:type="dxa"/>
          <w:bottom w:w="0" w:type="dxa"/>
          <w:right w:w="0" w:type="dxa"/>
        </w:tblCellMar>
      </w:tblPr>
      <w:tr>
        <w:trPr>
          <w:trHeight w:val="189"/>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66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5260" w:type="dxa"/>
            <w:vAlign w:val="bottom"/>
          </w:tcPr>
          <w:p>
            <w:pPr>
              <w:ind w:left="3300"/>
              <w:spacing w:after="0"/>
              <w:rPr>
                <w:sz w:val="20"/>
                <w:szCs w:val="20"/>
                <w:color w:val="auto"/>
              </w:rPr>
            </w:pPr>
            <w:r>
              <w:rPr>
                <w:rFonts w:ascii="Arial" w:cs="Arial" w:eastAsia="Arial" w:hAnsi="Arial"/>
                <w:sz w:val="14"/>
                <w:szCs w:val="14"/>
                <w:color w:val="auto"/>
              </w:rPr>
              <w:t>Emerging growth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95250</wp:posOffset>
            </wp:positionV>
            <wp:extent cx="1817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94" w:lineRule="exact"/>
        <w:rPr>
          <w:sz w:val="24"/>
          <w:szCs w:val="24"/>
          <w:color w:val="auto"/>
        </w:rPr>
      </w:pPr>
    </w:p>
    <w:p>
      <w:pPr>
        <w:ind w:left="120" w:right="280" w:firstLine="440"/>
        <w:spacing w:after="0" w:line="19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to comply with any new or revised financial accounting standards provided pursuant to Section 7(a)(2)(B) of Securities Act.  </w:t>
      </w:r>
      <w:r>
        <w:rPr>
          <w:rFonts w:ascii="MS PGothic" w:cs="MS PGothic" w:eastAsia="MS PGothic" w:hAnsi="MS PGothic"/>
          <w:sz w:val="15"/>
          <w:szCs w:val="15"/>
          <w:color w:val="auto"/>
        </w:rPr>
        <w:t>☒</w:t>
      </w:r>
    </w:p>
    <w:p>
      <w:pPr>
        <w:spacing w:after="0" w:line="20" w:lineRule="exact"/>
        <w:rPr>
          <w:sz w:val="24"/>
          <w:szCs w:val="24"/>
          <w:color w:val="auto"/>
        </w:rPr>
      </w:pPr>
    </w:p>
    <w:p>
      <w:pPr>
        <w:ind w:left="120" w:right="20" w:firstLine="440"/>
        <w:spacing w:after="0" w:line="243"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60"/>
          </w:cols>
          <w:pgMar w:left="320" w:top="225"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DE1A1E"/>
        </w:rPr>
        <w:t>Subject to Completion, dated November 25, 2024</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300355</wp:posOffset>
            </wp:positionV>
            <wp:extent cx="1680210"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021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920"/>
        <w:spacing w:after="0"/>
        <w:rPr>
          <w:sz w:val="20"/>
          <w:szCs w:val="20"/>
          <w:color w:val="auto"/>
        </w:rPr>
      </w:pPr>
      <w:r>
        <w:rPr>
          <w:rFonts w:ascii="Arial" w:cs="Arial" w:eastAsia="Arial" w:hAnsi="Arial"/>
          <w:sz w:val="25"/>
          <w:szCs w:val="25"/>
          <w:b w:val="1"/>
          <w:bCs w:val="1"/>
          <w:color w:val="auto"/>
        </w:rPr>
        <w:t>Mereo BioPharma Group plc</w:t>
      </w:r>
    </w:p>
    <w:p>
      <w:pPr>
        <w:spacing w:after="0" w:line="226"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auto"/>
        </w:rPr>
        <w:t>26,638,972 Ordinary Shares Offered by the Selling Shareholders in the form of American</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Depositary Shares</w:t>
      </w:r>
    </w:p>
    <w:p>
      <w:pPr>
        <w:spacing w:after="0" w:line="2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This prospectus covers the offer and resale by the selling shareholders identified in this prospectus of up to an aggregate of 26,638,972 of our ordinary shares in the form of American Depositary Shares (“ADSs”), consisting of (i) 20,555,067 ordinary shares underlying convertible loan notes and warrants issuable to Novartis Pharma AG (“Novartis”) under the convertible loan and warrant instruments dated February 10, 2020, as amended on November 24, 2020 and February 10, 2023; (ii) 2,487,816 ordinary shares underlying warrants issuable to Silicon Valley Bank and Kreos Capital V (UK) Limited as lenders under previous loan agreements with them dated August 7, 2017 and September 28, 2018, respectively, as amended on December 15, 2020 that have been fully repaid; (iii) 1,551,699 ordinary shares underlying warrants issuable to the Alpha-1 Project, Inc. (“TAP”) under a warrant instrument dated November 2, 2018, as amended on March 29, 2021 and (iv) 2,044,390 ordinary shares issued to AstraZeneca AB (“AstraZeneca”) in connection with a subscription deed dated October 28, 2017, as amended on May 21, 2021 and November 8, 2024.</w:t>
      </w:r>
    </w:p>
    <w:p>
      <w:pPr>
        <w:spacing w:after="0" w:line="183" w:lineRule="exact"/>
        <w:rPr>
          <w:sz w:val="20"/>
          <w:szCs w:val="20"/>
          <w:color w:val="auto"/>
        </w:rPr>
      </w:pPr>
    </w:p>
    <w:p>
      <w:pPr>
        <w:ind w:left="120" w:right="280"/>
        <w:spacing w:after="0" w:line="247" w:lineRule="auto"/>
        <w:rPr>
          <w:sz w:val="20"/>
          <w:szCs w:val="20"/>
          <w:color w:val="auto"/>
        </w:rPr>
      </w:pPr>
      <w:r>
        <w:rPr>
          <w:rFonts w:ascii="Arial" w:cs="Arial" w:eastAsia="Arial" w:hAnsi="Arial"/>
          <w:sz w:val="18"/>
          <w:szCs w:val="18"/>
          <w:color w:val="auto"/>
        </w:rPr>
        <w:t>We are not selling any ADSs under this prospectus and will not receive any of the proceeds from the sale of the ADSs by the selling shareholders. Each of the selling shareholders may offer and sell their ADSs in public or private transactions, or both. These sales may occur at fixed prices, at market prices prevailing at the time of sale, at prices related to prevailing market prices, or at negotiated prices. See “Plan of Distribution” for more information on how the selling shareholders may conduct sales of their ADSs.</w:t>
      </w:r>
    </w:p>
    <w:p>
      <w:pPr>
        <w:spacing w:after="0" w:line="174"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We are paying the cost of registering the ADSs covered by this prospectus as well as various related expenses. The selling shareholders are responsible for all selling commissions, transfer taxes and other costs related to the offer and sale of their ADSs.</w:t>
      </w:r>
    </w:p>
    <w:p>
      <w:pPr>
        <w:spacing w:after="0" w:line="154"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Our ADSs, each representing five ordinary shares, are listed on The Nasdaq Capital Market under the symbol “MREO.” On November 21, 2024, the last reported sale price of our ADSs on The Nasdaq Capital Market was $3.68 per ADS.</w:t>
      </w:r>
    </w:p>
    <w:p>
      <w:pPr>
        <w:spacing w:after="0" w:line="154"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We are an “emerging growth company” and a “smaller reporting company” under applicable Securities and Exchange Commission rules and are eligible for reduced public company disclosure requirements.</w:t>
      </w:r>
    </w:p>
    <w:p>
      <w:pPr>
        <w:spacing w:after="0" w:line="154" w:lineRule="exact"/>
        <w:rPr>
          <w:sz w:val="20"/>
          <w:szCs w:val="20"/>
          <w:color w:val="auto"/>
        </w:rPr>
      </w:pPr>
    </w:p>
    <w:p>
      <w:pPr>
        <w:ind w:left="120" w:right="200"/>
        <w:spacing w:after="0" w:line="311" w:lineRule="auto"/>
        <w:rPr>
          <w:sz w:val="20"/>
          <w:szCs w:val="20"/>
          <w:color w:val="auto"/>
        </w:rPr>
      </w:pPr>
      <w:r>
        <w:rPr>
          <w:rFonts w:ascii="Arial" w:cs="Arial" w:eastAsia="Arial" w:hAnsi="Arial"/>
          <w:sz w:val="17"/>
          <w:szCs w:val="17"/>
          <w:b w:val="1"/>
          <w:bCs w:val="1"/>
          <w:color w:val="auto"/>
        </w:rPr>
        <w:t>Investing in our ADSs involve significant risks. See “</w:t>
      </w:r>
      <w:r>
        <w:rPr>
          <w:rFonts w:ascii="Arial" w:cs="Arial" w:eastAsia="Arial" w:hAnsi="Arial"/>
          <w:sz w:val="17"/>
          <w:szCs w:val="17"/>
          <w:b w:val="1"/>
          <w:bCs w:val="1"/>
          <w:u w:val="single" w:color="auto"/>
          <w:color w:val="0000EE"/>
        </w:rPr>
        <w:t>Risk Factors</w:t>
      </w:r>
      <w:r>
        <w:rPr>
          <w:rFonts w:ascii="Arial" w:cs="Arial" w:eastAsia="Arial" w:hAnsi="Arial"/>
          <w:sz w:val="17"/>
          <w:szCs w:val="17"/>
          <w:b w:val="1"/>
          <w:bCs w:val="1"/>
          <w:color w:val="auto"/>
        </w:rPr>
        <w:t>” beginning on page 5 of this prospectus and the documents incorporated by reference in this prospectus concerning factors you should consider before investing in our ADSs.</w:t>
      </w:r>
    </w:p>
    <w:p>
      <w:pPr>
        <w:spacing w:after="0" w:line="114" w:lineRule="exact"/>
        <w:rPr>
          <w:sz w:val="20"/>
          <w:szCs w:val="20"/>
          <w:color w:val="auto"/>
        </w:rPr>
      </w:pPr>
    </w:p>
    <w:p>
      <w:pPr>
        <w:jc w:val="both"/>
        <w:ind w:left="120" w:right="240"/>
        <w:spacing w:after="0" w:line="31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170180</wp:posOffset>
            </wp:positionV>
            <wp:extent cx="18173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 2024.</w:t>
      </w:r>
    </w:p>
    <w:p>
      <w:pPr>
        <w:sectPr>
          <w:pgSz w:w="11900" w:h="16838" w:orient="portrait"/>
          <w:cols w:equalWidth="0" w:num="1">
            <w:col w:w="11120"/>
          </w:cols>
          <w:pgMar w:left="320" w:top="455"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0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020" w:type="dxa"/>
            <w:vAlign w:val="bottom"/>
          </w:tcPr>
          <w:p>
            <w:pPr>
              <w:spacing w:after="0"/>
              <w:rPr>
                <w:sz w:val="17"/>
                <w:szCs w:val="17"/>
                <w:color w:val="auto"/>
              </w:rPr>
            </w:pPr>
          </w:p>
        </w:tc>
      </w:tr>
      <w:tr>
        <w:trPr>
          <w:trHeight w:val="559"/>
        </w:trPr>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40" w:type="dxa"/>
            <w:vAlign w:val="bottom"/>
            <w:gridSpan w:val="3"/>
          </w:tcPr>
          <w:p>
            <w:pPr>
              <w:ind w:left="40"/>
              <w:spacing w:after="0"/>
              <w:rPr>
                <w:sz w:val="20"/>
                <w:szCs w:val="20"/>
                <w:color w:val="auto"/>
              </w:rPr>
            </w:pPr>
            <w:r>
              <w:rPr>
                <w:rFonts w:ascii="Arial" w:cs="Arial" w:eastAsia="Arial" w:hAnsi="Arial"/>
                <w:sz w:val="18"/>
                <w:szCs w:val="18"/>
                <w:b w:val="1"/>
                <w:bCs w:val="1"/>
                <w:color w:val="auto"/>
              </w:rPr>
              <w:t>TABLE OF CONTENTS</w:t>
            </w:r>
          </w:p>
        </w:tc>
        <w:tc>
          <w:tcPr>
            <w:tcW w:w="4020" w:type="dxa"/>
            <w:vAlign w:val="bottom"/>
          </w:tcPr>
          <w:p>
            <w:pPr>
              <w:spacing w:after="0"/>
              <w:rPr>
                <w:sz w:val="24"/>
                <w:szCs w:val="24"/>
                <w:color w:val="auto"/>
              </w:rPr>
            </w:pPr>
          </w:p>
        </w:tc>
      </w:tr>
      <w:tr>
        <w:trPr>
          <w:trHeight w:val="514"/>
        </w:trPr>
        <w:tc>
          <w:tcPr>
            <w:tcW w:w="120" w:type="dxa"/>
            <w:vAlign w:val="bottom"/>
          </w:tcPr>
          <w:p>
            <w:pPr>
              <w:spacing w:after="0"/>
              <w:rPr>
                <w:sz w:val="24"/>
                <w:szCs w:val="24"/>
                <w:color w:val="auto"/>
              </w:rPr>
            </w:pPr>
          </w:p>
        </w:tc>
        <w:tc>
          <w:tcPr>
            <w:tcW w:w="6940" w:type="dxa"/>
            <w:vAlign w:val="bottom"/>
            <w:gridSpan w:val="13"/>
          </w:tcPr>
          <w:p>
            <w:pPr>
              <w:spacing w:after="0"/>
              <w:rPr>
                <w:sz w:val="20"/>
                <w:szCs w:val="20"/>
                <w:color w:val="auto"/>
              </w:rPr>
            </w:pPr>
            <w:r>
              <w:rPr>
                <w:rFonts w:ascii="Arial" w:cs="Arial" w:eastAsia="Arial" w:hAnsi="Arial"/>
                <w:sz w:val="18"/>
                <w:szCs w:val="18"/>
                <w:color w:val="0000EE"/>
              </w:rPr>
              <w:t>ABOUT THIS PROSPECTUS</w:t>
            </w:r>
          </w:p>
        </w:tc>
        <w:tc>
          <w:tcPr>
            <w:tcW w:w="4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940" w:type="dxa"/>
            <w:vAlign w:val="bottom"/>
            <w:gridSpan w:val="13"/>
          </w:tcPr>
          <w:p>
            <w:pPr>
              <w:spacing w:after="0"/>
              <w:rPr>
                <w:sz w:val="20"/>
                <w:szCs w:val="20"/>
                <w:color w:val="auto"/>
              </w:rPr>
            </w:pPr>
            <w:r>
              <w:rPr>
                <w:rFonts w:ascii="Arial" w:cs="Arial" w:eastAsia="Arial" w:hAnsi="Arial"/>
                <w:sz w:val="18"/>
                <w:szCs w:val="18"/>
                <w:color w:val="0000EE"/>
              </w:rPr>
              <w:t>CAUTIONARY NOTE REGARDING FORWARD-LOOKING STATEMENTS</w:t>
            </w:r>
          </w:p>
        </w:tc>
        <w:tc>
          <w:tcPr>
            <w:tcW w:w="4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120" w:type="dxa"/>
            <w:vAlign w:val="bottom"/>
          </w:tcPr>
          <w:p>
            <w:pPr>
              <w:spacing w:after="0"/>
              <w:rPr>
                <w:sz w:val="18"/>
                <w:szCs w:val="18"/>
                <w:color w:val="auto"/>
              </w:rPr>
            </w:pPr>
          </w:p>
        </w:tc>
        <w:tc>
          <w:tcPr>
            <w:tcW w:w="59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PROSPECTUS SUMMARY</w:t>
            </w:r>
          </w:p>
        </w:tc>
        <w:tc>
          <w:tcPr>
            <w:tcW w:w="1000" w:type="dxa"/>
            <w:vAlign w:val="bottom"/>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120" w:type="dxa"/>
            <w:vAlign w:val="bottom"/>
          </w:tcPr>
          <w:p>
            <w:pPr>
              <w:spacing w:after="0"/>
              <w:rPr>
                <w:sz w:val="18"/>
                <w:szCs w:val="18"/>
                <w:color w:val="auto"/>
              </w:rPr>
            </w:pPr>
          </w:p>
        </w:tc>
        <w:tc>
          <w:tcPr>
            <w:tcW w:w="13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8"/>
              </w:rPr>
              <w:t>THE OFFERING</w:t>
            </w:r>
          </w:p>
        </w:tc>
        <w:tc>
          <w:tcPr>
            <w:tcW w:w="860" w:type="dxa"/>
            <w:vAlign w:val="bottom"/>
            <w:tcBorders>
              <w:top w:val="single" w:sz="8" w:color="0000EE"/>
            </w:tcBorders>
            <w:gridSpan w:val="4"/>
          </w:tcPr>
          <w:p>
            <w:pPr>
              <w:spacing w:after="0"/>
              <w:rPr>
                <w:sz w:val="18"/>
                <w:szCs w:val="18"/>
                <w:color w:val="auto"/>
              </w:rPr>
            </w:pPr>
          </w:p>
        </w:tc>
        <w:tc>
          <w:tcPr>
            <w:tcW w:w="4740" w:type="dxa"/>
            <w:vAlign w:val="bottom"/>
            <w:gridSpan w:val="5"/>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120" w:type="dxa"/>
            <w:vAlign w:val="bottom"/>
          </w:tcPr>
          <w:p>
            <w:pPr>
              <w:spacing w:after="0"/>
              <w:rPr>
                <w:sz w:val="18"/>
                <w:szCs w:val="18"/>
                <w:color w:val="auto"/>
              </w:rPr>
            </w:pPr>
          </w:p>
        </w:tc>
        <w:tc>
          <w:tcPr>
            <w:tcW w:w="13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RISK FACTORS</w:t>
            </w:r>
          </w:p>
        </w:tc>
        <w:tc>
          <w:tcPr>
            <w:tcW w:w="5620" w:type="dxa"/>
            <w:vAlign w:val="bottom"/>
            <w:gridSpan w:val="10"/>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120" w:type="dxa"/>
            <w:vAlign w:val="bottom"/>
          </w:tcPr>
          <w:p>
            <w:pPr>
              <w:spacing w:after="0"/>
              <w:rPr>
                <w:sz w:val="18"/>
                <w:szCs w:val="18"/>
                <w:color w:val="auto"/>
              </w:rPr>
            </w:pPr>
          </w:p>
        </w:tc>
        <w:tc>
          <w:tcPr>
            <w:tcW w:w="6940" w:type="dxa"/>
            <w:vAlign w:val="bottom"/>
            <w:gridSpan w:val="13"/>
          </w:tcPr>
          <w:p>
            <w:pPr>
              <w:spacing w:after="0"/>
              <w:rPr>
                <w:sz w:val="20"/>
                <w:szCs w:val="20"/>
                <w:color w:val="auto"/>
              </w:rPr>
            </w:pPr>
            <w:r>
              <w:rPr>
                <w:rFonts w:ascii="Arial" w:cs="Arial" w:eastAsia="Arial" w:hAnsi="Arial"/>
                <w:sz w:val="18"/>
                <w:szCs w:val="18"/>
                <w:color w:val="0000EE"/>
              </w:rPr>
              <w:t>USE OF PROCEEDS</w:t>
            </w:r>
          </w:p>
        </w:tc>
        <w:tc>
          <w:tcPr>
            <w:tcW w:w="4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940" w:type="dxa"/>
            <w:vAlign w:val="bottom"/>
            <w:gridSpan w:val="13"/>
          </w:tcPr>
          <w:p>
            <w:pPr>
              <w:spacing w:after="0"/>
              <w:rPr>
                <w:sz w:val="20"/>
                <w:szCs w:val="20"/>
                <w:color w:val="auto"/>
              </w:rPr>
            </w:pPr>
            <w:r>
              <w:rPr>
                <w:rFonts w:ascii="Arial" w:cs="Arial" w:eastAsia="Arial" w:hAnsi="Arial"/>
                <w:sz w:val="18"/>
                <w:szCs w:val="18"/>
                <w:color w:val="0000EE"/>
              </w:rPr>
              <w:t>DESCRIPTION OF SHARE CAPITAL AND ARTICLES OF ASSOCIATION</w:t>
            </w:r>
          </w:p>
        </w:tc>
        <w:tc>
          <w:tcPr>
            <w:tcW w:w="4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120" w:type="dxa"/>
            <w:vAlign w:val="bottom"/>
          </w:tcPr>
          <w:p>
            <w:pPr>
              <w:spacing w:after="0"/>
              <w:rPr>
                <w:sz w:val="18"/>
                <w:szCs w:val="18"/>
                <w:color w:val="auto"/>
              </w:rPr>
            </w:pPr>
          </w:p>
        </w:tc>
        <w:tc>
          <w:tcPr>
            <w:tcW w:w="590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DESCRIPTION OF AMERICAN DEPOSITARY SHARES</w:t>
            </w:r>
          </w:p>
        </w:tc>
        <w:tc>
          <w:tcPr>
            <w:tcW w:w="1040" w:type="dxa"/>
            <w:vAlign w:val="bottom"/>
            <w:gridSpan w:val="2"/>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9"/>
        </w:trPr>
        <w:tc>
          <w:tcPr>
            <w:tcW w:w="120" w:type="dxa"/>
            <w:vAlign w:val="bottom"/>
          </w:tcPr>
          <w:p>
            <w:pPr>
              <w:spacing w:after="0"/>
              <w:rPr>
                <w:sz w:val="18"/>
                <w:szCs w:val="18"/>
                <w:color w:val="auto"/>
              </w:rPr>
            </w:pPr>
          </w:p>
        </w:tc>
        <w:tc>
          <w:tcPr>
            <w:tcW w:w="236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rPr>
              <w:t>SELLING SHAREHOLDERS</w:t>
            </w:r>
          </w:p>
        </w:tc>
        <w:tc>
          <w:tcPr>
            <w:tcW w:w="2140" w:type="dxa"/>
            <w:vAlign w:val="bottom"/>
            <w:tcBorders>
              <w:top w:val="single" w:sz="8" w:color="0000EE"/>
            </w:tcBorders>
          </w:tcPr>
          <w:p>
            <w:pPr>
              <w:spacing w:after="0"/>
              <w:rPr>
                <w:sz w:val="18"/>
                <w:szCs w:val="18"/>
                <w:color w:val="auto"/>
              </w:rPr>
            </w:pPr>
          </w:p>
        </w:tc>
        <w:tc>
          <w:tcPr>
            <w:tcW w:w="2440" w:type="dxa"/>
            <w:vAlign w:val="bottom"/>
            <w:gridSpan w:val="3"/>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9"/>
        </w:trPr>
        <w:tc>
          <w:tcPr>
            <w:tcW w:w="120" w:type="dxa"/>
            <w:vAlign w:val="bottom"/>
          </w:tcPr>
          <w:p>
            <w:pPr>
              <w:spacing w:after="0"/>
              <w:rPr>
                <w:sz w:val="18"/>
                <w:szCs w:val="18"/>
                <w:color w:val="auto"/>
              </w:rPr>
            </w:pPr>
          </w:p>
        </w:tc>
        <w:tc>
          <w:tcPr>
            <w:tcW w:w="6940" w:type="dxa"/>
            <w:vAlign w:val="bottom"/>
            <w:gridSpan w:val="13"/>
          </w:tcPr>
          <w:p>
            <w:pPr>
              <w:spacing w:after="0"/>
              <w:rPr>
                <w:sz w:val="20"/>
                <w:szCs w:val="20"/>
                <w:color w:val="auto"/>
              </w:rPr>
            </w:pPr>
            <w:r>
              <w:rPr>
                <w:rFonts w:ascii="Arial" w:cs="Arial" w:eastAsia="Arial" w:hAnsi="Arial"/>
                <w:sz w:val="18"/>
                <w:szCs w:val="18"/>
                <w:color w:val="0000EE"/>
              </w:rPr>
              <w:t>PLAN OF DISTRIBUTION</w:t>
            </w:r>
          </w:p>
        </w:tc>
        <w:tc>
          <w:tcPr>
            <w:tcW w:w="4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120" w:type="dxa"/>
            <w:vAlign w:val="bottom"/>
          </w:tcPr>
          <w:p>
            <w:pPr>
              <w:spacing w:after="0"/>
              <w:rPr>
                <w:sz w:val="18"/>
                <w:szCs w:val="18"/>
                <w:color w:val="auto"/>
              </w:rPr>
            </w:pPr>
          </w:p>
        </w:tc>
        <w:tc>
          <w:tcPr>
            <w:tcW w:w="14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7"/>
              </w:rPr>
              <w:t>LEGAL MATTERS</w:t>
            </w:r>
          </w:p>
        </w:tc>
        <w:tc>
          <w:tcPr>
            <w:tcW w:w="600" w:type="dxa"/>
            <w:vAlign w:val="bottom"/>
            <w:tcBorders>
              <w:top w:val="single" w:sz="8" w:color="0000EE"/>
            </w:tcBorders>
            <w:gridSpan w:val="2"/>
          </w:tcPr>
          <w:p>
            <w:pPr>
              <w:spacing w:after="0"/>
              <w:rPr>
                <w:sz w:val="18"/>
                <w:szCs w:val="18"/>
                <w:color w:val="auto"/>
              </w:rPr>
            </w:pPr>
          </w:p>
        </w:tc>
        <w:tc>
          <w:tcPr>
            <w:tcW w:w="4860" w:type="dxa"/>
            <w:vAlign w:val="bottom"/>
            <w:gridSpan w:val="6"/>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9"/>
        </w:trPr>
        <w:tc>
          <w:tcPr>
            <w:tcW w:w="120" w:type="dxa"/>
            <w:vAlign w:val="bottom"/>
          </w:tcPr>
          <w:p>
            <w:pPr>
              <w:spacing w:after="0"/>
              <w:rPr>
                <w:sz w:val="18"/>
                <w:szCs w:val="18"/>
                <w:color w:val="auto"/>
              </w:rPr>
            </w:pPr>
          </w:p>
        </w:tc>
        <w:tc>
          <w:tcPr>
            <w:tcW w:w="8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7"/>
              </w:rPr>
              <w:t>EXPERTS</w:t>
            </w:r>
          </w:p>
        </w:tc>
        <w:tc>
          <w:tcPr>
            <w:tcW w:w="6100" w:type="dxa"/>
            <w:vAlign w:val="bottom"/>
            <w:gridSpan w:val="12"/>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0"/>
        </w:trPr>
        <w:tc>
          <w:tcPr>
            <w:tcW w:w="120" w:type="dxa"/>
            <w:vAlign w:val="bottom"/>
          </w:tcPr>
          <w:p>
            <w:pPr>
              <w:spacing w:after="0"/>
              <w:rPr>
                <w:sz w:val="18"/>
                <w:szCs w:val="18"/>
                <w:color w:val="auto"/>
              </w:rPr>
            </w:pPr>
          </w:p>
        </w:tc>
        <w:tc>
          <w:tcPr>
            <w:tcW w:w="69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9"/>
              </w:rPr>
              <w:t>WHERE YOU CAN FIND MORE INFORMATION; INCORPORATION BY REFERENCE</w:t>
            </w:r>
          </w:p>
        </w:tc>
        <w:tc>
          <w:tcPr>
            <w:tcW w:w="402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w:t>
      </w:r>
    </w:p>
    <w:p>
      <w:pPr>
        <w:spacing w:after="0" w:line="212"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We urge you to read carefully this prospectus, together with the information incorporated herein by reference as described under the heading “Where You Can Find More Information,” before buying any of our ADSs being offered.</w:t>
      </w:r>
    </w:p>
    <w:p>
      <w:pPr>
        <w:spacing w:after="0" w:line="154" w:lineRule="exact"/>
        <w:rPr>
          <w:sz w:val="20"/>
          <w:szCs w:val="20"/>
          <w:color w:val="auto"/>
        </w:rPr>
      </w:pPr>
    </w:p>
    <w:p>
      <w:pPr>
        <w:ind w:left="120" w:right="120" w:firstLine="440"/>
        <w:spacing w:after="0" w:line="242" w:lineRule="auto"/>
        <w:rPr>
          <w:sz w:val="20"/>
          <w:szCs w:val="20"/>
          <w:color w:val="auto"/>
        </w:rPr>
      </w:pPr>
      <w:r>
        <w:rPr>
          <w:rFonts w:ascii="Arial" w:cs="Arial" w:eastAsia="Arial" w:hAnsi="Arial"/>
          <w:sz w:val="18"/>
          <w:szCs w:val="18"/>
          <w:color w:val="auto"/>
        </w:rPr>
        <w:t>Neither we nor the selling shareholders have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our ADSs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ADSs.</w:t>
      </w:r>
    </w:p>
    <w:p>
      <w:pPr>
        <w:spacing w:after="0" w:line="179" w:lineRule="exact"/>
        <w:rPr>
          <w:sz w:val="20"/>
          <w:szCs w:val="20"/>
          <w:color w:val="auto"/>
        </w:rPr>
      </w:pPr>
    </w:p>
    <w:p>
      <w:pPr>
        <w:ind w:left="120" w:right="280" w:firstLine="440"/>
        <w:spacing w:after="0" w:line="253" w:lineRule="auto"/>
        <w:rPr>
          <w:sz w:val="20"/>
          <w:szCs w:val="20"/>
          <w:color w:val="auto"/>
        </w:rPr>
      </w:pPr>
      <w:r>
        <w:rPr>
          <w:rFonts w:ascii="Arial" w:cs="Arial" w:eastAsia="Arial" w:hAnsi="Arial"/>
          <w:sz w:val="18"/>
          <w:szCs w:val="18"/>
          <w:color w:val="auto"/>
        </w:rPr>
        <w:t>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 Incorporation by Reference.”</w:t>
      </w:r>
    </w:p>
    <w:p>
      <w:pPr>
        <w:spacing w:after="0" w:line="169"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Throughout this prospectus, when we refer to the selling shareholders, we are referring to the selling shareholders identified in this prospectus and, as applicable, its permitted transferees or other successors-in-interest that may be identified in a supplement to this prospectus or, if required, a post-effective amendment to the registration statement of which this prospectus is a part.</w:t>
      </w:r>
    </w:p>
    <w:p>
      <w:pPr>
        <w:spacing w:after="0" w:line="169"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5, Inc., Mereo BioPharma Ireland Limited, Mereo US Holdings Inc. and NAVI Subsidiary, Inc. “Mereo,” the Mereo logo and other trademarks, trade names or service marks of Mereo appearing in this prospectus and the documents incorporated by reference are the property of Mereo.</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455"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This prospectus and any applicable prospectus supplement or free writing prospectus, including the documents that we incorporate by reference herein and therein, contain “forward-looking statements” within the meaning of Section 27A of the Securities Act of 1933, as amended, or the Securities Act, and Section 21E of the Securities Exchange Act of 1934, as amended, or the Exchange Act. In some cases, you can identify these statements by terms such as “anticipate,” “believe,” “could,” “estimate,” “expects,” “intend,” “may,” “plan,” “potential,” “predict,” “project,” “should,” “will,” “would” or the negative of those terms, and similar expressions that convey uncertainty of future events or outcomes. In addition, statements that “we believe” and similar statements reflect our beliefs and opinions on the relevant subject. The forward-looking statements are contained principally in the sections entitled “Business” and “Management’s Discussion and Analysis of Financial Condition and Results of Operations” incorporated by reference from our most recent Annual Report on Form 10-K and most recent Quarterly Report on Form 10-Q. These statements relate to future events or to our future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w:t>
      </w:r>
    </w:p>
    <w:p>
      <w:pPr>
        <w:spacing w:after="0" w:line="18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evaluating such forward-looking statements, you should specifically consider various factors, including the risks outlined under the heading “Risk Factors” contained in this prospectus, any accompanying prospectus supplement and any related free writing prospectus, and in our most recent Annual Report on Form 10-K or our most recent Quarterly Report on Form 10-Q filed with the Securities and Exchange Commission, or SEC. The discussion of risks and uncertainties set forth in those filings is not necessarily a complete or exhaustive list of all risks facing us at any particular point in time.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Forward-looking statements represent our estimates and assumptions only as of the date such forward-looking statements are made. You should carefully read this prospectus, any accompanying prospectus supplement and any related free writing prospectus, together with the information incorporated herein or therein by reference, and with the understanding that our actual future results may materially differ from what we expect. We qualify all of our forward-looking statements by these cautionary statements.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301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3016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14" w:lineRule="exact"/>
        <w:rPr>
          <w:sz w:val="20"/>
          <w:szCs w:val="20"/>
          <w:color w:val="auto"/>
        </w:rPr>
      </w:pPr>
    </w:p>
    <w:p>
      <w:pPr>
        <w:ind w:left="300" w:right="40"/>
        <w:spacing w:after="0" w:line="241" w:lineRule="auto"/>
        <w:rPr>
          <w:sz w:val="20"/>
          <w:szCs w:val="20"/>
          <w:color w:val="auto"/>
        </w:rPr>
      </w:pPr>
      <w:r>
        <w:rPr>
          <w:rFonts w:ascii="Arial" w:cs="Arial" w:eastAsia="Arial" w:hAnsi="Arial"/>
          <w:sz w:val="18"/>
          <w:szCs w:val="18"/>
          <w:i w:val="1"/>
          <w:iCs w:val="1"/>
          <w:color w:val="auto"/>
        </w:rPr>
        <w:t>This summary highlights information contained elsewhere in this prospectus or incorporated by reference herein. This summary is not complete and does not contain all of the information that you should consider before making an investment decision. For a more complete understanding of our company, you should read and consider carefully the more detailed information included or incorporated by reference in this prospectus and any applicable prospectus supplement, including any factors described under the heading “Risk Factors” beginning on page 5 of this prospectus, as well as the information incorporated herein by reference, before making an investment decision.</w:t>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04" w:lineRule="exact"/>
        <w:rPr>
          <w:sz w:val="20"/>
          <w:szCs w:val="20"/>
          <w:color w:val="auto"/>
        </w:rPr>
      </w:pPr>
    </w:p>
    <w:p>
      <w:pPr>
        <w:ind w:left="300" w:right="460" w:firstLine="426"/>
        <w:spacing w:after="0"/>
        <w:rPr>
          <w:sz w:val="20"/>
          <w:szCs w:val="20"/>
          <w:color w:val="auto"/>
        </w:rPr>
      </w:pPr>
      <w:r>
        <w:rPr>
          <w:rFonts w:ascii="Arial" w:cs="Arial" w:eastAsia="Arial" w:hAnsi="Arial"/>
          <w:sz w:val="18"/>
          <w:szCs w:val="18"/>
          <w:color w:val="auto"/>
        </w:rPr>
        <w:t>We are a biopharmaceutical company focused on the development of innovative therapeutics for rare diseases. We have developed a portfolio of late-stage clinical product candidates. Our two rare disease product candidates are setrusumab for the treatment of osteogenesis imperfecta (OI) and alvelestat primarily for the treatment of severe alpha-1 antitrypsin deficiency-associated lung disease (AATD-LD). Setrusumab has received orphan designation for OI from the European Medicines Agency (EMA) and the U.S. Food and Drug Administration (FDA), PRIME designation from the EMA and has rare pediatric disease designation and Breakthrough Therapy designation from the FDA. Alvelestat has received U.S. Orphan Drug Designation for the treatment of AATD and Fast Track designation from the FDA for the treatment of AATD-LD.</w:t>
      </w:r>
    </w:p>
    <w:p>
      <w:pPr>
        <w:spacing w:after="0" w:line="185" w:lineRule="exact"/>
        <w:rPr>
          <w:sz w:val="20"/>
          <w:szCs w:val="20"/>
          <w:color w:val="auto"/>
        </w:rPr>
      </w:pPr>
    </w:p>
    <w:p>
      <w:pPr>
        <w:ind w:left="300" w:firstLine="426"/>
        <w:spacing w:after="0"/>
        <w:rPr>
          <w:sz w:val="20"/>
          <w:szCs w:val="20"/>
          <w:color w:val="auto"/>
        </w:rPr>
      </w:pPr>
      <w:r>
        <w:rPr>
          <w:rFonts w:ascii="Arial" w:cs="Arial" w:eastAsia="Arial" w:hAnsi="Arial"/>
          <w:sz w:val="18"/>
          <w:szCs w:val="18"/>
          <w:color w:val="auto"/>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this strategy by acquiring six clinical-stage product candidates of which four were in rare diseases and oncology. Four of our six clinical-stage product candidates were acquired from large pharmaceutical companies and two were acquired in our merger with OncoMed Pharmaceuticals Inc in 2019. We have successfully completed large, randomized Phase 2 clinical trials for four of our product candidates and the Phase 1b portion of a Phase 1b/2 for a fifth product candidate.</w:t>
      </w:r>
    </w:p>
    <w:p>
      <w:pPr>
        <w:spacing w:after="0" w:line="185" w:lineRule="exact"/>
        <w:rPr>
          <w:sz w:val="20"/>
          <w:szCs w:val="20"/>
          <w:color w:val="auto"/>
        </w:rPr>
      </w:pPr>
    </w:p>
    <w:p>
      <w:pPr>
        <w:ind w:left="300" w:firstLine="426"/>
        <w:spacing w:after="0" w:line="261" w:lineRule="auto"/>
        <w:rPr>
          <w:sz w:val="20"/>
          <w:szCs w:val="20"/>
          <w:color w:val="auto"/>
        </w:rPr>
      </w:pPr>
      <w:r>
        <w:rPr>
          <w:rFonts w:ascii="Arial" w:cs="Arial" w:eastAsia="Arial" w:hAnsi="Arial"/>
          <w:sz w:val="17"/>
          <w:szCs w:val="17"/>
          <w:color w:val="auto"/>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involves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04" w:lineRule="exact"/>
        <w:rPr>
          <w:sz w:val="20"/>
          <w:szCs w:val="20"/>
          <w:color w:val="auto"/>
        </w:rPr>
      </w:pPr>
    </w:p>
    <w:p>
      <w:pPr>
        <w:ind w:left="300" w:firstLine="426"/>
        <w:spacing w:after="0" w:line="247" w:lineRule="auto"/>
        <w:rPr>
          <w:sz w:val="20"/>
          <w:szCs w:val="20"/>
          <w:color w:val="auto"/>
        </w:rPr>
      </w:pPr>
      <w:r>
        <w:rPr>
          <w:rFonts w:ascii="Arial" w:cs="Arial" w:eastAsia="Arial" w:hAnsi="Arial"/>
          <w:sz w:val="18"/>
          <w:szCs w:val="18"/>
          <w:color w:val="auto"/>
        </w:rPr>
        <w:t>Our registered office address is One Cavendish Place, 4th Floor, London, W1G 0QF, United Kingdom and our telephone number is +44 333 023 7300. Our website address is www.mereobiopharma.com. The information contained on, or that can be accessed from, our website does not form part of this prospectus. Our agent for service of process in the United States is Mereo US Holdings Inc.</w:t>
      </w:r>
    </w:p>
    <w:p>
      <w:pPr>
        <w:spacing w:after="0" w:line="28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407"/>
        </w:trPr>
        <w:tc>
          <w:tcPr>
            <w:tcW w:w="4160" w:type="dxa"/>
            <w:vAlign w:val="bottom"/>
            <w:tcBorders>
              <w:top w:val="single" w:sz="8" w:color="auto"/>
              <w:left w:val="single" w:sz="8" w:color="auto"/>
            </w:tcBorders>
          </w:tcPr>
          <w:p>
            <w:pPr>
              <w:spacing w:after="0"/>
              <w:rPr>
                <w:sz w:val="24"/>
                <w:szCs w:val="24"/>
                <w:color w:val="auto"/>
              </w:rPr>
            </w:pPr>
          </w:p>
        </w:tc>
        <w:tc>
          <w:tcPr>
            <w:tcW w:w="686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THE OFFERING</w:t>
            </w:r>
          </w:p>
        </w:tc>
      </w:tr>
      <w:tr>
        <w:trPr>
          <w:trHeight w:val="401"/>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ADSs offered by the Selling Shareholders</w:t>
            </w: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26,638,972 ordinary shares, in the form of ADSs, consisting of</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(i) 20,555,067 ordinary shares underlying convertible loan</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notes and warrants issuable to Novartis under the convertible</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loan and warrant instruments dated February 10, 2020, as</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amended on November 24, 2020 and February 10, 2023; (ii)</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2,487,816 ordinary shares underlying warrants issuable to</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Silicon Valley Bank and Kreos Capital V (UK) Limited as</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lenders under previous loan agreements with them dated</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August 7, 2017 and September 28, 2018, respectively, as</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amended on December 15, 2020 that have been fully repaid;</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(iii) 1,551,699 ordinary shares underlying warrants issuable to</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TAP under a warrant instrument dated November 2, 2018, as</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amended on March 29, 2021 and (iv) 2,044,390 ordinary</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shares issued to AstraZeneca in connection with a</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subscription deed dated October 28, 2017, as amended on</w:t>
            </w:r>
          </w:p>
        </w:tc>
      </w:tr>
      <w:tr>
        <w:trPr>
          <w:trHeight w:val="239"/>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May 21, 2021 and November 8, 2024.</w:t>
            </w:r>
          </w:p>
        </w:tc>
      </w:tr>
      <w:tr>
        <w:trPr>
          <w:trHeight w:val="382"/>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Plan of Distribution</w:t>
            </w: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The selling shareholders will determine when and how they</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will sell the ADSs offered in this prospectus, as described in</w:t>
            </w:r>
          </w:p>
        </w:tc>
      </w:tr>
      <w:tr>
        <w:trPr>
          <w:trHeight w:val="239"/>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“Plan of Distribution.”</w:t>
            </w:r>
          </w:p>
        </w:tc>
      </w:tr>
      <w:tr>
        <w:trPr>
          <w:trHeight w:val="382"/>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We will not receive any proceeds from the sale of the ADSs by</w:t>
            </w:r>
          </w:p>
        </w:tc>
      </w:tr>
      <w:tr>
        <w:trPr>
          <w:trHeight w:val="239"/>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the selling shareholders.</w:t>
            </w:r>
          </w:p>
        </w:tc>
      </w:tr>
      <w:tr>
        <w:trPr>
          <w:trHeight w:val="382"/>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You should read the “Risk Factors” section beginning on page</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5 for a discussion of factors to consider carefully before</w:t>
            </w:r>
          </w:p>
        </w:tc>
      </w:tr>
      <w:tr>
        <w:trPr>
          <w:trHeight w:val="239"/>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deciding to purchase our ADSs.</w:t>
            </w:r>
          </w:p>
        </w:tc>
      </w:tr>
      <w:tr>
        <w:trPr>
          <w:trHeight w:val="418"/>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The Nasdaq Capital Market Symbol</w:t>
            </w: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MREO</w:t>
            </w:r>
          </w:p>
        </w:tc>
      </w:tr>
      <w:tr>
        <w:trPr>
          <w:trHeight w:val="141"/>
        </w:trPr>
        <w:tc>
          <w:tcPr>
            <w:tcW w:w="4160" w:type="dxa"/>
            <w:vAlign w:val="bottom"/>
            <w:tcBorders>
              <w:left w:val="single" w:sz="8" w:color="auto"/>
              <w:bottom w:val="single" w:sz="8" w:color="auto"/>
            </w:tcBorders>
          </w:tcPr>
          <w:p>
            <w:pPr>
              <w:spacing w:after="0"/>
              <w:rPr>
                <w:sz w:val="12"/>
                <w:szCs w:val="12"/>
                <w:color w:val="auto"/>
              </w:rPr>
            </w:pPr>
          </w:p>
        </w:tc>
        <w:tc>
          <w:tcPr>
            <w:tcW w:w="6860" w:type="dxa"/>
            <w:vAlign w:val="bottom"/>
            <w:tcBorders>
              <w:bottom w:val="single" w:sz="8" w:color="auto"/>
              <w:right w:val="single" w:sz="8" w:color="auto"/>
            </w:tcBorders>
          </w:tcPr>
          <w:p>
            <w:pPr>
              <w:spacing w:after="0"/>
              <w:rPr>
                <w:sz w:val="12"/>
                <w:szCs w:val="12"/>
                <w:color w:val="auto"/>
              </w:rPr>
            </w:pPr>
          </w:p>
        </w:tc>
      </w:tr>
      <w:tr>
        <w:trPr>
          <w:trHeight w:val="365"/>
        </w:trPr>
        <w:tc>
          <w:tcPr>
            <w:tcW w:w="4160" w:type="dxa"/>
            <w:vAlign w:val="bottom"/>
          </w:tcPr>
          <w:p>
            <w:pPr>
              <w:spacing w:after="0"/>
              <w:rPr>
                <w:sz w:val="24"/>
                <w:szCs w:val="24"/>
                <w:color w:val="auto"/>
              </w:rPr>
            </w:pPr>
          </w:p>
        </w:tc>
        <w:tc>
          <w:tcPr>
            <w:tcW w:w="6860" w:type="dxa"/>
            <w:vAlign w:val="bottom"/>
          </w:tcPr>
          <w:p>
            <w:pPr>
              <w:ind w:left="130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Investment in any securities offered pursuant to this prospectus and any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186" w:lineRule="exact"/>
        <w:rPr>
          <w:sz w:val="20"/>
          <w:szCs w:val="20"/>
          <w:color w:val="auto"/>
        </w:rPr>
      </w:pPr>
    </w:p>
    <w:p>
      <w:pPr>
        <w:jc w:val="center"/>
        <w:ind w:right="60"/>
        <w:spacing w:after="0" w:line="443" w:lineRule="auto"/>
        <w:rPr>
          <w:sz w:val="20"/>
          <w:szCs w:val="20"/>
          <w:color w:val="auto"/>
        </w:rPr>
      </w:pPr>
      <w:r>
        <w:rPr>
          <w:rFonts w:ascii="Arial" w:cs="Arial" w:eastAsia="Arial" w:hAnsi="Arial"/>
          <w:sz w:val="18"/>
          <w:szCs w:val="18"/>
          <w:color w:val="auto"/>
        </w:rPr>
        <w:t>For more information about our SEC filings, please see “Where You Can Find More Information; Incorporation by Reference.” 5</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We will not receive any of the proceeds from the sale or other disposition of the ADSs by the selling shareholders pursuant to this prospectus.</w:t>
      </w:r>
    </w:p>
    <w:p>
      <w:pPr>
        <w:spacing w:after="0" w:line="154" w:lineRule="exact"/>
        <w:rPr>
          <w:sz w:val="20"/>
          <w:szCs w:val="20"/>
          <w:color w:val="auto"/>
        </w:rPr>
      </w:pPr>
    </w:p>
    <w:p>
      <w:pPr>
        <w:ind w:left="120" w:firstLine="440"/>
        <w:spacing w:after="0" w:line="266" w:lineRule="auto"/>
        <w:rPr>
          <w:sz w:val="20"/>
          <w:szCs w:val="20"/>
          <w:color w:val="auto"/>
        </w:rPr>
      </w:pPr>
      <w:r>
        <w:rPr>
          <w:rFonts w:ascii="Arial" w:cs="Arial" w:eastAsia="Arial" w:hAnsi="Arial"/>
          <w:sz w:val="17"/>
          <w:szCs w:val="17"/>
          <w:color w:val="auto"/>
        </w:rPr>
        <w:t>The selling shareholders will pay any underwriting discounts and commissions and share transfer taxes incurred by the selling shareholders for brokerage or legal services or any other expenses incurred by the selling shareholders in disposing of ADSs. We will bear all other fees and expenses incurred in effecting the registration of the ADSs of the selling shareholders that are covered by this prospectus, including registration and filing fees, fees and expenses of our counsel and our independent registered public accountants.</w:t>
      </w:r>
    </w:p>
    <w:p>
      <w:pPr>
        <w:spacing w:after="0" w:line="9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0"/>
          </w:cols>
          <w:pgMar w:left="320" w:top="455" w:right="7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12"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The following is a description of the ordinary shares, par value £0.003 per share, of Mereo BioPharma Group plc (the “Company,” “we” or “us”) which are represented by American Depositary Shares (“ADSs”) with each ADS representing five of our ordinary shares registered under Section 12 of the Exchange Act. This description also summarizes relevant provisions of English law. The following summary does not purport to be complete and is subject to, and is qualified in its entirety by reference to, the applicable provisions of English law and the Company’s articles of association, a copy of which is filed as Exhibit 3.1 to the Annual Report on Form 10-K of the Company for the fiscal year ended December 31, 2023. We encourage you to read the articles and the applicable provisions of English law for additional information.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04"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principal executive offices are located at 4th Floor, One Cavendish Place, London, W1G 0QF, United Kingdom. The principal legislation under which we operate and our ordinary shares are issued is the U.K. Companies Act 2006 (as amended) (the “U.K. Companies Act 2006”).</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04" w:lineRule="exact"/>
        <w:rPr>
          <w:sz w:val="20"/>
          <w:szCs w:val="20"/>
          <w:color w:val="auto"/>
        </w:rPr>
      </w:pPr>
    </w:p>
    <w:p>
      <w:pPr>
        <w:ind w:left="120" w:right="180" w:firstLine="440"/>
        <w:spacing w:after="0" w:line="253" w:lineRule="auto"/>
        <w:rPr>
          <w:sz w:val="20"/>
          <w:szCs w:val="20"/>
          <w:color w:val="auto"/>
        </w:rPr>
      </w:pPr>
      <w:r>
        <w:rPr>
          <w:rFonts w:ascii="Arial" w:cs="Arial" w:eastAsia="Arial" w:hAnsi="Arial"/>
          <w:sz w:val="18"/>
          <w:szCs w:val="18"/>
          <w:color w:val="auto"/>
        </w:rPr>
        <w:t>As of November 20, 2024, our issued share capital was £2,327,184, equivalent to 775,728,034 ordinary shares. The nominal value of our ordinary shares, including ordinary shares in the form of ADSs, is £0.003 per ordinary share. Each issued ordinary share is fully paid.</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Shares</w:t>
      </w:r>
    </w:p>
    <w:p>
      <w:pPr>
        <w:spacing w:after="0" w:line="104"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w:t>
      </w:r>
    </w:p>
    <w:p>
      <w:pPr>
        <w:spacing w:after="0" w:line="174"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Depositary Shares” in this prospectus. Holders of our ADSs have a right to receive the ordinary shares underlying their ADSs as discussed in “Description of American Depositary Shares” in this prospectus.</w:t>
      </w:r>
    </w:p>
    <w:p>
      <w:pPr>
        <w:spacing w:after="0" w:line="174"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sale of the ADSs, pursuant to a supplemental prospectus.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 such register:</w:t>
      </w:r>
    </w:p>
    <w:p>
      <w:pPr>
        <w:spacing w:after="0" w:line="117" w:lineRule="exact"/>
        <w:rPr>
          <w:sz w:val="20"/>
          <w:szCs w:val="20"/>
          <w:color w:val="auto"/>
        </w:rPr>
      </w:pPr>
    </w:p>
    <w:p>
      <w:pPr>
        <w:jc w:val="right"/>
        <w:ind w:left="5580" w:right="5420" w:hanging="5032"/>
        <w:spacing w:after="0" w:line="390" w:lineRule="auto"/>
        <w:tabs>
          <w:tab w:leader="none" w:pos="986"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does not include information that it is required to include; or 7</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980" w:hanging="432"/>
        <w:spacing w:after="0"/>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includes information that it is not required to include.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Rights</w:t>
      </w:r>
    </w:p>
    <w:p>
      <w:pPr>
        <w:spacing w:after="0" w:line="104"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w:t>
      </w:r>
    </w:p>
    <w:p>
      <w:pPr>
        <w:spacing w:after="0" w:line="176"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On May 22, 2023, our shareholders authorized our Board to disapply pre-emptive rights for a period until June 30, 2026 in respect of the allotment of ordinary shares or the grant of rights to subscribe for or convert securities into ordinary shares up to a maximum aggregate nominal amount of £2,494,456.76. The nominal value of our ordinary shares is £0.003 per ordinary share.</w:t>
      </w:r>
    </w:p>
    <w:p>
      <w:pPr>
        <w:spacing w:after="0" w:line="169"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8"/>
          <w:szCs w:val="18"/>
          <w:color w:val="auto"/>
        </w:rPr>
        <w:t>As of November 20, 2024, non-preemptive authorization up to a maximum nominal amount of £2,148,129.83 remained available to the Company.</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description of our Articles as at the date hereof.</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Shares and Rights Attaching to Them</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Objects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objects of our Company are unrestricted.</w:t>
      </w:r>
    </w:p>
    <w:p>
      <w:pPr>
        <w:spacing w:after="0" w:line="32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 Rights</w:t>
      </w:r>
    </w:p>
    <w:p>
      <w:pPr>
        <w:spacing w:after="0" w:line="102"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7"/>
          <w:szCs w:val="17"/>
          <w:color w:val="auto"/>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p>
    <w:p>
      <w:pPr>
        <w:spacing w:after="0" w:line="102"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59" w:lineRule="exact"/>
        <w:rPr>
          <w:sz w:val="20"/>
          <w:szCs w:val="20"/>
          <w:color w:val="auto"/>
        </w:rPr>
      </w:pPr>
    </w:p>
    <w:p>
      <w:pPr>
        <w:ind w:left="980" w:right="80" w:hanging="432"/>
        <w:spacing w:after="0" w:line="230"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4" w:lineRule="exact"/>
        <w:rPr>
          <w:rFonts w:ascii="MS PGothic" w:cs="MS PGothic" w:eastAsia="MS PGothic" w:hAnsi="MS PGothic"/>
          <w:sz w:val="25"/>
          <w:szCs w:val="25"/>
          <w:color w:val="auto"/>
          <w:vertAlign w:val="superscript"/>
        </w:rPr>
      </w:pPr>
    </w:p>
    <w:p>
      <w:pPr>
        <w:ind w:left="980" w:hanging="432"/>
        <w:spacing w:after="0" w:line="231"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6" w:lineRule="exact"/>
        <w:rPr>
          <w:rFonts w:ascii="MS PGothic" w:cs="MS PGothic" w:eastAsia="MS PGothic" w:hAnsi="MS PGothic"/>
          <w:sz w:val="25"/>
          <w:szCs w:val="25"/>
          <w:color w:val="auto"/>
          <w:vertAlign w:val="superscript"/>
        </w:rPr>
      </w:pPr>
    </w:p>
    <w:p>
      <w:pPr>
        <w:ind w:left="980" w:hanging="432"/>
        <w:spacing w:after="0" w:line="232"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000" w:right="140" w:hanging="7"/>
        <w:spacing w:after="0" w:line="255" w:lineRule="auto"/>
        <w:tabs>
          <w:tab w:leader="none" w:pos="127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proxy has been instructed by one or more of those shareholders to vote against the resolution and has been given any discretion by one or more other of those shareholders to vote and the proxy exercises that discretion to vote for it; or</w:t>
      </w:r>
    </w:p>
    <w:p>
      <w:pPr>
        <w:spacing w:after="0" w:line="5" w:lineRule="exact"/>
        <w:rPr>
          <w:rFonts w:ascii="Arial" w:cs="Arial" w:eastAsia="Arial" w:hAnsi="Arial"/>
          <w:sz w:val="18"/>
          <w:szCs w:val="18"/>
          <w:color w:val="auto"/>
        </w:rPr>
      </w:pPr>
    </w:p>
    <w:p>
      <w:pPr>
        <w:ind w:left="980" w:right="240" w:hanging="432"/>
        <w:spacing w:after="0" w:line="230"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or she is the holder.</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the provisions of the U.K. Companies Act 2006, a poll may be demanded by:</w:t>
      </w:r>
    </w:p>
    <w:p>
      <w:pPr>
        <w:spacing w:after="0" w:line="85" w:lineRule="exact"/>
        <w:rPr>
          <w:sz w:val="20"/>
          <w:szCs w:val="20"/>
          <w:color w:val="auto"/>
        </w:rPr>
      </w:pPr>
    </w:p>
    <w:p>
      <w:pPr>
        <w:ind w:left="980" w:hanging="432"/>
        <w:spacing w:after="0"/>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22" w:lineRule="exact"/>
        <w:rPr>
          <w:rFonts w:ascii="MS PGothic" w:cs="MS PGothic" w:eastAsia="MS PGothic" w:hAnsi="MS PGothic"/>
          <w:sz w:val="25"/>
          <w:szCs w:val="25"/>
          <w:color w:val="auto"/>
          <w:vertAlign w:val="superscript"/>
        </w:rPr>
      </w:pPr>
    </w:p>
    <w:p>
      <w:pPr>
        <w:ind w:left="980" w:right="160" w:hanging="432"/>
        <w:spacing w:after="0" w:line="22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shareholders having the right to vote on the resolution.</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Restrictions on Voting</w:t>
      </w:r>
    </w:p>
    <w:p>
      <w:pPr>
        <w:spacing w:after="0" w:line="102"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8"/>
          <w:szCs w:val="18"/>
          <w:color w:val="auto"/>
        </w:rPr>
        <w:t>No shareholder shall (unless the Directors otherwise determine) be entitled to vote at any general meeting in respect of any share held by him or her unless all sums payable by him or her in respect of that share have been paid.</w:t>
      </w:r>
    </w:p>
    <w:p>
      <w:pPr>
        <w:spacing w:after="0" w:line="154" w:lineRule="exact"/>
        <w:rPr>
          <w:sz w:val="20"/>
          <w:szCs w:val="20"/>
          <w:color w:val="auto"/>
        </w:rPr>
      </w:pPr>
    </w:p>
    <w:p>
      <w:pPr>
        <w:ind w:left="120" w:right="420" w:firstLine="440"/>
        <w:spacing w:after="0" w:line="253" w:lineRule="auto"/>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Dividends</w:t>
      </w:r>
    </w:p>
    <w:p>
      <w:pPr>
        <w:spacing w:after="0" w:line="102"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color w:val="auto"/>
        </w:rPr>
        <w:t>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179"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169"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w:t>
      </w:r>
    </w:p>
    <w:p>
      <w:pPr>
        <w:spacing w:after="0" w:line="169"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169"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8"/>
          <w:szCs w:val="18"/>
          <w:color w:val="auto"/>
        </w:rPr>
        <w:t>The directors may, if authorized by an ordinary resolution of shareholders, offer any holders of ordinary shares the right to elect to receive in lieu of a dividend, or part of a dividend, an allotment of ordinary shares credited as fully paid up.</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of Control</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32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on Winding Up</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Variation of Rights</w:t>
      </w:r>
    </w:p>
    <w:p>
      <w:pPr>
        <w:spacing w:after="0" w:line="10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Alteration to Share Capital</w:t>
      </w:r>
    </w:p>
    <w:p>
      <w:pPr>
        <w:spacing w:after="0" w:line="102" w:lineRule="exact"/>
        <w:rPr>
          <w:sz w:val="20"/>
          <w:szCs w:val="20"/>
          <w:color w:val="auto"/>
        </w:rPr>
      </w:pPr>
    </w:p>
    <w:p>
      <w:pPr>
        <w:ind w:left="120" w:right="180" w:firstLine="440"/>
        <w:spacing w:after="0" w:line="244" w:lineRule="auto"/>
        <w:rPr>
          <w:sz w:val="20"/>
          <w:szCs w:val="20"/>
          <w:color w:val="auto"/>
        </w:rPr>
      </w:pPr>
      <w:r>
        <w:rPr>
          <w:rFonts w:ascii="Arial" w:cs="Arial" w:eastAsia="Arial" w:hAnsi="Arial"/>
          <w:sz w:val="18"/>
          <w:szCs w:val="18"/>
          <w:color w:val="auto"/>
        </w:rPr>
        <w:t>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Preemption Rights</w:t>
      </w:r>
    </w:p>
    <w:p>
      <w:pPr>
        <w:spacing w:after="0" w:line="102" w:lineRule="exact"/>
        <w:rPr>
          <w:sz w:val="20"/>
          <w:szCs w:val="20"/>
          <w:color w:val="auto"/>
        </w:rPr>
      </w:pPr>
    </w:p>
    <w:p>
      <w:pPr>
        <w:ind w:left="120" w:right="180" w:firstLine="440"/>
        <w:spacing w:after="0" w:line="253" w:lineRule="auto"/>
        <w:rPr>
          <w:sz w:val="20"/>
          <w:szCs w:val="20"/>
          <w:color w:val="auto"/>
        </w:rPr>
      </w:pPr>
      <w:r>
        <w:rPr>
          <w:rFonts w:ascii="Arial" w:cs="Arial" w:eastAsia="Arial" w:hAnsi="Arial"/>
          <w:sz w:val="18"/>
          <w:szCs w:val="18"/>
          <w:color w:val="auto"/>
        </w:rPr>
        <w:t>In certain circumstances, our shareholders may have statutory preemption rights under the U.K. Companies Act 2006 in respect of the allotment of new shares as described in “—Pre-emptive Rights” and “—Differences in Corporate Law—Pre-emptive Rights” in this prospectus.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0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w:t>
      </w:r>
    </w:p>
    <w:p>
      <w:pPr>
        <w:spacing w:after="0" w:line="169" w:lineRule="exact"/>
        <w:rPr>
          <w:sz w:val="20"/>
          <w:szCs w:val="20"/>
          <w:color w:val="auto"/>
        </w:rPr>
      </w:pPr>
    </w:p>
    <w:p>
      <w:pPr>
        <w:jc w:val="both"/>
        <w:ind w:left="120" w:right="540" w:firstLine="440"/>
        <w:spacing w:after="0" w:line="253" w:lineRule="auto"/>
        <w:rPr>
          <w:sz w:val="20"/>
          <w:szCs w:val="20"/>
          <w:color w:val="auto"/>
        </w:rPr>
      </w:pPr>
      <w:r>
        <w:rPr>
          <w:rFonts w:ascii="Arial" w:cs="Arial" w:eastAsia="Arial" w:hAnsi="Arial"/>
          <w:sz w:val="18"/>
          <w:szCs w:val="18"/>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24" w:lineRule="exact"/>
        <w:rPr>
          <w:sz w:val="20"/>
          <w:szCs w:val="20"/>
          <w:color w:val="auto"/>
        </w:rPr>
      </w:pPr>
    </w:p>
    <w:p>
      <w:pPr>
        <w:ind w:left="980" w:hanging="432"/>
        <w:spacing w:after="0"/>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our registered office or such other place as the directors have appointed;</w:t>
      </w:r>
    </w:p>
    <w:p>
      <w:pPr>
        <w:spacing w:after="0" w:line="22" w:lineRule="exact"/>
        <w:rPr>
          <w:rFonts w:ascii="MS PGothic" w:cs="MS PGothic" w:eastAsia="MS PGothic" w:hAnsi="MS PGothic"/>
          <w:sz w:val="25"/>
          <w:szCs w:val="25"/>
          <w:color w:val="auto"/>
          <w:vertAlign w:val="superscript"/>
        </w:rPr>
      </w:pPr>
    </w:p>
    <w:p>
      <w:pPr>
        <w:ind w:left="980" w:right="420" w:hanging="432"/>
        <w:spacing w:after="0" w:line="225"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180" w:lineRule="exact"/>
        <w:rPr>
          <w:sz w:val="20"/>
          <w:szCs w:val="20"/>
          <w:color w:val="auto"/>
        </w:rPr>
      </w:pPr>
    </w:p>
    <w:p>
      <w:pPr>
        <w:ind w:left="120" w:right="620" w:firstLine="440"/>
        <w:spacing w:after="0" w:line="271"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General Meetings</w:t>
      </w:r>
    </w:p>
    <w:p>
      <w:pPr>
        <w:spacing w:after="0" w:line="102"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 Differences in Corporate Law—Annual General Meeting” and “—Differences in Corporate Law— Notice of General Meetings” in this prospectus.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Notice of General Meetings</w:t>
      </w:r>
    </w:p>
    <w:p>
      <w:pPr>
        <w:spacing w:after="0" w:line="102" w:lineRule="exact"/>
        <w:rPr>
          <w:sz w:val="20"/>
          <w:szCs w:val="20"/>
          <w:color w:val="auto"/>
        </w:rPr>
      </w:pPr>
    </w:p>
    <w:p>
      <w:pPr>
        <w:ind w:left="120" w:right="820" w:firstLine="440"/>
        <w:spacing w:after="0" w:line="271"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in this prospectus.</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Quorum of General Meetings</w:t>
      </w:r>
    </w:p>
    <w:p>
      <w:pPr>
        <w:spacing w:after="0" w:line="102"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No business, other than the appointment of the chair of the meeting, shall be transacted at any general meeting unless a quorum is present. Subject to the paragraph below, at least two shareholders present in person or by proxy and entitled to vote shall be a quorum for all purposes.</w:t>
      </w:r>
    </w:p>
    <w:p>
      <w:pPr>
        <w:spacing w:after="0" w:line="169"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If and for so long as we are subject to the rules and requirements of a securities exchange and such securities exchange requires us to have a quorum for general meetings then, in addition to the requisite quorum requirement stated in the preceding paragraph, in order for such general meeting to be quorate at least 33 1/3 per cent. of our issued and outstanding ordinary shares (or such other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amount as may be specified by such rules and requirements) must be present at such general meeting, whether represented in person (including, in the case of a corporate shareholder, by duly authorized representative) or by duly appointed proxy.</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Class Meetings</w:t>
      </w:r>
    </w:p>
    <w:p>
      <w:pPr>
        <w:spacing w:after="0" w:line="102" w:lineRule="exact"/>
        <w:rPr>
          <w:sz w:val="20"/>
          <w:szCs w:val="20"/>
          <w:color w:val="auto"/>
        </w:rPr>
      </w:pPr>
    </w:p>
    <w:p>
      <w:pPr>
        <w:ind w:left="120" w:right="520" w:firstLine="440"/>
        <w:spacing w:after="0" w:line="271" w:lineRule="auto"/>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Number of Directors</w:t>
      </w:r>
    </w:p>
    <w:p>
      <w:pPr>
        <w:spacing w:after="0" w:line="102"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8"/>
          <w:szCs w:val="18"/>
          <w:color w:val="auto"/>
        </w:rPr>
        <w:t>We may not have less than two directors on the Board and not more than ten. We may, by ordinary resolution of the shareholders, vary the minimum and maximum number of directors from time to time.</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Appointment of Directors</w:t>
      </w:r>
    </w:p>
    <w:p>
      <w:pPr>
        <w:spacing w:after="0" w:line="102"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w:t>
      </w:r>
    </w:p>
    <w:p>
      <w:pPr>
        <w:spacing w:after="0" w:line="176"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16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10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compulsory acquisition any time prior to the end of those six weeks following which the offeror can execute a transfer of the outstanding shares in its favor and pay the consideration to us, which would</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5" w:right="5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20"/>
        <w:spacing w:after="0" w:line="253" w:lineRule="auto"/>
        <w:rPr>
          <w:sz w:val="20"/>
          <w:szCs w:val="20"/>
          <w:color w:val="auto"/>
        </w:rPr>
      </w:pPr>
      <w:r>
        <w:rPr>
          <w:rFonts w:ascii="Arial" w:cs="Arial" w:eastAsia="Arial" w:hAnsi="Arial"/>
          <w:sz w:val="18"/>
          <w:szCs w:val="18"/>
          <w:color w:val="auto"/>
        </w:rPr>
        <w:t>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Sell Out</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Disclosure of Interest in Shares</w:t>
      </w:r>
    </w:p>
    <w:p>
      <w:pPr>
        <w:spacing w:after="0" w:line="102"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w:t>
      </w:r>
    </w:p>
    <w:p>
      <w:pPr>
        <w:spacing w:after="0" w:line="176" w:lineRule="exact"/>
        <w:rPr>
          <w:sz w:val="20"/>
          <w:szCs w:val="20"/>
          <w:color w:val="auto"/>
        </w:rPr>
      </w:pPr>
    </w:p>
    <w:p>
      <w:pPr>
        <w:ind w:left="120" w:right="460" w:firstLine="440"/>
        <w:spacing w:after="0" w:line="271" w:lineRule="auto"/>
        <w:rPr>
          <w:sz w:val="20"/>
          <w:szCs w:val="20"/>
          <w:color w:val="auto"/>
        </w:rPr>
      </w:pPr>
      <w:r>
        <w:rPr>
          <w:rFonts w:ascii="Arial" w:cs="Arial" w:eastAsia="Arial" w:hAnsi="Arial"/>
          <w:sz w:val="18"/>
          <w:szCs w:val="18"/>
          <w:color w:val="auto"/>
        </w:rPr>
        <w:t>Under our Articles, if a person defaults in supplying us with the required particulars in relation to the shares in question (“default shares”), within the prescribed period, the directors may by notice direct that:</w:t>
      </w:r>
    </w:p>
    <w:p>
      <w:pPr>
        <w:spacing w:after="0" w:line="181" w:lineRule="exact"/>
        <w:rPr>
          <w:sz w:val="20"/>
          <w:szCs w:val="20"/>
          <w:color w:val="auto"/>
        </w:rPr>
      </w:pPr>
    </w:p>
    <w:p>
      <w:pPr>
        <w:ind w:left="980" w:right="560" w:hanging="432"/>
        <w:spacing w:after="0" w:line="230"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4" w:lineRule="exact"/>
        <w:rPr>
          <w:rFonts w:ascii="MS PGothic" w:cs="MS PGothic" w:eastAsia="MS PGothic" w:hAnsi="MS PGothic"/>
          <w:sz w:val="25"/>
          <w:szCs w:val="25"/>
          <w:color w:val="auto"/>
          <w:vertAlign w:val="superscript"/>
        </w:rPr>
      </w:pPr>
    </w:p>
    <w:p>
      <w:pPr>
        <w:ind w:left="980" w:right="120" w:hanging="432"/>
        <w:spacing w:after="0" w:line="232"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w:t>
      </w:r>
    </w:p>
    <w:p>
      <w:pPr>
        <w:spacing w:after="0" w:line="8" w:lineRule="exact"/>
        <w:rPr>
          <w:rFonts w:ascii="MS PGothic" w:cs="MS PGothic" w:eastAsia="MS PGothic" w:hAnsi="MS PGothic"/>
          <w:sz w:val="25"/>
          <w:szCs w:val="25"/>
          <w:color w:val="auto"/>
          <w:vertAlign w:val="superscript"/>
        </w:rPr>
      </w:pPr>
    </w:p>
    <w:p>
      <w:pPr>
        <w:ind w:left="980" w:hanging="432"/>
        <w:spacing w:after="0" w:line="233"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shares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Purchase of Own Shares</w:t>
      </w:r>
    </w:p>
    <w:p>
      <w:pPr>
        <w:spacing w:after="0" w:line="102"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color w:val="auto"/>
        </w:rPr>
        <w:t>not purchase its own shares if, as a result of the purchase, there would no longer be any issued shares of the company other than redeemable shares or shares held as treasury shares. Shares must be fully paid in order to be repurchased.</w:t>
      </w:r>
    </w:p>
    <w:p>
      <w:pPr>
        <w:spacing w:after="0" w:line="154" w:lineRule="exact"/>
        <w:rPr>
          <w:sz w:val="20"/>
          <w:szCs w:val="20"/>
          <w:color w:val="auto"/>
        </w:rPr>
      </w:pPr>
    </w:p>
    <w:p>
      <w:pPr>
        <w:ind w:left="120" w:right="400" w:firstLine="440"/>
        <w:spacing w:after="0" w:line="253"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on a “recognized investment exchange” of our own fully paid shares pursuant to an ordinary resolution of shareholders. The resolution authorizing the purchase must:</w:t>
      </w:r>
    </w:p>
    <w:p>
      <w:pPr>
        <w:spacing w:after="0" w:line="182" w:lineRule="exact"/>
        <w:rPr>
          <w:sz w:val="20"/>
          <w:szCs w:val="20"/>
          <w:color w:val="auto"/>
        </w:rPr>
      </w:pPr>
    </w:p>
    <w:p>
      <w:pPr>
        <w:ind w:left="980" w:hanging="432"/>
        <w:spacing w:after="0"/>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180" w:lineRule="exact"/>
        <w:rPr>
          <w:sz w:val="20"/>
          <w:szCs w:val="20"/>
          <w:color w:val="auto"/>
        </w:rPr>
      </w:pPr>
    </w:p>
    <w:p>
      <w:pPr>
        <w:ind w:left="120" w:right="60" w:firstLine="440"/>
        <w:spacing w:after="0" w:line="242" w:lineRule="auto"/>
        <w:rPr>
          <w:sz w:val="20"/>
          <w:szCs w:val="20"/>
          <w:color w:val="auto"/>
        </w:rPr>
      </w:pPr>
      <w:r>
        <w:rPr>
          <w:rFonts w:ascii="Arial" w:cs="Arial" w:eastAsia="Arial" w:hAnsi="Arial"/>
          <w:sz w:val="18"/>
          <w:szCs w:val="18"/>
          <w:color w:val="auto"/>
        </w:rPr>
        <w:t>The Nasdaq Capital Market (“Nasdaq”) is not a “recognized investment exchange” on which we may make market purchases. 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and Dividends</w:t>
      </w:r>
    </w:p>
    <w:p>
      <w:pPr>
        <w:spacing w:after="0" w:line="102" w:lineRule="exact"/>
        <w:rPr>
          <w:sz w:val="20"/>
          <w:szCs w:val="20"/>
          <w:color w:val="auto"/>
        </w:rPr>
      </w:pPr>
    </w:p>
    <w:p>
      <w:pPr>
        <w:ind w:left="120" w:right="120" w:firstLine="440"/>
        <w:spacing w:after="0" w:line="242"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7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196" w:lineRule="exact"/>
        <w:rPr>
          <w:sz w:val="20"/>
          <w:szCs w:val="20"/>
          <w:color w:val="auto"/>
        </w:rPr>
      </w:pPr>
    </w:p>
    <w:p>
      <w:pPr>
        <w:ind w:left="980" w:right="180" w:hanging="432"/>
        <w:spacing w:after="0" w:line="230"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4" w:lineRule="exact"/>
        <w:rPr>
          <w:rFonts w:ascii="MS PGothic" w:cs="MS PGothic" w:eastAsia="MS PGothic" w:hAnsi="MS PGothic"/>
          <w:sz w:val="25"/>
          <w:szCs w:val="25"/>
          <w:color w:val="auto"/>
          <w:vertAlign w:val="superscript"/>
        </w:rPr>
      </w:pPr>
    </w:p>
    <w:p>
      <w:pPr>
        <w:ind w:left="980" w:right="180" w:hanging="432"/>
        <w:spacing w:after="0" w:line="230"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City Code on Takeovers and Mergers</w:t>
      </w:r>
    </w:p>
    <w:p>
      <w:pPr>
        <w:spacing w:after="0" w:line="102" w:lineRule="exact"/>
        <w:rPr>
          <w:sz w:val="20"/>
          <w:szCs w:val="20"/>
          <w:color w:val="auto"/>
        </w:rPr>
      </w:pPr>
    </w:p>
    <w:p>
      <w:pPr>
        <w:ind w:left="120" w:right="180" w:firstLine="440"/>
        <w:spacing w:after="0" w:line="242" w:lineRule="auto"/>
        <w:rPr>
          <w:sz w:val="20"/>
          <w:szCs w:val="20"/>
          <w:color w:val="auto"/>
        </w:rPr>
      </w:pPr>
      <w:r>
        <w:rPr>
          <w:rFonts w:ascii="Arial" w:cs="Arial" w:eastAsia="Arial" w:hAnsi="Arial"/>
          <w:sz w:val="18"/>
          <w:szCs w:val="18"/>
          <w:color w:val="auto"/>
        </w:rPr>
        <w:t>Following the cancellation of admission of our ordinary shares to trading on the AIM market of London Stock Exchange plc on December 18, 2020, the U.K. Panel on Takeovers and Mergers (the “Panel”) confirmed to us that the U.K. City Code on Takeovers and Mergers (the “City Code”) will not apply to us, and we and our shareholders will therefore not have the benefit of the protections the City Code affords, including, but not limited to, the requirement that a person who acquires an interest in our ordinary shares carrying 30% or more of our voting rights must make a cash offer to all other shareholders at the highest price paid in the 12 months before the offer was announced.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8"/>
          <w:szCs w:val="18"/>
          <w:color w:val="auto"/>
        </w:rPr>
        <w:t>Notwithstanding the above, we may become subject to the City Code in the future if any changes to the Board composition result in the majority of the Directors being resident in the United Kingdom, Channel Islands or the Isle of Man.</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Exchange Controls</w:t>
      </w:r>
    </w:p>
    <w:p>
      <w:pPr>
        <w:spacing w:after="0" w:line="102"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04" w:lineRule="exact"/>
        <w:rPr>
          <w:sz w:val="20"/>
          <w:szCs w:val="20"/>
          <w:color w:val="auto"/>
        </w:rPr>
      </w:pPr>
    </w:p>
    <w:p>
      <w:pPr>
        <w:ind w:left="120" w:right="240" w:firstLine="440"/>
        <w:spacing w:after="0" w:line="247" w:lineRule="auto"/>
        <w:rPr>
          <w:sz w:val="20"/>
          <w:szCs w:val="20"/>
          <w:color w:val="auto"/>
        </w:rPr>
      </w:pPr>
      <w:r>
        <w:rPr>
          <w:rFonts w:ascii="Arial" w:cs="Arial" w:eastAsia="Arial" w:hAnsi="Arial"/>
          <w:sz w:val="18"/>
          <w:szCs w:val="18"/>
          <w:color w:val="auto"/>
        </w:rPr>
        <w:t>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1140"/>
          </w:cols>
          <w:pgMar w:left="320" w:top="455" w:right="439" w:bottom="1440" w:gutter="0" w:footer="0" w:header="0"/>
        </w:sectPr>
      </w:pP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780" w:type="dxa"/>
            <w:vAlign w:val="bottom"/>
            <w:vMerge w:val="restart"/>
          </w:tcPr>
          <w:p>
            <w:pPr>
              <w:spacing w:after="0"/>
              <w:rPr>
                <w:sz w:val="20"/>
                <w:szCs w:val="20"/>
                <w:color w:val="auto"/>
              </w:rPr>
            </w:pPr>
            <w:r>
              <w:rPr>
                <w:rFonts w:ascii="Arial" w:cs="Arial" w:eastAsia="Arial" w:hAnsi="Arial"/>
                <w:sz w:val="18"/>
                <w:szCs w:val="18"/>
                <w:color w:val="auto"/>
              </w:rPr>
              <w:t>Number of Directors</w:t>
            </w:r>
          </w:p>
        </w:tc>
        <w:tc>
          <w:tcPr>
            <w:tcW w:w="110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77"/>
        </w:trPr>
        <w:tc>
          <w:tcPr>
            <w:tcW w:w="278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w w:val="99"/>
              </w:rPr>
              <w:t>Under the U.K. Companies Act 2006, a public</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limited company must have at least two</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directors. Our Articles further provide that,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unless otherwise determined by an ordinary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resolution, the number of our directors shall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be not less than two nor more than ten in</w:t>
            </w:r>
          </w:p>
        </w:tc>
        <w:tc>
          <w:tcPr>
            <w:tcW w:w="0" w:type="dxa"/>
            <w:vAlign w:val="bottom"/>
          </w:tcPr>
          <w:p>
            <w:pPr>
              <w:spacing w:after="0"/>
              <w:rPr>
                <w:sz w:val="1"/>
                <w:szCs w:val="1"/>
                <w:color w:val="auto"/>
              </w:rPr>
            </w:pPr>
          </w:p>
        </w:tc>
      </w:tr>
      <w:tr>
        <w:trPr>
          <w:trHeight w:val="239"/>
        </w:trPr>
        <w:tc>
          <w:tcPr>
            <w:tcW w:w="2780" w:type="dxa"/>
            <w:vAlign w:val="bottom"/>
          </w:tcPr>
          <w:p>
            <w:pPr>
              <w:spacing w:after="0"/>
              <w:rPr>
                <w:sz w:val="20"/>
                <w:szCs w:val="20"/>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number.</w:t>
            </w:r>
          </w:p>
        </w:tc>
        <w:tc>
          <w:tcPr>
            <w:tcW w:w="0" w:type="dxa"/>
            <w:vAlign w:val="bottom"/>
          </w:tcPr>
          <w:p>
            <w:pPr>
              <w:spacing w:after="0"/>
              <w:rPr>
                <w:sz w:val="1"/>
                <w:szCs w:val="1"/>
                <w:color w:val="auto"/>
              </w:rPr>
            </w:pPr>
          </w:p>
        </w:tc>
      </w:tr>
      <w:tr>
        <w:trPr>
          <w:trHeight w:val="274"/>
        </w:trPr>
        <w:tc>
          <w:tcPr>
            <w:tcW w:w="2780" w:type="dxa"/>
            <w:vAlign w:val="bottom"/>
          </w:tcPr>
          <w:p>
            <w:pPr>
              <w:spacing w:after="0"/>
              <w:rPr>
                <w:sz w:val="23"/>
                <w:szCs w:val="23"/>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Our board of directors currently consists of</w:t>
            </w:r>
          </w:p>
        </w:tc>
        <w:tc>
          <w:tcPr>
            <w:tcW w:w="0" w:type="dxa"/>
            <w:vAlign w:val="bottom"/>
          </w:tcPr>
          <w:p>
            <w:pPr>
              <w:spacing w:after="0"/>
              <w:rPr>
                <w:sz w:val="1"/>
                <w:szCs w:val="1"/>
                <w:color w:val="auto"/>
              </w:rPr>
            </w:pPr>
          </w:p>
        </w:tc>
      </w:tr>
      <w:tr>
        <w:trPr>
          <w:trHeight w:val="239"/>
        </w:trPr>
        <w:tc>
          <w:tcPr>
            <w:tcW w:w="2780" w:type="dxa"/>
            <w:vAlign w:val="bottom"/>
          </w:tcPr>
          <w:p>
            <w:pPr>
              <w:spacing w:after="0"/>
              <w:rPr>
                <w:sz w:val="20"/>
                <w:szCs w:val="20"/>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ten members.</w:t>
            </w:r>
          </w:p>
        </w:tc>
        <w:tc>
          <w:tcPr>
            <w:tcW w:w="0" w:type="dxa"/>
            <w:vAlign w:val="bottom"/>
          </w:tcPr>
          <w:p>
            <w:pPr>
              <w:spacing w:after="0"/>
              <w:rPr>
                <w:sz w:val="1"/>
                <w:szCs w:val="1"/>
                <w:color w:val="auto"/>
              </w:rPr>
            </w:pPr>
          </w:p>
        </w:tc>
      </w:tr>
      <w:tr>
        <w:trPr>
          <w:trHeight w:val="274"/>
        </w:trPr>
        <w:tc>
          <w:tcPr>
            <w:tcW w:w="2780" w:type="dxa"/>
            <w:vAlign w:val="bottom"/>
          </w:tcPr>
          <w:p>
            <w:pPr>
              <w:spacing w:after="0"/>
              <w:rPr>
                <w:sz w:val="23"/>
                <w:szCs w:val="23"/>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For as long as Novartis holds not less than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one percent of our issued share capital,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Novartis may appoint one observer who may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attend, but not participate or vote in, any</w:t>
            </w:r>
          </w:p>
        </w:tc>
        <w:tc>
          <w:tcPr>
            <w:tcW w:w="0" w:type="dxa"/>
            <w:vAlign w:val="bottom"/>
          </w:tcPr>
          <w:p>
            <w:pPr>
              <w:spacing w:after="0"/>
              <w:rPr>
                <w:sz w:val="1"/>
                <w:szCs w:val="1"/>
                <w:color w:val="auto"/>
              </w:rPr>
            </w:pPr>
          </w:p>
        </w:tc>
      </w:tr>
      <w:tr>
        <w:trPr>
          <w:trHeight w:val="239"/>
        </w:trPr>
        <w:tc>
          <w:tcPr>
            <w:tcW w:w="2780" w:type="dxa"/>
            <w:vAlign w:val="bottom"/>
          </w:tcPr>
          <w:p>
            <w:pPr>
              <w:spacing w:after="0"/>
              <w:rPr>
                <w:sz w:val="20"/>
                <w:szCs w:val="20"/>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meeting of our board of directors.</w:t>
            </w:r>
          </w:p>
        </w:tc>
        <w:tc>
          <w:tcPr>
            <w:tcW w:w="0" w:type="dxa"/>
            <w:vAlign w:val="bottom"/>
          </w:tcPr>
          <w:p>
            <w:pPr>
              <w:spacing w:after="0"/>
              <w:rPr>
                <w:sz w:val="1"/>
                <w:szCs w:val="1"/>
                <w:color w:val="auto"/>
              </w:rPr>
            </w:pPr>
          </w:p>
        </w:tc>
      </w:tr>
      <w:tr>
        <w:trPr>
          <w:trHeight w:val="274"/>
        </w:trPr>
        <w:tc>
          <w:tcPr>
            <w:tcW w:w="2780" w:type="dxa"/>
            <w:vAlign w:val="bottom"/>
          </w:tcPr>
          <w:p>
            <w:pPr>
              <w:spacing w:after="0"/>
              <w:rPr>
                <w:sz w:val="20"/>
                <w:szCs w:val="20"/>
                <w:color w:val="auto"/>
              </w:rPr>
            </w:pPr>
            <w:r>
              <w:rPr>
                <w:rFonts w:ascii="Arial" w:cs="Arial" w:eastAsia="Arial" w:hAnsi="Arial"/>
                <w:sz w:val="18"/>
                <w:szCs w:val="18"/>
                <w:color w:val="auto"/>
              </w:rPr>
              <w:t>Removal of Directors</w:t>
            </w: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Under the U.K. Companies Act 2006, a</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company may remove a director without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cause at a general meeting by way of an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ordinary resolution of shareholders (which is</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w w:val="99"/>
              </w:rPr>
              <w:t>passed by a simple majority of those voting in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person or by proxy at a general meeting),</w:t>
            </w:r>
          </w:p>
        </w:tc>
        <w:tc>
          <w:tcPr>
            <w:tcW w:w="0" w:type="dxa"/>
            <w:vAlign w:val="bottom"/>
          </w:tcPr>
          <w:p>
            <w:pPr>
              <w:spacing w:after="0"/>
              <w:rPr>
                <w:sz w:val="1"/>
                <w:szCs w:val="1"/>
                <w:color w:val="auto"/>
              </w:rPr>
            </w:pPr>
          </w:p>
        </w:tc>
      </w:tr>
      <w:tr>
        <w:trPr>
          <w:trHeight w:val="239"/>
        </w:trPr>
        <w:tc>
          <w:tcPr>
            <w:tcW w:w="2780" w:type="dxa"/>
            <w:vAlign w:val="bottom"/>
          </w:tcPr>
          <w:p>
            <w:pPr>
              <w:spacing w:after="0"/>
              <w:rPr>
                <w:sz w:val="20"/>
                <w:szCs w:val="20"/>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irrespective of</w:t>
            </w:r>
          </w:p>
        </w:tc>
        <w:tc>
          <w:tcPr>
            <w:tcW w:w="0" w:type="dxa"/>
            <w:vAlign w:val="bottom"/>
          </w:tcPr>
          <w:p>
            <w:pPr>
              <w:spacing w:after="0"/>
              <w:rPr>
                <w:sz w:val="1"/>
                <w:szCs w:val="1"/>
                <w:color w:val="auto"/>
              </w:rPr>
            </w:pPr>
          </w:p>
        </w:tc>
      </w:tr>
      <w:tr>
        <w:trPr>
          <w:trHeight w:val="351"/>
        </w:trPr>
        <w:tc>
          <w:tcPr>
            <w:tcW w:w="2780" w:type="dxa"/>
            <w:vAlign w:val="bottom"/>
          </w:tcPr>
          <w:p>
            <w:pPr>
              <w:spacing w:after="0"/>
              <w:rPr>
                <w:sz w:val="24"/>
                <w:szCs w:val="24"/>
                <w:color w:val="auto"/>
              </w:rPr>
            </w:pPr>
          </w:p>
        </w:tc>
        <w:tc>
          <w:tcPr>
            <w:tcW w:w="4720" w:type="dxa"/>
            <w:vAlign w:val="bottom"/>
            <w:gridSpan w:val="2"/>
          </w:tcPr>
          <w:p>
            <w:pPr>
              <w:ind w:left="26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Under Delaware law, unless otherwise provided in the certificate of incorporation, any director or the entire board of directors may be removed, with or without cause, by the holders of a majority of the shares then entitled to vote at an election of directors, except (a) unless the</w:t>
      </w:r>
    </w:p>
    <w:p>
      <w:pPr>
        <w:sectPr>
          <w:pgSz w:w="11900" w:h="16838" w:orient="portrait"/>
          <w:cols w:equalWidth="0" w:num="2">
            <w:col w:w="7620" w:space="120"/>
            <w:col w:w="3400"/>
          </w:cols>
          <w:pgMar w:left="320" w:top="455" w:right="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34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15240</wp:posOffset>
            </wp:positionV>
            <wp:extent cx="23056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any provision of any agreement or service</w:t>
      </w:r>
    </w:p>
    <w:p>
      <w:pPr>
        <w:ind w:left="4000"/>
        <w:spacing w:after="0" w:line="234" w:lineRule="auto"/>
        <w:rPr>
          <w:sz w:val="20"/>
          <w:szCs w:val="20"/>
          <w:color w:val="auto"/>
        </w:rPr>
      </w:pPr>
      <w:r>
        <w:rPr>
          <w:rFonts w:ascii="Arial" w:cs="Arial" w:eastAsia="Arial" w:hAnsi="Arial"/>
          <w:sz w:val="18"/>
          <w:szCs w:val="18"/>
          <w:color w:val="auto"/>
        </w:rPr>
        <w:t>contract between the director and the</w:t>
      </w:r>
    </w:p>
    <w:p>
      <w:pPr>
        <w:ind w:left="4000"/>
        <w:spacing w:after="0" w:line="235" w:lineRule="auto"/>
        <w:rPr>
          <w:sz w:val="20"/>
          <w:szCs w:val="20"/>
          <w:color w:val="auto"/>
        </w:rPr>
      </w:pPr>
      <w:r>
        <w:rPr>
          <w:rFonts w:ascii="Arial" w:cs="Arial" w:eastAsia="Arial" w:hAnsi="Arial"/>
          <w:sz w:val="18"/>
          <w:szCs w:val="18"/>
          <w:color w:val="auto"/>
        </w:rPr>
        <w:t>company, provided that 28 clear days’ notice</w:t>
      </w:r>
    </w:p>
    <w:p>
      <w:pPr>
        <w:ind w:left="4000"/>
        <w:spacing w:after="0" w:line="235" w:lineRule="auto"/>
        <w:rPr>
          <w:sz w:val="20"/>
          <w:szCs w:val="20"/>
          <w:color w:val="auto"/>
        </w:rPr>
      </w:pPr>
      <w:r>
        <w:rPr>
          <w:rFonts w:ascii="Arial" w:cs="Arial" w:eastAsia="Arial" w:hAnsi="Arial"/>
          <w:sz w:val="18"/>
          <w:szCs w:val="18"/>
          <w:color w:val="auto"/>
        </w:rPr>
        <w:t>of the proposed resolution to remove the</w:t>
      </w:r>
    </w:p>
    <w:p>
      <w:pPr>
        <w:ind w:left="4000"/>
        <w:spacing w:after="0" w:line="235" w:lineRule="auto"/>
        <w:rPr>
          <w:sz w:val="20"/>
          <w:szCs w:val="20"/>
          <w:color w:val="auto"/>
        </w:rPr>
      </w:pPr>
      <w:r>
        <w:rPr>
          <w:rFonts w:ascii="Arial" w:cs="Arial" w:eastAsia="Arial" w:hAnsi="Arial"/>
          <w:sz w:val="18"/>
          <w:szCs w:val="18"/>
          <w:color w:val="auto"/>
        </w:rPr>
        <w:t>director is given and certain other procedural</w:t>
      </w:r>
    </w:p>
    <w:p>
      <w:pPr>
        <w:ind w:left="4000"/>
        <w:spacing w:after="0" w:line="235" w:lineRule="auto"/>
        <w:rPr>
          <w:sz w:val="20"/>
          <w:szCs w:val="20"/>
          <w:color w:val="auto"/>
        </w:rPr>
      </w:pPr>
      <w:r>
        <w:rPr>
          <w:rFonts w:ascii="Arial" w:cs="Arial" w:eastAsia="Arial" w:hAnsi="Arial"/>
          <w:sz w:val="18"/>
          <w:szCs w:val="18"/>
          <w:color w:val="auto"/>
        </w:rPr>
        <w:t>requirements under the U.K. Companies Act</w:t>
      </w:r>
    </w:p>
    <w:p>
      <w:pPr>
        <w:ind w:left="4000"/>
        <w:spacing w:after="0" w:line="234" w:lineRule="auto"/>
        <w:rPr>
          <w:sz w:val="20"/>
          <w:szCs w:val="20"/>
          <w:color w:val="auto"/>
        </w:rPr>
      </w:pPr>
      <w:r>
        <w:rPr>
          <w:rFonts w:ascii="Arial" w:cs="Arial" w:eastAsia="Arial" w:hAnsi="Arial"/>
          <w:sz w:val="18"/>
          <w:szCs w:val="18"/>
          <w:color w:val="auto"/>
        </w:rPr>
        <w:t>2006 are followed (such as allowing the</w:t>
      </w:r>
    </w:p>
    <w:p>
      <w:pPr>
        <w:ind w:left="4000"/>
        <w:spacing w:after="0" w:line="235" w:lineRule="auto"/>
        <w:rPr>
          <w:sz w:val="20"/>
          <w:szCs w:val="20"/>
          <w:color w:val="auto"/>
        </w:rPr>
      </w:pPr>
      <w:r>
        <w:rPr>
          <w:rFonts w:ascii="Arial" w:cs="Arial" w:eastAsia="Arial" w:hAnsi="Arial"/>
          <w:sz w:val="18"/>
          <w:szCs w:val="18"/>
          <w:color w:val="auto"/>
        </w:rPr>
        <w:t>director to make representations against his</w:t>
      </w:r>
    </w:p>
    <w:p>
      <w:pPr>
        <w:ind w:left="4000"/>
        <w:spacing w:after="0" w:line="235" w:lineRule="auto"/>
        <w:rPr>
          <w:sz w:val="20"/>
          <w:szCs w:val="20"/>
          <w:color w:val="auto"/>
        </w:rPr>
      </w:pPr>
      <w:r>
        <w:rPr>
          <w:rFonts w:ascii="Arial" w:cs="Arial" w:eastAsia="Arial" w:hAnsi="Arial"/>
          <w:sz w:val="18"/>
          <w:szCs w:val="18"/>
          <w:color w:val="auto"/>
        </w:rPr>
        <w:t>or her removal either at the meeting or in</w:t>
      </w:r>
    </w:p>
    <w:p>
      <w:pPr>
        <w:ind w:left="4000"/>
        <w:spacing w:after="0"/>
        <w:rPr>
          <w:sz w:val="20"/>
          <w:szCs w:val="20"/>
          <w:color w:val="auto"/>
        </w:rPr>
      </w:pPr>
      <w:r>
        <w:rPr>
          <w:rFonts w:ascii="Arial" w:cs="Arial" w:eastAsia="Arial" w:hAnsi="Arial"/>
          <w:sz w:val="18"/>
          <w:szCs w:val="18"/>
          <w:color w:val="auto"/>
        </w:rPr>
        <w:t>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addition to any power of removal under the</w:t>
      </w:r>
    </w:p>
    <w:p>
      <w:pPr>
        <w:spacing w:after="0" w:line="1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U.K. Companies Act 2006, under our Articles,</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we may, by special resolution or ordinary</w:t>
      </w:r>
    </w:p>
    <w:p>
      <w:pPr>
        <w:ind w:left="4000"/>
        <w:spacing w:after="0" w:line="234" w:lineRule="auto"/>
        <w:rPr>
          <w:sz w:val="20"/>
          <w:szCs w:val="20"/>
          <w:color w:val="auto"/>
        </w:rPr>
      </w:pPr>
      <w:r>
        <w:rPr>
          <w:rFonts w:ascii="Arial" w:cs="Arial" w:eastAsia="Arial" w:hAnsi="Arial"/>
          <w:sz w:val="18"/>
          <w:szCs w:val="18"/>
          <w:color w:val="auto"/>
        </w:rPr>
        <w:t>resolution (of which special notice has been</w:t>
      </w:r>
    </w:p>
    <w:p>
      <w:pPr>
        <w:ind w:left="4000"/>
        <w:spacing w:after="0" w:line="235" w:lineRule="auto"/>
        <w:rPr>
          <w:sz w:val="20"/>
          <w:szCs w:val="20"/>
          <w:color w:val="auto"/>
        </w:rPr>
      </w:pPr>
      <w:r>
        <w:rPr>
          <w:rFonts w:ascii="Arial" w:cs="Arial" w:eastAsia="Arial" w:hAnsi="Arial"/>
          <w:sz w:val="18"/>
          <w:szCs w:val="18"/>
          <w:color w:val="auto"/>
        </w:rPr>
        <w:t>given in accordance with section 312 of the</w:t>
      </w:r>
    </w:p>
    <w:p>
      <w:pPr>
        <w:ind w:left="4000"/>
        <w:spacing w:after="0" w:line="235" w:lineRule="auto"/>
        <w:rPr>
          <w:sz w:val="20"/>
          <w:szCs w:val="20"/>
          <w:color w:val="auto"/>
        </w:rPr>
      </w:pPr>
      <w:r>
        <w:rPr>
          <w:rFonts w:ascii="Arial" w:cs="Arial" w:eastAsia="Arial" w:hAnsi="Arial"/>
          <w:sz w:val="18"/>
          <w:szCs w:val="18"/>
          <w:color w:val="auto"/>
        </w:rPr>
        <w:t>U.K. Companies Act 2006) remove any</w:t>
      </w:r>
    </w:p>
    <w:p>
      <w:pPr>
        <w:ind w:left="4000"/>
        <w:spacing w:after="0" w:line="235" w:lineRule="auto"/>
        <w:rPr>
          <w:sz w:val="20"/>
          <w:szCs w:val="20"/>
          <w:color w:val="auto"/>
        </w:rPr>
      </w:pPr>
      <w:r>
        <w:rPr>
          <w:rFonts w:ascii="Arial" w:cs="Arial" w:eastAsia="Arial" w:hAnsi="Arial"/>
          <w:sz w:val="18"/>
          <w:szCs w:val="18"/>
          <w:color w:val="auto"/>
        </w:rPr>
        <w:t>director from office (but without prejudice to</w:t>
      </w:r>
    </w:p>
    <w:p>
      <w:pPr>
        <w:ind w:left="4000"/>
        <w:spacing w:after="0" w:line="235" w:lineRule="auto"/>
        <w:rPr>
          <w:sz w:val="20"/>
          <w:szCs w:val="20"/>
          <w:color w:val="auto"/>
        </w:rPr>
      </w:pPr>
      <w:r>
        <w:rPr>
          <w:rFonts w:ascii="Arial" w:cs="Arial" w:eastAsia="Arial" w:hAnsi="Arial"/>
          <w:sz w:val="18"/>
          <w:szCs w:val="18"/>
          <w:color w:val="auto"/>
        </w:rPr>
        <w:t>any claim he or she may have for damages</w:t>
      </w:r>
    </w:p>
    <w:p>
      <w:pPr>
        <w:ind w:left="4000"/>
        <w:spacing w:after="0" w:line="234" w:lineRule="auto"/>
        <w:rPr>
          <w:sz w:val="20"/>
          <w:szCs w:val="20"/>
          <w:color w:val="auto"/>
        </w:rPr>
      </w:pPr>
      <w:r>
        <w:rPr>
          <w:rFonts w:ascii="Arial" w:cs="Arial" w:eastAsia="Arial" w:hAnsi="Arial"/>
          <w:sz w:val="18"/>
          <w:szCs w:val="18"/>
          <w:color w:val="auto"/>
        </w:rPr>
        <w:t>for breach of any agreement between us and</w:t>
      </w:r>
    </w:p>
    <w:p>
      <w:pPr>
        <w:ind w:left="4000"/>
        <w:spacing w:after="0" w:line="235" w:lineRule="auto"/>
        <w:rPr>
          <w:sz w:val="20"/>
          <w:szCs w:val="20"/>
          <w:color w:val="auto"/>
        </w:rPr>
      </w:pPr>
      <w:r>
        <w:rPr>
          <w:rFonts w:ascii="Arial" w:cs="Arial" w:eastAsia="Arial" w:hAnsi="Arial"/>
          <w:sz w:val="18"/>
          <w:szCs w:val="18"/>
          <w:color w:val="auto"/>
        </w:rPr>
        <w:t>the relevant director) and, by ordinary</w:t>
      </w:r>
    </w:p>
    <w:p>
      <w:pPr>
        <w:ind w:left="4000"/>
        <w:spacing w:after="0" w:line="235" w:lineRule="auto"/>
        <w:rPr>
          <w:sz w:val="20"/>
          <w:szCs w:val="20"/>
          <w:color w:val="auto"/>
        </w:rPr>
      </w:pPr>
      <w:r>
        <w:rPr>
          <w:rFonts w:ascii="Arial" w:cs="Arial" w:eastAsia="Arial" w:hAnsi="Arial"/>
          <w:sz w:val="18"/>
          <w:szCs w:val="18"/>
          <w:color w:val="auto"/>
        </w:rPr>
        <w:t>resolution, appoint another person to act as</w:t>
      </w:r>
    </w:p>
    <w:p>
      <w:pPr>
        <w:ind w:left="4000"/>
        <w:spacing w:after="0"/>
        <w:rPr>
          <w:sz w:val="20"/>
          <w:szCs w:val="20"/>
          <w:color w:val="auto"/>
        </w:rPr>
      </w:pPr>
      <w:r>
        <w:rPr>
          <w:rFonts w:ascii="Arial" w:cs="Arial" w:eastAsia="Arial" w:hAnsi="Arial"/>
          <w:sz w:val="18"/>
          <w:szCs w:val="18"/>
          <w:color w:val="auto"/>
        </w:rPr>
        <w:t>director in his or her place.</w:t>
      </w:r>
    </w:p>
    <w:p>
      <w:pPr>
        <w:spacing w:after="0" w:line="86"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Vacancies on the Board of Directors</w:t>
      </w:r>
      <w:r>
        <w:rPr>
          <w:sz w:val="20"/>
          <w:szCs w:val="20"/>
          <w:color w:val="auto"/>
        </w:rPr>
        <w:tab/>
      </w:r>
      <w:r>
        <w:rPr>
          <w:rFonts w:ascii="Arial" w:cs="Arial" w:eastAsia="Arial" w:hAnsi="Arial"/>
          <w:sz w:val="17"/>
          <w:szCs w:val="17"/>
          <w:color w:val="auto"/>
        </w:rPr>
        <w:t>Under our Articles, we may by ordinary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resolution appoint a person who is willing to</w:t>
      </w:r>
    </w:p>
    <w:p>
      <w:pPr>
        <w:ind w:left="4000"/>
        <w:spacing w:after="0" w:line="234" w:lineRule="auto"/>
        <w:rPr>
          <w:sz w:val="20"/>
          <w:szCs w:val="20"/>
          <w:color w:val="auto"/>
        </w:rPr>
      </w:pPr>
      <w:r>
        <w:rPr>
          <w:rFonts w:ascii="Arial" w:cs="Arial" w:eastAsia="Arial" w:hAnsi="Arial"/>
          <w:sz w:val="18"/>
          <w:szCs w:val="18"/>
          <w:color w:val="auto"/>
        </w:rPr>
        <w:t>act to be a director, either to fill a vacancy or</w:t>
      </w:r>
    </w:p>
    <w:p>
      <w:pPr>
        <w:ind w:left="4000"/>
        <w:spacing w:after="0" w:line="235" w:lineRule="auto"/>
        <w:rPr>
          <w:sz w:val="20"/>
          <w:szCs w:val="20"/>
          <w:color w:val="auto"/>
        </w:rPr>
      </w:pPr>
      <w:r>
        <w:rPr>
          <w:rFonts w:ascii="Arial" w:cs="Arial" w:eastAsia="Arial" w:hAnsi="Arial"/>
          <w:sz w:val="18"/>
          <w:szCs w:val="18"/>
          <w:color w:val="auto"/>
        </w:rPr>
        <w:t>as an additional director and our board of</w:t>
      </w:r>
    </w:p>
    <w:p>
      <w:pPr>
        <w:ind w:left="4000"/>
        <w:spacing w:after="0" w:line="235" w:lineRule="auto"/>
        <w:rPr>
          <w:sz w:val="20"/>
          <w:szCs w:val="20"/>
          <w:color w:val="auto"/>
        </w:rPr>
      </w:pPr>
      <w:r>
        <w:rPr>
          <w:rFonts w:ascii="Arial" w:cs="Arial" w:eastAsia="Arial" w:hAnsi="Arial"/>
          <w:sz w:val="18"/>
          <w:szCs w:val="18"/>
          <w:color w:val="auto"/>
        </w:rPr>
        <w:t>directors may appoint a person who is willing</w:t>
      </w:r>
    </w:p>
    <w:p>
      <w:pPr>
        <w:ind w:left="4000"/>
        <w:spacing w:after="0" w:line="235" w:lineRule="auto"/>
        <w:rPr>
          <w:sz w:val="20"/>
          <w:szCs w:val="20"/>
          <w:color w:val="auto"/>
        </w:rPr>
      </w:pPr>
      <w:r>
        <w:rPr>
          <w:rFonts w:ascii="Arial" w:cs="Arial" w:eastAsia="Arial" w:hAnsi="Arial"/>
          <w:sz w:val="18"/>
          <w:szCs w:val="18"/>
          <w:color w:val="auto"/>
        </w:rPr>
        <w:t>to act to be a director, either to fill a vacancy</w:t>
      </w:r>
    </w:p>
    <w:p>
      <w:pPr>
        <w:ind w:left="4000"/>
        <w:spacing w:after="0" w:line="235" w:lineRule="auto"/>
        <w:rPr>
          <w:sz w:val="20"/>
          <w:szCs w:val="20"/>
          <w:color w:val="auto"/>
        </w:rPr>
      </w:pPr>
      <w:r>
        <w:rPr>
          <w:rFonts w:ascii="Arial" w:cs="Arial" w:eastAsia="Arial" w:hAnsi="Arial"/>
          <w:sz w:val="18"/>
          <w:szCs w:val="18"/>
          <w:color w:val="auto"/>
        </w:rPr>
        <w:t>or as an additional director, provided in each</w:t>
      </w:r>
    </w:p>
    <w:p>
      <w:pPr>
        <w:ind w:left="4000"/>
        <w:spacing w:after="0" w:line="234" w:lineRule="auto"/>
        <w:rPr>
          <w:sz w:val="20"/>
          <w:szCs w:val="20"/>
          <w:color w:val="auto"/>
        </w:rPr>
      </w:pPr>
      <w:r>
        <w:rPr>
          <w:rFonts w:ascii="Arial" w:cs="Arial" w:eastAsia="Arial" w:hAnsi="Arial"/>
          <w:sz w:val="18"/>
          <w:szCs w:val="18"/>
          <w:color w:val="auto"/>
        </w:rPr>
        <w:t>case that the appointment does not cause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number of directors to</w:t>
      </w:r>
    </w:p>
    <w:p>
      <w:pPr>
        <w:spacing w:after="0" w:line="32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Delaware law, vacancies and newly created directorships may be filled by a majority of the directors then in office (even though less than a quorum) or by a sole remaining director unless (a) otherwise provided in the certificate of incorporation or by- laws of the corporation or (b) the certificate of incorporation directs that a particular class of stock is to</w:t>
      </w:r>
    </w:p>
    <w:p>
      <w:pPr>
        <w:sectPr>
          <w:pgSz w:w="11900" w:h="16838" w:orient="portrait"/>
          <w:cols w:equalWidth="0" w:num="2">
            <w:col w:w="7620" w:space="120"/>
            <w:col w:w="3360"/>
          </w:cols>
          <w:pgMar w:left="320" w:top="455" w:right="4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7"/>
        </w:trPr>
        <w:tc>
          <w:tcPr>
            <w:tcW w:w="2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rPr>
              <w:t>exceed the number fixed by or in accordance</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with our Articles as the maximum number of</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directors.</w:t>
            </w:r>
          </w:p>
        </w:tc>
      </w:tr>
      <w:tr>
        <w:trPr>
          <w:trHeight w:val="679"/>
        </w:trPr>
        <w:tc>
          <w:tcPr>
            <w:tcW w:w="2900" w:type="dxa"/>
            <w:vAlign w:val="bottom"/>
          </w:tcPr>
          <w:p>
            <w:pPr>
              <w:spacing w:after="0"/>
              <w:rPr>
                <w:sz w:val="20"/>
                <w:szCs w:val="20"/>
                <w:color w:val="auto"/>
              </w:rPr>
            </w:pPr>
            <w:r>
              <w:rPr>
                <w:rFonts w:ascii="Arial" w:cs="Arial" w:eastAsia="Arial" w:hAnsi="Arial"/>
                <w:sz w:val="18"/>
                <w:szCs w:val="18"/>
                <w:color w:val="auto"/>
              </w:rPr>
              <w:t>Annual General Meeting</w:t>
            </w: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w w:val="99"/>
              </w:rPr>
              <w:t>Under the U.K. Companies Act 2006, a public</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w w:val="99"/>
              </w:rPr>
              <w:t>limited company must hold an annual general</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meeting in each six-month period following</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the company’s annual accounting reference</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date.</w:t>
            </w:r>
          </w:p>
        </w:tc>
      </w:tr>
      <w:tr>
        <w:trPr>
          <w:trHeight w:val="679"/>
        </w:trPr>
        <w:tc>
          <w:tcPr>
            <w:tcW w:w="2900" w:type="dxa"/>
            <w:vAlign w:val="bottom"/>
          </w:tcPr>
          <w:p>
            <w:pPr>
              <w:spacing w:after="0"/>
              <w:rPr>
                <w:sz w:val="20"/>
                <w:szCs w:val="20"/>
                <w:color w:val="auto"/>
              </w:rPr>
            </w:pPr>
            <w:r>
              <w:rPr>
                <w:rFonts w:ascii="Arial" w:cs="Arial" w:eastAsia="Arial" w:hAnsi="Arial"/>
                <w:sz w:val="18"/>
                <w:szCs w:val="18"/>
                <w:color w:val="auto"/>
              </w:rPr>
              <w:t>General Meeting</w:t>
            </w: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Under the U.K. Companies Act 2006, a</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general meeting of the shareholders of a</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public limited company may be called by the</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directors.</w:t>
            </w:r>
          </w:p>
        </w:tc>
      </w:tr>
      <w:tr>
        <w:trPr>
          <w:trHeight w:val="679"/>
        </w:trPr>
        <w:tc>
          <w:tcPr>
            <w:tcW w:w="2900" w:type="dxa"/>
            <w:vAlign w:val="bottom"/>
          </w:tcPr>
          <w:p>
            <w:pPr>
              <w:spacing w:after="0"/>
              <w:rPr>
                <w:sz w:val="24"/>
                <w:szCs w:val="24"/>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w w:val="99"/>
              </w:rPr>
              <w:t>Subject to the notice requirements of the U.K.</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Companies Act 2006 outlined below and</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subject to our Articles, a general meeting of</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our shareholders may be called by our board</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of directors whenever and at such times and</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places as it shall determine.</w:t>
            </w:r>
          </w:p>
        </w:tc>
      </w:tr>
      <w:tr>
        <w:trPr>
          <w:trHeight w:val="288"/>
        </w:trPr>
        <w:tc>
          <w:tcPr>
            <w:tcW w:w="2900" w:type="dxa"/>
            <w:vAlign w:val="bottom"/>
          </w:tcPr>
          <w:p>
            <w:pPr>
              <w:spacing w:after="0"/>
              <w:rPr>
                <w:sz w:val="24"/>
                <w:szCs w:val="24"/>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A general meeting may also be convened by</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w w:val="99"/>
              </w:rPr>
              <w:t>our board of directors on the requisition of not</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w w:val="99"/>
              </w:rPr>
              <w:t>less than two of our shareholders who hold at</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least 5% of our voting share capital.</w:t>
            </w:r>
          </w:p>
        </w:tc>
      </w:tr>
      <w:tr>
        <w:trPr>
          <w:trHeight w:val="288"/>
        </w:trPr>
        <w:tc>
          <w:tcPr>
            <w:tcW w:w="2900" w:type="dxa"/>
            <w:vAlign w:val="bottom"/>
          </w:tcPr>
          <w:p>
            <w:pPr>
              <w:spacing w:after="0"/>
              <w:rPr>
                <w:sz w:val="24"/>
                <w:szCs w:val="24"/>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General meetings at which special</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resolutions are proposed and passed</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generally involve proposals to change the</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w w:val="99"/>
              </w:rPr>
              <w:t>name of the company, permit the company to</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issue new shares for cash without the</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shareholders’ pre-emptive right, amend the</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company’s articles of association, or carry</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w w:val="99"/>
              </w:rPr>
              <w:t>out other matters where either the company’s</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articles of association or the U.K. Companies</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w w:val="99"/>
              </w:rPr>
              <w:t>Act 2006 prescribe that a special resolution is</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required.</w:t>
            </w:r>
          </w:p>
        </w:tc>
      </w:tr>
      <w:tr>
        <w:trPr>
          <w:trHeight w:val="351"/>
        </w:trPr>
        <w:tc>
          <w:tcPr>
            <w:tcW w:w="2900" w:type="dxa"/>
            <w:vAlign w:val="bottom"/>
          </w:tcPr>
          <w:p>
            <w:pPr>
              <w:spacing w:after="0"/>
              <w:rPr>
                <w:sz w:val="24"/>
                <w:szCs w:val="24"/>
                <w:color w:val="auto"/>
              </w:rPr>
            </w:pPr>
          </w:p>
        </w:tc>
        <w:tc>
          <w:tcPr>
            <w:tcW w:w="4600" w:type="dxa"/>
            <w:vAlign w:val="bottom"/>
            <w:gridSpan w:val="2"/>
          </w:tcPr>
          <w:p>
            <w:pPr>
              <w:ind w:left="2500"/>
              <w:spacing w:after="0"/>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elect such director, in which case a majority of the other directors elected by such class, or a sole remaining director elected by such class, will fill such vacancy.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77"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2">
            <w:col w:w="7620" w:space="120"/>
            <w:col w:w="3380"/>
          </w:cols>
          <w:pgMar w:left="320" w:top="455" w:right="4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p>
      <w:pPr>
        <w:jc w:val="right"/>
        <w:ind w:right="134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15240</wp:posOffset>
            </wp:positionV>
            <wp:extent cx="4534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Other proposals relating to the ordinary</w:t>
      </w:r>
    </w:p>
    <w:p>
      <w:pPr>
        <w:ind w:left="4000"/>
        <w:spacing w:after="0" w:line="234" w:lineRule="auto"/>
        <w:rPr>
          <w:sz w:val="20"/>
          <w:szCs w:val="20"/>
          <w:color w:val="auto"/>
        </w:rPr>
      </w:pPr>
      <w:r>
        <w:rPr>
          <w:rFonts w:ascii="Arial" w:cs="Arial" w:eastAsia="Arial" w:hAnsi="Arial"/>
          <w:sz w:val="18"/>
          <w:szCs w:val="18"/>
          <w:color w:val="auto"/>
        </w:rPr>
        <w:t>course of the company’s business, such as</w:t>
      </w:r>
    </w:p>
    <w:p>
      <w:pPr>
        <w:ind w:left="4000"/>
        <w:spacing w:after="0" w:line="235" w:lineRule="auto"/>
        <w:rPr>
          <w:sz w:val="20"/>
          <w:szCs w:val="20"/>
          <w:color w:val="auto"/>
        </w:rPr>
      </w:pPr>
      <w:r>
        <w:rPr>
          <w:rFonts w:ascii="Arial" w:cs="Arial" w:eastAsia="Arial" w:hAnsi="Arial"/>
          <w:sz w:val="18"/>
          <w:szCs w:val="18"/>
          <w:color w:val="auto"/>
        </w:rPr>
        <w:t>the election of directors, would generally be</w:t>
      </w:r>
    </w:p>
    <w:p>
      <w:pPr>
        <w:ind w:left="4000"/>
        <w:spacing w:after="0" w:line="235" w:lineRule="auto"/>
        <w:rPr>
          <w:sz w:val="20"/>
          <w:szCs w:val="20"/>
          <w:color w:val="auto"/>
        </w:rPr>
      </w:pPr>
      <w:r>
        <w:rPr>
          <w:rFonts w:ascii="Arial" w:cs="Arial" w:eastAsia="Arial" w:hAnsi="Arial"/>
          <w:sz w:val="18"/>
          <w:szCs w:val="18"/>
          <w:color w:val="auto"/>
        </w:rPr>
        <w:t>the subject of an ordinary resolution and</w:t>
      </w:r>
    </w:p>
    <w:p>
      <w:pPr>
        <w:ind w:left="4000"/>
        <w:spacing w:after="0"/>
        <w:rPr>
          <w:sz w:val="20"/>
          <w:szCs w:val="20"/>
          <w:color w:val="auto"/>
        </w:rPr>
      </w:pPr>
      <w:r>
        <w:rPr>
          <w:rFonts w:ascii="Arial" w:cs="Arial" w:eastAsia="Arial" w:hAnsi="Arial"/>
          <w:sz w:val="18"/>
          <w:szCs w:val="18"/>
          <w:color w:val="auto"/>
        </w:rPr>
        <w:t>subject to our Articles.</w:t>
      </w:r>
    </w:p>
    <w:p>
      <w:pPr>
        <w:sectPr>
          <w:pgSz w:w="11900" w:h="16838" w:orient="portrait"/>
          <w:cols w:equalWidth="0" w:num="1">
            <w:col w:w="11080"/>
          </w:cols>
          <w:pgMar w:left="320" w:top="455" w:right="499" w:bottom="1440" w:gutter="0" w:footer="0" w:header="0"/>
        </w:sectPr>
      </w:pPr>
    </w:p>
    <w:p>
      <w:pPr>
        <w:spacing w:after="0" w:line="86"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Notice of General Meetings</w:t>
      </w:r>
      <w:r>
        <w:rPr>
          <w:sz w:val="20"/>
          <w:szCs w:val="20"/>
          <w:color w:val="auto"/>
        </w:rPr>
        <w:tab/>
      </w:r>
      <w:r>
        <w:rPr>
          <w:rFonts w:ascii="Arial" w:cs="Arial" w:eastAsia="Arial" w:hAnsi="Arial"/>
          <w:sz w:val="17"/>
          <w:szCs w:val="17"/>
          <w:color w:val="auto"/>
        </w:rPr>
        <w:t>Under the U.K. Companies Act 2006, at least</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21 clear days’ notice must be given for an</w:t>
      </w:r>
    </w:p>
    <w:p>
      <w:pPr>
        <w:ind w:left="4000"/>
        <w:spacing w:after="0" w:line="234" w:lineRule="auto"/>
        <w:rPr>
          <w:sz w:val="20"/>
          <w:szCs w:val="20"/>
          <w:color w:val="auto"/>
        </w:rPr>
      </w:pPr>
      <w:r>
        <w:rPr>
          <w:rFonts w:ascii="Arial" w:cs="Arial" w:eastAsia="Arial" w:hAnsi="Arial"/>
          <w:sz w:val="18"/>
          <w:szCs w:val="18"/>
          <w:color w:val="auto"/>
        </w:rPr>
        <w:t>annual general meeting and any resolutions</w:t>
      </w:r>
    </w:p>
    <w:p>
      <w:pPr>
        <w:ind w:left="4000"/>
        <w:spacing w:after="0" w:line="235" w:lineRule="auto"/>
        <w:rPr>
          <w:sz w:val="20"/>
          <w:szCs w:val="20"/>
          <w:color w:val="auto"/>
        </w:rPr>
      </w:pPr>
      <w:r>
        <w:rPr>
          <w:rFonts w:ascii="Arial" w:cs="Arial" w:eastAsia="Arial" w:hAnsi="Arial"/>
          <w:sz w:val="18"/>
          <w:szCs w:val="18"/>
          <w:color w:val="auto"/>
        </w:rPr>
        <w:t>to be proposed at that meeting. At least 14</w:t>
      </w:r>
    </w:p>
    <w:p>
      <w:pPr>
        <w:ind w:left="4000"/>
        <w:spacing w:after="0" w:line="235" w:lineRule="auto"/>
        <w:rPr>
          <w:sz w:val="20"/>
          <w:szCs w:val="20"/>
          <w:color w:val="auto"/>
        </w:rPr>
      </w:pPr>
      <w:r>
        <w:rPr>
          <w:rFonts w:ascii="Arial" w:cs="Arial" w:eastAsia="Arial" w:hAnsi="Arial"/>
          <w:sz w:val="18"/>
          <w:szCs w:val="18"/>
          <w:color w:val="auto"/>
        </w:rPr>
        <w:t>clear days’ notice is required for any other</w:t>
      </w:r>
    </w:p>
    <w:p>
      <w:pPr>
        <w:ind w:left="4000"/>
        <w:spacing w:after="0"/>
        <w:rPr>
          <w:sz w:val="20"/>
          <w:szCs w:val="20"/>
          <w:color w:val="auto"/>
        </w:rPr>
      </w:pPr>
      <w:r>
        <w:rPr>
          <w:rFonts w:ascii="Arial" w:cs="Arial" w:eastAsia="Arial" w:hAnsi="Arial"/>
          <w:sz w:val="18"/>
          <w:szCs w:val="18"/>
          <w:color w:val="auto"/>
        </w:rPr>
        <w:t>general meeting.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addition, certain matters, such as the</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removal of directors or auditors, require</w:t>
      </w:r>
    </w:p>
    <w:p>
      <w:pPr>
        <w:ind w:left="4000"/>
        <w:spacing w:after="0"/>
        <w:rPr>
          <w:sz w:val="20"/>
          <w:szCs w:val="20"/>
          <w:color w:val="auto"/>
        </w:rPr>
      </w:pPr>
      <w:r>
        <w:rPr>
          <w:rFonts w:ascii="Arial" w:cs="Arial" w:eastAsia="Arial" w:hAnsi="Arial"/>
          <w:sz w:val="18"/>
          <w:szCs w:val="18"/>
          <w:color w:val="auto"/>
        </w:rPr>
        <w:t>special notice, which is 28 clear days’ notice.</w:t>
      </w:r>
    </w:p>
    <w:p>
      <w:pPr>
        <w:spacing w:after="0" w:line="86"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Quorum</w:t>
      </w:r>
      <w:r>
        <w:rPr>
          <w:sz w:val="20"/>
          <w:szCs w:val="20"/>
          <w:color w:val="auto"/>
        </w:rPr>
        <w:tab/>
      </w:r>
      <w:r>
        <w:rPr>
          <w:rFonts w:ascii="Arial" w:cs="Arial" w:eastAsia="Arial" w:hAnsi="Arial"/>
          <w:sz w:val="18"/>
          <w:szCs w:val="18"/>
          <w:color w:val="auto"/>
        </w:rPr>
        <w:t>Our Articles provide that no business shall be</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transacted at any general meeting unless a</w:t>
      </w:r>
    </w:p>
    <w:p>
      <w:pPr>
        <w:ind w:left="4000"/>
        <w:spacing w:after="0" w:line="234" w:lineRule="auto"/>
        <w:rPr>
          <w:sz w:val="20"/>
          <w:szCs w:val="20"/>
          <w:color w:val="auto"/>
        </w:rPr>
      </w:pPr>
      <w:r>
        <w:rPr>
          <w:rFonts w:ascii="Arial" w:cs="Arial" w:eastAsia="Arial" w:hAnsi="Arial"/>
          <w:sz w:val="18"/>
          <w:szCs w:val="18"/>
          <w:color w:val="auto"/>
        </w:rPr>
        <w:t>quorum is present. Two qualifying persons</w:t>
      </w:r>
    </w:p>
    <w:p>
      <w:pPr>
        <w:ind w:left="4000"/>
        <w:spacing w:after="0" w:line="235" w:lineRule="auto"/>
        <w:rPr>
          <w:sz w:val="20"/>
          <w:szCs w:val="20"/>
          <w:color w:val="auto"/>
        </w:rPr>
      </w:pPr>
      <w:r>
        <w:rPr>
          <w:rFonts w:ascii="Arial" w:cs="Arial" w:eastAsia="Arial" w:hAnsi="Arial"/>
          <w:sz w:val="18"/>
          <w:szCs w:val="18"/>
          <w:color w:val="auto"/>
        </w:rPr>
        <w:t>present at a meeting and entitled to vote on</w:t>
      </w:r>
    </w:p>
    <w:p>
      <w:pPr>
        <w:ind w:left="4000"/>
        <w:spacing w:after="0" w:line="235" w:lineRule="auto"/>
        <w:rPr>
          <w:sz w:val="20"/>
          <w:szCs w:val="20"/>
          <w:color w:val="auto"/>
        </w:rPr>
      </w:pPr>
      <w:r>
        <w:rPr>
          <w:rFonts w:ascii="Arial" w:cs="Arial" w:eastAsia="Arial" w:hAnsi="Arial"/>
          <w:sz w:val="18"/>
          <w:szCs w:val="18"/>
          <w:color w:val="auto"/>
        </w:rPr>
        <w:t>the business to be transacted shall be a</w:t>
      </w:r>
    </w:p>
    <w:p>
      <w:pPr>
        <w:ind w:left="4000"/>
        <w:spacing w:after="0" w:line="235" w:lineRule="auto"/>
        <w:rPr>
          <w:sz w:val="20"/>
          <w:szCs w:val="20"/>
          <w:color w:val="auto"/>
        </w:rPr>
      </w:pPr>
      <w:r>
        <w:rPr>
          <w:rFonts w:ascii="Arial" w:cs="Arial" w:eastAsia="Arial" w:hAnsi="Arial"/>
          <w:sz w:val="18"/>
          <w:szCs w:val="18"/>
          <w:color w:val="auto"/>
        </w:rPr>
        <w:t>quorum, unless (1) each is a qualifying</w:t>
      </w:r>
    </w:p>
    <w:p>
      <w:pPr>
        <w:ind w:left="4000"/>
        <w:spacing w:after="0" w:line="235" w:lineRule="auto"/>
        <w:rPr>
          <w:sz w:val="20"/>
          <w:szCs w:val="20"/>
          <w:color w:val="auto"/>
        </w:rPr>
      </w:pPr>
      <w:r>
        <w:rPr>
          <w:rFonts w:ascii="Arial" w:cs="Arial" w:eastAsia="Arial" w:hAnsi="Arial"/>
          <w:sz w:val="18"/>
          <w:szCs w:val="18"/>
          <w:color w:val="auto"/>
        </w:rPr>
        <w:t>person only because he or she is authorized</w:t>
      </w:r>
    </w:p>
    <w:p>
      <w:pPr>
        <w:ind w:left="4000"/>
        <w:spacing w:after="0" w:line="234" w:lineRule="auto"/>
        <w:rPr>
          <w:sz w:val="20"/>
          <w:szCs w:val="20"/>
          <w:color w:val="auto"/>
        </w:rPr>
      </w:pPr>
      <w:r>
        <w:rPr>
          <w:rFonts w:ascii="Arial" w:cs="Arial" w:eastAsia="Arial" w:hAnsi="Arial"/>
          <w:sz w:val="18"/>
          <w:szCs w:val="18"/>
          <w:color w:val="auto"/>
        </w:rPr>
        <w:t>under the U.K. Companies Act 2006 to act as</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a representative of a corporation in relation to</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meeting, and they are representatives of</w:t>
      </w:r>
    </w:p>
    <w:p>
      <w:pPr>
        <w:ind w:left="4000"/>
        <w:spacing w:after="0" w:line="234" w:lineRule="auto"/>
        <w:rPr>
          <w:sz w:val="20"/>
          <w:szCs w:val="20"/>
          <w:color w:val="auto"/>
        </w:rPr>
      </w:pPr>
      <w:r>
        <w:rPr>
          <w:rFonts w:ascii="Arial" w:cs="Arial" w:eastAsia="Arial" w:hAnsi="Arial"/>
          <w:sz w:val="18"/>
          <w:szCs w:val="18"/>
          <w:color w:val="auto"/>
        </w:rPr>
        <w:t>the same corporation, or (2) each is a</w:t>
      </w:r>
    </w:p>
    <w:p>
      <w:pPr>
        <w:ind w:left="4000"/>
        <w:spacing w:after="0" w:line="235" w:lineRule="auto"/>
        <w:rPr>
          <w:sz w:val="20"/>
          <w:szCs w:val="20"/>
          <w:color w:val="auto"/>
        </w:rPr>
      </w:pPr>
      <w:r>
        <w:rPr>
          <w:rFonts w:ascii="Arial" w:cs="Arial" w:eastAsia="Arial" w:hAnsi="Arial"/>
          <w:sz w:val="18"/>
          <w:szCs w:val="18"/>
          <w:color w:val="auto"/>
        </w:rPr>
        <w:t>qualifying person only because he or she is</w:t>
      </w:r>
    </w:p>
    <w:p>
      <w:pPr>
        <w:ind w:left="4000"/>
        <w:spacing w:after="0" w:line="235" w:lineRule="auto"/>
        <w:rPr>
          <w:sz w:val="20"/>
          <w:szCs w:val="20"/>
          <w:color w:val="auto"/>
        </w:rPr>
      </w:pPr>
      <w:r>
        <w:rPr>
          <w:rFonts w:ascii="Arial" w:cs="Arial" w:eastAsia="Arial" w:hAnsi="Arial"/>
          <w:sz w:val="18"/>
          <w:szCs w:val="18"/>
          <w:color w:val="auto"/>
        </w:rPr>
        <w:t>appointed as proxy of a shareholder in</w:t>
      </w:r>
    </w:p>
    <w:p>
      <w:pPr>
        <w:ind w:left="4000"/>
        <w:spacing w:after="0" w:line="235" w:lineRule="auto"/>
        <w:rPr>
          <w:sz w:val="20"/>
          <w:szCs w:val="20"/>
          <w:color w:val="auto"/>
        </w:rPr>
      </w:pPr>
      <w:r>
        <w:rPr>
          <w:rFonts w:ascii="Arial" w:cs="Arial" w:eastAsia="Arial" w:hAnsi="Arial"/>
          <w:sz w:val="18"/>
          <w:szCs w:val="18"/>
          <w:color w:val="auto"/>
        </w:rPr>
        <w:t>relation to the meeting, and they are proxies</w:t>
      </w:r>
    </w:p>
    <w:p>
      <w:pPr>
        <w:ind w:left="4000"/>
        <w:spacing w:after="0"/>
        <w:rPr>
          <w:sz w:val="20"/>
          <w:szCs w:val="20"/>
          <w:color w:val="auto"/>
        </w:rPr>
      </w:pPr>
      <w:r>
        <w:rPr>
          <w:rFonts w:ascii="Arial" w:cs="Arial" w:eastAsia="Arial" w:hAnsi="Arial"/>
          <w:sz w:val="18"/>
          <w:szCs w:val="18"/>
          <w:color w:val="auto"/>
        </w:rPr>
        <w:t>of the same shareholder.</w:t>
      </w:r>
    </w:p>
    <w:p>
      <w:pPr>
        <w:spacing w:after="0" w:line="8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 “qualifying person” means (1) a person</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who is one of our shareholders, (2) a person</w:t>
      </w:r>
    </w:p>
    <w:p>
      <w:pPr>
        <w:ind w:left="4000"/>
        <w:spacing w:after="0"/>
        <w:rPr>
          <w:sz w:val="20"/>
          <w:szCs w:val="20"/>
          <w:color w:val="auto"/>
        </w:rPr>
      </w:pPr>
      <w:r>
        <w:rPr>
          <w:rFonts w:ascii="Arial" w:cs="Arial" w:eastAsia="Arial" w:hAnsi="Arial"/>
          <w:sz w:val="18"/>
          <w:szCs w:val="18"/>
          <w:color w:val="auto"/>
        </w:rPr>
        <w:t>authorized under the U.K.</w:t>
      </w:r>
    </w:p>
    <w:p>
      <w:pPr>
        <w:spacing w:after="0" w:line="12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ectPr>
          <w:pgSz w:w="11900" w:h="16838" w:orient="portrait"/>
          <w:cols w:equalWidth="0" w:num="2">
            <w:col w:w="7620" w:space="120"/>
            <w:col w:w="3340"/>
          </w:cols>
          <w:pgMar w:left="320" w:top="455" w:right="4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3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7"/>
        </w:trPr>
        <w:tc>
          <w:tcPr>
            <w:tcW w:w="2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rPr>
              <w:t>Companies Act 2006 to act as a</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w w:val="99"/>
              </w:rPr>
              <w:t>representative of the corporation in relation to</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the meeting, or (3) a person appointed as</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proxy of a shareholder in relation to the</w:t>
            </w:r>
          </w:p>
        </w:tc>
      </w:tr>
      <w:tr>
        <w:trPr>
          <w:trHeight w:val="239"/>
        </w:trPr>
        <w:tc>
          <w:tcPr>
            <w:tcW w:w="2160" w:type="dxa"/>
            <w:vAlign w:val="bottom"/>
          </w:tcPr>
          <w:p>
            <w:pPr>
              <w:spacing w:after="0"/>
              <w:rPr>
                <w:sz w:val="20"/>
                <w:szCs w:val="20"/>
                <w:color w:val="auto"/>
              </w:rPr>
            </w:pPr>
          </w:p>
        </w:tc>
        <w:tc>
          <w:tcPr>
            <w:tcW w:w="5340" w:type="dxa"/>
            <w:vAlign w:val="bottom"/>
            <w:gridSpan w:val="2"/>
          </w:tcPr>
          <w:p>
            <w:pPr>
              <w:ind w:left="1720"/>
              <w:spacing w:after="0"/>
              <w:rPr>
                <w:sz w:val="20"/>
                <w:szCs w:val="20"/>
                <w:color w:val="auto"/>
              </w:rPr>
            </w:pPr>
            <w:r>
              <w:rPr>
                <w:rFonts w:ascii="Arial" w:cs="Arial" w:eastAsia="Arial" w:hAnsi="Arial"/>
                <w:sz w:val="18"/>
                <w:szCs w:val="18"/>
                <w:color w:val="auto"/>
              </w:rPr>
              <w:t>meeting.</w:t>
            </w:r>
          </w:p>
        </w:tc>
      </w:tr>
      <w:tr>
        <w:trPr>
          <w:trHeight w:val="274"/>
        </w:trPr>
        <w:tc>
          <w:tcPr>
            <w:tcW w:w="2160" w:type="dxa"/>
            <w:vAlign w:val="bottom"/>
          </w:tcPr>
          <w:p>
            <w:pPr>
              <w:spacing w:after="0"/>
              <w:rPr>
                <w:sz w:val="23"/>
                <w:szCs w:val="23"/>
                <w:color w:val="auto"/>
              </w:rPr>
            </w:pPr>
          </w:p>
        </w:tc>
        <w:tc>
          <w:tcPr>
            <w:tcW w:w="5340" w:type="dxa"/>
            <w:vAlign w:val="bottom"/>
            <w:gridSpan w:val="2"/>
          </w:tcPr>
          <w:p>
            <w:pPr>
              <w:ind w:left="1720"/>
              <w:spacing w:after="0"/>
              <w:rPr>
                <w:sz w:val="20"/>
                <w:szCs w:val="20"/>
                <w:color w:val="auto"/>
              </w:rPr>
            </w:pPr>
            <w:r>
              <w:rPr>
                <w:rFonts w:ascii="Arial" w:cs="Arial" w:eastAsia="Arial" w:hAnsi="Arial"/>
                <w:sz w:val="18"/>
                <w:szCs w:val="18"/>
                <w:color w:val="auto"/>
              </w:rPr>
              <w:t>In addition, if and for so long as we are</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subject to the rules and requirements of a</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securities exchange and such securities</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exchange requires us to have a quorum for</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general meetings then, in addition to the</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requisite quorum requirement stated in this</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paragraph, in order for such general meeting</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to be quorate at least 33 1/3 per cent. of our</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issued and outstanding ordinary shares (or</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such other amount as may be specified by</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such rules and requirements) must be</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present at such general meeting, whether</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represented in person (including, in the case</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of a corporate shareholder, by duly</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authorized representative) or by duly</w:t>
            </w:r>
          </w:p>
        </w:tc>
      </w:tr>
      <w:tr>
        <w:trPr>
          <w:trHeight w:val="239"/>
        </w:trPr>
        <w:tc>
          <w:tcPr>
            <w:tcW w:w="2160" w:type="dxa"/>
            <w:vAlign w:val="bottom"/>
          </w:tcPr>
          <w:p>
            <w:pPr>
              <w:spacing w:after="0"/>
              <w:rPr>
                <w:sz w:val="20"/>
                <w:szCs w:val="20"/>
                <w:color w:val="auto"/>
              </w:rPr>
            </w:pPr>
          </w:p>
        </w:tc>
        <w:tc>
          <w:tcPr>
            <w:tcW w:w="5340" w:type="dxa"/>
            <w:vAlign w:val="bottom"/>
            <w:gridSpan w:val="2"/>
          </w:tcPr>
          <w:p>
            <w:pPr>
              <w:ind w:left="1720"/>
              <w:spacing w:after="0"/>
              <w:rPr>
                <w:sz w:val="20"/>
                <w:szCs w:val="20"/>
                <w:color w:val="auto"/>
              </w:rPr>
            </w:pPr>
            <w:r>
              <w:rPr>
                <w:rFonts w:ascii="Arial" w:cs="Arial" w:eastAsia="Arial" w:hAnsi="Arial"/>
                <w:sz w:val="18"/>
                <w:szCs w:val="18"/>
                <w:color w:val="auto"/>
              </w:rPr>
              <w:t>appointed proxy.</w:t>
            </w:r>
          </w:p>
        </w:tc>
      </w:tr>
      <w:tr>
        <w:trPr>
          <w:trHeight w:val="274"/>
        </w:trPr>
        <w:tc>
          <w:tcPr>
            <w:tcW w:w="2160" w:type="dxa"/>
            <w:vAlign w:val="bottom"/>
          </w:tcPr>
          <w:p>
            <w:pPr>
              <w:spacing w:after="0"/>
              <w:rPr>
                <w:sz w:val="20"/>
                <w:szCs w:val="20"/>
                <w:color w:val="auto"/>
              </w:rPr>
            </w:pPr>
            <w:r>
              <w:rPr>
                <w:rFonts w:ascii="Arial" w:cs="Arial" w:eastAsia="Arial" w:hAnsi="Arial"/>
                <w:sz w:val="18"/>
                <w:szCs w:val="18"/>
                <w:color w:val="auto"/>
              </w:rPr>
              <w:t>Proxy</w:t>
            </w:r>
          </w:p>
        </w:tc>
        <w:tc>
          <w:tcPr>
            <w:tcW w:w="5340" w:type="dxa"/>
            <w:vAlign w:val="bottom"/>
            <w:gridSpan w:val="2"/>
          </w:tcPr>
          <w:p>
            <w:pPr>
              <w:ind w:left="1720"/>
              <w:spacing w:after="0"/>
              <w:rPr>
                <w:sz w:val="20"/>
                <w:szCs w:val="20"/>
                <w:color w:val="auto"/>
              </w:rPr>
            </w:pPr>
            <w:r>
              <w:rPr>
                <w:rFonts w:ascii="Arial" w:cs="Arial" w:eastAsia="Arial" w:hAnsi="Arial"/>
                <w:sz w:val="18"/>
                <w:szCs w:val="18"/>
                <w:color w:val="auto"/>
              </w:rPr>
              <w:t>Under the U.K. Companies Act 2006, at any</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meeting of shareholders, a shareholder may</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designate another person to attend, speak</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and vote at the meeting on their behalf by</w:t>
            </w:r>
          </w:p>
        </w:tc>
      </w:tr>
      <w:tr>
        <w:trPr>
          <w:trHeight w:val="239"/>
        </w:trPr>
        <w:tc>
          <w:tcPr>
            <w:tcW w:w="2160" w:type="dxa"/>
            <w:vAlign w:val="bottom"/>
          </w:tcPr>
          <w:p>
            <w:pPr>
              <w:spacing w:after="0"/>
              <w:rPr>
                <w:sz w:val="20"/>
                <w:szCs w:val="20"/>
                <w:color w:val="auto"/>
              </w:rPr>
            </w:pPr>
          </w:p>
        </w:tc>
        <w:tc>
          <w:tcPr>
            <w:tcW w:w="5340" w:type="dxa"/>
            <w:vAlign w:val="bottom"/>
            <w:gridSpan w:val="2"/>
          </w:tcPr>
          <w:p>
            <w:pPr>
              <w:ind w:left="1720"/>
              <w:spacing w:after="0"/>
              <w:rPr>
                <w:sz w:val="20"/>
                <w:szCs w:val="20"/>
                <w:color w:val="auto"/>
              </w:rPr>
            </w:pPr>
            <w:r>
              <w:rPr>
                <w:rFonts w:ascii="Arial" w:cs="Arial" w:eastAsia="Arial" w:hAnsi="Arial"/>
                <w:sz w:val="18"/>
                <w:szCs w:val="18"/>
                <w:color w:val="auto"/>
              </w:rPr>
              <w:t>proxy.</w:t>
            </w: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72" w:lineRule="exact"/>
        <w:rPr>
          <w:sz w:val="20"/>
          <w:szCs w:val="20"/>
          <w:color w:val="auto"/>
        </w:rPr>
      </w:pPr>
    </w:p>
    <w:p>
      <w:pPr>
        <w:sectPr>
          <w:pgSz w:w="11900" w:h="16838" w:orient="portrait"/>
          <w:cols w:equalWidth="0" w:num="2">
            <w:col w:w="7620" w:space="120"/>
            <w:col w:w="3400"/>
          </w:cols>
          <w:pgMar w:left="320" w:top="455" w:right="439" w:bottom="1440" w:gutter="0" w:footer="0" w:header="0"/>
          <w:type w:val="continuous"/>
        </w:sectPr>
      </w:pPr>
    </w:p>
    <w:p>
      <w:pPr>
        <w:ind w:left="120"/>
        <w:spacing w:after="0"/>
        <w:tabs>
          <w:tab w:leader="none" w:pos="3980" w:val="left"/>
        </w:tabs>
        <w:rPr>
          <w:sz w:val="20"/>
          <w:szCs w:val="20"/>
          <w:color w:val="auto"/>
        </w:rPr>
      </w:pPr>
      <w:r>
        <w:rPr>
          <w:rFonts w:ascii="Arial" w:cs="Arial" w:eastAsia="Arial" w:hAnsi="Arial"/>
          <w:sz w:val="18"/>
          <w:szCs w:val="18"/>
          <w:color w:val="auto"/>
        </w:rPr>
        <w:t>Issue of New Shares</w:t>
      </w:r>
      <w:r>
        <w:rPr>
          <w:sz w:val="20"/>
          <w:szCs w:val="20"/>
          <w:color w:val="auto"/>
        </w:rPr>
        <w:tab/>
      </w:r>
      <w:r>
        <w:rPr>
          <w:rFonts w:ascii="Arial" w:cs="Arial" w:eastAsia="Arial" w:hAnsi="Arial"/>
          <w:sz w:val="17"/>
          <w:szCs w:val="17"/>
          <w:color w:val="auto"/>
        </w:rPr>
        <w:t>Under the U.K. Companies Act 2006, the</w:t>
      </w:r>
    </w:p>
    <w:p>
      <w:pPr>
        <w:spacing w:after="0" w:line="1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directors of a company must not exercise any</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power to allot shares or grant rights to</w:t>
      </w:r>
    </w:p>
    <w:p>
      <w:pPr>
        <w:ind w:left="4000"/>
        <w:spacing w:after="0" w:line="234" w:lineRule="auto"/>
        <w:rPr>
          <w:sz w:val="20"/>
          <w:szCs w:val="20"/>
          <w:color w:val="auto"/>
        </w:rPr>
      </w:pPr>
      <w:r>
        <w:rPr>
          <w:rFonts w:ascii="Arial" w:cs="Arial" w:eastAsia="Arial" w:hAnsi="Arial"/>
          <w:sz w:val="18"/>
          <w:szCs w:val="18"/>
          <w:color w:val="auto"/>
        </w:rPr>
        <w:t>subscribe for, or to convert any security into,</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shares unless they are authorized to do so by</w:t>
      </w:r>
    </w:p>
    <w:p>
      <w:pPr>
        <w:spacing w:after="0" w:line="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company’s articles of association</w:t>
      </w:r>
    </w:p>
    <w:p>
      <w:pPr>
        <w:spacing w:after="0" w:line="12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ind w:right="20"/>
        <w:spacing w:after="0" w:line="242" w:lineRule="auto"/>
        <w:rPr>
          <w:sz w:val="20"/>
          <w:szCs w:val="20"/>
          <w:color w:val="auto"/>
        </w:rPr>
      </w:pPr>
      <w:r>
        <w:rPr>
          <w:rFonts w:ascii="Arial" w:cs="Arial" w:eastAsia="Arial" w:hAnsi="Arial"/>
          <w:sz w:val="18"/>
          <w:szCs w:val="18"/>
          <w:color w:val="auto"/>
        </w:rPr>
        <w:t>Under Delaware law, if the company’s certificate of incorporation so provides, the directors have the power to authorize additional stock. The directors may authorize capital stock to be issued for consideration consisting of</w:t>
      </w:r>
    </w:p>
    <w:p>
      <w:pPr>
        <w:sectPr>
          <w:pgSz w:w="11900" w:h="16838" w:orient="portrait"/>
          <w:cols w:equalWidth="0" w:num="2">
            <w:col w:w="7620" w:space="120"/>
            <w:col w:w="3400"/>
          </w:cols>
          <w:pgMar w:left="320" w:top="455" w:right="4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3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7"/>
        </w:trPr>
        <w:tc>
          <w:tcPr>
            <w:tcW w:w="2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rPr>
              <w:t>or by an ordinary resolution of the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shareholders. Any authorization given must</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state the maximum amount of shares that</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may be allotted under it and specify the date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on which it will expire, which must be not</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more than five years from the date the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w w:val="99"/>
              </w:rPr>
              <w:t>authorization was given. The authority can be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renewed by a further resolution of the</w:t>
            </w:r>
          </w:p>
        </w:tc>
      </w:tr>
      <w:tr>
        <w:trPr>
          <w:trHeight w:val="239"/>
        </w:trPr>
        <w:tc>
          <w:tcPr>
            <w:tcW w:w="2700" w:type="dxa"/>
            <w:vAlign w:val="bottom"/>
          </w:tcPr>
          <w:p>
            <w:pPr>
              <w:spacing w:after="0"/>
              <w:rPr>
                <w:sz w:val="20"/>
                <w:szCs w:val="20"/>
                <w:color w:val="auto"/>
              </w:rPr>
            </w:pPr>
          </w:p>
        </w:tc>
        <w:tc>
          <w:tcPr>
            <w:tcW w:w="4800" w:type="dxa"/>
            <w:vAlign w:val="bottom"/>
            <w:gridSpan w:val="2"/>
          </w:tcPr>
          <w:p>
            <w:pPr>
              <w:ind w:left="1180"/>
              <w:spacing w:after="0"/>
              <w:rPr>
                <w:sz w:val="20"/>
                <w:szCs w:val="20"/>
                <w:color w:val="auto"/>
              </w:rPr>
            </w:pPr>
            <w:r>
              <w:rPr>
                <w:rFonts w:ascii="Arial" w:cs="Arial" w:eastAsia="Arial" w:hAnsi="Arial"/>
                <w:sz w:val="18"/>
                <w:szCs w:val="18"/>
                <w:color w:val="auto"/>
              </w:rPr>
              <w:t>shareholders.</w:t>
            </w:r>
          </w:p>
        </w:tc>
      </w:tr>
      <w:tr>
        <w:trPr>
          <w:trHeight w:val="274"/>
        </w:trPr>
        <w:tc>
          <w:tcPr>
            <w:tcW w:w="2700" w:type="dxa"/>
            <w:vAlign w:val="bottom"/>
          </w:tcPr>
          <w:p>
            <w:pPr>
              <w:spacing w:after="0"/>
              <w:rPr>
                <w:sz w:val="20"/>
                <w:szCs w:val="20"/>
                <w:color w:val="auto"/>
              </w:rPr>
            </w:pPr>
            <w:r>
              <w:rPr>
                <w:rFonts w:ascii="Arial" w:cs="Arial" w:eastAsia="Arial" w:hAnsi="Arial"/>
                <w:sz w:val="18"/>
                <w:szCs w:val="18"/>
                <w:color w:val="auto"/>
              </w:rPr>
              <w:t>Pre-emptive Rights</w:t>
            </w:r>
          </w:p>
        </w:tc>
        <w:tc>
          <w:tcPr>
            <w:tcW w:w="4800" w:type="dxa"/>
            <w:vAlign w:val="bottom"/>
            <w:gridSpan w:val="2"/>
          </w:tcPr>
          <w:p>
            <w:pPr>
              <w:ind w:left="1180"/>
              <w:spacing w:after="0"/>
              <w:rPr>
                <w:sz w:val="20"/>
                <w:szCs w:val="20"/>
                <w:color w:val="auto"/>
              </w:rPr>
            </w:pPr>
            <w:r>
              <w:rPr>
                <w:rFonts w:ascii="Arial" w:cs="Arial" w:eastAsia="Arial" w:hAnsi="Arial"/>
                <w:sz w:val="18"/>
                <w:szCs w:val="18"/>
                <w:color w:val="auto"/>
              </w:rPr>
              <w:t>Under the U.K. Companies Act 2006, “equity</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securities,” being (i) shares in the company</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other than shares that, with respect to</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dividends and capital, carry a right to</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participate only up to a specified amount in a</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distribution (“ordinary shares”) or (ii) rights to</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subscribe for, or to convert securities into,</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ordinary shares, proposed to be allotted for</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cash, must be offered first to the existing</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equity shareholders in the company in</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proportion to the respective nominal value of</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their holdings, unless an exception applies or</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a special resolution to the contrary has been</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passed by shareholders in a general meeting</w:t>
            </w:r>
          </w:p>
        </w:tc>
      </w:tr>
      <w:tr>
        <w:trPr>
          <w:trHeight w:val="202"/>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or the articles of association provide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otherwise, in each case in accordance with</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the provisions of the U.K. Companies Act</w:t>
            </w:r>
          </w:p>
        </w:tc>
      </w:tr>
      <w:tr>
        <w:trPr>
          <w:trHeight w:val="239"/>
        </w:trPr>
        <w:tc>
          <w:tcPr>
            <w:tcW w:w="2700" w:type="dxa"/>
            <w:vAlign w:val="bottom"/>
          </w:tcPr>
          <w:p>
            <w:pPr>
              <w:spacing w:after="0"/>
              <w:rPr>
                <w:sz w:val="20"/>
                <w:szCs w:val="20"/>
                <w:color w:val="auto"/>
              </w:rPr>
            </w:pPr>
          </w:p>
        </w:tc>
        <w:tc>
          <w:tcPr>
            <w:tcW w:w="4800" w:type="dxa"/>
            <w:vAlign w:val="bottom"/>
            <w:gridSpan w:val="2"/>
          </w:tcPr>
          <w:p>
            <w:pPr>
              <w:ind w:left="1180"/>
              <w:spacing w:after="0"/>
              <w:rPr>
                <w:sz w:val="20"/>
                <w:szCs w:val="20"/>
                <w:color w:val="auto"/>
              </w:rPr>
            </w:pPr>
            <w:r>
              <w:rPr>
                <w:rFonts w:ascii="Arial" w:cs="Arial" w:eastAsia="Arial" w:hAnsi="Arial"/>
                <w:sz w:val="18"/>
                <w:szCs w:val="18"/>
                <w:color w:val="auto"/>
              </w:rPr>
              <w:t>2006.</w:t>
            </w:r>
          </w:p>
        </w:tc>
      </w:tr>
      <w:tr>
        <w:trPr>
          <w:trHeight w:val="274"/>
        </w:trPr>
        <w:tc>
          <w:tcPr>
            <w:tcW w:w="2700" w:type="dxa"/>
            <w:vAlign w:val="bottom"/>
          </w:tcPr>
          <w:p>
            <w:pPr>
              <w:spacing w:after="0"/>
              <w:rPr>
                <w:sz w:val="20"/>
                <w:szCs w:val="20"/>
                <w:color w:val="auto"/>
              </w:rPr>
            </w:pPr>
            <w:r>
              <w:rPr>
                <w:rFonts w:ascii="Arial" w:cs="Arial" w:eastAsia="Arial" w:hAnsi="Arial"/>
                <w:sz w:val="18"/>
                <w:szCs w:val="18"/>
                <w:color w:val="auto"/>
              </w:rPr>
              <w:t>Authority to Allot</w:t>
            </w:r>
          </w:p>
        </w:tc>
        <w:tc>
          <w:tcPr>
            <w:tcW w:w="4800" w:type="dxa"/>
            <w:vAlign w:val="bottom"/>
            <w:gridSpan w:val="2"/>
          </w:tcPr>
          <w:p>
            <w:pPr>
              <w:ind w:left="1180"/>
              <w:spacing w:after="0"/>
              <w:rPr>
                <w:sz w:val="20"/>
                <w:szCs w:val="20"/>
                <w:color w:val="auto"/>
              </w:rPr>
            </w:pPr>
            <w:r>
              <w:rPr>
                <w:rFonts w:ascii="Arial" w:cs="Arial" w:eastAsia="Arial" w:hAnsi="Arial"/>
                <w:sz w:val="18"/>
                <w:szCs w:val="18"/>
                <w:color w:val="auto"/>
              </w:rPr>
              <w:t>Under the U.K. Companies Act 2006, the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directors of a company must not allot shares</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or grant rights to subscribe for or to convert</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any security into shares unless those shares</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are allotted, or those rights to subscribe or</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convert any security into shares are granted</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(as applicable) pursuant to an employee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share scheme, an ordinary resolution to the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contrary has been passed by shareholders in</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a general meeting, or the articles of</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association provide otherwise, in each case,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in accordance with the provisions of the U.K.</w:t>
            </w:r>
          </w:p>
        </w:tc>
      </w:tr>
      <w:tr>
        <w:trPr>
          <w:trHeight w:val="239"/>
        </w:trPr>
        <w:tc>
          <w:tcPr>
            <w:tcW w:w="2700" w:type="dxa"/>
            <w:vAlign w:val="bottom"/>
          </w:tcPr>
          <w:p>
            <w:pPr>
              <w:spacing w:after="0"/>
              <w:rPr>
                <w:sz w:val="20"/>
                <w:szCs w:val="20"/>
                <w:color w:val="auto"/>
              </w:rPr>
            </w:pPr>
          </w:p>
        </w:tc>
        <w:tc>
          <w:tcPr>
            <w:tcW w:w="4800" w:type="dxa"/>
            <w:vAlign w:val="bottom"/>
            <w:gridSpan w:val="2"/>
          </w:tcPr>
          <w:p>
            <w:pPr>
              <w:ind w:left="1180"/>
              <w:spacing w:after="0"/>
              <w:rPr>
                <w:sz w:val="20"/>
                <w:szCs w:val="20"/>
                <w:color w:val="auto"/>
              </w:rPr>
            </w:pPr>
            <w:r>
              <w:rPr>
                <w:rFonts w:ascii="Arial" w:cs="Arial" w:eastAsia="Arial" w:hAnsi="Arial"/>
                <w:sz w:val="18"/>
                <w:szCs w:val="18"/>
                <w:color w:val="auto"/>
              </w:rPr>
              <w:t>Companies Act 2006.</w:t>
            </w:r>
          </w:p>
        </w:tc>
      </w:tr>
      <w:tr>
        <w:trPr>
          <w:trHeight w:val="756"/>
        </w:trPr>
        <w:tc>
          <w:tcPr>
            <w:tcW w:w="2700" w:type="dxa"/>
            <w:vAlign w:val="bottom"/>
          </w:tcPr>
          <w:p>
            <w:pPr>
              <w:spacing w:after="0"/>
              <w:rPr>
                <w:sz w:val="24"/>
                <w:szCs w:val="24"/>
                <w:color w:val="auto"/>
              </w:rPr>
            </w:pPr>
          </w:p>
        </w:tc>
        <w:tc>
          <w:tcPr>
            <w:tcW w:w="4800" w:type="dxa"/>
            <w:vAlign w:val="bottom"/>
            <w:gridSpan w:val="2"/>
          </w:tcPr>
          <w:p>
            <w:pPr>
              <w:ind w:left="2700"/>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cash, any tangible or intangible property or any benefit to the company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The board of directors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ectPr>
          <w:pgSz w:w="11900" w:h="16838" w:orient="portrait"/>
          <w:cols w:equalWidth="0" w:num="2">
            <w:col w:w="7620" w:space="120"/>
            <w:col w:w="3400"/>
          </w:cols>
          <w:pgMar w:left="320" w:top="455" w:right="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Liability of Directors and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-644525</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15240</wp:posOffset>
            </wp:positionV>
            <wp:extent cx="23056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the U.K. Companies Act 2006, any provision (whether contained in a 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Any provision by which we directly or indirectly provide an indemnity (to any extent) for a director of the company or of an “associated company” (i.e., a company that is a parent, subsidiary or sister company of us) against any liability attaching to him or her in connection with any negligence, default, breach of duty or breach of trust in relation to the company of which he or she is a director is void except as permitted by the U.K. Companies Act 2006, which provides exceptions for us to:</w:t>
      </w:r>
    </w:p>
    <w:p>
      <w:pPr>
        <w:spacing w:after="0" w:line="88" w:lineRule="exact"/>
        <w:rPr>
          <w:sz w:val="20"/>
          <w:szCs w:val="20"/>
          <w:color w:val="auto"/>
        </w:rPr>
      </w:pPr>
    </w:p>
    <w:p>
      <w:pPr>
        <w:ind w:left="360" w:right="20" w:hanging="359"/>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 purchase and maintain director and officer insurance insuring our directors or the directors of an associated company against any liability attaching in connection with any negligence, default, breach of duty or breach of trust in relation to the company of which he or she is a director;</w:t>
      </w:r>
    </w:p>
    <w:p>
      <w:pPr>
        <w:spacing w:after="0" w:line="86" w:lineRule="exact"/>
        <w:rPr>
          <w:sz w:val="20"/>
          <w:szCs w:val="20"/>
          <w:color w:val="auto"/>
        </w:rPr>
      </w:pPr>
    </w:p>
    <w:p>
      <w:pPr>
        <w:ind w:left="360" w:right="20" w:hanging="359"/>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 provide a “qualifying third party indemnity,” which is an indemnity against liability incurred by our directors and directors of an associated company to a person other than us or an associated company. Such indemnity must not cover criminal fines, penalties imposed by regulatory</w:t>
      </w:r>
    </w:p>
    <w:p>
      <w:pPr>
        <w:spacing w:after="0" w:line="11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265" w:lineRule="exact"/>
        <w:rPr>
          <w:sz w:val="20"/>
          <w:szCs w:val="20"/>
          <w:color w:val="auto"/>
        </w:rPr>
      </w:pPr>
    </w:p>
    <w:p>
      <w:pPr>
        <w:jc w:val="center"/>
        <w:ind w:right="28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 any breach of the director’s duty of</w:t>
      </w:r>
    </w:p>
    <w:p>
      <w:pPr>
        <w:spacing w:after="0" w:line="14" w:lineRule="exact"/>
        <w:rPr>
          <w:sz w:val="20"/>
          <w:szCs w:val="20"/>
          <w:color w:val="auto"/>
        </w:rPr>
      </w:pPr>
    </w:p>
    <w:p>
      <w:pPr>
        <w:ind w:left="340" w:right="640"/>
        <w:spacing w:after="0" w:line="250" w:lineRule="auto"/>
        <w:rPr>
          <w:sz w:val="20"/>
          <w:szCs w:val="20"/>
          <w:color w:val="auto"/>
        </w:rPr>
      </w:pPr>
      <w:r>
        <w:rPr>
          <w:rFonts w:ascii="Arial" w:cs="Arial" w:eastAsia="Arial" w:hAnsi="Arial"/>
          <w:sz w:val="18"/>
          <w:szCs w:val="18"/>
          <w:color w:val="auto"/>
        </w:rPr>
        <w:t>loyalty to the corporation or its stockholders;</w:t>
      </w:r>
    </w:p>
    <w:p>
      <w:pPr>
        <w:spacing w:after="0" w:line="77" w:lineRule="exact"/>
        <w:rPr>
          <w:sz w:val="20"/>
          <w:szCs w:val="20"/>
          <w:color w:val="auto"/>
        </w:rPr>
      </w:pPr>
    </w:p>
    <w:p>
      <w:pPr>
        <w:jc w:val="both"/>
        <w:ind w:left="340" w:right="100" w:hanging="359"/>
        <w:spacing w:after="0" w:line="214"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 acts or omissions not in good faith or that involve intentional misconduct or a knowing violation of law;</w:t>
      </w:r>
    </w:p>
    <w:p>
      <w:pPr>
        <w:spacing w:after="0" w:line="87" w:lineRule="exact"/>
        <w:rPr>
          <w:sz w:val="20"/>
          <w:szCs w:val="20"/>
          <w:color w:val="auto"/>
        </w:rPr>
      </w:pPr>
    </w:p>
    <w:p>
      <w:pPr>
        <w:ind w:left="340" w:right="20" w:hanging="359"/>
        <w:spacing w:after="0" w:line="214"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 intentional or negligent payment of unlawful dividends or stock purchases or redemptions; or</w:t>
      </w:r>
    </w:p>
    <w:p>
      <w:pPr>
        <w:spacing w:after="0" w:line="87" w:lineRule="exact"/>
        <w:rPr>
          <w:sz w:val="20"/>
          <w:szCs w:val="20"/>
          <w:color w:val="auto"/>
        </w:rPr>
      </w:pPr>
    </w:p>
    <w:p>
      <w:pPr>
        <w:ind w:left="340" w:right="60" w:hanging="359"/>
        <w:spacing w:after="0" w:line="214"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 any transaction from which the director derives an improper personal benefit.</w:t>
      </w:r>
    </w:p>
    <w:p>
      <w:pPr>
        <w:sectPr>
          <w:pgSz w:w="11900" w:h="16838" w:orient="portrait"/>
          <w:cols w:equalWidth="0" w:num="3">
            <w:col w:w="3280" w:space="720"/>
            <w:col w:w="3620" w:space="120"/>
            <w:col w:w="340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40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700" w:type="dxa"/>
            <w:vAlign w:val="bottom"/>
            <w:gridSpan w:val="2"/>
          </w:tcPr>
          <w:p>
            <w:pPr>
              <w:ind w:left="1120"/>
              <w:spacing w:after="0"/>
              <w:rPr>
                <w:sz w:val="20"/>
                <w:szCs w:val="20"/>
                <w:color w:val="auto"/>
              </w:rPr>
            </w:pPr>
            <w:r>
              <w:rPr>
                <w:rFonts w:ascii="Arial" w:cs="Arial" w:eastAsia="Arial" w:hAnsi="Arial"/>
                <w:sz w:val="14"/>
                <w:szCs w:val="14"/>
                <w:b w:val="1"/>
                <w:bCs w:val="1"/>
                <w:color w:val="auto"/>
              </w:rPr>
              <w:t>England and Wales</w:t>
            </w:r>
          </w:p>
        </w:tc>
        <w:tc>
          <w:tcPr>
            <w:tcW w:w="3420" w:type="dxa"/>
            <w:vAlign w:val="bottom"/>
          </w:tcPr>
          <w:p>
            <w:pPr>
              <w:ind w:left="1400"/>
              <w:spacing w:after="0"/>
              <w:rPr>
                <w:sz w:val="20"/>
                <w:szCs w:val="20"/>
                <w:color w:val="auto"/>
              </w:rPr>
            </w:pPr>
            <w:r>
              <w:rPr>
                <w:rFonts w:ascii="Arial" w:cs="Arial" w:eastAsia="Arial" w:hAnsi="Arial"/>
                <w:sz w:val="14"/>
                <w:szCs w:val="14"/>
                <w:b w:val="1"/>
                <w:bCs w:val="1"/>
                <w:color w:val="auto"/>
              </w:rPr>
              <w:t>Delaware</w:t>
            </w:r>
          </w:p>
        </w:tc>
      </w:tr>
      <w:tr>
        <w:trPr>
          <w:trHeight w:val="177"/>
        </w:trPr>
        <w:tc>
          <w:tcPr>
            <w:tcW w:w="20" w:type="dxa"/>
            <w:vAlign w:val="bottom"/>
          </w:tcPr>
          <w:p>
            <w:pPr>
              <w:spacing w:after="0"/>
              <w:rPr>
                <w:sz w:val="15"/>
                <w:szCs w:val="15"/>
                <w:color w:val="auto"/>
              </w:rPr>
            </w:pPr>
          </w:p>
        </w:tc>
        <w:tc>
          <w:tcPr>
            <w:tcW w:w="360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       bodies, the defense costs of criminal</w:t>
            </w:r>
          </w:p>
        </w:tc>
        <w:tc>
          <w:tcPr>
            <w:tcW w:w="100" w:type="dxa"/>
            <w:vAlign w:val="bottom"/>
          </w:tcPr>
          <w:p>
            <w:pPr>
              <w:spacing w:after="0"/>
              <w:rPr>
                <w:sz w:val="15"/>
                <w:szCs w:val="15"/>
                <w:color w:val="auto"/>
              </w:rPr>
            </w:pPr>
          </w:p>
        </w:tc>
        <w:tc>
          <w:tcPr>
            <w:tcW w:w="3420" w:type="dxa"/>
            <w:vAlign w:val="bottom"/>
            <w:tcBorders>
              <w:top w:val="single" w:sz="8" w:color="auto"/>
            </w:tcBorders>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proceedings where the director is found</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guilty, the defense costs of civil</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proceedings successfully brought</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against the director by the company or</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an associated company, or the costs of</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unsuccessful applications by the director</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for relief from liabilities for such matters;</w:t>
            </w:r>
          </w:p>
        </w:tc>
        <w:tc>
          <w:tcPr>
            <w:tcW w:w="342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and</w:t>
            </w:r>
          </w:p>
        </w:tc>
        <w:tc>
          <w:tcPr>
            <w:tcW w:w="3420" w:type="dxa"/>
            <w:vAlign w:val="bottom"/>
          </w:tcPr>
          <w:p>
            <w:pPr>
              <w:spacing w:after="0"/>
              <w:rPr>
                <w:sz w:val="20"/>
                <w:szCs w:val="20"/>
                <w:color w:val="auto"/>
              </w:rPr>
            </w:pPr>
          </w:p>
        </w:tc>
      </w:tr>
      <w:tr>
        <w:trPr>
          <w:trHeight w:val="274"/>
        </w:trPr>
        <w:tc>
          <w:tcPr>
            <w:tcW w:w="3720" w:type="dxa"/>
            <w:vAlign w:val="bottom"/>
            <w:gridSpan w:val="3"/>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 provide a “qualifying pension scheme</w:t>
            </w:r>
          </w:p>
        </w:tc>
        <w:tc>
          <w:tcPr>
            <w:tcW w:w="34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indemnity,” which is an indemnity against</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liability incurred in connection with the</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company’s activities as trustee of an</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occupational pension plan. Such</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indemnity must not cover a fine imposed</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 criminal proceedings, or sum payable</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to a regulatory authority by way of a</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penalty in respect of non-compliance</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with any requirement of a regulatory</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nature (however arising), or any liability</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incurred by the director in defending</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criminal proceedings in which he or she</w:t>
            </w:r>
          </w:p>
        </w:tc>
        <w:tc>
          <w:tcPr>
            <w:tcW w:w="342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is convicted.</w:t>
            </w:r>
          </w:p>
        </w:tc>
        <w:tc>
          <w:tcPr>
            <w:tcW w:w="3420" w:type="dxa"/>
            <w:vAlign w:val="bottom"/>
          </w:tcPr>
          <w:p>
            <w:pPr>
              <w:spacing w:after="0"/>
              <w:rPr>
                <w:sz w:val="20"/>
                <w:szCs w:val="20"/>
                <w:color w:val="auto"/>
              </w:rPr>
            </w:pPr>
          </w:p>
        </w:tc>
      </w:tr>
      <w:tr>
        <w:trPr>
          <w:trHeight w:val="288"/>
        </w:trPr>
        <w:tc>
          <w:tcPr>
            <w:tcW w:w="3720" w:type="dxa"/>
            <w:vAlign w:val="bottom"/>
            <w:gridSpan w:val="3"/>
          </w:tcPr>
          <w:p>
            <w:pPr>
              <w:spacing w:after="0"/>
              <w:rPr>
                <w:sz w:val="20"/>
                <w:szCs w:val="20"/>
                <w:color w:val="auto"/>
              </w:rPr>
            </w:pPr>
            <w:r>
              <w:rPr>
                <w:rFonts w:ascii="Arial" w:cs="Arial" w:eastAsia="Arial" w:hAnsi="Arial"/>
                <w:sz w:val="18"/>
                <w:szCs w:val="18"/>
                <w:color w:val="auto"/>
              </w:rPr>
              <w:t>Our Articles provide that we may indemnify</w:t>
            </w:r>
          </w:p>
        </w:tc>
        <w:tc>
          <w:tcPr>
            <w:tcW w:w="3420" w:type="dxa"/>
            <w:vAlign w:val="bottom"/>
          </w:tcPr>
          <w:p>
            <w:pPr>
              <w:spacing w:after="0"/>
              <w:rPr>
                <w:sz w:val="24"/>
                <w:szCs w:val="24"/>
                <w:color w:val="auto"/>
              </w:rPr>
            </w:pPr>
          </w:p>
        </w:tc>
      </w:tr>
      <w:tr>
        <w:trPr>
          <w:trHeight w:val="203"/>
        </w:trPr>
        <w:tc>
          <w:tcPr>
            <w:tcW w:w="3720" w:type="dxa"/>
            <w:vAlign w:val="bottom"/>
            <w:gridSpan w:val="3"/>
          </w:tcPr>
          <w:p>
            <w:pPr>
              <w:spacing w:after="0" w:line="202" w:lineRule="exact"/>
              <w:rPr>
                <w:sz w:val="20"/>
                <w:szCs w:val="20"/>
                <w:color w:val="auto"/>
              </w:rPr>
            </w:pPr>
            <w:r>
              <w:rPr>
                <w:rFonts w:ascii="Arial" w:cs="Arial" w:eastAsia="Arial" w:hAnsi="Arial"/>
                <w:sz w:val="18"/>
                <w:szCs w:val="18"/>
                <w:color w:val="auto"/>
              </w:rPr>
              <w:t>each of our directors out of the Company’s</w:t>
            </w:r>
          </w:p>
        </w:tc>
        <w:tc>
          <w:tcPr>
            <w:tcW w:w="3420" w:type="dxa"/>
            <w:vAlign w:val="bottom"/>
          </w:tcPr>
          <w:p>
            <w:pPr>
              <w:spacing w:after="0"/>
              <w:rPr>
                <w:sz w:val="17"/>
                <w:szCs w:val="17"/>
                <w:color w:val="auto"/>
              </w:rPr>
            </w:pPr>
          </w:p>
        </w:tc>
      </w:tr>
      <w:tr>
        <w:trPr>
          <w:trHeight w:val="239"/>
        </w:trPr>
        <w:tc>
          <w:tcPr>
            <w:tcW w:w="3720" w:type="dxa"/>
            <w:vAlign w:val="bottom"/>
            <w:gridSpan w:val="3"/>
          </w:tcPr>
          <w:p>
            <w:pPr>
              <w:spacing w:after="0"/>
              <w:rPr>
                <w:sz w:val="20"/>
                <w:szCs w:val="20"/>
                <w:color w:val="auto"/>
              </w:rPr>
            </w:pPr>
            <w:r>
              <w:rPr>
                <w:rFonts w:ascii="Arial" w:cs="Arial" w:eastAsia="Arial" w:hAnsi="Arial"/>
                <w:sz w:val="18"/>
                <w:szCs w:val="18"/>
                <w:color w:val="auto"/>
              </w:rPr>
              <w:t>assets against:</w:t>
            </w:r>
          </w:p>
        </w:tc>
        <w:tc>
          <w:tcPr>
            <w:tcW w:w="3420" w:type="dxa"/>
            <w:vAlign w:val="bottom"/>
          </w:tcPr>
          <w:p>
            <w:pPr>
              <w:spacing w:after="0"/>
              <w:rPr>
                <w:sz w:val="20"/>
                <w:szCs w:val="20"/>
                <w:color w:val="auto"/>
              </w:rPr>
            </w:pPr>
          </w:p>
        </w:tc>
      </w:tr>
      <w:tr>
        <w:trPr>
          <w:trHeight w:val="288"/>
        </w:trPr>
        <w:tc>
          <w:tcPr>
            <w:tcW w:w="3720" w:type="dxa"/>
            <w:vAlign w:val="bottom"/>
            <w:gridSpan w:val="3"/>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 any liability incurred by such director in</w:t>
            </w:r>
          </w:p>
        </w:tc>
        <w:tc>
          <w:tcPr>
            <w:tcW w:w="34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connection with any negligence, default,</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breach of duty or breach of trust in</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relation to the company or an associate</w:t>
            </w:r>
          </w:p>
        </w:tc>
        <w:tc>
          <w:tcPr>
            <w:tcW w:w="342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company;</w:t>
            </w:r>
          </w:p>
        </w:tc>
        <w:tc>
          <w:tcPr>
            <w:tcW w:w="3420" w:type="dxa"/>
            <w:vAlign w:val="bottom"/>
          </w:tcPr>
          <w:p>
            <w:pPr>
              <w:spacing w:after="0"/>
              <w:rPr>
                <w:sz w:val="20"/>
                <w:szCs w:val="20"/>
                <w:color w:val="auto"/>
              </w:rPr>
            </w:pPr>
          </w:p>
        </w:tc>
      </w:tr>
      <w:tr>
        <w:trPr>
          <w:trHeight w:val="274"/>
        </w:trPr>
        <w:tc>
          <w:tcPr>
            <w:tcW w:w="3720" w:type="dxa"/>
            <w:vAlign w:val="bottom"/>
            <w:gridSpan w:val="3"/>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 any liability incurred by such director in</w:t>
            </w:r>
          </w:p>
        </w:tc>
        <w:tc>
          <w:tcPr>
            <w:tcW w:w="34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connection with the activities of the</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company or an associated company in</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its capacity as a trustee of an</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occupational pension scheme (as</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defined in section 235(6) of the U.K.</w:t>
            </w:r>
          </w:p>
        </w:tc>
        <w:tc>
          <w:tcPr>
            <w:tcW w:w="342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Companies Act 2006; and</w:t>
            </w:r>
          </w:p>
        </w:tc>
        <w:tc>
          <w:tcPr>
            <w:tcW w:w="3420" w:type="dxa"/>
            <w:vAlign w:val="bottom"/>
          </w:tcPr>
          <w:p>
            <w:pPr>
              <w:spacing w:after="0"/>
              <w:rPr>
                <w:sz w:val="20"/>
                <w:szCs w:val="20"/>
                <w:color w:val="auto"/>
              </w:rPr>
            </w:pPr>
          </w:p>
        </w:tc>
      </w:tr>
      <w:tr>
        <w:trPr>
          <w:trHeight w:val="351"/>
        </w:trPr>
        <w:tc>
          <w:tcPr>
            <w:tcW w:w="3620" w:type="dxa"/>
            <w:vAlign w:val="bottom"/>
            <w:gridSpan w:val="2"/>
          </w:tcPr>
          <w:p>
            <w:pPr>
              <w:ind w:left="15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080"/>
          </w:cols>
          <w:pgMar w:left="320" w:top="455" w:right="499" w:bottom="1440" w:gutter="0" w:footer="0" w:header="0"/>
        </w:sectPr>
      </w:pPr>
    </w:p>
    <w:p>
      <w:pPr>
        <w:spacing w:after="0" w:line="3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7"/>
        </w:trPr>
        <w:tc>
          <w:tcPr>
            <w:tcW w:w="3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 any other liability incurred by such</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director in the actual or purported</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execution or discharge of their duties,</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the exercise or purported exercise of</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their powers or otherwise in relation to</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w w:val="99"/>
              </w:rPr>
              <w:t>their duties or powers as an officer of the</w:t>
            </w:r>
          </w:p>
        </w:tc>
      </w:tr>
      <w:tr>
        <w:trPr>
          <w:trHeight w:val="239"/>
        </w:trPr>
        <w:tc>
          <w:tcPr>
            <w:tcW w:w="3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company or an associated company,</w:t>
            </w:r>
          </w:p>
        </w:tc>
      </w:tr>
      <w:tr>
        <w:trPr>
          <w:trHeight w:val="288"/>
        </w:trPr>
        <w:tc>
          <w:tcPr>
            <w:tcW w:w="3600" w:type="dxa"/>
            <w:vAlign w:val="bottom"/>
          </w:tcPr>
          <w:p>
            <w:pPr>
              <w:spacing w:after="0"/>
              <w:rPr>
                <w:sz w:val="24"/>
                <w:szCs w:val="24"/>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provided in each case that no indemnity may</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be given which would be prohibited or</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rendered void by any provision of the U.K.</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Companies Act 2006 or by any other</w:t>
            </w:r>
          </w:p>
        </w:tc>
      </w:tr>
      <w:tr>
        <w:trPr>
          <w:trHeight w:val="239"/>
        </w:trPr>
        <w:tc>
          <w:tcPr>
            <w:tcW w:w="3600" w:type="dxa"/>
            <w:vAlign w:val="bottom"/>
          </w:tcPr>
          <w:p>
            <w:pPr>
              <w:spacing w:after="0"/>
              <w:rPr>
                <w:sz w:val="20"/>
                <w:szCs w:val="20"/>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provision of law.</w:t>
            </w:r>
          </w:p>
        </w:tc>
      </w:tr>
      <w:tr>
        <w:trPr>
          <w:trHeight w:val="288"/>
        </w:trPr>
        <w:tc>
          <w:tcPr>
            <w:tcW w:w="3600" w:type="dxa"/>
            <w:vAlign w:val="bottom"/>
          </w:tcPr>
          <w:p>
            <w:pPr>
              <w:spacing w:after="0"/>
              <w:rPr>
                <w:sz w:val="24"/>
                <w:szCs w:val="24"/>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The U.K. Companies Act 2006 also provides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that we may lend each of our directors funds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to meet expenditure incurred by him or her in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defending any criminal or civil proceedings in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connection with any alleged negligence,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default, breach of duty or breach of trust by</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him or her in relation to us or an associated</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company, or in connection with an application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for certain specified relief, subject to the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requirement that the loan must be on terms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that it is to be repaid if the defense or the</w:t>
            </w:r>
          </w:p>
        </w:tc>
      </w:tr>
      <w:tr>
        <w:trPr>
          <w:trHeight w:val="239"/>
        </w:trPr>
        <w:tc>
          <w:tcPr>
            <w:tcW w:w="3600" w:type="dxa"/>
            <w:vAlign w:val="bottom"/>
          </w:tcPr>
          <w:p>
            <w:pPr>
              <w:spacing w:after="0"/>
              <w:rPr>
                <w:sz w:val="20"/>
                <w:szCs w:val="20"/>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application for relief is unsuccessful.</w:t>
            </w:r>
          </w:p>
        </w:tc>
      </w:tr>
      <w:tr>
        <w:trPr>
          <w:trHeight w:val="274"/>
        </w:trPr>
        <w:tc>
          <w:tcPr>
            <w:tcW w:w="3600" w:type="dxa"/>
            <w:vAlign w:val="bottom"/>
          </w:tcPr>
          <w:p>
            <w:pPr>
              <w:spacing w:after="0"/>
              <w:rPr>
                <w:sz w:val="20"/>
                <w:szCs w:val="20"/>
                <w:color w:val="auto"/>
              </w:rPr>
            </w:pPr>
            <w:r>
              <w:rPr>
                <w:rFonts w:ascii="Arial" w:cs="Arial" w:eastAsia="Arial" w:hAnsi="Arial"/>
                <w:sz w:val="18"/>
                <w:szCs w:val="18"/>
                <w:color w:val="auto"/>
              </w:rPr>
              <w:t>Voting Rights</w:t>
            </w: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For a description of the voting rights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contained in our Articles see “Description of</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the Share Capital and Articles of Association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—Articles of Association—Shares and Rights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Attaching to Them—Voting Rights” in this</w:t>
            </w:r>
          </w:p>
        </w:tc>
      </w:tr>
      <w:tr>
        <w:trPr>
          <w:trHeight w:val="239"/>
        </w:trPr>
        <w:tc>
          <w:tcPr>
            <w:tcW w:w="3600" w:type="dxa"/>
            <w:vAlign w:val="bottom"/>
          </w:tcPr>
          <w:p>
            <w:pPr>
              <w:spacing w:after="0"/>
              <w:rPr>
                <w:sz w:val="20"/>
                <w:szCs w:val="20"/>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prospectus.</w:t>
            </w:r>
          </w:p>
        </w:tc>
      </w:tr>
      <w:tr>
        <w:trPr>
          <w:trHeight w:val="274"/>
        </w:trPr>
        <w:tc>
          <w:tcPr>
            <w:tcW w:w="3600" w:type="dxa"/>
            <w:vAlign w:val="bottom"/>
          </w:tcPr>
          <w:p>
            <w:pPr>
              <w:spacing w:after="0"/>
              <w:rPr>
                <w:sz w:val="20"/>
                <w:szCs w:val="20"/>
                <w:color w:val="auto"/>
              </w:rPr>
            </w:pPr>
            <w:r>
              <w:rPr>
                <w:rFonts w:ascii="Arial" w:cs="Arial" w:eastAsia="Arial" w:hAnsi="Arial"/>
                <w:sz w:val="18"/>
                <w:szCs w:val="18"/>
                <w:color w:val="auto"/>
              </w:rPr>
              <w:t>Shareholder Vote on Certain Transactions</w:t>
            </w: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The U.K. Companies Act 2006 provides for</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schemes of arrangement, which are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arrangements or compromises between a</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company and any class of shareholders or</w:t>
            </w:r>
          </w:p>
        </w:tc>
      </w:tr>
      <w:tr>
        <w:trPr>
          <w:trHeight w:val="239"/>
        </w:trPr>
        <w:tc>
          <w:tcPr>
            <w:tcW w:w="3600" w:type="dxa"/>
            <w:vAlign w:val="bottom"/>
          </w:tcPr>
          <w:p>
            <w:pPr>
              <w:spacing w:after="0"/>
              <w:rPr>
                <w:sz w:val="20"/>
                <w:szCs w:val="20"/>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creditors and used in certain</w:t>
            </w:r>
          </w:p>
        </w:tc>
      </w:tr>
      <w:tr>
        <w:trPr>
          <w:trHeight w:val="351"/>
        </w:trPr>
        <w:tc>
          <w:tcPr>
            <w:tcW w:w="3600" w:type="dxa"/>
            <w:vAlign w:val="bottom"/>
          </w:tcPr>
          <w:p>
            <w:pPr>
              <w:spacing w:after="0"/>
              <w:rPr>
                <w:sz w:val="24"/>
                <w:szCs w:val="24"/>
                <w:color w:val="auto"/>
              </w:rPr>
            </w:pPr>
          </w:p>
        </w:tc>
        <w:tc>
          <w:tcPr>
            <w:tcW w:w="3900" w:type="dxa"/>
            <w:vAlign w:val="bottom"/>
            <w:gridSpan w:val="2"/>
          </w:tcPr>
          <w:p>
            <w:pPr>
              <w:ind w:left="1800"/>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27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Generally, under Delaware law, unless the certificate of incorporation provides for the vote of a larger portion of the stock, closing of a merger, consolidation, sale, lease or exchange of all or substantially</w:t>
      </w:r>
    </w:p>
    <w:p>
      <w:pPr>
        <w:sectPr>
          <w:pgSz w:w="11900" w:h="16838" w:orient="portrait"/>
          <w:cols w:equalWidth="0" w:num="2">
            <w:col w:w="7620" w:space="120"/>
            <w:col w:w="3340"/>
          </w:cols>
          <w:pgMar w:left="320" w:top="455" w:right="4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3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7"/>
        </w:trPr>
        <w:tc>
          <w:tcPr>
            <w:tcW w:w="2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rPr>
              <w:t>types of reconstructions, amalgamations,</w:t>
            </w:r>
          </w:p>
        </w:tc>
      </w:tr>
      <w:tr>
        <w:trPr>
          <w:trHeight w:val="203"/>
        </w:trPr>
        <w:tc>
          <w:tcPr>
            <w:tcW w:w="2880" w:type="dxa"/>
            <w:vAlign w:val="bottom"/>
          </w:tcPr>
          <w:p>
            <w:pPr>
              <w:spacing w:after="0"/>
              <w:rPr>
                <w:sz w:val="17"/>
                <w:szCs w:val="17"/>
                <w:color w:val="auto"/>
              </w:rPr>
            </w:pP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capital reorganizations or takeovers. These</w:t>
            </w:r>
          </w:p>
        </w:tc>
      </w:tr>
      <w:tr>
        <w:trPr>
          <w:trHeight w:val="239"/>
        </w:trPr>
        <w:tc>
          <w:tcPr>
            <w:tcW w:w="2880" w:type="dxa"/>
            <w:vAlign w:val="bottom"/>
          </w:tcPr>
          <w:p>
            <w:pPr>
              <w:spacing w:after="0"/>
              <w:rPr>
                <w:sz w:val="20"/>
                <w:szCs w:val="20"/>
                <w:color w:val="auto"/>
              </w:rPr>
            </w:pPr>
          </w:p>
        </w:tc>
        <w:tc>
          <w:tcPr>
            <w:tcW w:w="4620" w:type="dxa"/>
            <w:vAlign w:val="bottom"/>
            <w:gridSpan w:val="2"/>
          </w:tcPr>
          <w:p>
            <w:pPr>
              <w:ind w:left="1000"/>
              <w:spacing w:after="0"/>
              <w:rPr>
                <w:sz w:val="20"/>
                <w:szCs w:val="20"/>
                <w:color w:val="auto"/>
              </w:rPr>
            </w:pPr>
            <w:r>
              <w:rPr>
                <w:rFonts w:ascii="Arial" w:cs="Arial" w:eastAsia="Arial" w:hAnsi="Arial"/>
                <w:sz w:val="18"/>
                <w:szCs w:val="18"/>
                <w:color w:val="auto"/>
              </w:rPr>
              <w:t>arrangements require:</w:t>
            </w:r>
          </w:p>
        </w:tc>
      </w:tr>
      <w:tr>
        <w:trPr>
          <w:trHeight w:val="315"/>
        </w:trPr>
        <w:tc>
          <w:tcPr>
            <w:tcW w:w="2880" w:type="dxa"/>
            <w:vAlign w:val="bottom"/>
          </w:tcPr>
          <w:p>
            <w:pPr>
              <w:spacing w:after="0"/>
              <w:rPr>
                <w:sz w:val="24"/>
                <w:szCs w:val="24"/>
                <w:color w:val="auto"/>
              </w:rPr>
            </w:pPr>
          </w:p>
        </w:tc>
        <w:tc>
          <w:tcPr>
            <w:tcW w:w="4620" w:type="dxa"/>
            <w:vAlign w:val="bottom"/>
            <w:gridSpan w:val="2"/>
          </w:tcPr>
          <w:p>
            <w:pPr>
              <w:ind w:left="1000"/>
              <w:spacing w:after="0"/>
              <w:rPr>
                <w:sz w:val="20"/>
                <w:szCs w:val="20"/>
                <w:color w:val="auto"/>
              </w:rPr>
            </w:pPr>
            <w:r>
              <w:rPr>
                <w:rFonts w:ascii="Arial" w:cs="Arial" w:eastAsia="Arial" w:hAnsi="Arial"/>
                <w:sz w:val="18"/>
                <w:szCs w:val="18"/>
                <w:color w:val="auto"/>
              </w:rPr>
              <w:t>(1) the approval, at a shareholders’ or</w:t>
            </w:r>
          </w:p>
        </w:tc>
      </w:tr>
      <w:tr>
        <w:trPr>
          <w:trHeight w:val="203"/>
        </w:trPr>
        <w:tc>
          <w:tcPr>
            <w:tcW w:w="2880" w:type="dxa"/>
            <w:vAlign w:val="bottom"/>
          </w:tcPr>
          <w:p>
            <w:pPr>
              <w:spacing w:after="0"/>
              <w:rPr>
                <w:sz w:val="17"/>
                <w:szCs w:val="17"/>
                <w:color w:val="auto"/>
              </w:rPr>
            </w:pP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creditors’ meeting convened by order of a</w:t>
            </w:r>
          </w:p>
        </w:tc>
      </w:tr>
      <w:tr>
        <w:trPr>
          <w:trHeight w:val="203"/>
        </w:trPr>
        <w:tc>
          <w:tcPr>
            <w:tcW w:w="2880" w:type="dxa"/>
            <w:vAlign w:val="bottom"/>
          </w:tcPr>
          <w:p>
            <w:pPr>
              <w:spacing w:after="0"/>
              <w:rPr>
                <w:sz w:val="17"/>
                <w:szCs w:val="17"/>
                <w:color w:val="auto"/>
              </w:rPr>
            </w:pP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court of England and Wales, of a majority in</w:t>
            </w:r>
          </w:p>
        </w:tc>
      </w:tr>
      <w:tr>
        <w:trPr>
          <w:trHeight w:val="203"/>
        </w:trPr>
        <w:tc>
          <w:tcPr>
            <w:tcW w:w="2880" w:type="dxa"/>
            <w:vAlign w:val="bottom"/>
          </w:tcPr>
          <w:p>
            <w:pPr>
              <w:spacing w:after="0"/>
              <w:rPr>
                <w:sz w:val="17"/>
                <w:szCs w:val="17"/>
                <w:color w:val="auto"/>
              </w:rPr>
            </w:pP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number representing not less than 75% in</w:t>
            </w:r>
          </w:p>
        </w:tc>
      </w:tr>
      <w:tr>
        <w:trPr>
          <w:trHeight w:val="203"/>
        </w:trPr>
        <w:tc>
          <w:tcPr>
            <w:tcW w:w="2880" w:type="dxa"/>
            <w:vAlign w:val="bottom"/>
          </w:tcPr>
          <w:p>
            <w:pPr>
              <w:spacing w:after="0"/>
              <w:rPr>
                <w:sz w:val="17"/>
                <w:szCs w:val="17"/>
                <w:color w:val="auto"/>
              </w:rPr>
            </w:pP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value of the creditors or class of creditors or</w:t>
            </w:r>
          </w:p>
        </w:tc>
      </w:tr>
      <w:tr>
        <w:trPr>
          <w:trHeight w:val="203"/>
        </w:trPr>
        <w:tc>
          <w:tcPr>
            <w:tcW w:w="2880" w:type="dxa"/>
            <w:vAlign w:val="bottom"/>
          </w:tcPr>
          <w:p>
            <w:pPr>
              <w:spacing w:after="0"/>
              <w:rPr>
                <w:sz w:val="17"/>
                <w:szCs w:val="17"/>
                <w:color w:val="auto"/>
              </w:rPr>
            </w:pP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members or class of members (as the case</w:t>
            </w:r>
          </w:p>
        </w:tc>
      </w:tr>
      <w:tr>
        <w:trPr>
          <w:trHeight w:val="202"/>
        </w:trPr>
        <w:tc>
          <w:tcPr>
            <w:tcW w:w="2880" w:type="dxa"/>
            <w:vAlign w:val="bottom"/>
          </w:tcPr>
          <w:p>
            <w:pPr>
              <w:spacing w:after="0"/>
              <w:rPr>
                <w:sz w:val="17"/>
                <w:szCs w:val="17"/>
                <w:color w:val="auto"/>
              </w:rPr>
            </w:pP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may be) present and voting, either in person</w:t>
            </w:r>
          </w:p>
        </w:tc>
      </w:tr>
      <w:tr>
        <w:trPr>
          <w:trHeight w:val="203"/>
        </w:trPr>
        <w:tc>
          <w:tcPr>
            <w:tcW w:w="2880" w:type="dxa"/>
            <w:vAlign w:val="bottom"/>
          </w:tcPr>
          <w:p>
            <w:pPr>
              <w:spacing w:after="0"/>
              <w:rPr>
                <w:sz w:val="17"/>
                <w:szCs w:val="17"/>
                <w:color w:val="auto"/>
              </w:rPr>
            </w:pP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w w:val="99"/>
              </w:rPr>
              <w:t>or by proxy; and (2) the approval of a court of</w:t>
            </w:r>
          </w:p>
        </w:tc>
      </w:tr>
      <w:tr>
        <w:trPr>
          <w:trHeight w:val="239"/>
        </w:trPr>
        <w:tc>
          <w:tcPr>
            <w:tcW w:w="2880" w:type="dxa"/>
            <w:vAlign w:val="bottom"/>
          </w:tcPr>
          <w:p>
            <w:pPr>
              <w:spacing w:after="0"/>
              <w:rPr>
                <w:sz w:val="20"/>
                <w:szCs w:val="20"/>
                <w:color w:val="auto"/>
              </w:rPr>
            </w:pPr>
          </w:p>
        </w:tc>
        <w:tc>
          <w:tcPr>
            <w:tcW w:w="4620" w:type="dxa"/>
            <w:vAlign w:val="bottom"/>
            <w:gridSpan w:val="2"/>
          </w:tcPr>
          <w:p>
            <w:pPr>
              <w:ind w:left="1000"/>
              <w:spacing w:after="0"/>
              <w:rPr>
                <w:sz w:val="20"/>
                <w:szCs w:val="20"/>
                <w:color w:val="auto"/>
              </w:rPr>
            </w:pPr>
            <w:r>
              <w:rPr>
                <w:rFonts w:ascii="Arial" w:cs="Arial" w:eastAsia="Arial" w:hAnsi="Arial"/>
                <w:sz w:val="18"/>
                <w:szCs w:val="18"/>
                <w:color w:val="auto"/>
              </w:rPr>
              <w:t>England and Wales.</w:t>
            </w:r>
          </w:p>
        </w:tc>
      </w:tr>
      <w:tr>
        <w:trPr>
          <w:trHeight w:val="382"/>
        </w:trPr>
        <w:tc>
          <w:tcPr>
            <w:tcW w:w="2880" w:type="dxa"/>
            <w:vAlign w:val="bottom"/>
          </w:tcPr>
          <w:p>
            <w:pPr>
              <w:spacing w:after="0"/>
              <w:rPr>
                <w:sz w:val="20"/>
                <w:szCs w:val="20"/>
                <w:color w:val="auto"/>
              </w:rPr>
            </w:pPr>
            <w:r>
              <w:rPr>
                <w:rFonts w:ascii="Arial" w:cs="Arial" w:eastAsia="Arial" w:hAnsi="Arial"/>
                <w:sz w:val="18"/>
                <w:szCs w:val="18"/>
                <w:color w:val="auto"/>
              </w:rPr>
              <w:t>Standard of Conduct for</w:t>
            </w:r>
          </w:p>
        </w:tc>
        <w:tc>
          <w:tcPr>
            <w:tcW w:w="4620" w:type="dxa"/>
            <w:vAlign w:val="bottom"/>
            <w:gridSpan w:val="2"/>
          </w:tcPr>
          <w:p>
            <w:pPr>
              <w:ind w:left="1000"/>
              <w:spacing w:after="0"/>
              <w:rPr>
                <w:sz w:val="20"/>
                <w:szCs w:val="20"/>
                <w:color w:val="auto"/>
              </w:rPr>
            </w:pPr>
            <w:r>
              <w:rPr>
                <w:rFonts w:ascii="Arial" w:cs="Arial" w:eastAsia="Arial" w:hAnsi="Arial"/>
                <w:sz w:val="18"/>
                <w:szCs w:val="18"/>
                <w:color w:val="auto"/>
              </w:rPr>
              <w:t>Under English law, a director owes various</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Directors</w:t>
            </w: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w w:val="99"/>
              </w:rPr>
              <w:t>statutory and fiduciary duties to the company,</w:t>
            </w:r>
          </w:p>
        </w:tc>
      </w:tr>
      <w:tr>
        <w:trPr>
          <w:trHeight w:val="239"/>
        </w:trPr>
        <w:tc>
          <w:tcPr>
            <w:tcW w:w="2880" w:type="dxa"/>
            <w:vAlign w:val="bottom"/>
          </w:tcPr>
          <w:p>
            <w:pPr>
              <w:spacing w:after="0"/>
              <w:rPr>
                <w:sz w:val="20"/>
                <w:szCs w:val="20"/>
                <w:color w:val="auto"/>
              </w:rPr>
            </w:pPr>
          </w:p>
        </w:tc>
        <w:tc>
          <w:tcPr>
            <w:tcW w:w="4620" w:type="dxa"/>
            <w:vAlign w:val="bottom"/>
            <w:gridSpan w:val="2"/>
          </w:tcPr>
          <w:p>
            <w:pPr>
              <w:ind w:left="1000"/>
              <w:spacing w:after="0"/>
              <w:rPr>
                <w:sz w:val="20"/>
                <w:szCs w:val="20"/>
                <w:color w:val="auto"/>
              </w:rPr>
            </w:pPr>
            <w:r>
              <w:rPr>
                <w:rFonts w:ascii="Arial" w:cs="Arial" w:eastAsia="Arial" w:hAnsi="Arial"/>
                <w:sz w:val="18"/>
                <w:szCs w:val="18"/>
                <w:color w:val="auto"/>
              </w:rPr>
              <w:t>including:</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the way he or she considers, in</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good faith, would be most likely to</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promote the success of the company for</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the benefit of its members as a whole;</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avoid a situation in which he or she</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has, or can have, a direct or indirect</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interest that conflicts, or possibly</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conflicts, with the interests of the</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accordance with the company’s</w:t>
            </w:r>
          </w:p>
        </w:tc>
      </w:tr>
      <w:tr>
        <w:trPr>
          <w:trHeight w:val="202"/>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constitution and only exercise his or her</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powers for the purposes for which they</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are conferred;</w:t>
            </w:r>
          </w:p>
        </w:tc>
      </w:tr>
      <w:tr>
        <w:trPr>
          <w:trHeight w:val="324"/>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independent judgment;</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reasonable care, skill, and</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diligence;</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 not to accept benefits from a third party</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w w:val="99"/>
              </w:rPr>
              <w:t>conferred by reason of his or her being a</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director or doing, or not doing, anything</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as a director; and</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 duty to declare any interest that he or</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she has, whether directly or indirectly,</w:t>
            </w:r>
          </w:p>
        </w:tc>
      </w:tr>
      <w:tr>
        <w:trPr>
          <w:trHeight w:val="365"/>
        </w:trPr>
        <w:tc>
          <w:tcPr>
            <w:tcW w:w="2880" w:type="dxa"/>
            <w:vAlign w:val="bottom"/>
          </w:tcPr>
          <w:p>
            <w:pPr>
              <w:spacing w:after="0"/>
              <w:rPr>
                <w:sz w:val="24"/>
                <w:szCs w:val="24"/>
                <w:color w:val="auto"/>
              </w:rPr>
            </w:pPr>
          </w:p>
        </w:tc>
        <w:tc>
          <w:tcPr>
            <w:tcW w:w="4620" w:type="dxa"/>
            <w:vAlign w:val="bottom"/>
            <w:gridSpan w:val="2"/>
          </w:tcPr>
          <w:p>
            <w:pPr>
              <w:ind w:left="2520"/>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all of a corporation’s assets or dissolution requires:</w:t>
      </w:r>
    </w:p>
    <w:p>
      <w:pPr>
        <w:spacing w:after="0" w:line="75" w:lineRule="exact"/>
        <w:rPr>
          <w:sz w:val="20"/>
          <w:szCs w:val="20"/>
          <w:color w:val="auto"/>
        </w:rPr>
      </w:pPr>
    </w:p>
    <w:p>
      <w:pPr>
        <w:ind w:left="340" w:right="60" w:hanging="359"/>
        <w:spacing w:after="0" w:line="220"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 the approval of the board of directors; and</w:t>
      </w:r>
    </w:p>
    <w:p>
      <w:pPr>
        <w:spacing w:after="0" w:line="87" w:lineRule="exact"/>
        <w:rPr>
          <w:sz w:val="20"/>
          <w:szCs w:val="20"/>
          <w:color w:val="auto"/>
        </w:rPr>
      </w:pPr>
    </w:p>
    <w:p>
      <w:pPr>
        <w:ind w:left="340" w:right="140" w:hanging="359"/>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 the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8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8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In general, but subject to certain exceptions, actions of a director</w:t>
      </w:r>
    </w:p>
    <w:p>
      <w:pPr>
        <w:sectPr>
          <w:pgSz w:w="11900" w:h="16838" w:orient="portrait"/>
          <w:cols w:equalWidth="0" w:num="2">
            <w:col w:w="7620" w:space="120"/>
            <w:col w:w="3400"/>
          </w:cols>
          <w:pgMar w:left="320" w:top="455"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4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15240</wp:posOffset>
            </wp:positionV>
            <wp:extent cx="23056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       in a proposed or existing transaction or</w:t>
      </w:r>
    </w:p>
    <w:p>
      <w:pPr>
        <w:ind w:left="4360"/>
        <w:spacing w:after="0"/>
        <w:rPr>
          <w:sz w:val="20"/>
          <w:szCs w:val="20"/>
          <w:color w:val="auto"/>
        </w:rPr>
      </w:pPr>
      <w:r>
        <w:rPr>
          <w:rFonts w:ascii="Arial" w:cs="Arial" w:eastAsia="Arial" w:hAnsi="Arial"/>
          <w:sz w:val="18"/>
          <w:szCs w:val="18"/>
          <w:color w:val="auto"/>
        </w:rPr>
        <w:t>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Shareholder Suits</w:t>
      </w:r>
      <w:r>
        <w:rPr>
          <w:sz w:val="20"/>
          <w:szCs w:val="20"/>
          <w:color w:val="auto"/>
        </w:rPr>
        <w:tab/>
      </w:r>
      <w:r>
        <w:rPr>
          <w:rFonts w:ascii="Arial" w:cs="Arial" w:eastAsia="Arial" w:hAnsi="Arial"/>
          <w:sz w:val="17"/>
          <w:szCs w:val="17"/>
          <w:color w:val="auto"/>
        </w:rPr>
        <w:t>Under English law, generally, the company,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rather than its shareholders, is the proper</w:t>
      </w:r>
    </w:p>
    <w:p>
      <w:pPr>
        <w:ind w:left="4000"/>
        <w:spacing w:after="0" w:line="234" w:lineRule="auto"/>
        <w:rPr>
          <w:sz w:val="20"/>
          <w:szCs w:val="20"/>
          <w:color w:val="auto"/>
        </w:rPr>
      </w:pPr>
      <w:r>
        <w:rPr>
          <w:rFonts w:ascii="Arial" w:cs="Arial" w:eastAsia="Arial" w:hAnsi="Arial"/>
          <w:sz w:val="18"/>
          <w:szCs w:val="18"/>
          <w:color w:val="auto"/>
        </w:rPr>
        <w:t>claimant in an action in respect of a wrong</w:t>
      </w:r>
    </w:p>
    <w:p>
      <w:pPr>
        <w:ind w:left="4000"/>
        <w:spacing w:after="0" w:line="235" w:lineRule="auto"/>
        <w:rPr>
          <w:sz w:val="20"/>
          <w:szCs w:val="20"/>
          <w:color w:val="auto"/>
        </w:rPr>
      </w:pPr>
      <w:r>
        <w:rPr>
          <w:rFonts w:ascii="Arial" w:cs="Arial" w:eastAsia="Arial" w:hAnsi="Arial"/>
          <w:sz w:val="18"/>
          <w:szCs w:val="18"/>
          <w:color w:val="auto"/>
        </w:rPr>
        <w:t>done to the company or where there is an</w:t>
      </w:r>
    </w:p>
    <w:p>
      <w:pPr>
        <w:ind w:left="4000"/>
        <w:spacing w:after="0" w:line="235" w:lineRule="auto"/>
        <w:rPr>
          <w:sz w:val="20"/>
          <w:szCs w:val="20"/>
          <w:color w:val="auto"/>
        </w:rPr>
      </w:pPr>
      <w:r>
        <w:rPr>
          <w:rFonts w:ascii="Arial" w:cs="Arial" w:eastAsia="Arial" w:hAnsi="Arial"/>
          <w:sz w:val="18"/>
          <w:szCs w:val="18"/>
          <w:color w:val="auto"/>
        </w:rPr>
        <w:t>irregularity in the company’s internal</w:t>
      </w:r>
    </w:p>
    <w:p>
      <w:pPr>
        <w:ind w:left="4000"/>
        <w:spacing w:after="0" w:line="235" w:lineRule="auto"/>
        <w:rPr>
          <w:sz w:val="20"/>
          <w:szCs w:val="20"/>
          <w:color w:val="auto"/>
        </w:rPr>
      </w:pPr>
      <w:r>
        <w:rPr>
          <w:rFonts w:ascii="Arial" w:cs="Arial" w:eastAsia="Arial" w:hAnsi="Arial"/>
          <w:sz w:val="18"/>
          <w:szCs w:val="18"/>
          <w:color w:val="auto"/>
        </w:rPr>
        <w:t>management. Notwithstanding this general</w:t>
      </w:r>
    </w:p>
    <w:p>
      <w:pPr>
        <w:ind w:left="4000"/>
        <w:spacing w:after="0" w:line="235" w:lineRule="auto"/>
        <w:rPr>
          <w:sz w:val="20"/>
          <w:szCs w:val="20"/>
          <w:color w:val="auto"/>
        </w:rPr>
      </w:pPr>
      <w:r>
        <w:rPr>
          <w:rFonts w:ascii="Arial" w:cs="Arial" w:eastAsia="Arial" w:hAnsi="Arial"/>
          <w:sz w:val="18"/>
          <w:szCs w:val="18"/>
          <w:color w:val="auto"/>
        </w:rPr>
        <w:t>position, the U.K. Companies Act 2006</w:t>
      </w:r>
    </w:p>
    <w:p>
      <w:pPr>
        <w:ind w:left="4000"/>
        <w:spacing w:after="0" w:line="234" w:lineRule="auto"/>
        <w:rPr>
          <w:sz w:val="20"/>
          <w:szCs w:val="20"/>
          <w:color w:val="auto"/>
        </w:rPr>
      </w:pPr>
      <w:r>
        <w:rPr>
          <w:rFonts w:ascii="Arial" w:cs="Arial" w:eastAsia="Arial" w:hAnsi="Arial"/>
          <w:sz w:val="18"/>
          <w:szCs w:val="18"/>
          <w:color w:val="auto"/>
        </w:rPr>
        <w:t>provides that (1) a court may allow a</w:t>
      </w:r>
    </w:p>
    <w:p>
      <w:pPr>
        <w:ind w:left="4000"/>
        <w:spacing w:after="0" w:line="235" w:lineRule="auto"/>
        <w:rPr>
          <w:sz w:val="20"/>
          <w:szCs w:val="20"/>
          <w:color w:val="auto"/>
        </w:rPr>
      </w:pPr>
      <w:r>
        <w:rPr>
          <w:rFonts w:ascii="Arial" w:cs="Arial" w:eastAsia="Arial" w:hAnsi="Arial"/>
          <w:sz w:val="18"/>
          <w:szCs w:val="18"/>
          <w:color w:val="auto"/>
        </w:rPr>
        <w:t>shareholder to bring a derivative claim (that</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is, an action in respect of and on behalf of the</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company) in respect of a cause of action</w:t>
      </w:r>
    </w:p>
    <w:p>
      <w:pPr>
        <w:ind w:left="4000"/>
        <w:spacing w:after="0" w:line="234" w:lineRule="auto"/>
        <w:rPr>
          <w:sz w:val="20"/>
          <w:szCs w:val="20"/>
          <w:color w:val="auto"/>
        </w:rPr>
      </w:pPr>
      <w:r>
        <w:rPr>
          <w:rFonts w:ascii="Arial" w:cs="Arial" w:eastAsia="Arial" w:hAnsi="Arial"/>
          <w:sz w:val="18"/>
          <w:szCs w:val="18"/>
          <w:color w:val="auto"/>
        </w:rPr>
        <w:t>arising from a director’s negligence, default,</w:t>
      </w:r>
    </w:p>
    <w:p>
      <w:pPr>
        <w:ind w:left="4000"/>
        <w:spacing w:after="0" w:line="235" w:lineRule="auto"/>
        <w:rPr>
          <w:sz w:val="20"/>
          <w:szCs w:val="20"/>
          <w:color w:val="auto"/>
        </w:rPr>
      </w:pPr>
      <w:r>
        <w:rPr>
          <w:rFonts w:ascii="Arial" w:cs="Arial" w:eastAsia="Arial" w:hAnsi="Arial"/>
          <w:sz w:val="18"/>
          <w:szCs w:val="18"/>
          <w:color w:val="auto"/>
        </w:rPr>
        <w:t>breach of duty or breach of trust and (2) a</w:t>
      </w:r>
    </w:p>
    <w:p>
      <w:pPr>
        <w:ind w:left="4000"/>
        <w:spacing w:after="0" w:line="235" w:lineRule="auto"/>
        <w:rPr>
          <w:sz w:val="20"/>
          <w:szCs w:val="20"/>
          <w:color w:val="auto"/>
        </w:rPr>
      </w:pPr>
      <w:r>
        <w:rPr>
          <w:rFonts w:ascii="Arial" w:cs="Arial" w:eastAsia="Arial" w:hAnsi="Arial"/>
          <w:sz w:val="18"/>
          <w:szCs w:val="18"/>
          <w:color w:val="auto"/>
        </w:rPr>
        <w:t>shareholder may bring a claim for a court</w:t>
      </w:r>
    </w:p>
    <w:p>
      <w:pPr>
        <w:ind w:left="4000"/>
        <w:spacing w:after="0" w:line="235" w:lineRule="auto"/>
        <w:rPr>
          <w:sz w:val="20"/>
          <w:szCs w:val="20"/>
          <w:color w:val="auto"/>
        </w:rPr>
      </w:pPr>
      <w:r>
        <w:rPr>
          <w:rFonts w:ascii="Arial" w:cs="Arial" w:eastAsia="Arial" w:hAnsi="Arial"/>
          <w:sz w:val="18"/>
          <w:szCs w:val="18"/>
          <w:color w:val="auto"/>
        </w:rPr>
        <w:t>order on the ground that the company’s</w:t>
      </w:r>
    </w:p>
    <w:p>
      <w:pPr>
        <w:ind w:left="4000"/>
        <w:spacing w:after="0" w:line="235" w:lineRule="auto"/>
        <w:rPr>
          <w:sz w:val="20"/>
          <w:szCs w:val="20"/>
          <w:color w:val="auto"/>
        </w:rPr>
      </w:pPr>
      <w:r>
        <w:rPr>
          <w:rFonts w:ascii="Arial" w:cs="Arial" w:eastAsia="Arial" w:hAnsi="Arial"/>
          <w:sz w:val="18"/>
          <w:szCs w:val="18"/>
          <w:color w:val="auto"/>
        </w:rPr>
        <w:t>affairs have been or are being conducted in a</w:t>
      </w:r>
    </w:p>
    <w:p>
      <w:pPr>
        <w:ind w:left="4000"/>
        <w:spacing w:after="0" w:line="234" w:lineRule="auto"/>
        <w:rPr>
          <w:sz w:val="20"/>
          <w:szCs w:val="20"/>
          <w:color w:val="auto"/>
        </w:rPr>
      </w:pPr>
      <w:r>
        <w:rPr>
          <w:rFonts w:ascii="Arial" w:cs="Arial" w:eastAsia="Arial" w:hAnsi="Arial"/>
          <w:sz w:val="18"/>
          <w:szCs w:val="18"/>
          <w:color w:val="auto"/>
        </w:rPr>
        <w:t>manner that is unfairly prejudicial to the</w:t>
      </w:r>
    </w:p>
    <w:p>
      <w:pPr>
        <w:ind w:left="4000"/>
        <w:spacing w:after="0" w:line="235" w:lineRule="auto"/>
        <w:rPr>
          <w:sz w:val="20"/>
          <w:szCs w:val="20"/>
          <w:color w:val="auto"/>
        </w:rPr>
      </w:pPr>
      <w:r>
        <w:rPr>
          <w:rFonts w:ascii="Arial" w:cs="Arial" w:eastAsia="Arial" w:hAnsi="Arial"/>
          <w:sz w:val="18"/>
          <w:szCs w:val="18"/>
          <w:color w:val="auto"/>
        </w:rPr>
        <w:t>interests of its shareholders generally or of</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some of its shareholders, or that</w:t>
      </w:r>
    </w:p>
    <w:p>
      <w:pPr>
        <w:spacing w:after="0" w:line="200" w:lineRule="exact"/>
        <w:rPr>
          <w:sz w:val="20"/>
          <w:szCs w:val="20"/>
          <w:color w:val="auto"/>
        </w:rPr>
      </w:pPr>
    </w:p>
    <w:p>
      <w:pPr>
        <w:spacing w:after="0" w:line="30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90"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82" w:lineRule="exact"/>
        <w:rPr>
          <w:sz w:val="20"/>
          <w:szCs w:val="20"/>
          <w:color w:val="auto"/>
        </w:rPr>
      </w:pPr>
    </w:p>
    <w:p>
      <w:pPr>
        <w:ind w:left="340" w:right="60" w:hanging="359"/>
        <w:spacing w:after="0" w:line="20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 state that the plaintiff was a stockholder at the time of the transaction of which the plaintiff complains or that the plaintiffs shares thereafter devolved on the plaintiff by operation of law; and</w:t>
      </w:r>
    </w:p>
    <w:p>
      <w:pPr>
        <w:spacing w:after="0" w:line="89" w:lineRule="exact"/>
        <w:rPr>
          <w:sz w:val="20"/>
          <w:szCs w:val="20"/>
          <w:color w:val="auto"/>
        </w:rPr>
      </w:pPr>
    </w:p>
    <w:p>
      <w:pPr>
        <w:ind w:left="340" w:right="180" w:hanging="359"/>
        <w:spacing w:after="0" w:line="20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 allege with particularity the efforts made by the plaintiff to obtain the action the plaintiff desires from the directors and the reasons for the plaintiff’s failure to obtain the action; or</w:t>
      </w:r>
    </w:p>
    <w:p>
      <w:pPr>
        <w:spacing w:after="0" w:line="89" w:lineRule="exact"/>
        <w:rPr>
          <w:sz w:val="20"/>
          <w:szCs w:val="20"/>
          <w:color w:val="auto"/>
        </w:rPr>
      </w:pPr>
    </w:p>
    <w:p>
      <w:pPr>
        <w:ind w:left="340" w:right="160" w:hanging="359"/>
        <w:spacing w:after="0" w:line="220"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 state the reasons for not making the effort.</w:t>
      </w:r>
    </w:p>
    <w:p>
      <w:pPr>
        <w:sectPr>
          <w:pgSz w:w="11900" w:h="16838" w:orient="portrait"/>
          <w:cols w:equalWidth="0" w:num="2">
            <w:col w:w="7620" w:space="120"/>
            <w:col w:w="3380"/>
          </w:cols>
          <w:pgMar w:left="320" w:top="455" w:right="4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0820"/>
          </w:cols>
          <w:pgMar w:left="320" w:top="455" w:right="759" w:bottom="1440" w:gutter="0" w:footer="0" w:header="0"/>
        </w:sectPr>
      </w:pPr>
    </w:p>
    <w:p>
      <w:pPr>
        <w:spacing w:after="0" w:line="34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15240</wp:posOffset>
            </wp:positionV>
            <wp:extent cx="23056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an actual or proposed act or omission of the</w:t>
      </w:r>
    </w:p>
    <w:p>
      <w:pPr>
        <w:ind w:left="4000"/>
        <w:spacing w:after="0"/>
        <w:rPr>
          <w:sz w:val="20"/>
          <w:szCs w:val="20"/>
          <w:color w:val="auto"/>
        </w:rPr>
      </w:pPr>
      <w:r>
        <w:rPr>
          <w:rFonts w:ascii="Arial" w:cs="Arial" w:eastAsia="Arial" w:hAnsi="Arial"/>
          <w:sz w:val="18"/>
          <w:szCs w:val="18"/>
          <w:color w:val="auto"/>
        </w:rPr>
        <w:t>company is or would be so prejudicial.</w:t>
      </w:r>
    </w:p>
    <w:p>
      <w:pPr>
        <w:spacing w:after="0" w:line="9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U.K. Limitation Act 1980 imposes a</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limitation period, with certain exceptions, in</w:t>
      </w:r>
    </w:p>
    <w:p>
      <w:pPr>
        <w:ind w:left="4000"/>
        <w:spacing w:after="0" w:line="234" w:lineRule="auto"/>
        <w:rPr>
          <w:sz w:val="20"/>
          <w:szCs w:val="20"/>
          <w:color w:val="auto"/>
        </w:rPr>
      </w:pPr>
      <w:r>
        <w:rPr>
          <w:rFonts w:ascii="Arial" w:cs="Arial" w:eastAsia="Arial" w:hAnsi="Arial"/>
          <w:sz w:val="18"/>
          <w:szCs w:val="18"/>
          <w:color w:val="auto"/>
        </w:rPr>
        <w:t>respect of civil claims. The period is six years</w:t>
      </w:r>
    </w:p>
    <w:p>
      <w:pPr>
        <w:ind w:left="4000"/>
        <w:spacing w:after="0" w:line="235" w:lineRule="auto"/>
        <w:rPr>
          <w:sz w:val="20"/>
          <w:szCs w:val="20"/>
          <w:color w:val="auto"/>
        </w:rPr>
      </w:pPr>
      <w:r>
        <w:rPr>
          <w:rFonts w:ascii="Arial" w:cs="Arial" w:eastAsia="Arial" w:hAnsi="Arial"/>
          <w:sz w:val="18"/>
          <w:szCs w:val="18"/>
          <w:color w:val="auto"/>
        </w:rPr>
        <w:t>in respect of actions in contract and tort, and</w:t>
      </w:r>
    </w:p>
    <w:p>
      <w:pPr>
        <w:ind w:left="4000"/>
        <w:spacing w:after="0" w:line="235" w:lineRule="auto"/>
        <w:rPr>
          <w:sz w:val="20"/>
          <w:szCs w:val="20"/>
          <w:color w:val="auto"/>
        </w:rPr>
      </w:pPr>
      <w:r>
        <w:rPr>
          <w:rFonts w:ascii="Arial" w:cs="Arial" w:eastAsia="Arial" w:hAnsi="Arial"/>
          <w:sz w:val="18"/>
          <w:szCs w:val="18"/>
          <w:color w:val="auto"/>
        </w:rPr>
        <w:t>12 years for “actions on a specialty,” such as</w:t>
      </w:r>
    </w:p>
    <w:p>
      <w:pPr>
        <w:ind w:left="4000"/>
        <w:spacing w:after="0" w:line="235" w:lineRule="auto"/>
        <w:rPr>
          <w:sz w:val="20"/>
          <w:szCs w:val="20"/>
          <w:color w:val="auto"/>
        </w:rPr>
      </w:pPr>
      <w:r>
        <w:rPr>
          <w:rFonts w:ascii="Arial" w:cs="Arial" w:eastAsia="Arial" w:hAnsi="Arial"/>
          <w:sz w:val="18"/>
          <w:szCs w:val="18"/>
          <w:color w:val="auto"/>
        </w:rPr>
        <w:t>a breach of any obligation contained in a</w:t>
      </w:r>
    </w:p>
    <w:p>
      <w:pPr>
        <w:ind w:left="4000"/>
        <w:spacing w:after="0"/>
        <w:rPr>
          <w:sz w:val="20"/>
          <w:szCs w:val="20"/>
          <w:color w:val="auto"/>
        </w:rPr>
      </w:pPr>
      <w:r>
        <w:rPr>
          <w:rFonts w:ascii="Arial" w:cs="Arial" w:eastAsia="Arial" w:hAnsi="Arial"/>
          <w:sz w:val="17"/>
          <w:szCs w:val="17"/>
          <w:color w:val="auto"/>
        </w:rPr>
        <w:t>deed. The limitation period begins to run from</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date on which the action accrued. In the</w:t>
      </w:r>
    </w:p>
    <w:p>
      <w:pPr>
        <w:ind w:left="4000"/>
        <w:spacing w:after="0" w:line="234" w:lineRule="auto"/>
        <w:rPr>
          <w:sz w:val="20"/>
          <w:szCs w:val="20"/>
          <w:color w:val="auto"/>
        </w:rPr>
      </w:pPr>
      <w:r>
        <w:rPr>
          <w:rFonts w:ascii="Arial" w:cs="Arial" w:eastAsia="Arial" w:hAnsi="Arial"/>
          <w:sz w:val="18"/>
          <w:szCs w:val="18"/>
          <w:color w:val="auto"/>
        </w:rPr>
        <w:t>case of contract, this is the date on which the</w:t>
      </w:r>
    </w:p>
    <w:p>
      <w:pPr>
        <w:ind w:left="4000"/>
        <w:spacing w:after="0" w:line="235" w:lineRule="auto"/>
        <w:rPr>
          <w:sz w:val="20"/>
          <w:szCs w:val="20"/>
          <w:color w:val="auto"/>
        </w:rPr>
      </w:pPr>
      <w:r>
        <w:rPr>
          <w:rFonts w:ascii="Arial" w:cs="Arial" w:eastAsia="Arial" w:hAnsi="Arial"/>
          <w:sz w:val="18"/>
          <w:szCs w:val="18"/>
          <w:color w:val="auto"/>
        </w:rPr>
        <w:t>breach of contract occurred, and in tort this is</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date on which the damage is suffered.</w:t>
      </w:r>
    </w:p>
    <w:p>
      <w:pPr>
        <w:spacing w:after="0" w:line="14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2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7620" w:space="120"/>
            <w:col w:w="3080"/>
          </w:cols>
          <w:pgMar w:left="320" w:top="455" w:right="7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04" w:lineRule="exact"/>
        <w:rPr>
          <w:sz w:val="20"/>
          <w:szCs w:val="20"/>
          <w:color w:val="auto"/>
        </w:rPr>
      </w:pPr>
    </w:p>
    <w:p>
      <w:pPr>
        <w:ind w:left="120" w:right="200" w:firstLine="440"/>
        <w:spacing w:after="0" w:line="244" w:lineRule="auto"/>
        <w:rPr>
          <w:sz w:val="20"/>
          <w:szCs w:val="20"/>
          <w:color w:val="auto"/>
        </w:rPr>
      </w:pPr>
      <w:r>
        <w:rPr>
          <w:rFonts w:ascii="Arial" w:cs="Arial" w:eastAsia="Arial" w:hAnsi="Arial"/>
          <w:sz w:val="18"/>
          <w:szCs w:val="18"/>
          <w:color w:val="auto"/>
        </w:rPr>
        <w:t>Citibank, N.A.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w:t>
      </w:r>
    </w:p>
    <w:p>
      <w:pPr>
        <w:spacing w:after="0" w:line="176"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7"/>
          <w:szCs w:val="17"/>
          <w:color w:val="auto"/>
        </w:rPr>
        <w:t>We have appointed Citibank as depositary pursuant to a deposit agreement. A copy of the deposit agreement is on file with the SEC under cover of a registration statement on Form F-6. A copy of the deposit agreement is available from the SEC’s website (www.sec.gov). Please refer to registration number 333-223890, 333-249338, 333-258824 and 333-279433 when retrieving such copy. “Holder” means the person or persons in whose name an ADS is registered on the register maintained by the depositary for such purpose.</w:t>
      </w:r>
    </w:p>
    <w:p>
      <w:pPr>
        <w:spacing w:after="0" w:line="159"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7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89"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60" w:firstLine="440"/>
        <w:spacing w:after="0" w:line="247"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None of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74"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w:t>
      </w:r>
    </w:p>
    <w:p>
      <w:pPr>
        <w:spacing w:after="0" w:line="186"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04"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Holders generally have the right to receive the distributions we make on the securities deposited with the custodian. A Holder’s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02"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color w:val="auto"/>
        </w:rPr>
        <w:t>the depositary will arrange for the funds received in a currency other than U.S. dollars to be converted into U.S. dollars and for the distribution of the U.S. dollars to the holders, subject to the laws and regulations of England and Wales.</w:t>
      </w:r>
    </w:p>
    <w:p>
      <w:pPr>
        <w:spacing w:after="0" w:line="154" w:lineRule="exact"/>
        <w:rPr>
          <w:sz w:val="20"/>
          <w:szCs w:val="20"/>
          <w:color w:val="auto"/>
        </w:rPr>
      </w:pPr>
    </w:p>
    <w:p>
      <w:pPr>
        <w:jc w:val="both"/>
        <w:ind w:left="120" w:right="160" w:firstLine="440"/>
        <w:spacing w:after="0" w:line="25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69"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02"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a Holder holds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7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69"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No such distribution of new ADSs will be made if it would violate a law (e.g.,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0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w:t>
      </w:r>
    </w:p>
    <w:p>
      <w:pPr>
        <w:spacing w:after="0" w:line="169"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Holders may have to pay fees, expenses, taxes and other governmental charges to subscribe for the new ADSs upon the exercise of a Holder’s rights. The depositary is not obligated to establish procedures to facilitate the distribution and exercise by holders of rights to subscribe for new ordinary shares other than in the form of ADSs.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will not distribute the rights to a Holder if:</w:t>
      </w:r>
    </w:p>
    <w:p>
      <w:pPr>
        <w:spacing w:after="0" w:line="239" w:lineRule="exact"/>
        <w:rPr>
          <w:sz w:val="20"/>
          <w:szCs w:val="20"/>
          <w:color w:val="auto"/>
        </w:rPr>
      </w:pPr>
    </w:p>
    <w:p>
      <w:pPr>
        <w:ind w:left="980" w:right="260" w:hanging="432"/>
        <w:spacing w:after="0" w:line="230"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timely request that the rights be distributed to such Holder or we request that the rights not be distributed to such Holder; or</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320" w:top="455" w:right="5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980" w:hanging="432"/>
        <w:spacing w:after="0"/>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fail to deliver satisfactory documents to the depositary; or</w:t>
      </w:r>
    </w:p>
    <w:p>
      <w:pPr>
        <w:spacing w:after="0" w:line="22" w:lineRule="exact"/>
        <w:rPr>
          <w:rFonts w:ascii="MS PGothic" w:cs="MS PGothic" w:eastAsia="MS PGothic" w:hAnsi="MS PGothic"/>
          <w:sz w:val="25"/>
          <w:szCs w:val="25"/>
          <w:color w:val="auto"/>
          <w:vertAlign w:val="superscript"/>
        </w:rPr>
      </w:pPr>
    </w:p>
    <w:p>
      <w:pPr>
        <w:ind w:left="980" w:right="80" w:hanging="432"/>
        <w:spacing w:after="0" w:line="225" w:lineRule="auto"/>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 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0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a Holder. In such case, we will assist the depositary in determining whether such distribution is lawful and reasonably practicable.</w:t>
      </w:r>
    </w:p>
    <w:p>
      <w:pPr>
        <w:spacing w:after="0" w:line="169" w:lineRule="exact"/>
        <w:rPr>
          <w:sz w:val="20"/>
          <w:szCs w:val="20"/>
          <w:color w:val="auto"/>
        </w:rPr>
      </w:pPr>
    </w:p>
    <w:p>
      <w:pPr>
        <w:ind w:left="120" w:right="320" w:firstLine="440"/>
        <w:spacing w:after="0" w:line="253" w:lineRule="auto"/>
        <w:rPr>
          <w:sz w:val="20"/>
          <w:szCs w:val="20"/>
          <w:color w:val="auto"/>
        </w:rPr>
      </w:pPr>
      <w:r>
        <w:rPr>
          <w:rFonts w:ascii="Arial" w:cs="Arial" w:eastAsia="Arial" w:hAnsi="Arial"/>
          <w:sz w:val="18"/>
          <w:szCs w:val="18"/>
          <w:color w:val="auto"/>
        </w:rPr>
        <w:t>The depositary will make the election available to a Holder only if it is reasonably practicable and if we have provided all of the documentation contemplated in the deposit agreement. In such case, the depositary will establish procedures to enable such Holder to elect to receive either cash or additional ADSs, in each case as described in the deposit agreement.</w:t>
      </w:r>
    </w:p>
    <w:p>
      <w:pPr>
        <w:spacing w:after="0" w:line="169" w:lineRule="exact"/>
        <w:rPr>
          <w:sz w:val="20"/>
          <w:szCs w:val="20"/>
          <w:color w:val="auto"/>
        </w:rPr>
      </w:pPr>
    </w:p>
    <w:p>
      <w:pPr>
        <w:ind w:left="120" w:right="500" w:firstLine="440"/>
        <w:spacing w:after="0" w:line="301" w:lineRule="auto"/>
        <w:rPr>
          <w:sz w:val="20"/>
          <w:szCs w:val="20"/>
          <w:color w:val="auto"/>
        </w:rPr>
      </w:pPr>
      <w:r>
        <w:rPr>
          <w:rFonts w:ascii="Arial" w:cs="Arial" w:eastAsia="Arial" w:hAnsi="Arial"/>
          <w:sz w:val="17"/>
          <w:szCs w:val="17"/>
          <w:color w:val="auto"/>
        </w:rPr>
        <w:t>If the election is not made available to a Holder, such Holder will receive either cash or additional ADSs, depending on what a shareholder in England and Wales would receive upon failing to make an election, as more fully described in the deposit agreement.</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02"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a Holder. If so, we will assist the depositary in determining whether such distribution to holders is lawful and reasonably practicable.</w:t>
      </w:r>
    </w:p>
    <w:p>
      <w:pPr>
        <w:spacing w:after="0" w:line="169" w:lineRule="exact"/>
        <w:rPr>
          <w:sz w:val="20"/>
          <w:szCs w:val="20"/>
          <w:color w:val="auto"/>
        </w:rPr>
      </w:pPr>
    </w:p>
    <w:p>
      <w:pPr>
        <w:ind w:left="120" w:right="500" w:firstLine="440"/>
        <w:spacing w:after="0" w:line="301" w:lineRule="auto"/>
        <w:rPr>
          <w:sz w:val="20"/>
          <w:szCs w:val="20"/>
          <w:color w:val="auto"/>
        </w:rPr>
      </w:pPr>
      <w:r>
        <w:rPr>
          <w:rFonts w:ascii="Arial" w:cs="Arial" w:eastAsia="Arial" w:hAnsi="Arial"/>
          <w:sz w:val="17"/>
          <w:szCs w:val="17"/>
          <w:color w:val="auto"/>
        </w:rPr>
        <w:t>If it is reasonably practicable to distribute such property to a Holder and if we provide to the depositary all of the documentation contemplated in the deposit agreement, the depositary will distribute the property to the holders in a manner it deems practicable.</w:t>
      </w:r>
    </w:p>
    <w:p>
      <w:pPr>
        <w:spacing w:after="0" w:line="13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will not distribute the property to a Holder and will sell the property if:</w:t>
      </w:r>
    </w:p>
    <w:p>
      <w:pPr>
        <w:spacing w:after="0" w:line="239" w:lineRule="exact"/>
        <w:rPr>
          <w:sz w:val="20"/>
          <w:szCs w:val="20"/>
          <w:color w:val="auto"/>
        </w:rPr>
      </w:pPr>
    </w:p>
    <w:p>
      <w:pPr>
        <w:ind w:left="980" w:right="300" w:hanging="432"/>
        <w:spacing w:after="0" w:line="230"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request that the property be distributed to such Holder or if we request that the property not be distributed to such Holder; or</w:t>
      </w:r>
    </w:p>
    <w:p>
      <w:pPr>
        <w:ind w:left="980" w:hanging="432"/>
        <w:spacing w:after="0" w:line="230"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deliver satisfactory documents to the depositary; or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such Holder is not reasonably practicable; or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proceeds of such a sale will be distributed to holders as in the case of a cash distribution.</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02" w:lineRule="exact"/>
        <w:rPr>
          <w:sz w:val="20"/>
          <w:szCs w:val="20"/>
          <w:color w:val="auto"/>
        </w:rPr>
      </w:pPr>
    </w:p>
    <w:p>
      <w:pPr>
        <w:ind w:left="120" w:right="280" w:firstLine="440"/>
        <w:spacing w:after="0" w:line="253" w:lineRule="auto"/>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69"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8"/>
          <w:szCs w:val="18"/>
          <w:color w:val="auto"/>
        </w:rPr>
        <w:t>The custodian will be instructed to surrender the shares being redeemed against payment of the applicable redemption price. The depositary will convert into U.S. dollars upon the terms of the deposit</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agreement the redemption funds received in a currency other than U.S. dollars and will establish procedures to enable holders to receive the net proceeds from the redemption upon surrender of their ADSs to the depositary. A Holder may have to pay fees, expenses, taxes, and other governmental charges upon the redemption of such Holder’s ADSs. If less than all ADSs are being redeemed, the ADSs to be retired will be selected by lot or on a pro rata basis, as the depositary may determine.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04" w:lineRule="exact"/>
        <w:rPr>
          <w:sz w:val="20"/>
          <w:szCs w:val="20"/>
          <w:color w:val="auto"/>
        </w:rPr>
      </w:pPr>
    </w:p>
    <w:p>
      <w:pPr>
        <w:jc w:val="both"/>
        <w:ind w:left="120" w:right="340" w:firstLine="440"/>
        <w:spacing w:after="0" w:line="253" w:lineRule="auto"/>
        <w:rPr>
          <w:sz w:val="20"/>
          <w:szCs w:val="20"/>
          <w:color w:val="auto"/>
        </w:rPr>
      </w:pPr>
      <w:r>
        <w:rPr>
          <w:rFonts w:ascii="Arial" w:cs="Arial" w:eastAsia="Arial" w:hAnsi="Arial"/>
          <w:sz w:val="18"/>
          <w:szCs w:val="18"/>
          <w:color w:val="auto"/>
        </w:rPr>
        <w:t>The ordinary shares held on deposit for a Holder’s ADSs may change from time to time. For example, there may be a change in nominal (or par) value, split-up, cancellation, consolidation, or any other reclassification of such ordinary shares or a recapitalization, reorganization, merger, consolidation, or sale of assets of ours.</w:t>
      </w:r>
    </w:p>
    <w:p>
      <w:pPr>
        <w:spacing w:after="0" w:line="169"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color w:val="auto"/>
        </w:rPr>
        <w:t>If any such change were to occur, such Holder’s ADSs would, to the extent permitted by law and the deposit agreement, represent the right to receive the property received or exchanged in respect of the ordinary shares held on deposit. The depositary may in such circumstances deliver new ADSs to a Holder, amend the deposit agreement, the ADRs and the applicable registration statement(s) on Form F-6, call for the exchange of such Holder’s existing ADSs for new ADSs and take any other actions that are appropriate to reflect as to the ADSs the change affecting the Shares. If the depositary may not lawfully distribute such property to a Holder, the depositary may sell such property and distribute the net proceeds to such Holder as in the case of a cash distribution.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0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The depositary may create ADSs on a Holder’s behalf if such Holder or such Holder’s broker deposit ordinary shares with the custodian. The depositary will deliver these ADSs to the person a Holder indicates only after such Holder pays any applicable issuance fees and any charges and taxes payable for the transfer of the ordinary shares to the custodian. A Holder’s ability to deposit ordinary shares and receive ADSs may be limited by the legal considerations in the United States and England and Wales applicable at the time of deposit.</w:t>
      </w:r>
    </w:p>
    <w:p>
      <w:pPr>
        <w:spacing w:after="0" w:line="176" w:lineRule="exact"/>
        <w:rPr>
          <w:sz w:val="20"/>
          <w:szCs w:val="20"/>
          <w:color w:val="auto"/>
        </w:rPr>
      </w:pPr>
    </w:p>
    <w:p>
      <w:pPr>
        <w:ind w:left="120" w:right="200" w:firstLine="440"/>
        <w:spacing w:after="0" w:line="253"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69" w:lineRule="exact"/>
        <w:rPr>
          <w:sz w:val="20"/>
          <w:szCs w:val="20"/>
          <w:color w:val="auto"/>
        </w:rPr>
      </w:pPr>
    </w:p>
    <w:p>
      <w:pPr>
        <w:ind w:left="120" w:right="600" w:firstLine="440"/>
        <w:spacing w:after="0" w:line="271" w:lineRule="auto"/>
        <w:rPr>
          <w:sz w:val="20"/>
          <w:szCs w:val="20"/>
          <w:color w:val="auto"/>
        </w:rPr>
      </w:pPr>
      <w:r>
        <w:rPr>
          <w:rFonts w:ascii="Arial" w:cs="Arial" w:eastAsia="Arial" w:hAnsi="Arial"/>
          <w:sz w:val="18"/>
          <w:szCs w:val="18"/>
          <w:color w:val="auto"/>
        </w:rPr>
        <w:t>When a Holder makes a deposit of ordinary shares, such Holder will be responsible for transferring good and valid title to the depositary. As such, a Holder will be deemed to represent and warrant that:</w:t>
      </w:r>
    </w:p>
    <w:p>
      <w:pPr>
        <w:spacing w:after="0" w:line="181" w:lineRule="exact"/>
        <w:rPr>
          <w:sz w:val="20"/>
          <w:szCs w:val="20"/>
          <w:color w:val="auto"/>
        </w:rPr>
      </w:pPr>
    </w:p>
    <w:p>
      <w:pPr>
        <w:ind w:left="980" w:right="10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are duly authorized, validly allotted and issued, fully paid, not subject to any call for the payment of further capital, and legally obtained;</w:t>
      </w:r>
    </w:p>
    <w:p>
      <w:pPr>
        <w:spacing w:after="0" w:line="4" w:lineRule="exact"/>
        <w:rPr>
          <w:rFonts w:ascii="MS PGothic" w:cs="MS PGothic" w:eastAsia="MS PGothic" w:hAnsi="MS PGothic"/>
          <w:sz w:val="25"/>
          <w:szCs w:val="25"/>
          <w:color w:val="auto"/>
          <w:vertAlign w:val="superscript"/>
        </w:rPr>
      </w:pPr>
    </w:p>
    <w:p>
      <w:pPr>
        <w:ind w:left="980" w:right="70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ordinary shares have been validly waived, disapplied or exercised;</w:t>
      </w:r>
    </w:p>
    <w:p>
      <w:pPr>
        <w:ind w:left="98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such Holder is duly authorized to deposit the ordinary shares;</w:t>
      </w:r>
    </w:p>
    <w:p>
      <w:pPr>
        <w:spacing w:after="0" w:line="22" w:lineRule="exact"/>
        <w:rPr>
          <w:rFonts w:ascii="MS PGothic" w:cs="MS PGothic" w:eastAsia="MS PGothic" w:hAnsi="MS PGothic"/>
          <w:sz w:val="25"/>
          <w:szCs w:val="25"/>
          <w:color w:val="auto"/>
          <w:vertAlign w:val="superscript"/>
        </w:rPr>
      </w:pPr>
    </w:p>
    <w:p>
      <w:pPr>
        <w:ind w:left="980" w:right="140" w:hanging="432"/>
        <w:spacing w:after="0" w:line="225"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ind w:left="98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180" w:lineRule="exact"/>
        <w:rPr>
          <w:sz w:val="20"/>
          <w:szCs w:val="20"/>
          <w:color w:val="auto"/>
        </w:rPr>
      </w:pPr>
    </w:p>
    <w:p>
      <w:pPr>
        <w:ind w:left="120" w:right="240" w:firstLine="440"/>
        <w:spacing w:after="0" w:line="271" w:lineRule="auto"/>
        <w:rPr>
          <w:sz w:val="20"/>
          <w:szCs w:val="20"/>
          <w:color w:val="auto"/>
        </w:rPr>
      </w:pPr>
      <w:r>
        <w:rPr>
          <w:rFonts w:ascii="Arial" w:cs="Arial" w:eastAsia="Arial" w:hAnsi="Arial"/>
          <w:sz w:val="18"/>
          <w:szCs w:val="18"/>
          <w:color w:val="auto"/>
        </w:rPr>
        <w:t>If any of the representations or warranties is incorrect in any way, we and the depositary may, at such Holder’s cost and expense, take any and all actions necessary to correct the consequences of the misrepresentation.</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5" w:right="5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ADR holders will be entitled to transfer, combine, or split up such Holder’s ADRs and the ADSs evidenced thereby. For transfers of</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ADRs, a Holder will have to surrender the ADRs to be transferred to the depositary and also must:</w:t>
      </w:r>
    </w:p>
    <w:p>
      <w:pPr>
        <w:spacing w:after="0" w:line="206"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2" w:lineRule="exact"/>
        <w:rPr>
          <w:rFonts w:ascii="MS PGothic" w:cs="MS PGothic" w:eastAsia="MS PGothic" w:hAnsi="MS PGothic"/>
          <w:sz w:val="25"/>
          <w:szCs w:val="25"/>
          <w:color w:val="auto"/>
          <w:vertAlign w:val="superscript"/>
        </w:rPr>
      </w:pPr>
    </w:p>
    <w:p>
      <w:pPr>
        <w:ind w:left="980" w:right="440" w:hanging="432"/>
        <w:spacing w:after="0" w:line="220"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81" w:lineRule="exact"/>
        <w:rPr>
          <w:sz w:val="20"/>
          <w:szCs w:val="20"/>
          <w:color w:val="auto"/>
        </w:rPr>
      </w:pPr>
    </w:p>
    <w:p>
      <w:pPr>
        <w:jc w:val="both"/>
        <w:ind w:left="120" w:right="300" w:firstLine="440"/>
        <w:spacing w:after="0" w:line="253" w:lineRule="auto"/>
        <w:rPr>
          <w:sz w:val="20"/>
          <w:szCs w:val="20"/>
          <w:color w:val="auto"/>
        </w:rPr>
      </w:pPr>
      <w:r>
        <w:rPr>
          <w:rFonts w:ascii="Arial" w:cs="Arial" w:eastAsia="Arial" w:hAnsi="Arial"/>
          <w:sz w:val="18"/>
          <w:szCs w:val="18"/>
          <w:color w:val="auto"/>
        </w:rPr>
        <w:t>To have Holder’s ADRs either combined or split up, such Holder must surrender the ADRs in question to the depositary with such Holder’s request to have them combined or split up, and such Holder must pay all applicable fees, charges, and expenses payable by ADR holders, pursuant to the terms of the deposit agreement, upon a combination or split up of ADRs.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0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A Holder will be entitled to present such Holder’s ADSs to the depositary for cancellation and then receive the corresponding number of underlying ordinary shares at the custodian’s offices. A Holder’s ability to withdraw the ordinary shares held in respect of the ADSs may be limited by the legal considerations in the United States and England and Wales applicable at the time of withdrawal. In order to withdraw the ordinary shares represented by a Holder’s ADSs, such Holder will be required to pay to the depositary the fees for cancellation of ADSs and any charges and taxes payable upon the transfer of the ordinary shares.</w:t>
      </w:r>
    </w:p>
    <w:p>
      <w:pPr>
        <w:spacing w:after="0" w:line="176"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8"/>
          <w:szCs w:val="18"/>
          <w:color w:val="auto"/>
        </w:rPr>
        <w:t>A Holder assumes the risk for delivery of all funds and securities upon withdrawal. Once canceled, the ADSs will not have any rights under the deposit agreement.</w:t>
      </w:r>
    </w:p>
    <w:p>
      <w:pPr>
        <w:spacing w:after="0" w:line="15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If a Holder holds ADSs registered in such Holder’s name, the depositary may ask such Holder to provide proof of identity and genuineness of any signature and such other documents as the depositary may deem appropriate before it will cancel such Holder’s ADSs. The withdrawal of the ordinary shares represented by such Holder’s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will have the right to withdraw the securities represented by their ADSs at any time except for:</w:t>
      </w:r>
    </w:p>
    <w:p>
      <w:pPr>
        <w:spacing w:after="0" w:line="239" w:lineRule="exact"/>
        <w:rPr>
          <w:sz w:val="20"/>
          <w:szCs w:val="20"/>
          <w:color w:val="auto"/>
        </w:rPr>
      </w:pPr>
    </w:p>
    <w:p>
      <w:pPr>
        <w:ind w:left="980" w:right="440" w:hanging="432"/>
        <w:spacing w:after="0" w:line="230"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ind w:left="980" w:hanging="432"/>
        <w:spacing w:after="0" w:line="230"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180"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color w:val="auto"/>
        </w:rPr>
        <w:t>The deposit agreement may not be modified to impair a Holder’s right to withdraw the securities represented by such Holder’s ADSs except to comply with mandatory provisions of law.</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04"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Holders generally have the right under the deposit agreement to instruct the depositary to exercise the voting rights for the ordinary shares represented by your ADSs. The voting rights of Holders of ordinary shares are described in “Description of Share Capital—Articles of Association” in this prospectus.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920" w:firstLine="440"/>
        <w:spacing w:after="0" w:line="271" w:lineRule="auto"/>
        <w:rPr>
          <w:sz w:val="20"/>
          <w:szCs w:val="20"/>
          <w:color w:val="auto"/>
        </w:rPr>
      </w:pPr>
      <w:r>
        <w:rPr>
          <w:rFonts w:ascii="Arial" w:cs="Arial" w:eastAsia="Arial" w:hAnsi="Arial"/>
          <w:sz w:val="18"/>
          <w:szCs w:val="18"/>
          <w:color w:val="auto"/>
        </w:rPr>
        <w:t>At our request, the depositary will distribute to Holders any notice of shareholders’ meeting received from us together with information explaining how to instruct the depositary to exercise the voting rights of the securities represented by ADSs.</w:t>
      </w:r>
    </w:p>
    <w:p>
      <w:pPr>
        <w:spacing w:after="0" w:line="154" w:lineRule="exact"/>
        <w:rPr>
          <w:sz w:val="20"/>
          <w:szCs w:val="20"/>
          <w:color w:val="auto"/>
        </w:rPr>
      </w:pPr>
    </w:p>
    <w:p>
      <w:pPr>
        <w:ind w:left="120" w:right="440" w:firstLine="440"/>
        <w:spacing w:after="0" w:line="271"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as follows:</w:t>
      </w:r>
    </w:p>
    <w:p>
      <w:pPr>
        <w:spacing w:after="0" w:line="181" w:lineRule="exact"/>
        <w:rPr>
          <w:sz w:val="20"/>
          <w:szCs w:val="20"/>
          <w:color w:val="auto"/>
        </w:rPr>
      </w:pPr>
    </w:p>
    <w:p>
      <w:pPr>
        <w:ind w:left="980" w:right="140" w:hanging="432"/>
        <w:spacing w:after="0" w:line="231"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event of voting by show of hands, the depositary will vote (or cause the custodian to vote) all ordinary held on deposit at that time in accordance with the voting instructions received from a majority of Holders of ADSs who provide timely voting instructions.</w:t>
      </w:r>
    </w:p>
    <w:p>
      <w:pPr>
        <w:spacing w:after="0" w:line="6" w:lineRule="exact"/>
        <w:rPr>
          <w:rFonts w:ascii="MS PGothic" w:cs="MS PGothic" w:eastAsia="MS PGothic" w:hAnsi="MS PGothic"/>
          <w:sz w:val="25"/>
          <w:szCs w:val="25"/>
          <w:color w:val="auto"/>
          <w:vertAlign w:val="superscript"/>
        </w:rPr>
      </w:pPr>
    </w:p>
    <w:p>
      <w:pPr>
        <w:ind w:left="980" w:right="220" w:hanging="432"/>
        <w:spacing w:after="0" w:line="232"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event of voting by poll, the depositary will vote (or cause the custodian to vote) the ordinary shares held on deposit in accordance with the voting instructions received from the Holders of ADSs. The depositary will give a discretionary proxy to a person designated by us to vote any ordinary shares held on deposit for which voting instructions were not received from the Holders of ADSs, unless we inform the depositary that (a) we do not wish such proxy to be given, (b) substantial opposition exists, or (c) the rights of Holders of ADSs may be adversely affected.</w:t>
      </w:r>
    </w:p>
    <w:p>
      <w:pPr>
        <w:spacing w:after="0" w:line="184"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Holders that they will receive voting materials in time to enable such Holders to return voting instructions to the depositary in a timely manner.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be required to pay the following fees under the terms of the deposit agreement: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120" w:type="dxa"/>
            <w:vAlign w:val="bottom"/>
          </w:tcPr>
          <w:p>
            <w:pPr>
              <w:spacing w:after="0"/>
              <w:rPr>
                <w:sz w:val="14"/>
                <w:szCs w:val="14"/>
                <w:color w:val="auto"/>
              </w:rPr>
            </w:pPr>
          </w:p>
        </w:tc>
        <w:tc>
          <w:tcPr>
            <w:tcW w:w="5180" w:type="dxa"/>
            <w:vAlign w:val="bottom"/>
          </w:tcPr>
          <w:p>
            <w:pPr>
              <w:ind w:left="2420"/>
              <w:spacing w:after="0"/>
              <w:rPr>
                <w:sz w:val="20"/>
                <w:szCs w:val="20"/>
                <w:color w:val="auto"/>
              </w:rPr>
            </w:pPr>
            <w:r>
              <w:rPr>
                <w:rFonts w:ascii="Arial" w:cs="Arial" w:eastAsia="Arial" w:hAnsi="Arial"/>
                <w:sz w:val="14"/>
                <w:szCs w:val="14"/>
                <w:b w:val="1"/>
                <w:bCs w:val="1"/>
                <w:color w:val="auto"/>
              </w:rPr>
              <w:t>Fees</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20" w:type="dxa"/>
            <w:vAlign w:val="bottom"/>
            <w:gridSpan w:val="2"/>
          </w:tcPr>
          <w:p>
            <w:pPr>
              <w:spacing w:after="0" w:line="157" w:lineRule="exact"/>
              <w:rPr>
                <w:sz w:val="20"/>
                <w:szCs w:val="20"/>
                <w:color w:val="auto"/>
              </w:rPr>
            </w:pPr>
            <w:r>
              <w:rPr>
                <w:rFonts w:ascii="Arial" w:cs="Arial" w:eastAsia="Arial" w:hAnsi="Arial"/>
                <w:sz w:val="18"/>
                <w:szCs w:val="18"/>
                <w:color w:val="auto"/>
              </w:rPr>
              <w:t>Issuance of ADSs (e.g., an issuance of ADS upon a deposit of</w:t>
            </w:r>
          </w:p>
        </w:tc>
        <w:tc>
          <w:tcPr>
            <w:tcW w:w="120" w:type="dxa"/>
            <w:vAlign w:val="bottom"/>
            <w:vMerge w:val="continue"/>
          </w:tcPr>
          <w:p>
            <w:pPr>
              <w:spacing w:after="0"/>
              <w:rPr>
                <w:sz w:val="13"/>
                <w:szCs w:val="13"/>
                <w:color w:val="auto"/>
              </w:rPr>
            </w:pPr>
          </w:p>
        </w:tc>
        <w:tc>
          <w:tcPr>
            <w:tcW w:w="5180" w:type="dxa"/>
            <w:vAlign w:val="bottom"/>
          </w:tcPr>
          <w:p>
            <w:pPr>
              <w:spacing w:after="0" w:line="157" w:lineRule="exact"/>
              <w:rPr>
                <w:sz w:val="20"/>
                <w:szCs w:val="20"/>
                <w:color w:val="auto"/>
              </w:rPr>
            </w:pPr>
            <w:r>
              <w:rPr>
                <w:rFonts w:ascii="Arial" w:cs="Arial" w:eastAsia="Arial" w:hAnsi="Arial"/>
                <w:sz w:val="18"/>
                <w:szCs w:val="18"/>
                <w:color w:val="auto"/>
              </w:rPr>
              <w:t>Up to U.S. 5¢ per ADS issued</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ordinary shares, upon a change in the ADS(s)-to-ordinary share ratio,</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 for any other reason), excluding ADS issuances as a result of</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distributions of ordinary shares</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5720" w:type="dxa"/>
            <w:vAlign w:val="bottom"/>
            <w:gridSpan w:val="2"/>
          </w:tcPr>
          <w:p>
            <w:pPr>
              <w:spacing w:after="0"/>
              <w:rPr>
                <w:sz w:val="20"/>
                <w:szCs w:val="20"/>
                <w:color w:val="auto"/>
              </w:rPr>
            </w:pPr>
            <w:r>
              <w:rPr>
                <w:rFonts w:ascii="Arial" w:cs="Arial" w:eastAsia="Arial" w:hAnsi="Arial"/>
                <w:sz w:val="18"/>
                <w:szCs w:val="18"/>
                <w:color w:val="auto"/>
              </w:rPr>
              <w:t>Cancellation of ADSs (e.g., a cancellation of ADSs for delivery of</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cancelled</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deposited property, upon a change in the ADS(s)-to-ordinary share</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720" w:type="dxa"/>
            <w:vAlign w:val="bottom"/>
            <w:gridSpan w:val="2"/>
          </w:tcPr>
          <w:p>
            <w:pPr>
              <w:spacing w:after="0"/>
              <w:rPr>
                <w:sz w:val="20"/>
                <w:szCs w:val="20"/>
                <w:color w:val="auto"/>
              </w:rPr>
            </w:pPr>
            <w:r>
              <w:rPr>
                <w:rFonts w:ascii="Arial" w:cs="Arial" w:eastAsia="Arial" w:hAnsi="Arial"/>
                <w:sz w:val="18"/>
                <w:szCs w:val="18"/>
                <w:color w:val="auto"/>
              </w:rPr>
              <w:t>ratio, or for any other reason)</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 of cash dividends or other cash distributions (e.g., upon a</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held</w:t>
            </w:r>
          </w:p>
        </w:tc>
        <w:tc>
          <w:tcPr>
            <w:tcW w:w="0" w:type="dxa"/>
            <w:vAlign w:val="bottom"/>
          </w:tcPr>
          <w:p>
            <w:pPr>
              <w:spacing w:after="0"/>
              <w:rPr>
                <w:sz w:val="1"/>
                <w:szCs w:val="1"/>
                <w:color w:val="auto"/>
              </w:rPr>
            </w:pPr>
          </w:p>
        </w:tc>
      </w:tr>
      <w:tr>
        <w:trPr>
          <w:trHeight w:val="239"/>
        </w:trPr>
        <w:tc>
          <w:tcPr>
            <w:tcW w:w="5720" w:type="dxa"/>
            <w:vAlign w:val="bottom"/>
            <w:gridSpan w:val="2"/>
          </w:tcPr>
          <w:p>
            <w:pPr>
              <w:spacing w:after="0"/>
              <w:rPr>
                <w:sz w:val="20"/>
                <w:szCs w:val="20"/>
                <w:color w:val="auto"/>
              </w:rPr>
            </w:pPr>
            <w:r>
              <w:rPr>
                <w:rFonts w:ascii="Arial" w:cs="Arial" w:eastAsia="Arial" w:hAnsi="Arial"/>
                <w:sz w:val="18"/>
                <w:szCs w:val="18"/>
                <w:color w:val="auto"/>
              </w:rPr>
              <w:t>sale of rights and other entitlements)</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 of ADSs pursuant to (i) stock dividends or other free stock</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held</w:t>
            </w:r>
          </w:p>
        </w:tc>
        <w:tc>
          <w:tcPr>
            <w:tcW w:w="0" w:type="dxa"/>
            <w:vAlign w:val="bottom"/>
          </w:tcPr>
          <w:p>
            <w:pPr>
              <w:spacing w:after="0"/>
              <w:rPr>
                <w:sz w:val="1"/>
                <w:szCs w:val="1"/>
                <w:color w:val="auto"/>
              </w:rPr>
            </w:pPr>
          </w:p>
        </w:tc>
      </w:tr>
      <w:tr>
        <w:trPr>
          <w:trHeight w:val="239"/>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 of securities other than ADSs or rights to purchase</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held</w:t>
            </w:r>
          </w:p>
        </w:tc>
        <w:tc>
          <w:tcPr>
            <w:tcW w:w="0" w:type="dxa"/>
            <w:vAlign w:val="bottom"/>
          </w:tcPr>
          <w:p>
            <w:pPr>
              <w:spacing w:after="0"/>
              <w:rPr>
                <w:sz w:val="1"/>
                <w:szCs w:val="1"/>
                <w:color w:val="auto"/>
              </w:rPr>
            </w:pPr>
          </w:p>
        </w:tc>
      </w:tr>
      <w:tr>
        <w:trPr>
          <w:trHeight w:val="239"/>
        </w:trPr>
        <w:tc>
          <w:tcPr>
            <w:tcW w:w="5720" w:type="dxa"/>
            <w:vAlign w:val="bottom"/>
            <w:gridSpan w:val="2"/>
          </w:tcPr>
          <w:p>
            <w:pPr>
              <w:spacing w:after="0"/>
              <w:rPr>
                <w:sz w:val="20"/>
                <w:szCs w:val="20"/>
                <w:color w:val="auto"/>
              </w:rPr>
            </w:pPr>
            <w:r>
              <w:rPr>
                <w:rFonts w:ascii="Arial" w:cs="Arial" w:eastAsia="Arial" w:hAnsi="Arial"/>
                <w:sz w:val="18"/>
                <w:szCs w:val="18"/>
                <w:color w:val="auto"/>
              </w:rPr>
              <w:t>additional ADSs (e.g., upon a spin-off)</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5720" w:type="dxa"/>
            <w:vAlign w:val="bottom"/>
            <w:gridSpan w:val="2"/>
          </w:tcPr>
          <w:p>
            <w:pPr>
              <w:spacing w:after="0"/>
              <w:rPr>
                <w:sz w:val="20"/>
                <w:szCs w:val="20"/>
                <w:color w:val="auto"/>
              </w:rPr>
            </w:pPr>
            <w:r>
              <w:rPr>
                <w:rFonts w:ascii="Arial" w:cs="Arial" w:eastAsia="Arial" w:hAnsi="Arial"/>
                <w:sz w:val="18"/>
                <w:szCs w:val="18"/>
                <w:color w:val="auto"/>
              </w:rPr>
              <w:t>ADS Services</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held on the applicable record date(s)</w:t>
            </w:r>
          </w:p>
        </w:tc>
        <w:tc>
          <w:tcPr>
            <w:tcW w:w="0" w:type="dxa"/>
            <w:vAlign w:val="bottom"/>
          </w:tcPr>
          <w:p>
            <w:pPr>
              <w:spacing w:after="0"/>
              <w:rPr>
                <w:sz w:val="1"/>
                <w:szCs w:val="1"/>
                <w:color w:val="auto"/>
              </w:rPr>
            </w:pPr>
          </w:p>
        </w:tc>
      </w:tr>
      <w:tr>
        <w:trPr>
          <w:trHeight w:val="239"/>
        </w:trPr>
        <w:tc>
          <w:tcPr>
            <w:tcW w:w="5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established by the depositary bank</w:t>
            </w:r>
          </w:p>
        </w:tc>
        <w:tc>
          <w:tcPr>
            <w:tcW w:w="0" w:type="dxa"/>
            <w:vAlign w:val="bottom"/>
          </w:tcPr>
          <w:p>
            <w:pPr>
              <w:spacing w:after="0"/>
              <w:rPr>
                <w:sz w:val="1"/>
                <w:szCs w:val="1"/>
                <w:color w:val="auto"/>
              </w:rPr>
            </w:pPr>
          </w:p>
        </w:tc>
      </w:tr>
      <w:tr>
        <w:trPr>
          <w:trHeight w:val="351"/>
        </w:trPr>
        <w:tc>
          <w:tcPr>
            <w:tcW w:w="5720" w:type="dxa"/>
            <w:vAlign w:val="bottom"/>
            <w:gridSpan w:val="2"/>
          </w:tcPr>
          <w:p>
            <w:pPr>
              <w:ind w:left="54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160" w:type="dxa"/>
            <w:vAlign w:val="bottom"/>
          </w:tcPr>
          <w:p>
            <w:pPr>
              <w:spacing w:after="0"/>
              <w:rPr>
                <w:sz w:val="14"/>
                <w:szCs w:val="14"/>
                <w:color w:val="auto"/>
              </w:rPr>
            </w:pPr>
          </w:p>
        </w:tc>
        <w:tc>
          <w:tcPr>
            <w:tcW w:w="5180" w:type="dxa"/>
            <w:vAlign w:val="bottom"/>
          </w:tcPr>
          <w:p>
            <w:pPr>
              <w:ind w:left="2420"/>
              <w:spacing w:after="0"/>
              <w:rPr>
                <w:sz w:val="20"/>
                <w:szCs w:val="20"/>
                <w:color w:val="auto"/>
              </w:rPr>
            </w:pPr>
            <w:r>
              <w:rPr>
                <w:rFonts w:ascii="Arial" w:cs="Arial" w:eastAsia="Arial" w:hAnsi="Arial"/>
                <w:sz w:val="14"/>
                <w:szCs w:val="14"/>
                <w:b w:val="1"/>
                <w:bCs w:val="1"/>
                <w:color w:val="auto"/>
              </w:rPr>
              <w:t>Fees</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80" w:type="dxa"/>
            <w:vAlign w:val="bottom"/>
            <w:gridSpan w:val="2"/>
          </w:tcPr>
          <w:p>
            <w:pPr>
              <w:spacing w:after="0" w:line="157" w:lineRule="exact"/>
              <w:rPr>
                <w:sz w:val="20"/>
                <w:szCs w:val="20"/>
                <w:color w:val="auto"/>
              </w:rPr>
            </w:pPr>
            <w:r>
              <w:rPr>
                <w:rFonts w:ascii="Arial" w:cs="Arial" w:eastAsia="Arial" w:hAnsi="Arial"/>
                <w:sz w:val="18"/>
                <w:szCs w:val="18"/>
                <w:color w:val="auto"/>
              </w:rPr>
              <w:t>Registration of ADS transfers (e.g., upon a registration of the transfer</w:t>
            </w:r>
          </w:p>
        </w:tc>
        <w:tc>
          <w:tcPr>
            <w:tcW w:w="160" w:type="dxa"/>
            <w:vAlign w:val="bottom"/>
            <w:vMerge w:val="continue"/>
          </w:tcPr>
          <w:p>
            <w:pPr>
              <w:spacing w:after="0"/>
              <w:rPr>
                <w:sz w:val="13"/>
                <w:szCs w:val="13"/>
                <w:color w:val="auto"/>
              </w:rPr>
            </w:pPr>
          </w:p>
        </w:tc>
        <w:tc>
          <w:tcPr>
            <w:tcW w:w="5180" w:type="dxa"/>
            <w:vAlign w:val="bottom"/>
          </w:tcPr>
          <w:p>
            <w:pPr>
              <w:spacing w:after="0" w:line="157" w:lineRule="exact"/>
              <w:rPr>
                <w:sz w:val="20"/>
                <w:szCs w:val="20"/>
                <w:color w:val="auto"/>
              </w:rPr>
            </w:pPr>
            <w:r>
              <w:rPr>
                <w:rFonts w:ascii="Arial" w:cs="Arial" w:eastAsia="Arial" w:hAnsi="Arial"/>
                <w:sz w:val="18"/>
                <w:szCs w:val="18"/>
                <w:color w:val="auto"/>
              </w:rPr>
              <w:t>Up to U.S. 5¢ per ADS (or fraction thereof) transferred</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of registered ownership of ADSs, upon a transfer of ADSs into DTC</w:t>
            </w:r>
          </w:p>
        </w:tc>
        <w:tc>
          <w:tcPr>
            <w:tcW w:w="1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680" w:type="dxa"/>
            <w:vAlign w:val="bottom"/>
            <w:gridSpan w:val="2"/>
          </w:tcPr>
          <w:p>
            <w:pPr>
              <w:spacing w:after="0"/>
              <w:rPr>
                <w:sz w:val="20"/>
                <w:szCs w:val="20"/>
                <w:color w:val="auto"/>
              </w:rPr>
            </w:pPr>
            <w:r>
              <w:rPr>
                <w:rFonts w:ascii="Arial" w:cs="Arial" w:eastAsia="Arial" w:hAnsi="Arial"/>
                <w:sz w:val="18"/>
                <w:szCs w:val="18"/>
                <w:color w:val="auto"/>
              </w:rPr>
              <w:t>and vice versa, or for any other reason)</w:t>
            </w:r>
          </w:p>
        </w:tc>
        <w:tc>
          <w:tcPr>
            <w:tcW w:w="1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5680" w:type="dxa"/>
            <w:vAlign w:val="bottom"/>
            <w:gridSpan w:val="2"/>
          </w:tcPr>
          <w:p>
            <w:pPr>
              <w:spacing w:after="0"/>
              <w:rPr>
                <w:sz w:val="20"/>
                <w:szCs w:val="20"/>
                <w:color w:val="auto"/>
              </w:rPr>
            </w:pPr>
            <w:r>
              <w:rPr>
                <w:rFonts w:ascii="Arial" w:cs="Arial" w:eastAsia="Arial" w:hAnsi="Arial"/>
                <w:sz w:val="18"/>
                <w:szCs w:val="18"/>
                <w:color w:val="auto"/>
              </w:rPr>
              <w:t>Conversion of ADSs of one series for ADSs of another series (e.g.,</w:t>
            </w: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Up to U.S. 5¢ per ADS (or fraction thereof) converted</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upon conversion of Partial Entitlement ADSs for Full Entitlement</w:t>
            </w:r>
          </w:p>
        </w:tc>
        <w:tc>
          <w:tcPr>
            <w:tcW w:w="1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ADSs, or upon conversion of Restricted ADSs (each as defined in the</w:t>
            </w:r>
          </w:p>
        </w:tc>
        <w:tc>
          <w:tcPr>
            <w:tcW w:w="1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680" w:type="dxa"/>
            <w:vAlign w:val="bottom"/>
            <w:gridSpan w:val="2"/>
          </w:tcPr>
          <w:p>
            <w:pPr>
              <w:spacing w:after="0"/>
              <w:rPr>
                <w:sz w:val="20"/>
                <w:szCs w:val="20"/>
                <w:color w:val="auto"/>
              </w:rPr>
            </w:pPr>
            <w:r>
              <w:rPr>
                <w:rFonts w:ascii="Arial" w:cs="Arial" w:eastAsia="Arial" w:hAnsi="Arial"/>
                <w:sz w:val="18"/>
                <w:szCs w:val="18"/>
                <w:color w:val="auto"/>
              </w:rPr>
              <w:t>Deposit Agreement) into freely transferable ADSs, and vice versa).</w:t>
            </w:r>
          </w:p>
        </w:tc>
        <w:tc>
          <w:tcPr>
            <w:tcW w:w="1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also be responsible to pay certain charges such as:</w:t>
      </w:r>
    </w:p>
    <w:p>
      <w:pPr>
        <w:spacing w:after="0" w:line="224" w:lineRule="exact"/>
        <w:rPr>
          <w:sz w:val="20"/>
          <w:szCs w:val="20"/>
          <w:color w:val="auto"/>
        </w:rPr>
      </w:pPr>
    </w:p>
    <w:p>
      <w:pPr>
        <w:ind w:left="980" w:hanging="432"/>
        <w:spacing w:after="0"/>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2" w:lineRule="exact"/>
        <w:rPr>
          <w:rFonts w:ascii="MS PGothic" w:cs="MS PGothic" w:eastAsia="MS PGothic" w:hAnsi="MS PGothic"/>
          <w:sz w:val="25"/>
          <w:szCs w:val="25"/>
          <w:color w:val="auto"/>
          <w:vertAlign w:val="superscript"/>
        </w:rPr>
      </w:pPr>
    </w:p>
    <w:p>
      <w:pPr>
        <w:jc w:val="both"/>
        <w:ind w:left="980" w:right="580" w:hanging="432"/>
        <w:spacing w:after="0" w:line="225"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ind w:left="980" w:hanging="432"/>
        <w:spacing w:after="0" w:line="230"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22" w:lineRule="exact"/>
        <w:rPr>
          <w:rFonts w:ascii="MS PGothic" w:cs="MS PGothic" w:eastAsia="MS PGothic" w:hAnsi="MS PGothic"/>
          <w:sz w:val="25"/>
          <w:szCs w:val="25"/>
          <w:color w:val="auto"/>
          <w:vertAlign w:val="superscript"/>
        </w:rPr>
      </w:pPr>
    </w:p>
    <w:p>
      <w:pPr>
        <w:ind w:left="980" w:right="260" w:hanging="432"/>
        <w:spacing w:after="0" w:line="220"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5" w:lineRule="exact"/>
        <w:rPr>
          <w:rFonts w:ascii="MS PGothic" w:cs="MS PGothic" w:eastAsia="MS PGothic" w:hAnsi="MS PGothic"/>
          <w:sz w:val="25"/>
          <w:szCs w:val="25"/>
          <w:color w:val="auto"/>
          <w:vertAlign w:val="superscript"/>
        </w:rPr>
      </w:pPr>
    </w:p>
    <w:p>
      <w:pPr>
        <w:ind w:left="980" w:right="260" w:hanging="432"/>
        <w:spacing w:after="0" w:line="230"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180"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Holders may be required to pay may vary over time and may be changed by us and by the depositary. ADS Holders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w:t>
      </w:r>
    </w:p>
    <w:p>
      <w:pPr>
        <w:spacing w:after="0" w:line="104" w:lineRule="exact"/>
        <w:rPr>
          <w:sz w:val="20"/>
          <w:szCs w:val="20"/>
          <w:color w:val="auto"/>
        </w:rPr>
      </w:pPr>
    </w:p>
    <w:p>
      <w:pPr>
        <w:ind w:left="120" w:right="200" w:firstLine="440"/>
        <w:spacing w:after="0" w:line="242" w:lineRule="auto"/>
        <w:rPr>
          <w:sz w:val="20"/>
          <w:szCs w:val="20"/>
          <w:color w:val="auto"/>
        </w:rPr>
      </w:pPr>
      <w:r>
        <w:rPr>
          <w:rFonts w:ascii="Arial" w:cs="Arial" w:eastAsia="Arial" w:hAnsi="Arial"/>
          <w:sz w:val="18"/>
          <w:szCs w:val="18"/>
          <w:color w:val="auto"/>
        </w:rPr>
        <w:t>We may agree with the depositary to modify the deposit agreement at any time without Holders’ consent. We undertake to give Holders 30 days’ prior notice of any modifications that would materially prejudice any of their substantial rights under the deposit agreement. We will not consider to be materially prejudicial to holders’ substantial rights any modifications or supplements that are reasonably necessary for the ADSs to be registered under the Securities Act or to be eligible for book-entry settlement, in each case without imposing or increasing the fees and charges Holders are required to pay. In addition, we may not be able to provide holders with prior notice of any modifications or supplements that are required to accommodate compliance with applicable provisions of law.</w:t>
      </w:r>
    </w:p>
    <w:p>
      <w:pPr>
        <w:spacing w:after="0" w:line="17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Holders will be bound by the modifications to the deposit agreement if they continue to hold their ADSs after the modifications to the deposit agreement become effective. The deposit agreement cannot be amended to prevent Holders from withdrawing the ordinary shares represented by holders’ ADSs (except as permitted by law).</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04" w:lineRule="exact"/>
        <w:rPr>
          <w:sz w:val="20"/>
          <w:szCs w:val="20"/>
          <w:color w:val="auto"/>
        </w:rPr>
      </w:pPr>
    </w:p>
    <w:p>
      <w:pPr>
        <w:jc w:val="both"/>
        <w:ind w:left="120" w:right="60" w:firstLine="440"/>
        <w:spacing w:after="0" w:line="253"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Holders’ rights under the deposit agreement will be unaffected.</w:t>
      </w:r>
    </w:p>
    <w:p>
      <w:pPr>
        <w:spacing w:after="0" w:line="169" w:lineRule="exact"/>
        <w:rPr>
          <w:sz w:val="20"/>
          <w:szCs w:val="20"/>
          <w:color w:val="auto"/>
        </w:rPr>
      </w:pPr>
    </w:p>
    <w:p>
      <w:pPr>
        <w:ind w:left="120" w:right="240" w:firstLine="440"/>
        <w:spacing w:after="0" w:line="244"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holders request the cancellation of their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7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04" w:lineRule="exact"/>
        <w:rPr>
          <w:sz w:val="20"/>
          <w:szCs w:val="20"/>
          <w:color w:val="auto"/>
        </w:rPr>
      </w:pPr>
    </w:p>
    <w:p>
      <w:pPr>
        <w:ind w:left="120" w:right="300" w:firstLine="440"/>
        <w:spacing w:after="0" w:line="253" w:lineRule="auto"/>
        <w:rPr>
          <w:sz w:val="20"/>
          <w:szCs w:val="20"/>
          <w:color w:val="auto"/>
        </w:rPr>
      </w:pPr>
      <w:r>
        <w:rPr>
          <w:rFonts w:ascii="Arial" w:cs="Arial" w:eastAsia="Arial" w:hAnsi="Arial"/>
          <w:sz w:val="18"/>
          <w:szCs w:val="18"/>
          <w:color w:val="auto"/>
        </w:rPr>
        <w:t>The depositary will maintain ADS holder records at its depositary office. Holders may inspect such records at such office during regular business hours but solely for the purpose of communicating with other holders in the interest of business matters relating to the ADSs and the deposit agreement.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20" w:firstLine="440"/>
        <w:spacing w:after="0" w:line="271"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 agreement limits our obligations and the depositary’s obligations to Holders. Please note the following:</w:t>
      </w:r>
    </w:p>
    <w:p>
      <w:pPr>
        <w:spacing w:after="0" w:line="239" w:lineRule="exact"/>
        <w:rPr>
          <w:sz w:val="20"/>
          <w:szCs w:val="20"/>
          <w:color w:val="auto"/>
        </w:rPr>
      </w:pPr>
    </w:p>
    <w:p>
      <w:pPr>
        <w:ind w:left="980" w:right="14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4" w:lineRule="exact"/>
        <w:rPr>
          <w:rFonts w:ascii="MS PGothic" w:cs="MS PGothic" w:eastAsia="MS PGothic" w:hAnsi="MS PGothic"/>
          <w:sz w:val="25"/>
          <w:szCs w:val="25"/>
          <w:color w:val="auto"/>
          <w:vertAlign w:val="superscript"/>
        </w:rPr>
      </w:pPr>
    </w:p>
    <w:p>
      <w:pPr>
        <w:ind w:left="980" w:right="8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4" w:lineRule="exact"/>
        <w:rPr>
          <w:rFonts w:ascii="MS PGothic" w:cs="MS PGothic" w:eastAsia="MS PGothic" w:hAnsi="MS PGothic"/>
          <w:sz w:val="25"/>
          <w:szCs w:val="25"/>
          <w:color w:val="auto"/>
          <w:vertAlign w:val="superscript"/>
        </w:rPr>
      </w:pPr>
    </w:p>
    <w:p>
      <w:pPr>
        <w:ind w:left="980" w:right="60" w:hanging="432"/>
        <w:spacing w:after="0" w:line="232"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holders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3"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22" w:lineRule="exact"/>
        <w:rPr>
          <w:rFonts w:ascii="MS PGothic" w:cs="MS PGothic" w:eastAsia="MS PGothic" w:hAnsi="MS PGothic"/>
          <w:sz w:val="25"/>
          <w:szCs w:val="25"/>
          <w:color w:val="auto"/>
          <w:vertAlign w:val="superscript"/>
        </w:rPr>
      </w:pPr>
    </w:p>
    <w:p>
      <w:pPr>
        <w:ind w:left="980" w:right="240" w:hanging="432"/>
        <w:spacing w:after="0" w:line="228"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8" w:lineRule="exact"/>
        <w:rPr>
          <w:rFonts w:ascii="MS PGothic" w:cs="MS PGothic" w:eastAsia="MS PGothic" w:hAnsi="MS PGothic"/>
          <w:sz w:val="25"/>
          <w:szCs w:val="25"/>
          <w:color w:val="auto"/>
          <w:vertAlign w:val="superscript"/>
        </w:rPr>
      </w:pPr>
    </w:p>
    <w:p>
      <w:pPr>
        <w:ind w:left="980" w:right="2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4" w:lineRule="exact"/>
        <w:rPr>
          <w:rFonts w:ascii="MS PGothic" w:cs="MS PGothic" w:eastAsia="MS PGothic" w:hAnsi="MS PGothic"/>
          <w:sz w:val="25"/>
          <w:szCs w:val="25"/>
          <w:color w:val="auto"/>
          <w:vertAlign w:val="superscript"/>
        </w:rPr>
      </w:pPr>
    </w:p>
    <w:p>
      <w:pPr>
        <w:ind w:left="980" w:right="200" w:hanging="432"/>
        <w:spacing w:after="0" w:line="231"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6" w:lineRule="exact"/>
        <w:rPr>
          <w:rFonts w:ascii="MS PGothic" w:cs="MS PGothic" w:eastAsia="MS PGothic" w:hAnsi="MS PGothic"/>
          <w:sz w:val="25"/>
          <w:szCs w:val="25"/>
          <w:color w:val="auto"/>
          <w:vertAlign w:val="superscript"/>
        </w:rPr>
      </w:pPr>
    </w:p>
    <w:p>
      <w:pPr>
        <w:ind w:left="980" w:hanging="432"/>
        <w:spacing w:after="0" w:line="231"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holders.</w:t>
      </w:r>
    </w:p>
    <w:p>
      <w:pPr>
        <w:spacing w:after="0" w:line="6" w:lineRule="exact"/>
        <w:rPr>
          <w:rFonts w:ascii="MS PGothic" w:cs="MS PGothic" w:eastAsia="MS PGothic" w:hAnsi="MS PGothic"/>
          <w:sz w:val="25"/>
          <w:szCs w:val="25"/>
          <w:color w:val="auto"/>
          <w:vertAlign w:val="superscript"/>
        </w:rPr>
      </w:pPr>
    </w:p>
    <w:p>
      <w:pPr>
        <w:ind w:left="980" w:right="12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4" w:lineRule="exact"/>
        <w:rPr>
          <w:rFonts w:ascii="MS PGothic" w:cs="MS PGothic" w:eastAsia="MS PGothic" w:hAnsi="MS PGothic"/>
          <w:sz w:val="25"/>
          <w:szCs w:val="25"/>
          <w:color w:val="auto"/>
          <w:vertAlign w:val="superscript"/>
        </w:rPr>
      </w:pPr>
    </w:p>
    <w:p>
      <w:pPr>
        <w:ind w:left="980" w:right="56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ind w:left="98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22" w:lineRule="exact"/>
        <w:rPr>
          <w:rFonts w:ascii="MS PGothic" w:cs="MS PGothic" w:eastAsia="MS PGothic" w:hAnsi="MS PGothic"/>
          <w:sz w:val="25"/>
          <w:szCs w:val="25"/>
          <w:color w:val="auto"/>
          <w:vertAlign w:val="superscript"/>
        </w:rPr>
      </w:pPr>
    </w:p>
    <w:p>
      <w:pPr>
        <w:ind w:left="980" w:right="460" w:hanging="432"/>
        <w:spacing w:after="0" w:line="22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gives rise to a partnership or joint venture, or establishes a fiduciary relationship, among Mereo, the depositary and ADS holders.</w:t>
      </w:r>
    </w:p>
    <w:p>
      <w:pPr>
        <w:spacing w:after="0" w:line="5" w:lineRule="exact"/>
        <w:rPr>
          <w:rFonts w:ascii="MS PGothic" w:cs="MS PGothic" w:eastAsia="MS PGothic" w:hAnsi="MS PGothic"/>
          <w:sz w:val="25"/>
          <w:szCs w:val="25"/>
          <w:color w:val="auto"/>
          <w:vertAlign w:val="superscript"/>
        </w:rPr>
      </w:pPr>
    </w:p>
    <w:p>
      <w:pPr>
        <w:ind w:left="980" w:right="120" w:hanging="432"/>
        <w:spacing w:after="0" w:line="22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precludes Citibank (or its affiliates) from engaging in transactions in which parties adverse to Mereo or the ADS owners have interests, and nothing</w:t>
      </w:r>
    </w:p>
    <w:p>
      <w:pPr>
        <w:spacing w:after="0" w:line="1" w:lineRule="exact"/>
        <w:rPr>
          <w:rFonts w:ascii="MS PGothic" w:cs="MS PGothic" w:eastAsia="MS PGothic" w:hAnsi="MS PGothic"/>
          <w:sz w:val="25"/>
          <w:szCs w:val="25"/>
          <w:color w:val="auto"/>
          <w:vertAlign w:val="superscript"/>
        </w:rPr>
      </w:pPr>
    </w:p>
    <w:p>
      <w:pPr>
        <w:ind w:left="1000" w:right="240"/>
        <w:spacing w:after="0" w:line="250"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in the deposit agreement obligates Citibank to disclose those transactions, or any information obtained in the course of those transactions, to Mereo or to the ADS owners, or to account for any payment received as part of those transactions.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04"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Holders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Holders will be liable for any deficiency if the sale proceeds do not cover the taxes that are due.</w:t>
      </w:r>
    </w:p>
    <w:p>
      <w:pPr>
        <w:spacing w:after="0" w:line="174"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holders may be required to provide to the depositary and to the custodian proof of taxpayer status and residence and such other information as the depositary and the custodian may require to fulfill legal obligations. Holders are required to indemnify us, the depositary and the custodian for any claims with respect to taxes based on any tax benefit obtained for such holders.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04"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Holders may have to pay fees and expenses incurred in converting foreign currency, such as fees and expenses incurred in complying with currency exchange controls and other governmental requirements.</w:t>
      </w:r>
    </w:p>
    <w:p>
      <w:pPr>
        <w:spacing w:after="0" w:line="174" w:lineRule="exact"/>
        <w:rPr>
          <w:sz w:val="20"/>
          <w:szCs w:val="20"/>
          <w:color w:val="auto"/>
        </w:rPr>
      </w:pPr>
    </w:p>
    <w:p>
      <w:pPr>
        <w:ind w:left="120" w:right="860" w:firstLine="440"/>
        <w:spacing w:after="0" w:line="271"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81" w:lineRule="exact"/>
        <w:rPr>
          <w:sz w:val="20"/>
          <w:szCs w:val="20"/>
          <w:color w:val="auto"/>
        </w:rPr>
      </w:pPr>
    </w:p>
    <w:p>
      <w:pPr>
        <w:ind w:left="980" w:right="600" w:hanging="432"/>
        <w:spacing w:after="0" w:line="230"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ind w:left="980" w:hanging="432"/>
        <w:spacing w:after="0" w:line="230"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04"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54" w:lineRule="exact"/>
        <w:rPr>
          <w:sz w:val="20"/>
          <w:szCs w:val="20"/>
          <w:color w:val="auto"/>
        </w:rPr>
      </w:pPr>
    </w:p>
    <w:p>
      <w:pPr>
        <w:ind w:left="120" w:right="480" w:firstLine="440"/>
        <w:spacing w:after="0" w:line="271" w:lineRule="auto"/>
        <w:rPr>
          <w:sz w:val="20"/>
          <w:szCs w:val="20"/>
          <w:color w:val="auto"/>
        </w:rPr>
      </w:pPr>
      <w:r>
        <w:rPr>
          <w:rFonts w:ascii="Arial" w:cs="Arial" w:eastAsia="Arial" w:hAnsi="Arial"/>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154" w:lineRule="exact"/>
        <w:rPr>
          <w:sz w:val="20"/>
          <w:szCs w:val="20"/>
          <w:color w:val="auto"/>
        </w:rPr>
      </w:pPr>
    </w:p>
    <w:p>
      <w:pPr>
        <w:ind w:left="120" w:right="340" w:firstLine="440"/>
        <w:spacing w:after="0" w:line="266" w:lineRule="auto"/>
        <w:rPr>
          <w:sz w:val="20"/>
          <w:szCs w:val="20"/>
          <w:color w:val="auto"/>
        </w:rPr>
      </w:pPr>
      <w:r>
        <w:rPr>
          <w:rFonts w:ascii="Arial" w:cs="Arial" w:eastAsia="Arial" w:hAnsi="Arial"/>
          <w:sz w:val="17"/>
          <w:szCs w:val="17"/>
          <w:color w:val="auto"/>
        </w:rPr>
        <w:t>AS A PARTY TO THE DEPOSIT AGREEMENT, YOU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SHAREHOLDERS</w:t>
      </w:r>
    </w:p>
    <w:p>
      <w:pPr>
        <w:spacing w:after="0" w:line="212"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7"/>
          <w:szCs w:val="17"/>
          <w:color w:val="auto"/>
        </w:rPr>
        <w:t>This prospectus covers the offer and resale of up to an aggregate of 26,638,972 of our ordinary shares, in the form of ADSs, consisting of (i) 20,555,067 ordinary shares underlying convertible loan notes and warrants issuable to Novartis under the convertible loan and warrant instruments dated February 10, 2020, as amended on November 24, 2020 and February 10, 2023; (ii) 2,487,816 ordinary shares underlying warrants issuable to Silicon Valley Bank and Kreos Capital V (UK) Limited as lenders under previous loan agreements with them dated August 7, 2017 and September 28, 2018, respectively, as amended on December 15, 2020 that have been fully repaid;</w:t>
      </w:r>
    </w:p>
    <w:p>
      <w:pPr>
        <w:ind w:left="120" w:right="40" w:hanging="4"/>
        <w:spacing w:after="0" w:line="242" w:lineRule="auto"/>
        <w:tabs>
          <w:tab w:leader="none" w:pos="4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1,551,699 ordinary shares underlying warrants issuable to TAP under a warrant instrument dated November 2, 2018, as amended on March 29, 2021 and (iv) 2,044,390 ordinary shares issued to AstraZeneca in connection with a subscription deed dated October 28, 2017, as amended on May 21, 2021 and November 8, 2024.</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Novartis Loan Note and Warrants</w:t>
      </w:r>
    </w:p>
    <w:p>
      <w:pPr>
        <w:spacing w:after="0" w:line="104"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July 2015, three of our wholly-owned subsidiaries, Mereo BioPharma 3 Limited, Mereo BioPharma 2 Limited, and Mereo BioPharma 1 Limited (the “Subsidiaries”), entered into asset purchase agreements to acquire from Novartis rights to setrusumab, acumapimod, and leflutrozole (the “Compounds”), respectively, and certain related assets (together with the Compounds, the “Novartis Assets”). As part of our relationship with Novartis, we entered into a convertible loan note instrument dated February 10, 2020 with Novartis pursuant to which we issued 3,841,479 unsecured convertible loan notes at an exercise price of £0.265 and interest payable in the form of ordinary shares at 6% per annum for three years for a total of 17,105,453 ordinary shares (equivalent to 3,421,090 ADSs) and also granted Novartis warrants over 1,449,614 ordinary shares (equivalent to 289,922 ADSs) pursuant to the Deed of Consent and Amendment to Note Instrument, dated November 24, 2020 and the Deed of Consent and Amendment to Warrant Instrument, dated November 24, 2020. On February 10, 2023, we entered into a Deed of Consent and Amendment to Note Instrument with Novartis, pursuant to which we and Novartis agreed to extend the maturity of the convertible loan notes by two years, from February 10, 2023 to February 10, 2025, while increasing the interest rate to 9%. Pursuant to the amendment and a new warrant instrument, interest accrued to the amendment date was paid in cash, and warrants to purchase 2,000,000 ordinary shares (equivalent to 400,000 ADSs) at an exercise price of £0.150 per ordinary share were issued. Following this transaction, Novartis has convertible loan notes and warrants over a total of 20,555,067 ordinary shares (equivalent to 4,111,013 ADSs).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Silicon Valley Bank and Kreos Capital Warrants</w:t>
      </w:r>
    </w:p>
    <w:p>
      <w:pPr>
        <w:spacing w:after="0" w:line="10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On August 7, 2017, we entered into a loan agreement, with Silicon Valley Bank and Kreos Capital V (UK) Limited (the “Former Lenders”), which provided for total borrowings of £20.0 million and in connection with the borrowings we issued to the Former Lenders warrants to subscribe for our ordinary shares pursuant to a warrant instrument dated August 21, 2017 (the “2017 Warrant Instrument”) and another warrant instrument on substantively similar terms on October 1, 2018 (the “2018 Warrant Instrument”). The 2017 Warrant Instrument and the 2018 Warrant Instrument are referred to as the “Warrant Instruments.”</w:t>
      </w:r>
    </w:p>
    <w:p>
      <w:pPr>
        <w:spacing w:after="0" w:line="176" w:lineRule="exact"/>
        <w:rPr>
          <w:sz w:val="20"/>
          <w:szCs w:val="20"/>
          <w:color w:val="auto"/>
        </w:rPr>
      </w:pPr>
    </w:p>
    <w:p>
      <w:pPr>
        <w:ind w:left="120" w:right="340" w:firstLine="440"/>
        <w:spacing w:after="0" w:line="253" w:lineRule="auto"/>
        <w:rPr>
          <w:sz w:val="20"/>
          <w:szCs w:val="20"/>
          <w:color w:val="auto"/>
        </w:rPr>
      </w:pPr>
      <w:r>
        <w:rPr>
          <w:rFonts w:ascii="Arial" w:cs="Arial" w:eastAsia="Arial" w:hAnsi="Arial"/>
          <w:sz w:val="18"/>
          <w:szCs w:val="18"/>
          <w:color w:val="auto"/>
        </w:rPr>
        <w:t>Under the Warrant Instruments initial allocations of warrants were issued to the Former Lenders with further issues following adjustment of the warrants from time to time resulting in each of the Former Lenders holding 621,954 warrants with each such warrant being exercisable at a subscription price of £2.95 per ordinary share.</w:t>
      </w:r>
    </w:p>
    <w:p>
      <w:pPr>
        <w:spacing w:after="0" w:line="169"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8"/>
          <w:szCs w:val="18"/>
          <w:color w:val="auto"/>
        </w:rPr>
        <w:t>The 2017 Warrant Instrument will be capable of exercise until August 21, 2027 and the 2018 Warrant Instrument will be capable of exercise until October 1, 2028.</w:t>
      </w:r>
    </w:p>
    <w:p>
      <w:pPr>
        <w:spacing w:after="0" w:line="154"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8"/>
          <w:szCs w:val="18"/>
          <w:color w:val="auto"/>
        </w:rPr>
        <w:t>On December 15, 2020, we prepaid all amounts due and owing to the Former Lenders and also issued additional warrants giving each of the Former Lenders the right to subscribe for 621,954</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ordinary shares at a price of $0.4144 per ordinary share (the “2020 Warrants”). The 2020 Warrants are an adjustment to the 2017 Warrant Instrument and the 2018 Warrant Instrument and the 2020 Warrants issued to each of the Former Lenders were apportioned between the 2017 Warrant Instrument and 2018 Warrant Instrument in the number of 469,575 and 152,379 respectively for each Former Lender and are subject to the same final exercise date as all prior warrants issued to the Former Lenders being August 21, 2027 for the 2017 Warrant Instrument and October 1, 2028 for the 2018 Warrant Instrument.</w:t>
      </w:r>
    </w:p>
    <w:p>
      <w:pPr>
        <w:spacing w:after="0" w:line="176"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Following these transactions, the Former Lenders have warrants to purchase a total of 1,243,908 ordinary shares at an exercise price of £2.95 per ordinary share for the 2017 and 2018 Warrant Instruments and a total of 1,243,908 ordinary shares at an exercise price of $0.4144 per ordinary share for the 2020 Warrants. It is our understanding that, following the effectiveness of SVB Financial Group’s reorganization plan on November 7, 2024, the warrants owned by Silicon Valley Bank were vested in the liquidating trust.</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Alpha-1 Project Inc. Warrants</w:t>
      </w:r>
    </w:p>
    <w:p>
      <w:pPr>
        <w:spacing w:after="0" w:line="104" w:lineRule="exact"/>
        <w:rPr>
          <w:sz w:val="20"/>
          <w:szCs w:val="20"/>
          <w:color w:val="auto"/>
        </w:rPr>
      </w:pPr>
    </w:p>
    <w:p>
      <w:pPr>
        <w:jc w:val="both"/>
        <w:ind w:left="120" w:right="80" w:firstLine="440"/>
        <w:spacing w:after="0" w:line="247" w:lineRule="auto"/>
        <w:rPr>
          <w:sz w:val="20"/>
          <w:szCs w:val="20"/>
          <w:color w:val="auto"/>
        </w:rPr>
      </w:pPr>
      <w:r>
        <w:rPr>
          <w:rFonts w:ascii="Arial" w:cs="Arial" w:eastAsia="Arial" w:hAnsi="Arial"/>
          <w:sz w:val="18"/>
          <w:szCs w:val="18"/>
          <w:color w:val="auto"/>
        </w:rPr>
        <w:t>In October 2018, we entered into a funding agreement with TAP, which provided for total payments of $0.4 million, of which the final installment of $0.1 million was received in May 2023. In exchange for funding, we issued warrants allowing TAP to subscribe for ordinary shares in the Company. Under the agreement, TAP is potentially entitled to receive a payment equivalent to the amounts received by us (up to a maximum of $0.4 million) conditional on and within 30 days of the first regulatory approval for alvelestat.</w:t>
      </w:r>
    </w:p>
    <w:p>
      <w:pPr>
        <w:spacing w:after="0" w:line="174" w:lineRule="exact"/>
        <w:rPr>
          <w:sz w:val="20"/>
          <w:szCs w:val="20"/>
          <w:color w:val="auto"/>
        </w:rPr>
      </w:pPr>
    </w:p>
    <w:p>
      <w:pPr>
        <w:jc w:val="both"/>
        <w:ind w:left="120" w:right="120" w:firstLine="440"/>
        <w:spacing w:after="0" w:line="253" w:lineRule="auto"/>
        <w:rPr>
          <w:sz w:val="20"/>
          <w:szCs w:val="20"/>
          <w:color w:val="auto"/>
        </w:rPr>
      </w:pPr>
      <w:r>
        <w:rPr>
          <w:rFonts w:ascii="Arial" w:cs="Arial" w:eastAsia="Arial" w:hAnsi="Arial"/>
          <w:sz w:val="18"/>
          <w:szCs w:val="18"/>
          <w:color w:val="auto"/>
        </w:rPr>
        <w:t>According to the warrant agreement, dated November 2, 2018, and amended on March 29, 2021, we issued TAP (i) on November 16, 2018 warrants over 41,286 ordinary shares; (ii) on April 21, 2022, warrants over 1,101,683 ordinary shares and (iii) on May 10, 2023, warrants over 408,730 ordinary shares.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AstraZeneca Shares</w:t>
      </w:r>
    </w:p>
    <w:p>
      <w:pPr>
        <w:spacing w:after="0" w:line="104" w:lineRule="exact"/>
        <w:rPr>
          <w:sz w:val="20"/>
          <w:szCs w:val="20"/>
          <w:color w:val="auto"/>
        </w:rPr>
      </w:pPr>
    </w:p>
    <w:p>
      <w:pPr>
        <w:ind w:left="120" w:right="80" w:firstLine="440"/>
        <w:spacing w:after="0" w:line="242" w:lineRule="auto"/>
        <w:rPr>
          <w:sz w:val="20"/>
          <w:szCs w:val="20"/>
          <w:color w:val="auto"/>
        </w:rPr>
      </w:pPr>
      <w:r>
        <w:rPr>
          <w:rFonts w:ascii="Arial" w:cs="Arial" w:eastAsia="Arial" w:hAnsi="Arial"/>
          <w:sz w:val="18"/>
          <w:szCs w:val="18"/>
          <w:color w:val="auto"/>
        </w:rPr>
        <w:t>In October 2017, we entered into an exclusive license and option agreement (the “License Agreement”) and subscription deed, with the subscription deed being amended and restated by an amendment deed in May 2021 (the “Subscription Deed” and, together with the License Agreement, the “Original Agreements”) with AstraZeneca AB (“AstraZeneca”). Each of these were amended on November 8, 2024, when the Company entered into an Amendment and Restatement Agreement related to the License Agreement (the “Amended License Agreement”) and a Deed of Amendment and Restatement related to the Subscription Deed (the “Amended Subscription Deed” and, together with the Amended License Agreement, the “Amended Agreements”).</w:t>
      </w:r>
    </w:p>
    <w:p>
      <w:pPr>
        <w:spacing w:after="0" w:line="17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Under the terms of the Original Agreements, we obtained from AstraZeneca an exclusive worldwide, sub-licensable license under AstraZeneca’s intellectual property rights relating to the product candidate alvelestat, with an option to acquire such intellectual property rights following commencement of a pivotal trial and payment of related milestone payments (the “Option”), together with the acquisition of certain related assets. Upon entering into the Original Agreements, we made a payment of $3.0 million and issued 490,798 ordinary shares (equivalent to 98,159 ADSs) to AstraZeneca, for an aggregate upfront payment equal to $5.0 million. Following execution of the Amended License Agreement, we issued 2,044,390 ordinary shares (equivalent to 408,878 ADSs) and paid $0.5 million to AstraZeneca in respect of an agreed milestone.</w:t>
      </w:r>
    </w:p>
    <w:p>
      <w:pPr>
        <w:spacing w:after="0" w:line="18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Under the terms of the Amended Agreements, we agreed, in connection with certain further development and regulatory milestones, to make potential future payments both in cash and through the issue of a variable number of additional ADSs to AstraZeneca of up to $114.3 million in the aggregate for products included in the Amended License Agreement. The number of ADSs to be</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issued to satisfy equity milestones is determined by dividing a monetary amount by a defined subscription price. In addition, the Company has agreed to make payments to AstraZeneca based on specified commercial milestones of the product. The Company has also agreed to pay a specified percentage of sub-licensing revenue to AstraZeneca and to make royalty payments to AstraZeneca equal to ascending specified percentages of tiered annual worldwide net sales by the Company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We have agreed to use commercially reasonable efforts to develop and commercialize at least one licensed product.</w:t>
      </w:r>
    </w:p>
    <w:p>
      <w:pPr>
        <w:spacing w:after="0" w:line="180" w:lineRule="exact"/>
        <w:rPr>
          <w:sz w:val="20"/>
          <w:szCs w:val="20"/>
          <w:color w:val="auto"/>
        </w:rPr>
      </w:pPr>
    </w:p>
    <w:p>
      <w:pPr>
        <w:ind w:left="120" w:right="120" w:firstLine="440"/>
        <w:spacing w:after="0" w:line="244" w:lineRule="auto"/>
        <w:rPr>
          <w:sz w:val="20"/>
          <w:szCs w:val="20"/>
          <w:color w:val="auto"/>
        </w:rPr>
      </w:pPr>
      <w:r>
        <w:rPr>
          <w:rFonts w:ascii="Arial" w:cs="Arial" w:eastAsia="Arial" w:hAnsi="Arial"/>
          <w:sz w:val="18"/>
          <w:szCs w:val="18"/>
          <w:color w:val="auto"/>
        </w:rPr>
        <w:t>The Amended License Agreement will expire on the expiration of the last-to-expire royalty term with respect to all licensed products. Upon the expiration of the royalty term for a licensed product in a particular country, the licenses to the Company for such product in such country will become fully paid and irrevocable. Prior to exercise of the Option, if at all, the Company may terminate the Amended License Agreement upon prior written notice. Either party may terminate the agreement upon prior written notice for the other party’s material breach that remains uncured for a specified period of time or insolvency.</w:t>
      </w:r>
    </w:p>
    <w:p>
      <w:pPr>
        <w:spacing w:after="0" w:line="176"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7"/>
          <w:szCs w:val="17"/>
          <w:color w:val="auto"/>
        </w:rPr>
        <w:t>The selling shareholders may sell all, some or none of their Resale Shares included in this prospectus. See “Plan of Distribution.” In the table below, the percentage of shares beneficially owned is based on 775,728,034 of our ordinary shares outstanding as of November 20, 2024, determined in accordance with Rule 13d-3 under the Exchange Act of 1934, as amended. Under such rule, beneficial ownership includes any shares over which the selling shareholders has sole or shared voting power or investment power and also any shares that the selling shareholders has the right to acquire within 60 days of such date through the exercise of any options or other rights.</w:t>
      </w:r>
    </w:p>
    <w:p>
      <w:pPr>
        <w:spacing w:after="0" w:line="166"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To our knowledge, except as may be disclosed herein, none of the selling shareholders have, and within the past three years have not had, any position, office or other material relationship with us or any of our affiliates, other than the right to appoint a director and/or an observer to our board of directors and the beneficial ownership of our ordinary shares. To our knowledge, none of the selling shareholders is a broker-dealer, nor at the time of the acquisition of our ordinary shares did any of the selling shareholders have direct or indirect agreements or understandings with any person to distribute any of our ordinary shares.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rPr>
              <w:t>Percentage of</w:t>
            </w: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Percentage of</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740" w:type="dxa"/>
            <w:vAlign w:val="bottom"/>
            <w:gridSpan w:val="2"/>
          </w:tcPr>
          <w:p>
            <w:pPr>
              <w:jc w:val="center"/>
              <w:ind w:right="760"/>
              <w:spacing w:after="0" w:line="202" w:lineRule="exact"/>
              <w:rPr>
                <w:sz w:val="20"/>
                <w:szCs w:val="20"/>
                <w:color w:val="auto"/>
              </w:rPr>
            </w:pPr>
            <w:r>
              <w:rPr>
                <w:rFonts w:ascii="Arial" w:cs="Arial" w:eastAsia="Arial" w:hAnsi="Arial"/>
                <w:sz w:val="18"/>
                <w:szCs w:val="18"/>
                <w:b w:val="1"/>
                <w:bCs w:val="1"/>
                <w:color w:val="auto"/>
                <w:w w:val="99"/>
              </w:rPr>
              <w:t>Number of</w:t>
            </w:r>
          </w:p>
        </w:tc>
        <w:tc>
          <w:tcPr>
            <w:tcW w:w="2380" w:type="dxa"/>
            <w:vAlign w:val="bottom"/>
            <w:gridSpan w:val="2"/>
          </w:tcPr>
          <w:p>
            <w:pPr>
              <w:jc w:val="center"/>
              <w:ind w:right="880"/>
              <w:spacing w:after="0" w:line="202" w:lineRule="exact"/>
              <w:rPr>
                <w:sz w:val="20"/>
                <w:szCs w:val="20"/>
                <w:color w:val="auto"/>
              </w:rPr>
            </w:pPr>
            <w:r>
              <w:rPr>
                <w:rFonts w:ascii="Arial" w:cs="Arial" w:eastAsia="Arial" w:hAnsi="Arial"/>
                <w:sz w:val="18"/>
                <w:szCs w:val="18"/>
                <w:b w:val="1"/>
                <w:bCs w:val="1"/>
                <w:color w:val="auto"/>
                <w:w w:val="99"/>
              </w:rPr>
              <w:t>shares</w:t>
            </w:r>
          </w:p>
        </w:tc>
        <w:tc>
          <w:tcPr>
            <w:tcW w:w="1900" w:type="dxa"/>
            <w:vAlign w:val="bottom"/>
            <w:gridSpan w:val="2"/>
          </w:tcPr>
          <w:p>
            <w:pPr>
              <w:jc w:val="center"/>
              <w:ind w:right="720"/>
              <w:spacing w:after="0" w:line="202" w:lineRule="exact"/>
              <w:rPr>
                <w:sz w:val="20"/>
                <w:szCs w:val="20"/>
                <w:color w:val="auto"/>
              </w:rPr>
            </w:pPr>
            <w:r>
              <w:rPr>
                <w:rFonts w:ascii="Arial" w:cs="Arial" w:eastAsia="Arial" w:hAnsi="Arial"/>
                <w:sz w:val="18"/>
                <w:szCs w:val="18"/>
                <w:b w:val="1"/>
                <w:bCs w:val="1"/>
                <w:color w:val="auto"/>
                <w:w w:val="99"/>
              </w:rPr>
              <w:t>Number of</w:t>
            </w:r>
          </w:p>
        </w:tc>
        <w:tc>
          <w:tcPr>
            <w:tcW w:w="15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Shares</w:t>
            </w:r>
          </w:p>
        </w:tc>
        <w:tc>
          <w:tcPr>
            <w:tcW w:w="0" w:type="dxa"/>
            <w:vAlign w:val="bottom"/>
          </w:tcPr>
          <w:p>
            <w:pPr>
              <w:spacing w:after="0"/>
              <w:rPr>
                <w:sz w:val="1"/>
                <w:szCs w:val="1"/>
                <w:color w:val="auto"/>
              </w:rPr>
            </w:pPr>
          </w:p>
        </w:tc>
      </w:tr>
      <w:tr>
        <w:trPr>
          <w:trHeight w:val="203"/>
        </w:trPr>
        <w:tc>
          <w:tcPr>
            <w:tcW w:w="3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of Selling</w:t>
            </w:r>
          </w:p>
        </w:tc>
        <w:tc>
          <w:tcPr>
            <w:tcW w:w="1740" w:type="dxa"/>
            <w:vAlign w:val="bottom"/>
            <w:gridSpan w:val="2"/>
          </w:tcPr>
          <w:p>
            <w:pPr>
              <w:jc w:val="center"/>
              <w:ind w:right="740"/>
              <w:spacing w:after="0" w:line="202" w:lineRule="exact"/>
              <w:rPr>
                <w:sz w:val="20"/>
                <w:szCs w:val="20"/>
                <w:color w:val="auto"/>
              </w:rPr>
            </w:pPr>
            <w:r>
              <w:rPr>
                <w:rFonts w:ascii="Arial" w:cs="Arial" w:eastAsia="Arial" w:hAnsi="Arial"/>
                <w:sz w:val="18"/>
                <w:szCs w:val="18"/>
                <w:b w:val="1"/>
                <w:bCs w:val="1"/>
                <w:color w:val="auto"/>
                <w:w w:val="99"/>
              </w:rPr>
              <w:t>Shares</w:t>
            </w:r>
          </w:p>
        </w:tc>
        <w:tc>
          <w:tcPr>
            <w:tcW w:w="2380" w:type="dxa"/>
            <w:vAlign w:val="bottom"/>
            <w:gridSpan w:val="2"/>
          </w:tcPr>
          <w:p>
            <w:pPr>
              <w:jc w:val="center"/>
              <w:ind w:right="860"/>
              <w:spacing w:after="0" w:line="202" w:lineRule="exact"/>
              <w:rPr>
                <w:sz w:val="20"/>
                <w:szCs w:val="20"/>
                <w:color w:val="auto"/>
              </w:rPr>
            </w:pPr>
            <w:r>
              <w:rPr>
                <w:rFonts w:ascii="Arial" w:cs="Arial" w:eastAsia="Arial" w:hAnsi="Arial"/>
                <w:sz w:val="18"/>
                <w:szCs w:val="18"/>
                <w:b w:val="1"/>
                <w:bCs w:val="1"/>
                <w:color w:val="auto"/>
                <w:w w:val="99"/>
              </w:rPr>
              <w:t>Beneficially</w:t>
            </w:r>
          </w:p>
        </w:tc>
        <w:tc>
          <w:tcPr>
            <w:tcW w:w="1900" w:type="dxa"/>
            <w:vAlign w:val="bottom"/>
            <w:gridSpan w:val="2"/>
          </w:tcPr>
          <w:p>
            <w:pPr>
              <w:jc w:val="center"/>
              <w:ind w:right="740"/>
              <w:spacing w:after="0" w:line="202" w:lineRule="exact"/>
              <w:rPr>
                <w:sz w:val="20"/>
                <w:szCs w:val="20"/>
                <w:color w:val="auto"/>
              </w:rPr>
            </w:pPr>
            <w:r>
              <w:rPr>
                <w:rFonts w:ascii="Arial" w:cs="Arial" w:eastAsia="Arial" w:hAnsi="Arial"/>
                <w:sz w:val="18"/>
                <w:szCs w:val="18"/>
                <w:b w:val="1"/>
                <w:bCs w:val="1"/>
                <w:color w:val="auto"/>
              </w:rPr>
              <w:t>Shares Being</w:t>
            </w:r>
          </w:p>
        </w:tc>
        <w:tc>
          <w:tcPr>
            <w:tcW w:w="15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Beneficially</w:t>
            </w:r>
          </w:p>
        </w:tc>
        <w:tc>
          <w:tcPr>
            <w:tcW w:w="0" w:type="dxa"/>
            <w:vAlign w:val="bottom"/>
          </w:tcPr>
          <w:p>
            <w:pPr>
              <w:spacing w:after="0"/>
              <w:rPr>
                <w:sz w:val="1"/>
                <w:szCs w:val="1"/>
                <w:color w:val="auto"/>
              </w:rPr>
            </w:pPr>
          </w:p>
        </w:tc>
      </w:tr>
      <w:tr>
        <w:trPr>
          <w:trHeight w:val="189"/>
        </w:trPr>
        <w:tc>
          <w:tcPr>
            <w:tcW w:w="3420" w:type="dxa"/>
            <w:vAlign w:val="bottom"/>
            <w:gridSpan w:val="2"/>
            <w:vMerge w:val="continue"/>
          </w:tcPr>
          <w:p>
            <w:pPr>
              <w:spacing w:after="0"/>
              <w:rPr>
                <w:sz w:val="16"/>
                <w:szCs w:val="16"/>
                <w:color w:val="auto"/>
              </w:rPr>
            </w:pPr>
          </w:p>
        </w:tc>
        <w:tc>
          <w:tcPr>
            <w:tcW w:w="1740" w:type="dxa"/>
            <w:vAlign w:val="bottom"/>
            <w:gridSpan w:val="2"/>
          </w:tcPr>
          <w:p>
            <w:pPr>
              <w:jc w:val="center"/>
              <w:ind w:right="740"/>
              <w:spacing w:after="0" w:line="189" w:lineRule="exact"/>
              <w:rPr>
                <w:sz w:val="20"/>
                <w:szCs w:val="20"/>
                <w:color w:val="auto"/>
              </w:rPr>
            </w:pPr>
            <w:r>
              <w:rPr>
                <w:rFonts w:ascii="Arial" w:cs="Arial" w:eastAsia="Arial" w:hAnsi="Arial"/>
                <w:sz w:val="18"/>
                <w:szCs w:val="18"/>
                <w:b w:val="1"/>
                <w:bCs w:val="1"/>
                <w:color w:val="auto"/>
                <w:w w:val="99"/>
              </w:rPr>
              <w:t>Beneficially</w:t>
            </w:r>
          </w:p>
        </w:tc>
        <w:tc>
          <w:tcPr>
            <w:tcW w:w="2380" w:type="dxa"/>
            <w:vAlign w:val="bottom"/>
            <w:gridSpan w:val="2"/>
          </w:tcPr>
          <w:p>
            <w:pPr>
              <w:jc w:val="center"/>
              <w:ind w:right="860"/>
              <w:spacing w:after="0" w:line="189" w:lineRule="exact"/>
              <w:rPr>
                <w:sz w:val="20"/>
                <w:szCs w:val="20"/>
                <w:color w:val="auto"/>
              </w:rPr>
            </w:pPr>
            <w:r>
              <w:rPr>
                <w:rFonts w:ascii="Arial" w:cs="Arial" w:eastAsia="Arial" w:hAnsi="Arial"/>
                <w:sz w:val="18"/>
                <w:szCs w:val="18"/>
                <w:b w:val="1"/>
                <w:bCs w:val="1"/>
                <w:color w:val="auto"/>
                <w:w w:val="99"/>
              </w:rPr>
              <w:t>Owned before the</w:t>
            </w:r>
          </w:p>
        </w:tc>
        <w:tc>
          <w:tcPr>
            <w:tcW w:w="1900" w:type="dxa"/>
            <w:vAlign w:val="bottom"/>
            <w:gridSpan w:val="2"/>
          </w:tcPr>
          <w:p>
            <w:pPr>
              <w:jc w:val="center"/>
              <w:ind w:right="720"/>
              <w:spacing w:after="0" w:line="189" w:lineRule="exact"/>
              <w:rPr>
                <w:sz w:val="20"/>
                <w:szCs w:val="20"/>
                <w:color w:val="auto"/>
              </w:rPr>
            </w:pPr>
            <w:r>
              <w:rPr>
                <w:rFonts w:ascii="Arial" w:cs="Arial" w:eastAsia="Arial" w:hAnsi="Arial"/>
                <w:sz w:val="18"/>
                <w:szCs w:val="18"/>
                <w:b w:val="1"/>
                <w:bCs w:val="1"/>
                <w:color w:val="auto"/>
                <w:w w:val="99"/>
              </w:rPr>
              <w:t>Registered in</w:t>
            </w:r>
          </w:p>
        </w:tc>
        <w:tc>
          <w:tcPr>
            <w:tcW w:w="158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99"/>
              </w:rPr>
              <w:t>Owned after the</w:t>
            </w:r>
          </w:p>
        </w:tc>
        <w:tc>
          <w:tcPr>
            <w:tcW w:w="0" w:type="dxa"/>
            <w:vAlign w:val="bottom"/>
          </w:tcPr>
          <w:p>
            <w:pPr>
              <w:spacing w:after="0"/>
              <w:rPr>
                <w:sz w:val="1"/>
                <w:szCs w:val="1"/>
                <w:color w:val="auto"/>
              </w:rPr>
            </w:pPr>
          </w:p>
        </w:tc>
      </w:tr>
      <w:tr>
        <w:trPr>
          <w:trHeight w:val="221"/>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Shareholder</w:t>
            </w:r>
          </w:p>
        </w:tc>
        <w:tc>
          <w:tcPr>
            <w:tcW w:w="174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9"/>
              </w:rPr>
              <w:t>Owned</w:t>
            </w:r>
          </w:p>
        </w:tc>
        <w:tc>
          <w:tcPr>
            <w:tcW w:w="238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9"/>
              </w:rPr>
              <w:t>Offering</w:t>
            </w:r>
          </w:p>
        </w:tc>
        <w:tc>
          <w:tcPr>
            <w:tcW w:w="190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9"/>
              </w:rPr>
              <w:t>the Offering</w:t>
            </w: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Offering</w:t>
            </w:r>
          </w:p>
        </w:tc>
        <w:tc>
          <w:tcPr>
            <w:tcW w:w="0" w:type="dxa"/>
            <w:vAlign w:val="bottom"/>
          </w:tcPr>
          <w:p>
            <w:pPr>
              <w:spacing w:after="0"/>
              <w:rPr>
                <w:sz w:val="1"/>
                <w:szCs w:val="1"/>
                <w:color w:val="auto"/>
              </w:rPr>
            </w:pPr>
          </w:p>
        </w:tc>
      </w:tr>
      <w:tr>
        <w:trPr>
          <w:trHeight w:val="20"/>
        </w:trPr>
        <w:tc>
          <w:tcPr>
            <w:tcW w:w="104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Novartis Pharma AG</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20,555,067</w:t>
            </w:r>
          </w:p>
        </w:tc>
        <w:tc>
          <w:tcPr>
            <w:tcW w:w="74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right"/>
              <w:ind w:right="700"/>
              <w:spacing w:after="0" w:line="189" w:lineRule="exact"/>
              <w:rPr>
                <w:sz w:val="20"/>
                <w:szCs w:val="20"/>
                <w:color w:val="auto"/>
              </w:rPr>
            </w:pPr>
            <w:r>
              <w:rPr>
                <w:rFonts w:ascii="Arial" w:cs="Arial" w:eastAsia="Arial" w:hAnsi="Arial"/>
                <w:sz w:val="18"/>
                <w:szCs w:val="18"/>
                <w:color w:val="auto"/>
              </w:rPr>
              <w:t>2.6%</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20,555,067</w:t>
            </w:r>
          </w:p>
        </w:tc>
        <w:tc>
          <w:tcPr>
            <w:tcW w:w="7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Silicon Valley Bank</w:t>
            </w:r>
          </w:p>
        </w:tc>
        <w:tc>
          <w:tcPr>
            <w:tcW w:w="17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1,243,908</w:t>
            </w:r>
          </w:p>
        </w:tc>
        <w:tc>
          <w:tcPr>
            <w:tcW w:w="238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1,243,908</w:t>
            </w: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Kreos Capital V (UK) Limited</w:t>
            </w:r>
          </w:p>
        </w:tc>
        <w:tc>
          <w:tcPr>
            <w:tcW w:w="17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1,243,908</w:t>
            </w:r>
          </w:p>
        </w:tc>
        <w:tc>
          <w:tcPr>
            <w:tcW w:w="238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1,243,908</w:t>
            </w:r>
          </w:p>
        </w:tc>
        <w:tc>
          <w:tcPr>
            <w:tcW w:w="1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Alpha-1 Project, Inc.</w:t>
            </w:r>
          </w:p>
        </w:tc>
        <w:tc>
          <w:tcPr>
            <w:tcW w:w="17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1,551,699</w:t>
            </w:r>
          </w:p>
        </w:tc>
        <w:tc>
          <w:tcPr>
            <w:tcW w:w="238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1,551,699</w:t>
            </w: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AstraZeneca AB</w:t>
            </w:r>
          </w:p>
        </w:tc>
        <w:tc>
          <w:tcPr>
            <w:tcW w:w="17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2,044,390</w:t>
            </w:r>
          </w:p>
        </w:tc>
        <w:tc>
          <w:tcPr>
            <w:tcW w:w="238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2,044,390</w:t>
            </w:r>
          </w:p>
        </w:tc>
        <w:tc>
          <w:tcPr>
            <w:tcW w:w="1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Indicates less than 1%.</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12" w:lineRule="exact"/>
        <w:rPr>
          <w:sz w:val="20"/>
          <w:szCs w:val="20"/>
          <w:color w:val="auto"/>
        </w:rPr>
      </w:pPr>
    </w:p>
    <w:p>
      <w:pPr>
        <w:ind w:left="120" w:firstLine="440"/>
        <w:spacing w:after="0" w:line="252" w:lineRule="auto"/>
        <w:rPr>
          <w:sz w:val="20"/>
          <w:szCs w:val="20"/>
          <w:color w:val="auto"/>
        </w:rPr>
      </w:pPr>
      <w:r>
        <w:rPr>
          <w:rFonts w:ascii="Arial" w:cs="Arial" w:eastAsia="Arial" w:hAnsi="Arial"/>
          <w:sz w:val="17"/>
          <w:szCs w:val="17"/>
          <w:color w:val="auto"/>
        </w:rPr>
        <w:t>The registration statement of which this prospectus forms a part has been filed in part in respect of, an aggregate of 26,638,972 ordinary shares (including those issuable upon the exercise of warrants or conversion of convertible loan notes), in the form of ADSs, consisting of (i) 20,555,067 ordinary shares underlying convertible loan notes and warrants issuable to Novartis under the convertible loan and warrant instruments dated February 10, 2020, as amended on November 24, 2020 and February 10, 2023; (ii) 2,487,816 ordinary shares underlying warrants issuable to Silicon Valley Bank and Kreos Capital V (UK) Limited as lenders under previous loan agreements with them dated August 7, 2017 and September 28, 2018, respectively, as amended on December 15, 2020 that have been fully repaid;</w:t>
      </w:r>
    </w:p>
    <w:p>
      <w:pPr>
        <w:spacing w:after="0" w:line="2" w:lineRule="exact"/>
        <w:rPr>
          <w:sz w:val="20"/>
          <w:szCs w:val="20"/>
          <w:color w:val="auto"/>
        </w:rPr>
      </w:pPr>
    </w:p>
    <w:p>
      <w:pPr>
        <w:ind w:left="120" w:hanging="4"/>
        <w:spacing w:after="0" w:line="237" w:lineRule="auto"/>
        <w:tabs>
          <w:tab w:leader="none" w:pos="4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1,551,699 ordinary shares underlying warrants issuable to TAP under a warrant instrument dated November 2, 2018, as amended on March 29, 2021 and (iv) 2,044,390 ordinary shares issued to AstraZeneca in connection with a subscription deed dated October 28, 2017, as amended on May 21, 2021 and November 8, 2024. The holders of such ordinary shares are identified in this prospectus as selling shareholders. Any ordinary shares offered and sold in the United States by the selling shareholders will be in the form of ADSs. The selling shareholders are also permitted to sell ordinary shares not represented by ADSs in private or offshore transactions, which resales are not covered by this prospectus. The Selling Shareholders may, or may not, elect to sell their ordinary shares represented by ADSs as and to the extent that each may individually determine. Such sales, if any, will be made through brokerage transactions on Nasdaq or other securities exchange in the United States at prevailing market prices.</w:t>
      </w:r>
    </w:p>
    <w:p>
      <w:pPr>
        <w:spacing w:after="0" w:line="183" w:lineRule="exact"/>
        <w:rPr>
          <w:sz w:val="20"/>
          <w:szCs w:val="20"/>
          <w:color w:val="auto"/>
        </w:rPr>
      </w:pPr>
    </w:p>
    <w:p>
      <w:pPr>
        <w:ind w:left="120" w:right="220" w:firstLine="440"/>
        <w:spacing w:after="0" w:line="239" w:lineRule="auto"/>
        <w:rPr>
          <w:sz w:val="20"/>
          <w:szCs w:val="20"/>
          <w:color w:val="auto"/>
        </w:rPr>
      </w:pPr>
      <w:r>
        <w:rPr>
          <w:rFonts w:ascii="Arial" w:cs="Arial" w:eastAsia="Arial" w:hAnsi="Arial"/>
          <w:sz w:val="18"/>
          <w:szCs w:val="18"/>
          <w:color w:val="auto"/>
        </w:rPr>
        <w:t>The selling shareholders may dispose of all or a portion of their ordinary shares in the form of ADSs from time to time directly or through one or more underwriters, broker-dealers or agents. If ADSs representing our ordinary shares are sold through underwriters or broker-dealers, the selling shareholders will be responsible for any applicable underwriting discounts or commissions or agent’s commissions. ADSs representing our ordinary shares may be sold on Nasdaq or any other national securities exchange or quotation service on which the securities may be listed or quoted at the time of disposition, in the over-the-counter market or in transactions otherwise than on these exchanges or systems or in the over-the-counter market and in one or more transactions at fixed prices, at prevailing market prices at the time of the disposition, at varying prices determined at the time of disposition, or at negotiated prices. These dispositions may be effected in transactions, which may involve crosses or block transactions. The selling shareholders may use any one or more of the following methods when disposing of their ADSs:</w:t>
      </w:r>
    </w:p>
    <w:p>
      <w:pPr>
        <w:spacing w:after="0" w:line="196" w:lineRule="exact"/>
        <w:rPr>
          <w:sz w:val="20"/>
          <w:szCs w:val="20"/>
          <w:color w:val="auto"/>
        </w:rPr>
      </w:pPr>
    </w:p>
    <w:p>
      <w:pPr>
        <w:ind w:left="980" w:hanging="432"/>
        <w:spacing w:after="0"/>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brokerage transactions and transactions in which the broker-dealer solicits purchasers;</w:t>
      </w:r>
    </w:p>
    <w:p>
      <w:pPr>
        <w:spacing w:after="0" w:line="22" w:lineRule="exact"/>
        <w:rPr>
          <w:rFonts w:ascii="MS PGothic" w:cs="MS PGothic" w:eastAsia="MS PGothic" w:hAnsi="MS PGothic"/>
          <w:sz w:val="25"/>
          <w:szCs w:val="25"/>
          <w:color w:val="auto"/>
          <w:vertAlign w:val="superscript"/>
        </w:rPr>
      </w:pPr>
    </w:p>
    <w:p>
      <w:pPr>
        <w:ind w:left="980" w:right="80" w:hanging="432"/>
        <w:spacing w:after="0" w:line="220"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block trades in which the broker-dealer will attempt to sell the ADSs as agent but may position and resell a portion of the block as principal to facilitate the transaction;</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purchases by a broker-dealer as principal and resale by the broker-dealer for its account;</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exchange distribution in accordance with the rules of the applicable exchange;</w:t>
      </w:r>
    </w:p>
    <w:p>
      <w:pPr>
        <w:spacing w:after="0" w:line="22" w:lineRule="exact"/>
        <w:rPr>
          <w:rFonts w:ascii="MS PGothic" w:cs="MS PGothic" w:eastAsia="MS PGothic" w:hAnsi="MS PGothic"/>
          <w:sz w:val="25"/>
          <w:szCs w:val="25"/>
          <w:color w:val="auto"/>
          <w:vertAlign w:val="superscript"/>
        </w:rPr>
      </w:pPr>
    </w:p>
    <w:p>
      <w:pPr>
        <w:ind w:left="980" w:hanging="432"/>
        <w:spacing w:after="0" w:line="225"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ind w:left="980" w:hanging="432"/>
        <w:spacing w:after="0" w:line="230"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privately negotiated transactions and offshore transactions;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broker-dealers may agree with the Selling Shareholder to sell a specified number of such ADSs at a stipulated price per ADS;</w:t>
      </w:r>
    </w:p>
    <w:p>
      <w:pPr>
        <w:spacing w:after="0" w:line="22" w:lineRule="exact"/>
        <w:rPr>
          <w:rFonts w:ascii="MS PGothic" w:cs="MS PGothic" w:eastAsia="MS PGothic" w:hAnsi="MS PGothic"/>
          <w:sz w:val="25"/>
          <w:szCs w:val="25"/>
          <w:color w:val="auto"/>
          <w:vertAlign w:val="superscript"/>
        </w:rPr>
      </w:pPr>
    </w:p>
    <w:p>
      <w:pPr>
        <w:ind w:left="980" w:right="600" w:hanging="432"/>
        <w:spacing w:after="0" w:line="220"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the writing or settlement of options or other hedging transactions, whether such options are listed on an options exchange or otherwise;</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980" w:hanging="432"/>
        <w:spacing w:after="0"/>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combination of any such methods of disposition; and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other method permitted pursuant to applicable law.</w:t>
      </w:r>
    </w:p>
    <w:p>
      <w:pPr>
        <w:spacing w:after="0" w:line="180" w:lineRule="exact"/>
        <w:rPr>
          <w:sz w:val="20"/>
          <w:szCs w:val="20"/>
          <w:color w:val="auto"/>
        </w:rPr>
      </w:pPr>
    </w:p>
    <w:p>
      <w:pPr>
        <w:jc w:val="both"/>
        <w:ind w:left="120" w:right="60" w:firstLine="440"/>
        <w:spacing w:after="0" w:line="253" w:lineRule="auto"/>
        <w:rPr>
          <w:sz w:val="20"/>
          <w:szCs w:val="20"/>
          <w:color w:val="auto"/>
        </w:rPr>
      </w:pPr>
      <w:r>
        <w:rPr>
          <w:rFonts w:ascii="Arial" w:cs="Arial" w:eastAsia="Arial" w:hAnsi="Arial"/>
          <w:sz w:val="18"/>
          <w:szCs w:val="18"/>
          <w:color w:val="auto"/>
        </w:rPr>
        <w:t>The selling shareholders also may resell all or a portion of their ordinary shares in offshore transactions or open market transactions in reliance upon Regulation S under the Securities Act, if available, rather than under this prospectus, provided that they meet the criteria and conform to the requirements of those provisions.</w:t>
      </w:r>
    </w:p>
    <w:p>
      <w:pPr>
        <w:spacing w:after="0" w:line="16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Broker-dealers engaged by the selling shareholders may arrange for other broker-dealers to participate in dispositions. If the selling shareholders effects such transactions by selling ADSs representing our ordinary shares to or through underwriters, broker-dealers or agents, such underwriters, broker-dealers or agents may receive applicable commissions in the form of discounts, concessions or commissions from the selling shareholders or commissions from purchasers of ADSs representing our ordinary shares for whom they may act as agent or to whom they may sell as principal. Such commissions, which shall be payable by the selling shareholders, will be in amounts to be negotiated, but, except as set forth in a supplement to this prospectus, in the case of an agency transaction will not be in excess of a customary brokerage commission in compliance with applicable FINRA rules and regulations.</w:t>
      </w:r>
    </w:p>
    <w:p>
      <w:pPr>
        <w:spacing w:after="0" w:line="1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connection with dispositions of ADSs representing their ordinary shares, the selling shareholders may enter into hedging transactions with broker-dealers or other financial institutions, which may in turn engage in short sales of ADSs representing their ordinary shares in the course of hedging in positions they assume. The selling shareholders may also sell ADSs representing their ordinary shares short and, if such short sale shall take place after the date that the registration statement of which this prospectus forms a part is declared effective by the Securities and Exchange Commission, the selling shareholders may deliver ADSs representing such shares to close out short positions and to return borrowed shares in connection with such short sales. The selling shareholders may also loan or pledge ADSs representing their ordinary shares to broker-dealers that in turn may sell such shares, to the extent permitted by applicable law. The Selling Shareholders may also enter into option or other transactions with broker-dealers or other financial institutions or the creation of one or more derivative securities which require the delivery to such broker-dealer or other financial institution of ADSs, which ADSs such broker-dealer or other financial institution may resell pursuant to this prospectus (as supplemented or amended to reflect such transaction). Notwithstanding the foregoing, the selling shareholders have been advised that it may not use their ADSs to cover short sales of our ADSs made prior to the date the registration statement of which this prospectus forms a part has been declared effective by the SEC.</w:t>
      </w:r>
    </w:p>
    <w:p>
      <w:pPr>
        <w:spacing w:after="0" w:line="180"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selling shareholders and any broker-dealer or agents participating in the distribution of the ADSs representing their ordinary shares may be deemed to be “underwriters” within the meaning of Section 2(a)(11) of the Securities Act in connection with such dispositions. In such event, any commissions paid, or any discounts or concessions allowed to, any such broker-dealer or agent and any profit on the resale of the ADSs representing our ordinary shares purchased by them may be deemed to be underwriting commissions or discounts under the Securities Act. If the selling shareholders are “underwriters” within the meaning of Section 2(a)(11) of the Securities Act they will be subject to the applicable prospectus delivery requirements of the Securities Act including Rule 172 thereunder and may be subject to certain statutory liabilities thereof, including but not limited to, Sections 11, 12 and 17 of the Securities Act and Rule 10b-5 under the Securities Exchange Act of 1934, as amended, or the Exchange Act.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320"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Mayer Brown LLP will pass upon certain legal matters relating to the issuance and sale of the securities offered hereby on behalf of the Mereo BioPharma Group plc. The validity of the ordinary shares underlying the ADSs to be offered pursuant to this prospectus will be passed upon for us by Latham &amp; Watkins (London) LLP.</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320" w:top="455" w:right="5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EXPERTS</w:t>
      </w:r>
    </w:p>
    <w:p>
      <w:pPr>
        <w:spacing w:after="0" w:line="32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0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620"/>
          </w:cols>
          <w:pgMar w:left="320" w:top="455" w:right="9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04"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file reports, proxy statements and other information with the SEC. The SEC maintains a web site that contains reports, proxy and information statements and other information about issuers, such as us, who file electronically with the SEC. The address of that website is http://www.sec.gov.</w:t>
      </w:r>
    </w:p>
    <w:p>
      <w:pPr>
        <w:spacing w:after="0" w:line="169"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8"/>
          <w:szCs w:val="18"/>
          <w:color w:val="auto"/>
        </w:rPr>
        <w:t>Our web site address is www.mereobiopharma.com. The information on our web site, however, is not, and should not be deemed to be, a part of this prospectus.</w:t>
      </w:r>
    </w:p>
    <w:p>
      <w:pPr>
        <w:spacing w:after="0" w:line="15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w:t>
      </w:r>
    </w:p>
    <w:p>
      <w:pPr>
        <w:spacing w:after="0" w:line="154" w:lineRule="exact"/>
        <w:rPr>
          <w:sz w:val="20"/>
          <w:szCs w:val="20"/>
          <w:color w:val="auto"/>
        </w:rPr>
      </w:pPr>
    </w:p>
    <w:p>
      <w:pPr>
        <w:ind w:left="120" w:right="360" w:firstLine="440"/>
        <w:spacing w:after="0" w:line="247" w:lineRule="auto"/>
        <w:rPr>
          <w:sz w:val="20"/>
          <w:szCs w:val="20"/>
          <w:color w:val="auto"/>
        </w:rPr>
      </w:pPr>
      <w:r>
        <w:rPr>
          <w:rFonts w:ascii="Arial" w:cs="Arial" w:eastAsia="Arial" w:hAnsi="Arial"/>
          <w:sz w:val="18"/>
          <w:szCs w:val="18"/>
          <w:color w:val="auto"/>
        </w:rPr>
        <w:t>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 by Reference</w:t>
      </w:r>
    </w:p>
    <w:p>
      <w:pPr>
        <w:spacing w:after="0" w:line="104" w:lineRule="exact"/>
        <w:rPr>
          <w:sz w:val="20"/>
          <w:szCs w:val="20"/>
          <w:color w:val="auto"/>
        </w:rPr>
      </w:pPr>
    </w:p>
    <w:p>
      <w:pPr>
        <w:ind w:left="120" w:right="80" w:firstLine="440"/>
        <w:spacing w:after="0" w:line="242"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79" w:lineRule="exact"/>
        <w:rPr>
          <w:sz w:val="20"/>
          <w:szCs w:val="20"/>
          <w:color w:val="auto"/>
        </w:rPr>
      </w:pPr>
    </w:p>
    <w:p>
      <w:pPr>
        <w:ind w:left="120" w:right="240" w:firstLine="440"/>
        <w:spacing w:after="0" w:line="271"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66" w:lineRule="exact"/>
        <w:rPr>
          <w:sz w:val="20"/>
          <w:szCs w:val="20"/>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8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 filed with the SEC on March 27, 2024.</w:t>
      </w:r>
    </w:p>
    <w:p>
      <w:pPr>
        <w:spacing w:after="0" w:line="22" w:lineRule="exact"/>
        <w:rPr>
          <w:rFonts w:ascii="Arial" w:cs="Arial" w:eastAsia="Arial" w:hAnsi="Arial"/>
          <w:sz w:val="18"/>
          <w:szCs w:val="18"/>
          <w:color w:val="auto"/>
        </w:rPr>
      </w:pPr>
    </w:p>
    <w:p>
      <w:pPr>
        <w:ind w:left="980" w:hanging="432"/>
        <w:spacing w:after="0" w:line="22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March 31, 2024, June 30, 2024 and September 30, 2024, filed with the SEC on </w:t>
      </w:r>
      <w:hyperlink r:id="rId87">
        <w:r>
          <w:rPr>
            <w:rFonts w:ascii="Arial" w:cs="Arial" w:eastAsia="Arial" w:hAnsi="Arial"/>
            <w:sz w:val="18"/>
            <w:szCs w:val="18"/>
            <w:u w:val="single" w:color="auto"/>
            <w:color w:val="0000EE"/>
          </w:rPr>
          <w:t>May 15, 2024</w:t>
        </w:r>
      </w:hyperlink>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EE"/>
          </w:rPr>
          <w:t>August 13, 2024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9">
        <w:r>
          <w:rPr>
            <w:rFonts w:ascii="Arial" w:cs="Arial" w:eastAsia="Arial" w:hAnsi="Arial"/>
            <w:sz w:val="18"/>
            <w:szCs w:val="18"/>
            <w:u w:val="single" w:color="auto"/>
            <w:color w:val="0000EE"/>
          </w:rPr>
          <w:t>November 12, 2024</w:t>
        </w:r>
      </w:hyperlink>
      <w:r>
        <w:rPr>
          <w:rFonts w:ascii="Arial" w:cs="Arial" w:eastAsia="Arial" w:hAnsi="Arial"/>
          <w:sz w:val="18"/>
          <w:szCs w:val="18"/>
          <w:color w:val="auto"/>
        </w:rPr>
        <w:t>, respectively.</w:t>
      </w:r>
    </w:p>
    <w:p>
      <w:pPr>
        <w:spacing w:after="0" w:line="5" w:lineRule="exact"/>
        <w:rPr>
          <w:rFonts w:ascii="Arial" w:cs="Arial" w:eastAsia="Arial" w:hAnsi="Arial"/>
          <w:sz w:val="18"/>
          <w:szCs w:val="18"/>
          <w:color w:val="auto"/>
        </w:rPr>
      </w:pPr>
    </w:p>
    <w:p>
      <w:pPr>
        <w:ind w:left="980" w:right="180" w:hanging="432"/>
        <w:spacing w:after="0" w:line="23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90">
        <w:r>
          <w:rPr>
            <w:rFonts w:ascii="Arial" w:cs="Arial" w:eastAsia="Arial" w:hAnsi="Arial"/>
            <w:sz w:val="18"/>
            <w:szCs w:val="18"/>
            <w:u w:val="single" w:color="auto"/>
            <w:color w:val="0000EE"/>
          </w:rPr>
          <w:t>April 15, 2024</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EE"/>
          </w:rPr>
          <w:t>May 23, 2024</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EE"/>
          </w:rPr>
          <w:t>June 12, 2024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(except for Item 7.01), </w:t>
      </w:r>
      <w:hyperlink r:id="rId93">
        <w:r>
          <w:rPr>
            <w:rFonts w:ascii="Arial" w:cs="Arial" w:eastAsia="Arial" w:hAnsi="Arial"/>
            <w:sz w:val="18"/>
            <w:szCs w:val="18"/>
            <w:u w:val="single" w:color="auto"/>
            <w:color w:val="0000EE"/>
          </w:rPr>
          <w:t>June 14, 2024</w:t>
        </w:r>
      </w:hyperlink>
      <w:r>
        <w:rPr>
          <w:rFonts w:ascii="Arial" w:cs="Arial" w:eastAsia="Arial" w:hAnsi="Arial"/>
          <w:sz w:val="18"/>
          <w:szCs w:val="18"/>
          <w:color w:val="auto"/>
        </w:rPr>
        <w:t xml:space="preserve"> (except for Item 7.01) and </w:t>
      </w:r>
      <w:hyperlink r:id="rId94">
        <w:r>
          <w:rPr>
            <w:rFonts w:ascii="Arial" w:cs="Arial" w:eastAsia="Arial" w:hAnsi="Arial"/>
            <w:sz w:val="18"/>
            <w:szCs w:val="18"/>
            <w:u w:val="single" w:color="auto"/>
            <w:color w:val="0000EE"/>
          </w:rPr>
          <w:t>November 12, 2024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(except for Item 2.02).</w:t>
      </w:r>
    </w:p>
    <w:p>
      <w:pPr>
        <w:spacing w:after="0" w:line="4" w:lineRule="exact"/>
        <w:rPr>
          <w:rFonts w:ascii="Arial" w:cs="Arial" w:eastAsia="Arial" w:hAnsi="Arial"/>
          <w:sz w:val="18"/>
          <w:szCs w:val="18"/>
          <w:color w:val="auto"/>
        </w:rPr>
      </w:pPr>
    </w:p>
    <w:p>
      <w:pPr>
        <w:ind w:left="980" w:hanging="432"/>
        <w:spacing w:after="0" w:line="232"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and ADSs contained in our amended registration statement on </w:t>
      </w:r>
      <w:hyperlink r:id="rId95">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December 18, 2023 and any amendment or report filed with the SEC for the purpose of updating the description including without limitation, </w:t>
      </w:r>
      <w:hyperlink r:id="rId96">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Annual Report on Form 10-K for the year ended December 31, 2023, filed with the SEC on March 27, 2024.</w:t>
      </w:r>
    </w:p>
    <w:p>
      <w:pPr>
        <w:spacing w:after="0" w:line="181" w:lineRule="exact"/>
        <w:rPr>
          <w:rFonts w:ascii="MS PGothic" w:cs="MS PGothic" w:eastAsia="MS PGothic" w:hAnsi="MS PGothic"/>
          <w:sz w:val="25"/>
          <w:szCs w:val="25"/>
          <w:color w:val="auto"/>
          <w:vertAlign w:val="superscript"/>
        </w:rPr>
      </w:pPr>
    </w:p>
    <w:p>
      <w:pPr>
        <w:ind w:left="120" w:right="80" w:firstLine="440"/>
        <w:spacing w:after="0" w:line="247" w:lineRule="auto"/>
        <w:rPr>
          <w:sz w:val="20"/>
          <w:szCs w:val="20"/>
          <w:color w:val="auto"/>
        </w:rPr>
      </w:pPr>
      <w:r>
        <w:rPr>
          <w:rFonts w:ascii="Arial" w:cs="Arial" w:eastAsia="Arial" w:hAnsi="Arial"/>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w:t>
      </w:r>
    </w:p>
    <w:p>
      <w:pPr>
        <w:spacing w:after="0" w:line="106" w:lineRule="exact"/>
        <w:rPr>
          <w:rFonts w:ascii="MS PGothic" w:cs="MS PGothic" w:eastAsia="MS PGothic" w:hAnsi="MS PGothic"/>
          <w:sz w:val="25"/>
          <w:szCs w:val="25"/>
          <w:color w:val="auto"/>
          <w:vertAlign w:val="superscript"/>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incorporated by reference into this prospectus and deemed to be part of this prospectus from the date of the filing of such reports and documents.</w:t>
      </w:r>
    </w:p>
    <w:p>
      <w:pPr>
        <w:spacing w:after="0" w:line="154"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You may request a free copy of any of the documents incorporated by reference in this prospectus by writing or telephoning us at:</w:t>
      </w:r>
    </w:p>
    <w:p>
      <w:pPr>
        <w:spacing w:after="0" w:line="22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Mereo BioPharma Group plc</w:t>
      </w:r>
    </w:p>
    <w:p>
      <w:pPr>
        <w:jc w:val="center"/>
        <w:ind w:right="-399"/>
        <w:spacing w:after="0" w:line="180" w:lineRule="auto"/>
        <w:rPr>
          <w:sz w:val="20"/>
          <w:szCs w:val="20"/>
          <w:color w:val="auto"/>
        </w:rPr>
      </w:pPr>
      <w:r>
        <w:rPr>
          <w:rFonts w:ascii="Arial" w:cs="Arial" w:eastAsia="Arial" w:hAnsi="Arial"/>
          <w:sz w:val="17"/>
          <w:szCs w:val="17"/>
          <w:color w:val="auto"/>
        </w:rPr>
        <w:t>One Cavendish Place, 4</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w:t>
      </w:r>
    </w:p>
    <w:p>
      <w:pPr>
        <w:jc w:val="center"/>
        <w:ind w:right="-399"/>
        <w:spacing w:after="0" w:line="235" w:lineRule="auto"/>
        <w:rPr>
          <w:sz w:val="20"/>
          <w:szCs w:val="20"/>
          <w:color w:val="auto"/>
        </w:rPr>
      </w:pPr>
      <w:r>
        <w:rPr>
          <w:rFonts w:ascii="Arial" w:cs="Arial" w:eastAsia="Arial" w:hAnsi="Arial"/>
          <w:sz w:val="18"/>
          <w:szCs w:val="18"/>
          <w:color w:val="auto"/>
        </w:rPr>
        <w:t>London, W1G 0QF</w:t>
      </w:r>
    </w:p>
    <w:p>
      <w:pPr>
        <w:jc w:val="center"/>
        <w:ind w:right="-399"/>
        <w:spacing w:after="0" w:line="235" w:lineRule="auto"/>
        <w:rPr>
          <w:sz w:val="20"/>
          <w:szCs w:val="20"/>
          <w:color w:val="auto"/>
        </w:rPr>
      </w:pPr>
      <w:r>
        <w:rPr>
          <w:rFonts w:ascii="Arial" w:cs="Arial" w:eastAsia="Arial" w:hAnsi="Arial"/>
          <w:sz w:val="18"/>
          <w:szCs w:val="18"/>
          <w:color w:val="auto"/>
        </w:rPr>
        <w:t>United Kingdom</w:t>
      </w:r>
    </w:p>
    <w:p>
      <w:pPr>
        <w:jc w:val="center"/>
        <w:ind w:right="-399"/>
        <w:spacing w:after="0"/>
        <w:rPr>
          <w:sz w:val="20"/>
          <w:szCs w:val="20"/>
          <w:color w:val="auto"/>
        </w:rPr>
      </w:pPr>
      <w:r>
        <w:rPr>
          <w:rFonts w:ascii="Arial" w:cs="Arial" w:eastAsia="Arial" w:hAnsi="Arial"/>
          <w:sz w:val="18"/>
          <w:szCs w:val="18"/>
          <w:color w:val="auto"/>
        </w:rPr>
        <w:t>+44 333 023 7300</w:t>
      </w:r>
    </w:p>
    <w:p>
      <w:pPr>
        <w:spacing w:after="0" w:line="194" w:lineRule="exact"/>
        <w:rPr>
          <w:sz w:val="20"/>
          <w:szCs w:val="20"/>
          <w:color w:val="auto"/>
        </w:rPr>
      </w:pPr>
    </w:p>
    <w:p>
      <w:pPr>
        <w:ind w:left="120" w:right="460" w:firstLine="440"/>
        <w:spacing w:after="0" w:line="271"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8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860"/>
          </w:cols>
          <w:pgMar w:left="320" w:top="455" w:right="7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04"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8"/>
          <w:szCs w:val="18"/>
          <w:color w:val="auto"/>
        </w:rPr>
        <w:t>The following is an estimate, other than with respect to the SEC registration fee, of the expenses (all of which are to be paid by the registrant) that we may incur in connection with the securities being registered hereby.</w:t>
      </w:r>
    </w:p>
    <w:p>
      <w:pPr>
        <w:spacing w:after="0" w:line="195"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Legal fees and expenses</w:t>
            </w:r>
          </w:p>
        </w:tc>
        <w:tc>
          <w:tcPr>
            <w:tcW w:w="2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95,000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2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Miscellaneous</w:t>
            </w:r>
          </w:p>
        </w:tc>
        <w:tc>
          <w:tcPr>
            <w:tcW w:w="2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30,800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178,650.82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04"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The Articles of Association of Mereo BioPharma Group plc (“Mereo,” the “Company” or the “registrant”) provide that Mereo may indemnify the directors and other officers of Mereo in respect of any proceedings, whether civil or criminal, brought against them by reason of their being directors or officers of Mereo and to the fullest extent permitted by the Companies Act 2006 of the United Kingdom (“CA 2006”).</w:t>
      </w:r>
    </w:p>
    <w:p>
      <w:pPr>
        <w:spacing w:after="0" w:line="174" w:lineRule="exact"/>
        <w:rPr>
          <w:sz w:val="20"/>
          <w:szCs w:val="20"/>
          <w:color w:val="auto"/>
        </w:rPr>
      </w:pPr>
    </w:p>
    <w:p>
      <w:pPr>
        <w:ind w:left="120" w:right="120" w:firstLine="440"/>
        <w:spacing w:after="0" w:line="247" w:lineRule="auto"/>
        <w:rPr>
          <w:sz w:val="20"/>
          <w:szCs w:val="20"/>
          <w:color w:val="auto"/>
        </w:rPr>
      </w:pPr>
      <w:r>
        <w:rPr>
          <w:rFonts w:ascii="Arial" w:cs="Arial" w:eastAsia="Arial" w:hAnsi="Arial"/>
          <w:sz w:val="18"/>
          <w:szCs w:val="18"/>
          <w:color w:val="auto"/>
        </w:rPr>
        <w:t>Generally, under CA 2006, any provision by which Mereo directly or indirectly provides an indemnity (to any extent) for a director of Mereo or of an “associated company” (i.e., a company that is a parent, subsidiary or sister company of Mereo)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174"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Mereo has entered into a deed of indemnity with each of its directors. Except as prohibited by applicable law, these deeds of indemnity may require Mereo, among other requirements, to indemnify its directors and executive officers for certain expenses, including attorneys’ fees, costs and expenses incurred by such directors and executive officers with the prior written consent of Mereo in any action or proceeding arising out of their service as a director or executive officer of Mereo, or one of its subsidiaries.</w:t>
      </w:r>
    </w:p>
    <w:p>
      <w:pPr>
        <w:spacing w:after="0" w:line="174" w:lineRule="exact"/>
        <w:rPr>
          <w:sz w:val="20"/>
          <w:szCs w:val="20"/>
          <w:color w:val="auto"/>
        </w:rPr>
      </w:pPr>
    </w:p>
    <w:p>
      <w:pPr>
        <w:ind w:left="120" w:right="340" w:firstLine="440"/>
        <w:spacing w:after="0" w:line="271" w:lineRule="auto"/>
        <w:rPr>
          <w:sz w:val="20"/>
          <w:szCs w:val="20"/>
          <w:color w:val="auto"/>
        </w:rPr>
      </w:pPr>
      <w:r>
        <w:rPr>
          <w:rFonts w:ascii="Arial" w:cs="Arial" w:eastAsia="Arial" w:hAnsi="Arial"/>
          <w:sz w:val="18"/>
          <w:szCs w:val="18"/>
          <w:color w:val="auto"/>
        </w:rPr>
        <w:t>Mereo maintains directors’ and officers’ insurance coverage, which, subject to policy terms and limitations, is expected to include coverage to reimburse Mereo for amounts that it may be required or permitted by law to pay directors or officers of Mereo.</w:t>
      </w:r>
    </w:p>
    <w:p>
      <w:pPr>
        <w:spacing w:after="0" w:line="154"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Mereo pursuant to the foregoing provisions, Mereo has been informed that in the opinion of the Securities and Exchange Commission such indemnification is against public policy as expressed in the Securities Act and is, therefore, unenforceable.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Number</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  3.1*</w:t>
            </w:r>
          </w:p>
        </w:tc>
        <w:tc>
          <w:tcPr>
            <w:tcW w:w="9740" w:type="dxa"/>
            <w:vAlign w:val="bottom"/>
            <w:gridSpan w:val="11"/>
          </w:tcPr>
          <w:p>
            <w:pPr>
              <w:spacing w:after="0"/>
              <w:rPr>
                <w:rFonts w:ascii="Arial" w:cs="Arial" w:eastAsia="Arial" w:hAnsi="Arial"/>
                <w:sz w:val="18"/>
                <w:szCs w:val="18"/>
                <w:color w:val="0000EE"/>
              </w:rPr>
            </w:pPr>
            <w:hyperlink r:id="rId100">
              <w:r>
                <w:rPr>
                  <w:rFonts w:ascii="Arial" w:cs="Arial" w:eastAsia="Arial" w:hAnsi="Arial"/>
                  <w:sz w:val="18"/>
                  <w:szCs w:val="18"/>
                  <w:color w:val="0000EE"/>
                </w:rPr>
                <w:t>Articles of Association of the Company (incorporated by reference to Exhibit 3.1 to the Company’s Form 6-K, filed with the</w:t>
              </w:r>
            </w:hyperlink>
          </w:p>
        </w:tc>
      </w:tr>
      <w:tr>
        <w:trPr>
          <w:trHeight w:val="183"/>
        </w:trPr>
        <w:tc>
          <w:tcPr>
            <w:tcW w:w="1180" w:type="dxa"/>
            <w:vAlign w:val="bottom"/>
          </w:tcPr>
          <w:p>
            <w:pPr>
              <w:spacing w:after="0"/>
              <w:rPr>
                <w:sz w:val="15"/>
                <w:szCs w:val="15"/>
                <w:color w:val="auto"/>
              </w:rPr>
            </w:pPr>
          </w:p>
        </w:tc>
        <w:tc>
          <w:tcPr>
            <w:tcW w:w="968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SEC on December 18, 2023 (File No. 001-38452)).</w:t>
              </w:r>
            </w:hyperlink>
          </w:p>
        </w:tc>
        <w:tc>
          <w:tcPr>
            <w:tcW w:w="6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18"/>
                <w:szCs w:val="18"/>
                <w:color w:val="auto"/>
              </w:rPr>
              <w:t>  4.1*</w:t>
            </w:r>
          </w:p>
        </w:tc>
        <w:tc>
          <w:tcPr>
            <w:tcW w:w="9740" w:type="dxa"/>
            <w:vAlign w:val="bottom"/>
            <w:gridSpan w:val="11"/>
          </w:tcPr>
          <w:p>
            <w:pPr>
              <w:spacing w:after="0"/>
              <w:rPr>
                <w:rFonts w:ascii="Arial" w:cs="Arial" w:eastAsia="Arial" w:hAnsi="Arial"/>
                <w:sz w:val="18"/>
                <w:szCs w:val="18"/>
                <w:color w:val="0000EE"/>
              </w:rPr>
            </w:pPr>
            <w:hyperlink r:id="rId101">
              <w:r>
                <w:rPr>
                  <w:rFonts w:ascii="Arial" w:cs="Arial" w:eastAsia="Arial" w:hAnsi="Arial"/>
                  <w:sz w:val="18"/>
                  <w:szCs w:val="18"/>
                  <w:color w:val="0000EE"/>
                </w:rPr>
                <w:t>Form of American Depositary Receipt of Mereo BioPharma Group plc (incorporated by reference to Exhibit 4.3 to</w:t>
              </w:r>
            </w:hyperlink>
          </w:p>
        </w:tc>
      </w:tr>
      <w:tr>
        <w:trPr>
          <w:trHeight w:val="183"/>
        </w:trPr>
        <w:tc>
          <w:tcPr>
            <w:tcW w:w="1180" w:type="dxa"/>
            <w:vAlign w:val="bottom"/>
          </w:tcPr>
          <w:p>
            <w:pPr>
              <w:spacing w:after="0"/>
              <w:rPr>
                <w:sz w:val="15"/>
                <w:szCs w:val="15"/>
                <w:color w:val="auto"/>
              </w:rPr>
            </w:pPr>
          </w:p>
        </w:tc>
        <w:tc>
          <w:tcPr>
            <w:tcW w:w="898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101">
              <w:r>
                <w:rPr>
                  <w:rFonts w:ascii="Arial" w:cs="Arial" w:eastAsia="Arial" w:hAnsi="Arial"/>
                  <w:sz w:val="18"/>
                  <w:szCs w:val="18"/>
                  <w:color w:val="0000EE"/>
                  <w:w w:val="99"/>
                </w:rPr>
                <w:t>Company’s Registration Statement on Form F-4/A, filed with the SEC on March 15, 2019 (File No. 333-229351)).</w:t>
              </w:r>
            </w:hyperlink>
          </w:p>
        </w:tc>
        <w:tc>
          <w:tcPr>
            <w:tcW w:w="20" w:type="dxa"/>
            <w:vAlign w:val="bottom"/>
            <w:tcBorders>
              <w:top w:val="single" w:sz="8" w:color="0000EE"/>
            </w:tcBorders>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18"/>
                <w:szCs w:val="18"/>
                <w:color w:val="auto"/>
              </w:rPr>
              <w:t>  4.2*</w:t>
            </w:r>
          </w:p>
        </w:tc>
        <w:tc>
          <w:tcPr>
            <w:tcW w:w="9740" w:type="dxa"/>
            <w:vAlign w:val="bottom"/>
            <w:tcBorders>
              <w:bottom w:val="single" w:sz="8" w:color="0000EE"/>
            </w:tcBorders>
            <w:gridSpan w:val="11"/>
          </w:tcPr>
          <w:p>
            <w:pPr>
              <w:spacing w:after="0"/>
              <w:rPr>
                <w:rFonts w:ascii="Arial" w:cs="Arial" w:eastAsia="Arial" w:hAnsi="Arial"/>
                <w:sz w:val="18"/>
                <w:szCs w:val="18"/>
                <w:color w:val="0000EE"/>
              </w:rPr>
            </w:pPr>
            <w:hyperlink r:id="rId96">
              <w:r>
                <w:rPr>
                  <w:rFonts w:ascii="Arial" w:cs="Arial" w:eastAsia="Arial" w:hAnsi="Arial"/>
                  <w:sz w:val="18"/>
                  <w:szCs w:val="18"/>
                  <w:color w:val="0000EE"/>
                </w:rPr>
                <w:t>Description of Securities Registered under Section 12 of the Exchange Act (incorporated by reference to Exhibit 4.2 to the</w:t>
              </w:r>
            </w:hyperlink>
          </w:p>
        </w:tc>
      </w:tr>
      <w:tr>
        <w:trPr>
          <w:trHeight w:val="183"/>
        </w:trPr>
        <w:tc>
          <w:tcPr>
            <w:tcW w:w="1180" w:type="dxa"/>
            <w:vAlign w:val="bottom"/>
          </w:tcPr>
          <w:p>
            <w:pPr>
              <w:spacing w:after="0"/>
              <w:rPr>
                <w:sz w:val="15"/>
                <w:szCs w:val="15"/>
                <w:color w:val="auto"/>
              </w:rPr>
            </w:pPr>
          </w:p>
        </w:tc>
        <w:tc>
          <w:tcPr>
            <w:tcW w:w="9740" w:type="dxa"/>
            <w:vAlign w:val="bottom"/>
            <w:gridSpan w:val="11"/>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Company’s Annual Report on Form 10-K for the year ended December 31, 2023, filed with the SEC on March 27, 2024</w:t>
              </w:r>
            </w:hyperlink>
          </w:p>
        </w:tc>
      </w:tr>
      <w:tr>
        <w:trPr>
          <w:trHeight w:val="183"/>
        </w:trPr>
        <w:tc>
          <w:tcPr>
            <w:tcW w:w="1180" w:type="dxa"/>
            <w:vAlign w:val="bottom"/>
          </w:tcPr>
          <w:p>
            <w:pPr>
              <w:spacing w:after="0"/>
              <w:rPr>
                <w:sz w:val="15"/>
                <w:szCs w:val="15"/>
                <w:color w:val="auto"/>
              </w:rPr>
            </w:pPr>
          </w:p>
        </w:tc>
        <w:tc>
          <w:tcPr>
            <w:tcW w:w="94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(File No. 001-38452)).</w:t>
              </w:r>
            </w:hyperlink>
          </w:p>
        </w:tc>
        <w:tc>
          <w:tcPr>
            <w:tcW w:w="280" w:type="dxa"/>
            <w:vAlign w:val="bottom"/>
            <w:gridSpan w:val="2"/>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r>
      <w:tr>
        <w:trPr>
          <w:trHeight w:val="290"/>
        </w:trPr>
        <w:tc>
          <w:tcPr>
            <w:tcW w:w="1180" w:type="dxa"/>
            <w:vAlign w:val="bottom"/>
          </w:tcPr>
          <w:p>
            <w:pPr>
              <w:spacing w:after="0"/>
              <w:rPr>
                <w:sz w:val="20"/>
                <w:szCs w:val="20"/>
                <w:color w:val="auto"/>
              </w:rPr>
            </w:pPr>
            <w:r>
              <w:rPr>
                <w:rFonts w:ascii="Arial" w:cs="Arial" w:eastAsia="Arial" w:hAnsi="Arial"/>
                <w:sz w:val="18"/>
                <w:szCs w:val="18"/>
                <w:color w:val="auto"/>
              </w:rPr>
              <w:t>  5.1</w:t>
            </w:r>
          </w:p>
        </w:tc>
        <w:tc>
          <w:tcPr>
            <w:tcW w:w="35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8"/>
              </w:rPr>
              <w:t>Opinion of Latham &amp; Watkins (London) LLP.</w:t>
            </w:r>
          </w:p>
        </w:tc>
        <w:tc>
          <w:tcPr>
            <w:tcW w:w="6240" w:type="dxa"/>
            <w:vAlign w:val="bottom"/>
            <w:gridSpan w:val="9"/>
          </w:tcPr>
          <w:p>
            <w:pPr>
              <w:spacing w:after="0"/>
              <w:rPr>
                <w:sz w:val="24"/>
                <w:szCs w:val="24"/>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18"/>
                <w:szCs w:val="18"/>
                <w:color w:val="auto"/>
              </w:rPr>
              <w:t>23.1</w:t>
            </w:r>
          </w:p>
        </w:tc>
        <w:tc>
          <w:tcPr>
            <w:tcW w:w="9740" w:type="dxa"/>
            <w:vAlign w:val="bottom"/>
            <w:gridSpan w:val="11"/>
          </w:tcPr>
          <w:p>
            <w:pPr>
              <w:spacing w:after="0"/>
              <w:rPr>
                <w:sz w:val="20"/>
                <w:szCs w:val="20"/>
                <w:color w:val="auto"/>
              </w:rPr>
            </w:pPr>
            <w:r>
              <w:rPr>
                <w:rFonts w:ascii="Arial" w:cs="Arial" w:eastAsia="Arial" w:hAnsi="Arial"/>
                <w:sz w:val="18"/>
                <w:szCs w:val="18"/>
                <w:color w:val="0000EE"/>
              </w:rPr>
              <w:t>Consent of Latham &amp; Watkins (London) LLP (included in Exhibit 5.1).</w:t>
            </w:r>
          </w:p>
        </w:tc>
      </w:tr>
      <w:tr>
        <w:trPr>
          <w:trHeight w:val="20"/>
        </w:trPr>
        <w:tc>
          <w:tcPr>
            <w:tcW w:w="1180" w:type="dxa"/>
            <w:vAlign w:val="bottom"/>
          </w:tcPr>
          <w:p>
            <w:pPr>
              <w:spacing w:after="0" w:line="20" w:lineRule="exact"/>
              <w:rPr>
                <w:sz w:val="1"/>
                <w:szCs w:val="1"/>
                <w:color w:val="auto"/>
              </w:rPr>
            </w:pPr>
          </w:p>
        </w:tc>
        <w:tc>
          <w:tcPr>
            <w:tcW w:w="5480" w:type="dxa"/>
            <w:vAlign w:val="bottom"/>
            <w:gridSpan w:val="4"/>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18"/>
                <w:szCs w:val="18"/>
                <w:color w:val="auto"/>
              </w:rPr>
              <w:t>23.3</w:t>
            </w:r>
          </w:p>
        </w:tc>
        <w:tc>
          <w:tcPr>
            <w:tcW w:w="70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Consent of PricewaterhouseCoopers LLP, independent registered public accounting firm.</w:t>
            </w:r>
          </w:p>
        </w:tc>
        <w:tc>
          <w:tcPr>
            <w:tcW w:w="2660" w:type="dxa"/>
            <w:vAlign w:val="bottom"/>
            <w:gridSpan w:val="5"/>
          </w:tcPr>
          <w:p>
            <w:pPr>
              <w:spacing w:after="0"/>
              <w:rPr>
                <w:sz w:val="24"/>
                <w:szCs w:val="24"/>
                <w:color w:val="auto"/>
              </w:rPr>
            </w:pPr>
          </w:p>
        </w:tc>
      </w:tr>
      <w:tr>
        <w:trPr>
          <w:trHeight w:val="290"/>
        </w:trPr>
        <w:tc>
          <w:tcPr>
            <w:tcW w:w="1180" w:type="dxa"/>
            <w:vAlign w:val="bottom"/>
          </w:tcPr>
          <w:p>
            <w:pPr>
              <w:spacing w:after="0"/>
              <w:rPr>
                <w:sz w:val="20"/>
                <w:szCs w:val="20"/>
                <w:color w:val="auto"/>
              </w:rPr>
            </w:pPr>
            <w:r>
              <w:rPr>
                <w:rFonts w:ascii="Arial" w:cs="Arial" w:eastAsia="Arial" w:hAnsi="Arial"/>
                <w:sz w:val="18"/>
                <w:szCs w:val="18"/>
                <w:color w:val="auto"/>
              </w:rPr>
              <w:t>24.1</w:t>
            </w:r>
          </w:p>
        </w:tc>
        <w:tc>
          <w:tcPr>
            <w:tcW w:w="61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9"/>
              </w:rPr>
              <w:t>Powers of Attorney (incorporated by reference to the signature page hereto).</w:t>
            </w:r>
          </w:p>
        </w:tc>
        <w:tc>
          <w:tcPr>
            <w:tcW w:w="3640" w:type="dxa"/>
            <w:vAlign w:val="bottom"/>
            <w:gridSpan w:val="6"/>
          </w:tcPr>
          <w:p>
            <w:pPr>
              <w:spacing w:after="0"/>
              <w:rPr>
                <w:sz w:val="24"/>
                <w:szCs w:val="24"/>
                <w:color w:val="auto"/>
              </w:rPr>
            </w:pPr>
          </w:p>
        </w:tc>
      </w:tr>
    </w:tbl>
    <w:p>
      <w:pPr>
        <w:spacing w:after="0" w:line="103" w:lineRule="exact"/>
        <w:rPr>
          <w:sz w:val="20"/>
          <w:szCs w:val="20"/>
          <w:color w:val="auto"/>
        </w:rPr>
      </w:pPr>
    </w:p>
    <w:p>
      <w:pPr>
        <w:ind w:left="1300" w:hanging="118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184"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-153035</wp:posOffset>
            </wp:positionV>
            <wp:extent cx="18173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40"/>
          </w:cols>
          <w:pgMar w:left="320" w:top="455" w:right="5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04" w:lineRule="exact"/>
        <w:rPr>
          <w:sz w:val="20"/>
          <w:szCs w:val="20"/>
          <w:color w:val="auto"/>
        </w:rPr>
      </w:pPr>
    </w:p>
    <w:p>
      <w:pPr>
        <w:ind w:left="820" w:hanging="2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03" w:lineRule="exact"/>
        <w:rPr>
          <w:rFonts w:ascii="Arial" w:cs="Arial" w:eastAsia="Arial" w:hAnsi="Arial"/>
          <w:sz w:val="18"/>
          <w:szCs w:val="18"/>
          <w:color w:val="auto"/>
        </w:rPr>
      </w:pPr>
    </w:p>
    <w:p>
      <w:pPr>
        <w:ind w:left="1240" w:hanging="261"/>
        <w:spacing w:after="0"/>
        <w:tabs>
          <w:tab w:leader="none" w:pos="12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3" w:lineRule="exact"/>
        <w:rPr>
          <w:rFonts w:ascii="Arial" w:cs="Arial" w:eastAsia="Arial" w:hAnsi="Arial"/>
          <w:sz w:val="18"/>
          <w:szCs w:val="18"/>
          <w:color w:val="auto"/>
        </w:rPr>
      </w:pPr>
    </w:p>
    <w:p>
      <w:pPr>
        <w:ind w:left="1620" w:hanging="218"/>
        <w:spacing w:after="0"/>
        <w:tabs>
          <w:tab w:leader="none" w:pos="16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03" w:lineRule="exact"/>
        <w:rPr>
          <w:rFonts w:ascii="Arial" w:cs="Arial" w:eastAsia="Arial" w:hAnsi="Arial"/>
          <w:sz w:val="18"/>
          <w:szCs w:val="18"/>
          <w:color w:val="auto"/>
        </w:rPr>
      </w:pPr>
    </w:p>
    <w:p>
      <w:pPr>
        <w:ind w:left="1000" w:right="60" w:firstLine="402"/>
        <w:spacing w:after="0"/>
        <w:tabs>
          <w:tab w:leader="none" w:pos="1655"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72" w:lineRule="exact"/>
        <w:rPr>
          <w:rFonts w:ascii="Arial" w:cs="Arial" w:eastAsia="Arial" w:hAnsi="Arial"/>
          <w:sz w:val="18"/>
          <w:szCs w:val="18"/>
          <w:color w:val="auto"/>
        </w:rPr>
      </w:pPr>
    </w:p>
    <w:p>
      <w:pPr>
        <w:ind w:left="1000" w:firstLine="402"/>
        <w:spacing w:after="0" w:line="242" w:lineRule="auto"/>
        <w:tabs>
          <w:tab w:leader="none" w:pos="1695"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(a)(1)(i), (a)(1)(ii), and (a)(1)(iii) above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70" w:lineRule="exact"/>
        <w:rPr>
          <w:rFonts w:ascii="Arial" w:cs="Arial" w:eastAsia="Arial" w:hAnsi="Arial"/>
          <w:sz w:val="18"/>
          <w:szCs w:val="18"/>
          <w:color w:val="auto"/>
        </w:rPr>
      </w:pPr>
    </w:p>
    <w:p>
      <w:pPr>
        <w:jc w:val="both"/>
        <w:ind w:left="560" w:right="20" w:firstLine="419"/>
        <w:spacing w:after="0" w:line="253" w:lineRule="auto"/>
        <w:tabs>
          <w:tab w:leader="none" w:pos="1253"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0" w:lineRule="exact"/>
        <w:rPr>
          <w:rFonts w:ascii="Arial" w:cs="Arial" w:eastAsia="Arial" w:hAnsi="Arial"/>
          <w:sz w:val="18"/>
          <w:szCs w:val="18"/>
          <w:color w:val="auto"/>
        </w:rPr>
      </w:pPr>
    </w:p>
    <w:p>
      <w:pPr>
        <w:ind w:left="560" w:right="280" w:firstLine="419"/>
        <w:spacing w:after="0" w:line="271" w:lineRule="auto"/>
        <w:tabs>
          <w:tab w:leader="none" w:pos="1253"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45" w:lineRule="exact"/>
        <w:rPr>
          <w:rFonts w:ascii="Arial" w:cs="Arial" w:eastAsia="Arial" w:hAnsi="Arial"/>
          <w:sz w:val="18"/>
          <w:szCs w:val="18"/>
          <w:color w:val="auto"/>
        </w:rPr>
      </w:pPr>
    </w:p>
    <w:p>
      <w:pPr>
        <w:ind w:left="1240" w:hanging="261"/>
        <w:spacing w:after="0"/>
        <w:tabs>
          <w:tab w:leader="none" w:pos="12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04" w:lineRule="exact"/>
        <w:rPr>
          <w:sz w:val="20"/>
          <w:szCs w:val="20"/>
          <w:color w:val="auto"/>
        </w:rPr>
      </w:pPr>
    </w:p>
    <w:p>
      <w:pPr>
        <w:ind w:left="1000" w:right="580" w:firstLine="402"/>
        <w:spacing w:after="0" w:line="271" w:lineRule="auto"/>
        <w:tabs>
          <w:tab w:leader="none" w:pos="1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45" w:lineRule="exact"/>
        <w:rPr>
          <w:rFonts w:ascii="Arial" w:cs="Arial" w:eastAsia="Arial" w:hAnsi="Arial"/>
          <w:sz w:val="18"/>
          <w:szCs w:val="18"/>
          <w:color w:val="auto"/>
        </w:rPr>
      </w:pPr>
    </w:p>
    <w:p>
      <w:pPr>
        <w:ind w:left="1000" w:right="20" w:firstLine="402"/>
        <w:spacing w:after="0" w:line="238" w:lineRule="auto"/>
        <w:tabs>
          <w:tab w:leader="none" w:pos="1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000" w:right="140"/>
        <w:spacing w:after="0" w:line="253" w:lineRule="auto"/>
        <w:rPr>
          <w:sz w:val="20"/>
          <w:szCs w:val="20"/>
          <w:color w:val="auto"/>
        </w:rPr>
      </w:pPr>
      <w:r>
        <w:rPr>
          <w:rFonts w:ascii="Arial" w:cs="Arial" w:eastAsia="Arial" w:hAnsi="Arial"/>
          <w:sz w:val="18"/>
          <w:szCs w:val="18"/>
          <w:color w:val="auto"/>
        </w:rPr>
        <w:t>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9" w:lineRule="exact"/>
        <w:rPr>
          <w:sz w:val="20"/>
          <w:szCs w:val="20"/>
          <w:color w:val="auto"/>
        </w:rPr>
      </w:pPr>
    </w:p>
    <w:p>
      <w:pPr>
        <w:ind w:left="120" w:right="100" w:firstLine="436"/>
        <w:spacing w:after="0" w:line="244" w:lineRule="auto"/>
        <w:tabs>
          <w:tab w:leader="none" w:pos="8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Arial" w:cs="Arial" w:eastAsia="Arial" w:hAnsi="Arial"/>
          <w:sz w:val="18"/>
          <w:szCs w:val="18"/>
          <w:color w:val="auto"/>
        </w:rPr>
      </w:pPr>
    </w:p>
    <w:p>
      <w:pPr>
        <w:ind w:left="120" w:firstLine="436"/>
        <w:spacing w:after="0" w:line="239"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120" w:right="380" w:firstLine="440"/>
        <w:spacing w:after="0" w:line="25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London, the United Kingdom, on November 25, 2024.</w:t>
      </w:r>
    </w:p>
    <w:p>
      <w:pPr>
        <w:spacing w:after="0" w:line="19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MEREO BIOPHARMA GROUP PLC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562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Denise Scots-Knight</w:t>
      </w:r>
    </w:p>
    <w:p>
      <w:pPr>
        <w:ind w:left="71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ind w:left="120" w:right="140" w:firstLine="440"/>
        <w:spacing w:after="0" w:line="239" w:lineRule="auto"/>
        <w:rPr>
          <w:sz w:val="20"/>
          <w:szCs w:val="20"/>
          <w:color w:val="auto"/>
        </w:rPr>
      </w:pPr>
      <w:r>
        <w:rPr>
          <w:rFonts w:ascii="Arial" w:cs="Arial" w:eastAsia="Arial" w:hAnsi="Arial"/>
          <w:sz w:val="18"/>
          <w:szCs w:val="18"/>
          <w:color w:val="auto"/>
        </w:rPr>
        <w:t>KNOW ALL PERSONS BY THESE PRESENT, that each person whose signature appears below hereby constitutes and appoints Denise Scots- Knight, Ph.D. and Christine Fox, and each of them, as his or her true and lawful attorney-in-fact and agent,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(and any additional registration statement related hereto permitted by Rule 462(b) promulgated under the Securities Act of 1933, as amended (and all further amendments, including post-effective amendments, thereto)), and to file the same, with all exhibits thereto, and other documents in connection therewith, with the Securities and Exchange Commission, granting unto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180"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November 25, 2024 in the capacities indicated.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Title</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r>
      <w:tr>
        <w:trPr>
          <w:trHeight w:val="196"/>
        </w:trPr>
        <w:tc>
          <w:tcPr>
            <w:tcW w:w="366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/s/ Denise Scots-Knight</w:t>
            </w:r>
          </w:p>
        </w:tc>
        <w:tc>
          <w:tcPr>
            <w:tcW w:w="120" w:type="dxa"/>
            <w:vAlign w:val="bottom"/>
          </w:tcPr>
          <w:p>
            <w:pPr>
              <w:spacing w:after="0"/>
              <w:rPr>
                <w:sz w:val="17"/>
                <w:szCs w:val="17"/>
                <w:color w:val="auto"/>
              </w:rPr>
            </w:pPr>
          </w:p>
        </w:tc>
        <w:tc>
          <w:tcPr>
            <w:tcW w:w="46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Chief Executive Officer and Director</w:t>
            </w:r>
          </w:p>
        </w:tc>
        <w:tc>
          <w:tcPr>
            <w:tcW w:w="120" w:type="dxa"/>
            <w:vAlign w:val="bottom"/>
          </w:tcPr>
          <w:p>
            <w:pPr>
              <w:spacing w:after="0"/>
              <w:rPr>
                <w:sz w:val="17"/>
                <w:szCs w:val="17"/>
                <w:color w:val="auto"/>
              </w:rPr>
            </w:pPr>
          </w:p>
        </w:tc>
        <w:tc>
          <w:tcPr>
            <w:tcW w:w="24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November 25, 2024</w:t>
            </w:r>
          </w:p>
        </w:tc>
      </w:tr>
      <w:tr>
        <w:trPr>
          <w:trHeight w:val="232"/>
        </w:trPr>
        <w:tc>
          <w:tcPr>
            <w:tcW w:w="3660" w:type="dxa"/>
            <w:vAlign w:val="bottom"/>
          </w:tcPr>
          <w:p>
            <w:pPr>
              <w:jc w:val="center"/>
              <w:spacing w:after="0"/>
              <w:rPr>
                <w:sz w:val="20"/>
                <w:szCs w:val="20"/>
                <w:color w:val="auto"/>
              </w:rPr>
            </w:pPr>
            <w:r>
              <w:rPr>
                <w:rFonts w:ascii="Arial" w:cs="Arial" w:eastAsia="Arial" w:hAnsi="Arial"/>
                <w:sz w:val="18"/>
                <w:szCs w:val="18"/>
                <w:color w:val="auto"/>
                <w:w w:val="99"/>
              </w:rPr>
              <w:t>Denise Scots-Knight</w:t>
            </w:r>
          </w:p>
        </w:tc>
        <w:tc>
          <w:tcPr>
            <w:tcW w:w="120" w:type="dxa"/>
            <w:vAlign w:val="bottom"/>
          </w:tcPr>
          <w:p>
            <w:pPr>
              <w:spacing w:after="0"/>
              <w:rPr>
                <w:sz w:val="20"/>
                <w:szCs w:val="20"/>
                <w:color w:val="auto"/>
              </w:rPr>
            </w:pPr>
          </w:p>
        </w:tc>
        <w:tc>
          <w:tcPr>
            <w:tcW w:w="4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(Principal Executive Officer)</w:t>
            </w:r>
          </w:p>
        </w:tc>
        <w:tc>
          <w:tcPr>
            <w:tcW w:w="2460" w:type="dxa"/>
            <w:vAlign w:val="bottom"/>
          </w:tcPr>
          <w:p>
            <w:pPr>
              <w:spacing w:after="0"/>
              <w:rPr>
                <w:sz w:val="20"/>
                <w:szCs w:val="20"/>
                <w:color w:val="auto"/>
              </w:rPr>
            </w:pPr>
          </w:p>
        </w:tc>
      </w:tr>
      <w:tr>
        <w:trPr>
          <w:trHeight w:val="39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Christine Fox</w:t>
            </w:r>
          </w:p>
        </w:tc>
        <w:tc>
          <w:tcPr>
            <w:tcW w:w="120" w:type="dxa"/>
            <w:vAlign w:val="bottom"/>
          </w:tcPr>
          <w:p>
            <w:pPr>
              <w:spacing w:after="0"/>
              <w:rPr>
                <w:sz w:val="24"/>
                <w:szCs w:val="24"/>
                <w:color w:val="auto"/>
              </w:rPr>
            </w:pPr>
          </w:p>
        </w:tc>
        <w:tc>
          <w:tcPr>
            <w:tcW w:w="4780" w:type="dxa"/>
            <w:vAlign w:val="bottom"/>
            <w:gridSpan w:val="2"/>
          </w:tcPr>
          <w:p>
            <w:pPr>
              <w:jc w:val="center"/>
              <w:ind w:right="120"/>
              <w:spacing w:after="0"/>
              <w:rPr>
                <w:sz w:val="20"/>
                <w:szCs w:val="20"/>
                <w:color w:val="auto"/>
              </w:rPr>
            </w:pPr>
            <w:r>
              <w:rPr>
                <w:rFonts w:ascii="Arial" w:cs="Arial" w:eastAsia="Arial" w:hAnsi="Arial"/>
                <w:sz w:val="18"/>
                <w:szCs w:val="18"/>
                <w:color w:val="auto"/>
              </w:rPr>
              <w:t>Chief Financial Officer</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November 25, 2024</w:t>
            </w:r>
          </w:p>
        </w:tc>
      </w:tr>
      <w:tr>
        <w:trPr>
          <w:trHeight w:val="232"/>
        </w:trPr>
        <w:tc>
          <w:tcPr>
            <w:tcW w:w="3660" w:type="dxa"/>
            <w:vAlign w:val="bottom"/>
          </w:tcPr>
          <w:p>
            <w:pPr>
              <w:jc w:val="center"/>
              <w:spacing w:after="0"/>
              <w:rPr>
                <w:sz w:val="20"/>
                <w:szCs w:val="20"/>
                <w:color w:val="auto"/>
              </w:rPr>
            </w:pPr>
            <w:r>
              <w:rPr>
                <w:rFonts w:ascii="Arial" w:cs="Arial" w:eastAsia="Arial" w:hAnsi="Arial"/>
                <w:sz w:val="18"/>
                <w:szCs w:val="18"/>
                <w:color w:val="auto"/>
                <w:w w:val="99"/>
              </w:rPr>
              <w:t>Christine Fox</w:t>
            </w:r>
          </w:p>
        </w:tc>
        <w:tc>
          <w:tcPr>
            <w:tcW w:w="120" w:type="dxa"/>
            <w:vAlign w:val="bottom"/>
          </w:tcPr>
          <w:p>
            <w:pPr>
              <w:spacing w:after="0"/>
              <w:rPr>
                <w:sz w:val="20"/>
                <w:szCs w:val="20"/>
                <w:color w:val="auto"/>
              </w:rPr>
            </w:pPr>
          </w:p>
        </w:tc>
        <w:tc>
          <w:tcPr>
            <w:tcW w:w="4780" w:type="dxa"/>
            <w:vAlign w:val="bottom"/>
            <w:gridSpan w:val="2"/>
          </w:tcPr>
          <w:p>
            <w:pPr>
              <w:jc w:val="center"/>
              <w:ind w:right="120"/>
              <w:spacing w:after="0"/>
              <w:rPr>
                <w:sz w:val="20"/>
                <w:szCs w:val="20"/>
                <w:color w:val="auto"/>
              </w:rPr>
            </w:pPr>
            <w:r>
              <w:rPr>
                <w:rFonts w:ascii="Arial" w:cs="Arial" w:eastAsia="Arial" w:hAnsi="Arial"/>
                <w:sz w:val="18"/>
                <w:szCs w:val="18"/>
                <w:color w:val="auto"/>
              </w:rPr>
              <w:t>(Principal Accounting and Financial Officer)</w:t>
            </w:r>
          </w:p>
        </w:tc>
        <w:tc>
          <w:tcPr>
            <w:tcW w:w="2460" w:type="dxa"/>
            <w:vAlign w:val="bottom"/>
          </w:tcPr>
          <w:p>
            <w:pPr>
              <w:spacing w:after="0"/>
              <w:rPr>
                <w:sz w:val="20"/>
                <w:szCs w:val="20"/>
                <w:color w:val="auto"/>
              </w:rPr>
            </w:pPr>
          </w:p>
        </w:tc>
      </w:tr>
      <w:tr>
        <w:trPr>
          <w:trHeight w:val="39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Wyzga</w:t>
            </w:r>
          </w:p>
        </w:tc>
        <w:tc>
          <w:tcPr>
            <w:tcW w:w="120" w:type="dxa"/>
            <w:vAlign w:val="bottom"/>
          </w:tcPr>
          <w:p>
            <w:pPr>
              <w:spacing w:after="0"/>
              <w:rPr>
                <w:sz w:val="24"/>
                <w:szCs w:val="24"/>
                <w:color w:val="auto"/>
              </w:rPr>
            </w:pPr>
          </w:p>
        </w:tc>
        <w:tc>
          <w:tcPr>
            <w:tcW w:w="4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Chairman of the Board of Directors</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November 25, 2024</w:t>
            </w:r>
          </w:p>
        </w:tc>
      </w:tr>
      <w:tr>
        <w:trPr>
          <w:trHeight w:val="232"/>
        </w:trPr>
        <w:tc>
          <w:tcPr>
            <w:tcW w:w="3660" w:type="dxa"/>
            <w:vAlign w:val="bottom"/>
          </w:tcPr>
          <w:p>
            <w:pPr>
              <w:jc w:val="center"/>
              <w:spacing w:after="0"/>
              <w:rPr>
                <w:sz w:val="20"/>
                <w:szCs w:val="20"/>
                <w:color w:val="auto"/>
              </w:rPr>
            </w:pPr>
            <w:r>
              <w:rPr>
                <w:rFonts w:ascii="Arial" w:cs="Arial" w:eastAsia="Arial" w:hAnsi="Arial"/>
                <w:sz w:val="18"/>
                <w:szCs w:val="18"/>
                <w:color w:val="auto"/>
                <w:w w:val="99"/>
              </w:rPr>
              <w:t>Michael Wyzga</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9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Jeremy Bender</w:t>
            </w:r>
          </w:p>
        </w:tc>
        <w:tc>
          <w:tcPr>
            <w:tcW w:w="120" w:type="dxa"/>
            <w:vAlign w:val="bottom"/>
          </w:tcPr>
          <w:p>
            <w:pPr>
              <w:spacing w:after="0"/>
              <w:rPr>
                <w:sz w:val="24"/>
                <w:szCs w:val="24"/>
                <w:color w:val="auto"/>
              </w:rPr>
            </w:pPr>
          </w:p>
        </w:tc>
        <w:tc>
          <w:tcPr>
            <w:tcW w:w="47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November 25, 2024</w:t>
            </w:r>
          </w:p>
        </w:tc>
      </w:tr>
      <w:tr>
        <w:trPr>
          <w:trHeight w:val="232"/>
        </w:trPr>
        <w:tc>
          <w:tcPr>
            <w:tcW w:w="3660" w:type="dxa"/>
            <w:vAlign w:val="bottom"/>
          </w:tcPr>
          <w:p>
            <w:pPr>
              <w:jc w:val="center"/>
              <w:spacing w:after="0"/>
              <w:rPr>
                <w:sz w:val="20"/>
                <w:szCs w:val="20"/>
                <w:color w:val="auto"/>
              </w:rPr>
            </w:pPr>
            <w:r>
              <w:rPr>
                <w:rFonts w:ascii="Arial" w:cs="Arial" w:eastAsia="Arial" w:hAnsi="Arial"/>
                <w:sz w:val="18"/>
                <w:szCs w:val="18"/>
                <w:color w:val="auto"/>
                <w:w w:val="99"/>
              </w:rPr>
              <w:t>Jeremy Bender</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9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Anders Ekblom</w:t>
            </w:r>
          </w:p>
        </w:tc>
        <w:tc>
          <w:tcPr>
            <w:tcW w:w="120" w:type="dxa"/>
            <w:vAlign w:val="bottom"/>
          </w:tcPr>
          <w:p>
            <w:pPr>
              <w:spacing w:after="0"/>
              <w:rPr>
                <w:sz w:val="24"/>
                <w:szCs w:val="24"/>
                <w:color w:val="auto"/>
              </w:rPr>
            </w:pPr>
          </w:p>
        </w:tc>
        <w:tc>
          <w:tcPr>
            <w:tcW w:w="47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November 25, 2024</w:t>
            </w:r>
          </w:p>
        </w:tc>
      </w:tr>
      <w:tr>
        <w:trPr>
          <w:trHeight w:val="232"/>
        </w:trPr>
        <w:tc>
          <w:tcPr>
            <w:tcW w:w="3660" w:type="dxa"/>
            <w:vAlign w:val="bottom"/>
          </w:tcPr>
          <w:p>
            <w:pPr>
              <w:jc w:val="center"/>
              <w:spacing w:after="0"/>
              <w:rPr>
                <w:sz w:val="20"/>
                <w:szCs w:val="20"/>
                <w:color w:val="auto"/>
              </w:rPr>
            </w:pPr>
            <w:r>
              <w:rPr>
                <w:rFonts w:ascii="Arial" w:cs="Arial" w:eastAsia="Arial" w:hAnsi="Arial"/>
                <w:sz w:val="18"/>
                <w:szCs w:val="18"/>
                <w:color w:val="auto"/>
                <w:w w:val="99"/>
              </w:rPr>
              <w:t>Anders Ekblom</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9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Pierre Jacquet</w:t>
            </w:r>
          </w:p>
        </w:tc>
        <w:tc>
          <w:tcPr>
            <w:tcW w:w="120" w:type="dxa"/>
            <w:vAlign w:val="bottom"/>
          </w:tcPr>
          <w:p>
            <w:pPr>
              <w:spacing w:after="0"/>
              <w:rPr>
                <w:sz w:val="24"/>
                <w:szCs w:val="24"/>
                <w:color w:val="auto"/>
              </w:rPr>
            </w:pPr>
          </w:p>
        </w:tc>
        <w:tc>
          <w:tcPr>
            <w:tcW w:w="47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November 25, 2024</w:t>
            </w:r>
          </w:p>
        </w:tc>
      </w:tr>
      <w:tr>
        <w:trPr>
          <w:trHeight w:val="232"/>
        </w:trPr>
        <w:tc>
          <w:tcPr>
            <w:tcW w:w="3660" w:type="dxa"/>
            <w:vAlign w:val="bottom"/>
          </w:tcPr>
          <w:p>
            <w:pPr>
              <w:jc w:val="center"/>
              <w:spacing w:after="0"/>
              <w:rPr>
                <w:sz w:val="20"/>
                <w:szCs w:val="20"/>
                <w:color w:val="auto"/>
              </w:rPr>
            </w:pPr>
            <w:r>
              <w:rPr>
                <w:rFonts w:ascii="Arial" w:cs="Arial" w:eastAsia="Arial" w:hAnsi="Arial"/>
                <w:sz w:val="18"/>
                <w:szCs w:val="18"/>
                <w:color w:val="auto"/>
                <w:w w:val="99"/>
              </w:rPr>
              <w:t>Pierre Jacquet</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46"/>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2"/>
          </w:tcPr>
          <w:p>
            <w:pPr>
              <w:ind w:left="1600"/>
              <w:spacing w:after="0"/>
              <w:rPr>
                <w:sz w:val="20"/>
                <w:szCs w:val="20"/>
                <w:color w:val="auto"/>
              </w:rPr>
            </w:pPr>
            <w:r>
              <w:rPr>
                <w:rFonts w:ascii="Arial" w:cs="Arial" w:eastAsia="Arial" w:hAnsi="Arial"/>
                <w:sz w:val="18"/>
                <w:szCs w:val="18"/>
                <w:color w:val="auto"/>
              </w:rPr>
              <w:t>II-5</w:t>
            </w:r>
          </w:p>
        </w:tc>
        <w:tc>
          <w:tcPr>
            <w:tcW w:w="24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Title</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r>
      <w:tr>
        <w:trPr>
          <w:trHeight w:val="196"/>
        </w:trPr>
        <w:tc>
          <w:tcPr>
            <w:tcW w:w="366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/s/ Annalisa Jenkins</w:t>
            </w:r>
          </w:p>
        </w:tc>
        <w:tc>
          <w:tcPr>
            <w:tcW w:w="120" w:type="dxa"/>
            <w:vAlign w:val="bottom"/>
          </w:tcPr>
          <w:p>
            <w:pPr>
              <w:spacing w:after="0"/>
              <w:rPr>
                <w:sz w:val="17"/>
                <w:szCs w:val="17"/>
                <w:color w:val="auto"/>
              </w:rPr>
            </w:pPr>
          </w:p>
        </w:tc>
        <w:tc>
          <w:tcPr>
            <w:tcW w:w="46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Director</w:t>
            </w:r>
          </w:p>
        </w:tc>
        <w:tc>
          <w:tcPr>
            <w:tcW w:w="120" w:type="dxa"/>
            <w:vAlign w:val="bottom"/>
          </w:tcPr>
          <w:p>
            <w:pPr>
              <w:spacing w:after="0"/>
              <w:rPr>
                <w:sz w:val="17"/>
                <w:szCs w:val="17"/>
                <w:color w:val="auto"/>
              </w:rPr>
            </w:pPr>
          </w:p>
        </w:tc>
        <w:tc>
          <w:tcPr>
            <w:tcW w:w="24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November 25, 2024</w:t>
            </w:r>
          </w:p>
        </w:tc>
      </w:tr>
      <w:tr>
        <w:trPr>
          <w:trHeight w:val="232"/>
        </w:trPr>
        <w:tc>
          <w:tcPr>
            <w:tcW w:w="3660" w:type="dxa"/>
            <w:vAlign w:val="bottom"/>
          </w:tcPr>
          <w:p>
            <w:pPr>
              <w:jc w:val="center"/>
              <w:spacing w:after="0"/>
              <w:rPr>
                <w:sz w:val="20"/>
                <w:szCs w:val="20"/>
                <w:color w:val="auto"/>
              </w:rPr>
            </w:pPr>
            <w:r>
              <w:rPr>
                <w:rFonts w:ascii="Arial" w:cs="Arial" w:eastAsia="Arial" w:hAnsi="Arial"/>
                <w:sz w:val="18"/>
                <w:szCs w:val="18"/>
                <w:color w:val="auto"/>
                <w:w w:val="99"/>
              </w:rPr>
              <w:t>Annalisa Jenkins</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8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Deepika Pakianathan</w:t>
            </w:r>
          </w:p>
        </w:tc>
        <w:tc>
          <w:tcPr>
            <w:tcW w:w="120" w:type="dxa"/>
            <w:vAlign w:val="bottom"/>
          </w:tcPr>
          <w:p>
            <w:pPr>
              <w:spacing w:after="0"/>
              <w:rPr>
                <w:sz w:val="24"/>
                <w:szCs w:val="24"/>
                <w:color w:val="auto"/>
              </w:rPr>
            </w:pPr>
          </w:p>
        </w:tc>
        <w:tc>
          <w:tcPr>
            <w:tcW w:w="47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November 25, 2024</w:t>
            </w:r>
          </w:p>
        </w:tc>
      </w:tr>
      <w:tr>
        <w:trPr>
          <w:trHeight w:val="232"/>
        </w:trPr>
        <w:tc>
          <w:tcPr>
            <w:tcW w:w="3660" w:type="dxa"/>
            <w:vAlign w:val="bottom"/>
          </w:tcPr>
          <w:p>
            <w:pPr>
              <w:jc w:val="center"/>
              <w:spacing w:after="0"/>
              <w:rPr>
                <w:sz w:val="20"/>
                <w:szCs w:val="20"/>
                <w:color w:val="auto"/>
              </w:rPr>
            </w:pPr>
            <w:r>
              <w:rPr>
                <w:rFonts w:ascii="Arial" w:cs="Arial" w:eastAsia="Arial" w:hAnsi="Arial"/>
                <w:sz w:val="18"/>
                <w:szCs w:val="18"/>
                <w:color w:val="auto"/>
                <w:w w:val="99"/>
              </w:rPr>
              <w:t>Deepika Pakianathan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8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Justin Roberts</w:t>
            </w:r>
          </w:p>
        </w:tc>
        <w:tc>
          <w:tcPr>
            <w:tcW w:w="120" w:type="dxa"/>
            <w:vAlign w:val="bottom"/>
          </w:tcPr>
          <w:p>
            <w:pPr>
              <w:spacing w:after="0"/>
              <w:rPr>
                <w:sz w:val="24"/>
                <w:szCs w:val="24"/>
                <w:color w:val="auto"/>
              </w:rPr>
            </w:pPr>
          </w:p>
        </w:tc>
        <w:tc>
          <w:tcPr>
            <w:tcW w:w="47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November 25, 2024</w:t>
            </w:r>
          </w:p>
        </w:tc>
      </w:tr>
      <w:tr>
        <w:trPr>
          <w:trHeight w:val="232"/>
        </w:trPr>
        <w:tc>
          <w:tcPr>
            <w:tcW w:w="3660" w:type="dxa"/>
            <w:vAlign w:val="bottom"/>
          </w:tcPr>
          <w:p>
            <w:pPr>
              <w:jc w:val="center"/>
              <w:spacing w:after="0"/>
              <w:rPr>
                <w:sz w:val="20"/>
                <w:szCs w:val="20"/>
                <w:color w:val="auto"/>
              </w:rPr>
            </w:pPr>
            <w:r>
              <w:rPr>
                <w:rFonts w:ascii="Arial" w:cs="Arial" w:eastAsia="Arial" w:hAnsi="Arial"/>
                <w:sz w:val="18"/>
                <w:szCs w:val="18"/>
                <w:color w:val="auto"/>
                <w:w w:val="99"/>
              </w:rPr>
              <w:t>Justin Roberts</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8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Daniel Shames</w:t>
            </w:r>
          </w:p>
        </w:tc>
        <w:tc>
          <w:tcPr>
            <w:tcW w:w="120" w:type="dxa"/>
            <w:vAlign w:val="bottom"/>
          </w:tcPr>
          <w:p>
            <w:pPr>
              <w:spacing w:after="0"/>
              <w:rPr>
                <w:sz w:val="24"/>
                <w:szCs w:val="24"/>
                <w:color w:val="auto"/>
              </w:rPr>
            </w:pPr>
          </w:p>
        </w:tc>
        <w:tc>
          <w:tcPr>
            <w:tcW w:w="47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November 25, 2024</w:t>
            </w:r>
          </w:p>
        </w:tc>
      </w:tr>
      <w:tr>
        <w:trPr>
          <w:trHeight w:val="232"/>
        </w:trPr>
        <w:tc>
          <w:tcPr>
            <w:tcW w:w="3660" w:type="dxa"/>
            <w:vAlign w:val="bottom"/>
          </w:tcPr>
          <w:p>
            <w:pPr>
              <w:jc w:val="center"/>
              <w:spacing w:after="0"/>
              <w:rPr>
                <w:sz w:val="20"/>
                <w:szCs w:val="20"/>
                <w:color w:val="auto"/>
              </w:rPr>
            </w:pPr>
            <w:r>
              <w:rPr>
                <w:rFonts w:ascii="Arial" w:cs="Arial" w:eastAsia="Arial" w:hAnsi="Arial"/>
                <w:sz w:val="18"/>
                <w:szCs w:val="18"/>
                <w:color w:val="auto"/>
                <w:w w:val="99"/>
              </w:rPr>
              <w:t>Daniel Shames</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8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Marc Yoskowitz</w:t>
            </w:r>
          </w:p>
        </w:tc>
        <w:tc>
          <w:tcPr>
            <w:tcW w:w="120" w:type="dxa"/>
            <w:vAlign w:val="bottom"/>
          </w:tcPr>
          <w:p>
            <w:pPr>
              <w:spacing w:after="0"/>
              <w:rPr>
                <w:sz w:val="24"/>
                <w:szCs w:val="24"/>
                <w:color w:val="auto"/>
              </w:rPr>
            </w:pPr>
          </w:p>
        </w:tc>
        <w:tc>
          <w:tcPr>
            <w:tcW w:w="47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November 25, 2024</w:t>
            </w:r>
          </w:p>
        </w:tc>
      </w:tr>
      <w:tr>
        <w:trPr>
          <w:trHeight w:val="232"/>
        </w:trPr>
        <w:tc>
          <w:tcPr>
            <w:tcW w:w="3660" w:type="dxa"/>
            <w:vAlign w:val="bottom"/>
          </w:tcPr>
          <w:p>
            <w:pPr>
              <w:jc w:val="center"/>
              <w:spacing w:after="0"/>
              <w:rPr>
                <w:sz w:val="20"/>
                <w:szCs w:val="20"/>
                <w:color w:val="auto"/>
              </w:rPr>
            </w:pPr>
            <w:r>
              <w:rPr>
                <w:rFonts w:ascii="Arial" w:cs="Arial" w:eastAsia="Arial" w:hAnsi="Arial"/>
                <w:sz w:val="18"/>
                <w:szCs w:val="18"/>
                <w:color w:val="auto"/>
                <w:w w:val="98"/>
              </w:rPr>
              <w:t>Marc Yoskowitz</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46"/>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2"/>
          </w:tcPr>
          <w:p>
            <w:pPr>
              <w:ind w:left="1600"/>
              <w:spacing w:after="0"/>
              <w:rPr>
                <w:sz w:val="20"/>
                <w:szCs w:val="20"/>
                <w:color w:val="auto"/>
              </w:rPr>
            </w:pPr>
            <w:r>
              <w:rPr>
                <w:rFonts w:ascii="Arial" w:cs="Arial" w:eastAsia="Arial" w:hAnsi="Arial"/>
                <w:sz w:val="18"/>
                <w:szCs w:val="18"/>
                <w:color w:val="auto"/>
              </w:rPr>
              <w:t>II-6</w:t>
            </w:r>
          </w:p>
        </w:tc>
        <w:tc>
          <w:tcPr>
            <w:tcW w:w="24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12"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Mereo BioPharma Group plc, has signed this registration statement on Form S-3 on November 25, 2024.</w:t>
      </w:r>
    </w:p>
    <w:p>
      <w:pPr>
        <w:spacing w:after="0" w:line="18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MEREO US HOLDINGS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56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Denise Scots-Knight</w:t>
      </w:r>
    </w:p>
    <w:p>
      <w:pPr>
        <w:ind w:left="7100"/>
        <w:spacing w:after="0"/>
        <w:rPr>
          <w:sz w:val="20"/>
          <w:szCs w:val="20"/>
          <w:color w:val="auto"/>
        </w:rPr>
      </w:pPr>
      <w:r>
        <w:rPr>
          <w:rFonts w:ascii="Arial" w:cs="Arial" w:eastAsia="Arial" w:hAnsi="Arial"/>
          <w:sz w:val="18"/>
          <w:szCs w:val="18"/>
          <w:color w:val="auto"/>
        </w:rPr>
        <w:t>Title: President</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960"/>
          </w:cols>
          <w:pgMar w:left="320" w:top="455" w:right="6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99" w:lineRule="exact"/>
        <w:rPr>
          <w:sz w:val="20"/>
          <w:szCs w:val="20"/>
          <w:color w:val="auto"/>
        </w:rPr>
      </w:pPr>
    </w:p>
    <w:p>
      <w:pPr>
        <w:ind w:left="7224"/>
        <w:spacing w:after="0"/>
        <w:rPr>
          <w:sz w:val="20"/>
          <w:szCs w:val="20"/>
          <w:color w:val="auto"/>
        </w:rPr>
      </w:pPr>
      <w:r>
        <w:rPr>
          <w:rFonts w:ascii="Times New Roman" w:cs="Times New Roman" w:eastAsia="Times New Roman" w:hAnsi="Times New Roman"/>
          <w:sz w:val="18"/>
          <w:szCs w:val="18"/>
          <w:color w:val="auto"/>
        </w:rPr>
        <w:t>  99 Bishopsgate</w:t>
      </w:r>
    </w:p>
    <w:p>
      <w:pPr>
        <w:spacing w:after="0" w:line="27" w:lineRule="exact"/>
        <w:rPr>
          <w:sz w:val="20"/>
          <w:szCs w:val="20"/>
          <w:color w:val="auto"/>
        </w:rPr>
      </w:pPr>
    </w:p>
    <w:p>
      <w:pPr>
        <w:ind w:left="7224"/>
        <w:spacing w:after="0"/>
        <w:rPr>
          <w:sz w:val="20"/>
          <w:szCs w:val="20"/>
          <w:color w:val="auto"/>
        </w:rPr>
      </w:pPr>
      <w:r>
        <w:rPr>
          <w:rFonts w:ascii="Times New Roman" w:cs="Times New Roman" w:eastAsia="Times New Roman" w:hAnsi="Times New Roman"/>
          <w:sz w:val="18"/>
          <w:szCs w:val="18"/>
          <w:color w:val="auto"/>
        </w:rPr>
        <w:t>  London EC2M 3XF</w:t>
      </w:r>
    </w:p>
    <w:p>
      <w:pPr>
        <w:spacing w:after="0" w:line="9" w:lineRule="exact"/>
        <w:rPr>
          <w:sz w:val="20"/>
          <w:szCs w:val="20"/>
          <w:color w:val="auto"/>
        </w:rPr>
      </w:pPr>
    </w:p>
    <w:p>
      <w:pPr>
        <w:ind w:left="7224"/>
        <w:spacing w:after="0"/>
        <w:rPr>
          <w:sz w:val="20"/>
          <w:szCs w:val="20"/>
          <w:color w:val="auto"/>
        </w:rPr>
      </w:pPr>
      <w:r>
        <w:rPr>
          <w:rFonts w:ascii="Times New Roman" w:cs="Times New Roman" w:eastAsia="Times New Roman" w:hAnsi="Times New Roman"/>
          <w:sz w:val="18"/>
          <w:szCs w:val="18"/>
          <w:color w:val="auto"/>
        </w:rPr>
        <w:t>  United Kingdom</w:t>
      </w:r>
    </w:p>
    <w:p>
      <w:pPr>
        <w:spacing w:after="0" w:line="9" w:lineRule="exact"/>
        <w:rPr>
          <w:sz w:val="20"/>
          <w:szCs w:val="20"/>
          <w:color w:val="auto"/>
        </w:rPr>
      </w:pPr>
    </w:p>
    <w:p>
      <w:pPr>
        <w:ind w:left="7224"/>
        <w:spacing w:after="0"/>
        <w:rPr>
          <w:sz w:val="20"/>
          <w:szCs w:val="20"/>
          <w:color w:val="auto"/>
        </w:rPr>
      </w:pPr>
      <w:r>
        <w:rPr>
          <w:rFonts w:ascii="Times New Roman" w:cs="Times New Roman" w:eastAsia="Times New Roman" w:hAnsi="Times New Roman"/>
          <w:sz w:val="17"/>
          <w:szCs w:val="17"/>
          <w:color w:val="auto"/>
        </w:rPr>
        <w:t>  Tel: +44(0)20.7710.1000 Fax: +44(0)20.7374.4460</w:t>
      </w:r>
    </w:p>
    <w:p>
      <w:pPr>
        <w:spacing w:after="0" w:line="21" w:lineRule="exact"/>
        <w:rPr>
          <w:sz w:val="20"/>
          <w:szCs w:val="20"/>
          <w:color w:val="auto"/>
        </w:rPr>
      </w:pPr>
    </w:p>
    <w:p>
      <w:pPr>
        <w:ind w:left="7224"/>
        <w:spacing w:after="0"/>
        <w:rPr>
          <w:sz w:val="20"/>
          <w:szCs w:val="20"/>
          <w:color w:val="auto"/>
        </w:rPr>
      </w:pPr>
      <w:r>
        <w:rPr>
          <w:rFonts w:ascii="Times New Roman" w:cs="Times New Roman" w:eastAsia="Times New Roman" w:hAnsi="Times New Roman"/>
          <w:sz w:val="18"/>
          <w:szCs w:val="18"/>
          <w:color w:val="auto"/>
        </w:rPr>
        <w:t>  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2211705" cy="231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2211705" cy="231775"/>
                    </a:xfrm>
                    <a:prstGeom prst="rect">
                      <a:avLst/>
                    </a:prstGeom>
                    <a:noFill/>
                  </pic:spPr>
                </pic:pic>
              </a:graphicData>
            </a:graphic>
          </wp:anchor>
        </w:drawing>
      </w:r>
    </w:p>
    <w:p>
      <w:pPr>
        <w:spacing w:after="0" w:line="92" w:lineRule="exact"/>
        <w:rPr>
          <w:sz w:val="20"/>
          <w:szCs w:val="20"/>
          <w:color w:val="auto"/>
        </w:rPr>
      </w:pPr>
    </w:p>
    <w:p>
      <w:pPr>
        <w:ind w:left="7224"/>
        <w:spacing w:after="0"/>
        <w:rPr>
          <w:sz w:val="20"/>
          <w:szCs w:val="20"/>
          <w:color w:val="auto"/>
        </w:rPr>
      </w:pPr>
      <w:r>
        <w:rPr>
          <w:rFonts w:ascii="Times New Roman" w:cs="Times New Roman" w:eastAsia="Times New Roman" w:hAnsi="Times New Roman"/>
          <w:sz w:val="18"/>
          <w:szCs w:val="18"/>
          <w:color w:val="auto"/>
        </w:rPr>
        <w:t>  FIRM / AFFILIATE OFFICES</w:t>
      </w:r>
    </w:p>
    <w:p>
      <w:pPr>
        <w:spacing w:after="0" w:line="77"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Austin</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Milan</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Beijing</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Boston</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Brussels</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25 November 2024</w:t>
            </w: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Century City</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Chicago</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Dubai</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Düsseldorf</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Frankfurt</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Hamburg</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Hong Kong</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Houston</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London</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Tokyo</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Los Angeles</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Washington, D.C.</w:t>
            </w:r>
          </w:p>
        </w:tc>
      </w:tr>
      <w:tr>
        <w:trPr>
          <w:trHeight w:val="234"/>
        </w:trPr>
        <w:tc>
          <w:tcPr>
            <w:tcW w:w="4800" w:type="dxa"/>
            <w:vAlign w:val="bottom"/>
          </w:tcPr>
          <w:p>
            <w:pPr>
              <w:spacing w:after="0"/>
              <w:rPr>
                <w:sz w:val="20"/>
                <w:szCs w:val="20"/>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Madrid</w:t>
            </w:r>
          </w:p>
        </w:tc>
        <w:tc>
          <w:tcPr>
            <w:tcW w:w="1500" w:type="dxa"/>
            <w:vAlign w:val="bottom"/>
          </w:tcPr>
          <w:p>
            <w:pPr>
              <w:spacing w:after="0"/>
              <w:rPr>
                <w:sz w:val="20"/>
                <w:szCs w:val="20"/>
                <w:color w:val="auto"/>
              </w:rPr>
            </w:pPr>
          </w:p>
        </w:tc>
      </w:tr>
      <w:tr>
        <w:trPr>
          <w:trHeight w:val="414"/>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tc>
        <w:tc>
          <w:tcPr>
            <w:tcW w:w="37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w:t>
            </w:r>
          </w:p>
        </w:tc>
        <w:tc>
          <w:tcPr>
            <w:tcW w:w="37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One Cavendish Place</w:t>
            </w:r>
          </w:p>
        </w:tc>
        <w:tc>
          <w:tcPr>
            <w:tcW w:w="37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London W1G 0QF</w:t>
            </w:r>
          </w:p>
        </w:tc>
        <w:tc>
          <w:tcPr>
            <w:tcW w:w="37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70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22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Mereo BioPharma Group plc (the “Company”) – Registration Statement on Form S-3 Exhibit 5.1</w:t>
      </w:r>
    </w:p>
    <w:p>
      <w:pPr>
        <w:spacing w:after="0" w:line="229" w:lineRule="exact"/>
        <w:rPr>
          <w:sz w:val="20"/>
          <w:szCs w:val="20"/>
          <w:color w:val="auto"/>
        </w:rPr>
      </w:pPr>
    </w:p>
    <w:p>
      <w:pPr>
        <w:ind w:left="4" w:right="260"/>
        <w:spacing w:after="0" w:line="281" w:lineRule="auto"/>
        <w:rPr>
          <w:sz w:val="20"/>
          <w:szCs w:val="20"/>
          <w:color w:val="auto"/>
        </w:rPr>
      </w:pPr>
      <w:r>
        <w:rPr>
          <w:rFonts w:ascii="Times New Roman" w:cs="Times New Roman" w:eastAsia="Times New Roman" w:hAnsi="Times New Roman"/>
          <w:sz w:val="17"/>
          <w:szCs w:val="17"/>
          <w:color w:val="auto"/>
        </w:rPr>
        <w:t>We have acted as English legal advisers to the Company, a public limited company incorporated in England and Wales in connection with the preparation and filing of a registration statement on Form S-3 to which this opinion letter is attached as an exhibit (such registration statement, as amended, including the documents incorporated by reference therein,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filed with the United States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pursuant to the United States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on 25 November 2024.</w:t>
      </w:r>
    </w:p>
    <w:p>
      <w:pPr>
        <w:spacing w:after="0" w:line="164"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The Registration Statement has been filed in connection with the registration for the offer and resale by certain selling shareholders of the Company, as set forth in the Registration Statement (the “</w:t>
      </w:r>
      <w:r>
        <w:rPr>
          <w:rFonts w:ascii="Times New Roman" w:cs="Times New Roman" w:eastAsia="Times New Roman" w:hAnsi="Times New Roman"/>
          <w:sz w:val="18"/>
          <w:szCs w:val="18"/>
          <w:b w:val="1"/>
          <w:bCs w:val="1"/>
          <w:color w:val="auto"/>
        </w:rPr>
        <w:t>Selling Shareholders</w:t>
      </w:r>
      <w:r>
        <w:rPr>
          <w:rFonts w:ascii="Times New Roman" w:cs="Times New Roman" w:eastAsia="Times New Roman" w:hAnsi="Times New Roman"/>
          <w:sz w:val="18"/>
          <w:szCs w:val="18"/>
          <w:color w:val="auto"/>
        </w:rPr>
        <w:t>”), from time to time of up to 26,638,972 ordinary shares in the capital of the Company with a nominal value of £0.003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in the form of American Depositary Shares, each representing five (5) Ordinary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444" w:right="460"/>
        <w:spacing w:after="0" w:line="282" w:lineRule="auto"/>
        <w:rPr>
          <w:sz w:val="20"/>
          <w:szCs w:val="20"/>
          <w:color w:val="auto"/>
        </w:rPr>
      </w:pPr>
      <w:r>
        <w:rPr>
          <w:rFonts w:ascii="Times New Roman" w:cs="Times New Roman" w:eastAsia="Times New Roman" w:hAnsi="Times New Roman"/>
          <w:sz w:val="18"/>
          <w:szCs w:val="18"/>
          <w:color w:val="auto"/>
        </w:rPr>
        <w:t>In connection with the Registration Statement, we have been asked to provide an opinion on certain matters, as set out below. We have taken instructions in this regard solely from the Company.</w:t>
      </w:r>
    </w:p>
    <w:p>
      <w:pPr>
        <w:spacing w:after="0" w:line="18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b w:val="1"/>
          <w:bCs w:val="1"/>
          <w:color w:val="auto"/>
        </w:rPr>
        <w:t>Defined terms and headings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this letter:</w:t>
      </w:r>
    </w:p>
    <w:p>
      <w:pPr>
        <w:spacing w:after="0" w:line="131" w:lineRule="exact"/>
        <w:rPr>
          <w:sz w:val="20"/>
          <w:szCs w:val="20"/>
          <w:color w:val="auto"/>
        </w:rPr>
      </w:pPr>
    </w:p>
    <w:p>
      <w:pPr>
        <w:ind w:left="964" w:right="500" w:hanging="532"/>
        <w:spacing w:after="0" w:line="282" w:lineRule="auto"/>
        <w:tabs>
          <w:tab w:leader="none" w:pos="9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without definition in this letter or the schedules hereto have the meanings assigned to them in the Registration Statement unless a contrary indication appears;</w:t>
      </w:r>
    </w:p>
    <w:p>
      <w:pPr>
        <w:spacing w:after="0" w:line="63" w:lineRule="exact"/>
        <w:rPr>
          <w:rFonts w:ascii="Times New Roman" w:cs="Times New Roman" w:eastAsia="Times New Roman" w:hAnsi="Times New Roman"/>
          <w:sz w:val="18"/>
          <w:szCs w:val="18"/>
          <w:color w:val="auto"/>
        </w:rPr>
      </w:pPr>
    </w:p>
    <w:p>
      <w:pPr>
        <w:ind w:left="964" w:right="240" w:hanging="532"/>
        <w:spacing w:after="0" w:line="286" w:lineRule="auto"/>
        <w:tabs>
          <w:tab w:leader="none" w:pos="9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AstraZeneca Shares</w:t>
      </w:r>
      <w:r>
        <w:rPr>
          <w:rFonts w:ascii="Times New Roman" w:cs="Times New Roman" w:eastAsia="Times New Roman" w:hAnsi="Times New Roman"/>
          <w:sz w:val="18"/>
          <w:szCs w:val="18"/>
          <w:color w:val="auto"/>
        </w:rPr>
        <w:t>” means the 2,044,390 Ordinary Shares issued to AstraZeneca on 11 November 2024 pursuant to the AstraZeneca Subscription Agreement;</w:t>
      </w:r>
    </w:p>
    <w:p>
      <w:pPr>
        <w:spacing w:after="0" w:line="87" w:lineRule="exact"/>
        <w:rPr>
          <w:sz w:val="20"/>
          <w:szCs w:val="20"/>
          <w:color w:val="auto"/>
        </w:rPr>
      </w:pPr>
    </w:p>
    <w:p>
      <w:pPr>
        <w:ind w:left="4" w:right="100"/>
        <w:spacing w:after="0" w:line="236" w:lineRule="auto"/>
        <w:rPr>
          <w:sz w:val="20"/>
          <w:szCs w:val="20"/>
          <w:color w:val="auto"/>
        </w:rPr>
      </w:pPr>
      <w:r>
        <w:rPr>
          <w:rFonts w:ascii="Times New Roman" w:cs="Times New Roman" w:eastAsia="Times New Roman" w:hAnsi="Times New Roman"/>
          <w:sz w:val="14"/>
          <w:szCs w:val="14"/>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or managers authorised by the SRA. We are affiliated with the firm Latham &amp; Watkins LLP, a limited liability partnership organised under the laws of Delaware.</w:t>
      </w:r>
    </w:p>
    <w:p>
      <w:pPr>
        <w:sectPr>
          <w:pgSz w:w="11900" w:h="16838" w:orient="portrait"/>
          <w:cols w:equalWidth="0" w:num="1">
            <w:col w:w="11024"/>
          </w:cols>
          <w:pgMar w:left="436" w:top="117"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52590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152590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60" w:right="300" w:hanging="532"/>
        <w:spacing w:after="0" w:line="286"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AstraZeneca Subscription Agreement</w:t>
      </w:r>
      <w:r>
        <w:rPr>
          <w:rFonts w:ascii="Times New Roman" w:cs="Times New Roman" w:eastAsia="Times New Roman" w:hAnsi="Times New Roman"/>
          <w:sz w:val="18"/>
          <w:szCs w:val="18"/>
          <w:color w:val="auto"/>
        </w:rPr>
        <w:t>” means the subscription agreement dated 28 October 2017, as amended on 21 May 2021 and 8 November 2024, between the Company and AstraZeneca AB (“</w:t>
      </w:r>
      <w:r>
        <w:rPr>
          <w:rFonts w:ascii="Times New Roman" w:cs="Times New Roman" w:eastAsia="Times New Roman" w:hAnsi="Times New Roman"/>
          <w:sz w:val="18"/>
          <w:szCs w:val="18"/>
          <w:b w:val="1"/>
          <w:bCs w:val="1"/>
          <w:color w:val="auto"/>
        </w:rPr>
        <w:t>AstraZeneca</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960" w:right="140" w:hanging="532"/>
        <w:spacing w:after="0" w:line="286"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Instruments</w:t>
      </w:r>
      <w:r>
        <w:rPr>
          <w:rFonts w:ascii="Times New Roman" w:cs="Times New Roman" w:eastAsia="Times New Roman" w:hAnsi="Times New Roman"/>
          <w:sz w:val="18"/>
          <w:szCs w:val="18"/>
          <w:color w:val="auto"/>
        </w:rPr>
        <w:t>” means the AstraZeneca Subscription Agreement, the SVB and Kreos Instruments, the Novartis Instruments, and the TAP Instrument;</w:t>
      </w:r>
    </w:p>
    <w:p>
      <w:pPr>
        <w:spacing w:after="0" w:line="60" w:lineRule="exact"/>
        <w:rPr>
          <w:rFonts w:ascii="Times New Roman" w:cs="Times New Roman" w:eastAsia="Times New Roman" w:hAnsi="Times New Roman"/>
          <w:sz w:val="18"/>
          <w:szCs w:val="18"/>
          <w:color w:val="auto"/>
        </w:rPr>
      </w:pPr>
    </w:p>
    <w:p>
      <w:pPr>
        <w:ind w:left="960" w:right="40" w:hanging="532"/>
        <w:spacing w:after="0" w:line="259"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Novartis Shares</w:t>
      </w:r>
      <w:r>
        <w:rPr>
          <w:rFonts w:ascii="Times New Roman" w:cs="Times New Roman" w:eastAsia="Times New Roman" w:hAnsi="Times New Roman"/>
          <w:sz w:val="18"/>
          <w:szCs w:val="18"/>
          <w:color w:val="auto"/>
        </w:rPr>
        <w:t>” means up to 20,555,067 Ordinary Shares that may be issued to Novartis Pharma AG (“</w:t>
      </w:r>
      <w:r>
        <w:rPr>
          <w:rFonts w:ascii="Times New Roman" w:cs="Times New Roman" w:eastAsia="Times New Roman" w:hAnsi="Times New Roman"/>
          <w:sz w:val="18"/>
          <w:szCs w:val="18"/>
          <w:b w:val="1"/>
          <w:bCs w:val="1"/>
          <w:color w:val="auto"/>
        </w:rPr>
        <w:t>Novartis</w:t>
      </w:r>
      <w:r>
        <w:rPr>
          <w:rFonts w:ascii="Times New Roman" w:cs="Times New Roman" w:eastAsia="Times New Roman" w:hAnsi="Times New Roman"/>
          <w:sz w:val="18"/>
          <w:szCs w:val="18"/>
          <w:color w:val="auto"/>
        </w:rPr>
        <w:t>”) pursuant to (1) a convertible loan instrument issued by the Company and held by Novartis, dated 10 February 2020, as amended on 24 November 2020 and 10 February 2023, together with the form of Conversion Notice (as defined therein), and (2) a warrant instrument issued by the Company and held by Novartis dated 10 February 2020, as amended on 24 November 2020, together with the form of Notice of Subscription and Warrant Certificate (in each case as defined therein) (the “</w:t>
      </w:r>
      <w:r>
        <w:rPr>
          <w:rFonts w:ascii="Times New Roman" w:cs="Times New Roman" w:eastAsia="Times New Roman" w:hAnsi="Times New Roman"/>
          <w:sz w:val="18"/>
          <w:szCs w:val="18"/>
          <w:b w:val="1"/>
          <w:bCs w:val="1"/>
          <w:color w:val="auto"/>
        </w:rPr>
        <w:t>Novartis Instruments</w:t>
      </w:r>
      <w:r>
        <w:rPr>
          <w:rFonts w:ascii="Times New Roman" w:cs="Times New Roman" w:eastAsia="Times New Roman" w:hAnsi="Times New Roman"/>
          <w:sz w:val="18"/>
          <w:szCs w:val="18"/>
          <w:color w:val="auto"/>
        </w:rPr>
        <w:t>”);</w:t>
      </w:r>
    </w:p>
    <w:p>
      <w:pPr>
        <w:spacing w:after="0" w:line="8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Underlying Shares and the AstraZeneca Shares;</w:t>
      </w:r>
    </w:p>
    <w:p>
      <w:pPr>
        <w:spacing w:after="0" w:line="130" w:lineRule="exact"/>
        <w:rPr>
          <w:rFonts w:ascii="Times New Roman" w:cs="Times New Roman" w:eastAsia="Times New Roman" w:hAnsi="Times New Roman"/>
          <w:sz w:val="18"/>
          <w:szCs w:val="18"/>
          <w:color w:val="auto"/>
        </w:rPr>
      </w:pPr>
    </w:p>
    <w:p>
      <w:pPr>
        <w:ind w:left="960" w:right="100" w:hanging="532"/>
        <w:spacing w:after="0" w:line="26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SVB and Kreos Shares</w:t>
      </w:r>
      <w:r>
        <w:rPr>
          <w:rFonts w:ascii="Times New Roman" w:cs="Times New Roman" w:eastAsia="Times New Roman" w:hAnsi="Times New Roman"/>
          <w:sz w:val="18"/>
          <w:szCs w:val="18"/>
          <w:color w:val="auto"/>
        </w:rPr>
        <w:t>” means up to 2,487,816 Ordinary Shares that may be issued to Silicon Valley Bank (“</w:t>
      </w:r>
      <w:r>
        <w:rPr>
          <w:rFonts w:ascii="Times New Roman" w:cs="Times New Roman" w:eastAsia="Times New Roman" w:hAnsi="Times New Roman"/>
          <w:sz w:val="18"/>
          <w:szCs w:val="18"/>
          <w:b w:val="1"/>
          <w:bCs w:val="1"/>
          <w:color w:val="auto"/>
        </w:rPr>
        <w:t>SVB</w:t>
      </w:r>
      <w:r>
        <w:rPr>
          <w:rFonts w:ascii="Times New Roman" w:cs="Times New Roman" w:eastAsia="Times New Roman" w:hAnsi="Times New Roman"/>
          <w:sz w:val="18"/>
          <w:szCs w:val="18"/>
          <w:color w:val="auto"/>
        </w:rPr>
        <w:t>”) and Kreos Capital V (UK) Limited (“</w:t>
      </w:r>
      <w:r>
        <w:rPr>
          <w:rFonts w:ascii="Times New Roman" w:cs="Times New Roman" w:eastAsia="Times New Roman" w:hAnsi="Times New Roman"/>
          <w:sz w:val="18"/>
          <w:szCs w:val="18"/>
          <w:b w:val="1"/>
          <w:bCs w:val="1"/>
          <w:color w:val="auto"/>
        </w:rPr>
        <w:t>Kreos</w:t>
      </w:r>
      <w:r>
        <w:rPr>
          <w:rFonts w:ascii="Times New Roman" w:cs="Times New Roman" w:eastAsia="Times New Roman" w:hAnsi="Times New Roman"/>
          <w:sz w:val="18"/>
          <w:szCs w:val="18"/>
          <w:color w:val="auto"/>
        </w:rPr>
        <w:t>”) pursuant to certain warrant instruments issued by the Company and held by SVB and Kreos dated 21 August 2017 and 1 October 2018, each as amended on 15 December 2020, together with the relevant form of Notice of Subscription and Warrant Certificate (in each case as defined therein) (the “</w:t>
      </w:r>
      <w:r>
        <w:rPr>
          <w:rFonts w:ascii="Times New Roman" w:cs="Times New Roman" w:eastAsia="Times New Roman" w:hAnsi="Times New Roman"/>
          <w:sz w:val="18"/>
          <w:szCs w:val="18"/>
          <w:b w:val="1"/>
          <w:bCs w:val="1"/>
          <w:color w:val="auto"/>
        </w:rPr>
        <w:t>SVB and Kreos Instruments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left="960" w:right="300" w:hanging="532"/>
        <w:spacing w:after="0" w:line="268"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TAP Shares</w:t>
      </w:r>
      <w:r>
        <w:rPr>
          <w:rFonts w:ascii="Times New Roman" w:cs="Times New Roman" w:eastAsia="Times New Roman" w:hAnsi="Times New Roman"/>
          <w:sz w:val="18"/>
          <w:szCs w:val="18"/>
          <w:color w:val="auto"/>
        </w:rPr>
        <w:t>” means up to 1,551,699 Ordinary Shares that may be issued to The Alpha-1 Project, Inc. (“</w:t>
      </w:r>
      <w:r>
        <w:rPr>
          <w:rFonts w:ascii="Times New Roman" w:cs="Times New Roman" w:eastAsia="Times New Roman" w:hAnsi="Times New Roman"/>
          <w:sz w:val="18"/>
          <w:szCs w:val="18"/>
          <w:b w:val="1"/>
          <w:bCs w:val="1"/>
          <w:color w:val="auto"/>
        </w:rPr>
        <w:t>TAP</w:t>
      </w:r>
      <w:r>
        <w:rPr>
          <w:rFonts w:ascii="Times New Roman" w:cs="Times New Roman" w:eastAsia="Times New Roman" w:hAnsi="Times New Roman"/>
          <w:sz w:val="18"/>
          <w:szCs w:val="18"/>
          <w:color w:val="auto"/>
        </w:rPr>
        <w:t>”) pursuant to a warrant instrument issued by the Company and held by TAP dated 2 November 2018, as amended on 29 March 2021 together with the form of Notice of Subscription and Warrant Certificate (in each case as defined therein) (the “</w:t>
      </w:r>
      <w:r>
        <w:rPr>
          <w:rFonts w:ascii="Times New Roman" w:cs="Times New Roman" w:eastAsia="Times New Roman" w:hAnsi="Times New Roman"/>
          <w:sz w:val="18"/>
          <w:szCs w:val="18"/>
          <w:b w:val="1"/>
          <w:bCs w:val="1"/>
          <w:color w:val="auto"/>
        </w:rPr>
        <w:t>TAP Instrument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Underlying Shares</w:t>
      </w:r>
      <w:r>
        <w:rPr>
          <w:rFonts w:ascii="Times New Roman" w:cs="Times New Roman" w:eastAsia="Times New Roman" w:hAnsi="Times New Roman"/>
          <w:sz w:val="18"/>
          <w:szCs w:val="18"/>
          <w:color w:val="auto"/>
        </w:rPr>
        <w:t>” means the Novartis Shares, the SVB and Kreos Shares and the TAP Shares; and</w:t>
      </w:r>
    </w:p>
    <w:p>
      <w:pPr>
        <w:spacing w:after="0" w:line="13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ease of reference only and shall not affect interpretation.</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Legal review</w:t>
      </w:r>
    </w:p>
    <w:p>
      <w:pPr>
        <w:spacing w:after="0" w:line="121" w:lineRule="exact"/>
        <w:rPr>
          <w:sz w:val="20"/>
          <w:szCs w:val="20"/>
          <w:color w:val="auto"/>
        </w:rPr>
      </w:pPr>
    </w:p>
    <w:p>
      <w:pPr>
        <w:ind w:left="440" w:right="280"/>
        <w:spacing w:after="0" w:line="282" w:lineRule="auto"/>
        <w:rPr>
          <w:sz w:val="20"/>
          <w:szCs w:val="20"/>
          <w:color w:val="auto"/>
        </w:rPr>
      </w:pPr>
      <w:r>
        <w:rPr>
          <w:rFonts w:ascii="Times New Roman" w:cs="Times New Roman" w:eastAsia="Times New Roman" w:hAnsi="Times New Roman"/>
          <w:sz w:val="18"/>
          <w:szCs w:val="18"/>
          <w:color w:val="auto"/>
        </w:rPr>
        <w:t>For the purpose of issuing this letter, we have examined such matters of fact and questions of law as we have considered appropriate. We have reviewed only the following documents and conducted only the following enquiries and searches:</w:t>
      </w:r>
    </w:p>
    <w:p>
      <w:pPr>
        <w:spacing w:after="0" w:line="67" w:lineRule="exact"/>
        <w:rPr>
          <w:sz w:val="20"/>
          <w:szCs w:val="20"/>
          <w:color w:val="auto"/>
        </w:rPr>
      </w:pPr>
    </w:p>
    <w:p>
      <w:pPr>
        <w:ind w:left="960" w:hanging="532"/>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online search at the UK Companies House in respect of the Company conducted on 25 November 2024;</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enquiry at the Central Registry of Winding Up Petitions, London on 25 November 2024 at 10.03 a.m. (London time) with respect to the Company ((a) and (b) together,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400" w:hanging="532"/>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executed copy of the minutes of a meeting of the board of directors of the Company dated 3 December 2020 approving the establishment of a financing and share allotment committee of the board of directors of the Company (the “</w:t>
      </w:r>
      <w:r>
        <w:rPr>
          <w:rFonts w:ascii="Times New Roman" w:cs="Times New Roman" w:eastAsia="Times New Roman" w:hAnsi="Times New Roman"/>
          <w:sz w:val="18"/>
          <w:szCs w:val="18"/>
          <w:b w:val="1"/>
          <w:bCs w:val="1"/>
          <w:color w:val="auto"/>
        </w:rPr>
        <w:t>Financing Committee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executed copy of the written resolutions of the board of directors of the Company dated: (i) 2 August 2021 approving the terms of reference of the Financing Committee; and (ii) 2 June 2023 adopting revised terms of reference of the Financing Committee, together with such terms of reference;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52590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152590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60" w:right="120" w:hanging="532"/>
        <w:spacing w:after="0" w:line="26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executed copy of the minutes of a meeting of the board of directors of the Company dated 25 October 2017, of the written resolutions of the Financing Committee dated 13 May 2021, and of the written resolutions of the board of directors of the Company dated 1 November 2024, approving the entry into the AstraZeneca Subscription Agreement;</w:t>
      </w:r>
    </w:p>
    <w:p>
      <w:pPr>
        <w:spacing w:after="0" w:line="81" w:lineRule="exact"/>
        <w:rPr>
          <w:rFonts w:ascii="Times New Roman" w:cs="Times New Roman" w:eastAsia="Times New Roman" w:hAnsi="Times New Roman"/>
          <w:sz w:val="18"/>
          <w:szCs w:val="18"/>
          <w:color w:val="auto"/>
        </w:rPr>
      </w:pPr>
    </w:p>
    <w:p>
      <w:pPr>
        <w:jc w:val="both"/>
        <w:ind w:left="960" w:right="200" w:hanging="532"/>
        <w:spacing w:after="0" w:line="26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executed copy of the written resolutions of the board of directors of the Company dated 3 November 2024 delegating authority to the Chief Executive Officer of the Company in connection with, and of the Chief Executive Officer of the Company dated 11 November 2024 authorising, the issue and allotment of the AstraZeneca Shares;</w:t>
      </w:r>
    </w:p>
    <w:p>
      <w:pPr>
        <w:spacing w:after="0" w:line="81" w:lineRule="exact"/>
        <w:rPr>
          <w:rFonts w:ascii="Times New Roman" w:cs="Times New Roman" w:eastAsia="Times New Roman" w:hAnsi="Times New Roman"/>
          <w:sz w:val="18"/>
          <w:szCs w:val="18"/>
          <w:color w:val="auto"/>
        </w:rPr>
      </w:pPr>
    </w:p>
    <w:p>
      <w:pPr>
        <w:ind w:left="960" w:right="340" w:hanging="532"/>
        <w:spacing w:after="0" w:line="261"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executed copy of the minutes of a meeting of the board of directors of the Company dated 8 February 2020, of the minutes of a meeting of a financing committee of the Company dated 9 February 2020, of the written resolutions of the board of directors of the Company dated 10 November 2020, and of the written resolutions of the board of directors of the Company dated 8 February 2023, approving the entry into the Novartis Instruments and the issue of the warrants and convertible loan notes by the Company thereunder;</w:t>
      </w:r>
    </w:p>
    <w:p>
      <w:pPr>
        <w:spacing w:after="0" w:line="85" w:lineRule="exact"/>
        <w:rPr>
          <w:rFonts w:ascii="Times New Roman" w:cs="Times New Roman" w:eastAsia="Times New Roman" w:hAnsi="Times New Roman"/>
          <w:sz w:val="18"/>
          <w:szCs w:val="18"/>
          <w:color w:val="auto"/>
        </w:rPr>
      </w:pPr>
    </w:p>
    <w:p>
      <w:pPr>
        <w:ind w:left="960" w:right="320" w:hanging="532"/>
        <w:spacing w:after="0" w:line="261"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executed copy of the minutes of a meeting of the board of directors of the Company dated 27 June 2017, of the minutes of a financing committee of the Company dated 4 August 2017, of the minutes of a meeting of the board of directors of the Company dated</w:t>
      </w:r>
    </w:p>
    <w:p>
      <w:pPr>
        <w:ind w:left="960" w:firstLine="8"/>
        <w:spacing w:after="0" w:line="250" w:lineRule="auto"/>
        <w:tabs>
          <w:tab w:leader="none" w:pos="118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2018, of the minutes of a meeting of a financing committee of the Company dated 26 September 2018, of the minutes of a meeting of the board of directors of the Company dated 3 December 2020, and of the written resolutions of the Financing Committee dated</w:t>
      </w:r>
    </w:p>
    <w:p>
      <w:pPr>
        <w:ind w:left="1200" w:hanging="232"/>
        <w:spacing w:after="0"/>
        <w:tabs>
          <w:tab w:leader="none" w:pos="12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2020, approving the entry into the SVB and Kreos Instruments and the issue of the warrants by the Company thereunder;</w:t>
      </w:r>
    </w:p>
    <w:p>
      <w:pPr>
        <w:spacing w:after="0" w:line="112"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executed copy of the written resolutions of the Financing Committee dated 26 March 2021 approving the entry into the amendment to the TAP Instrument dated 29 March 2021;</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executed copy of the minutes of the annual general meeting of shareholders of the Company held on 27 June 2017, 21 June 2018,</w:t>
      </w:r>
    </w:p>
    <w:p>
      <w:pPr>
        <w:spacing w:after="0" w:line="27" w:lineRule="exact"/>
        <w:rPr>
          <w:rFonts w:ascii="Times New Roman" w:cs="Times New Roman" w:eastAsia="Times New Roman" w:hAnsi="Times New Roman"/>
          <w:sz w:val="18"/>
          <w:szCs w:val="18"/>
          <w:color w:val="auto"/>
        </w:rPr>
      </w:pPr>
    </w:p>
    <w:p>
      <w:pPr>
        <w:ind w:left="1200" w:hanging="232"/>
        <w:spacing w:after="0"/>
        <w:tabs>
          <w:tab w:leader="none" w:pos="12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2019, 29 June 2020, 27 May 2021, 16 May 2022 and 22 May 2023 (the “</w:t>
      </w:r>
      <w:r>
        <w:rPr>
          <w:rFonts w:ascii="Times New Roman" w:cs="Times New Roman" w:eastAsia="Times New Roman" w:hAnsi="Times New Roman"/>
          <w:sz w:val="18"/>
          <w:szCs w:val="18"/>
          <w:b w:val="1"/>
          <w:bCs w:val="1"/>
          <w:color w:val="auto"/>
        </w:rPr>
        <w:t>General Meeting Minutes</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certificate of incorporation of the Company dated 10 March 2015 and certificate of incorporation on re-registration of the Company dated 23 June 2016;</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articles of association of the Company which were adopted by special resolution passed on 2 June 2016;</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articles of association of the Company which were adopted by special resolution passed on 6 April 2018;</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59" w:name="page60"/>
    <w:bookmarkEnd w:id="5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15697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115697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4" w:right="140" w:hanging="532"/>
        <w:spacing w:after="0" w:line="282" w:lineRule="auto"/>
        <w:tabs>
          <w:tab w:leader="none" w:pos="9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articles of association of the Company which were adopted by special resolution passed on 16 May 2022 and amended by a special resolution passed on 18 December 2023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PDF executed copies of each of the Instruments;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Registration Statement filed with the SEC on 25 November 2024.</w:t>
      </w:r>
    </w:p>
    <w:p>
      <w:pPr>
        <w:spacing w:after="0" w:line="24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b w:val="1"/>
          <w:bCs w:val="1"/>
          <w:color w:val="auto"/>
        </w:rPr>
        <w:t>Applicable law</w:t>
      </w:r>
    </w:p>
    <w:p>
      <w:pPr>
        <w:spacing w:after="0" w:line="121" w:lineRule="exact"/>
        <w:rPr>
          <w:sz w:val="20"/>
          <w:szCs w:val="20"/>
          <w:color w:val="auto"/>
        </w:rPr>
      </w:pPr>
    </w:p>
    <w:p>
      <w:pPr>
        <w:ind w:left="444"/>
        <w:spacing w:after="0" w:line="266" w:lineRule="auto"/>
        <w:rPr>
          <w:sz w:val="20"/>
          <w:szCs w:val="20"/>
          <w:color w:val="auto"/>
        </w:rPr>
      </w:pPr>
      <w:r>
        <w:rPr>
          <w:rFonts w:ascii="Times New Roman" w:cs="Times New Roman" w:eastAsia="Times New Roman" w:hAnsi="Times New Roman"/>
          <w:sz w:val="18"/>
          <w:szCs w:val="18"/>
          <w:color w:val="auto"/>
        </w:rPr>
        <w:t>This letter, the opinion given in it, and any non-contractual obligations arising out of or in connection with this letter and/or the opinion given in it, are governed by, and shall be construed in accordance with, English law, and relate only to English law as applied by the English courts as at today’s date. In particular:</w:t>
      </w:r>
    </w:p>
    <w:p>
      <w:pPr>
        <w:spacing w:after="0" w:line="81" w:lineRule="exact"/>
        <w:rPr>
          <w:sz w:val="20"/>
          <w:szCs w:val="20"/>
          <w:color w:val="auto"/>
        </w:rPr>
      </w:pPr>
    </w:p>
    <w:p>
      <w:pPr>
        <w:ind w:left="964" w:right="200" w:hanging="532"/>
        <w:spacing w:after="0" w:line="282" w:lineRule="auto"/>
        <w:tabs>
          <w:tab w:leader="none" w:pos="9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investigated the laws of any country other than England and we assume that no foreign law, (including, for the avoidance of doubt, European Union law on and after 1 January 2021), affects the opinion stated below;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in this letter on the laws of any jurisdiction other than England.</w:t>
      </w:r>
    </w:p>
    <w:p>
      <w:pPr>
        <w:spacing w:after="0" w:line="24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b w:val="1"/>
          <w:bCs w:val="1"/>
          <w:color w:val="auto"/>
        </w:rPr>
        <w:t>Assumptions and reservations</w:t>
      </w:r>
    </w:p>
    <w:p>
      <w:pPr>
        <w:spacing w:after="0" w:line="119" w:lineRule="exact"/>
        <w:rPr>
          <w:sz w:val="20"/>
          <w:szCs w:val="20"/>
          <w:color w:val="auto"/>
        </w:rPr>
      </w:pPr>
    </w:p>
    <w:p>
      <w:pPr>
        <w:ind w:left="444"/>
        <w:spacing w:after="0" w:line="267" w:lineRule="auto"/>
        <w:rPr>
          <w:sz w:val="20"/>
          <w:szCs w:val="20"/>
          <w:color w:val="auto"/>
        </w:rPr>
      </w:pPr>
      <w:r>
        <w:rPr>
          <w:rFonts w:ascii="Times New Roman" w:cs="Times New Roman" w:eastAsia="Times New Roman" w:hAnsi="Times New Roman"/>
          <w:sz w:val="18"/>
          <w:szCs w:val="18"/>
          <w:color w:val="auto"/>
        </w:rPr>
        <w:t>The opinion given in this letter is given on the basis of each of the assumptions set out in Schedule 1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and is subject to each of the reservations set out in Schedule 2 (</w:t>
      </w:r>
      <w:r>
        <w:rPr>
          <w:rFonts w:ascii="Times New Roman" w:cs="Times New Roman" w:eastAsia="Times New Roman" w:hAnsi="Times New Roman"/>
          <w:sz w:val="18"/>
          <w:szCs w:val="18"/>
          <w:i w:val="1"/>
          <w:iCs w:val="1"/>
          <w:color w:val="auto"/>
        </w:rPr>
        <w:t>Reservations</w:t>
      </w:r>
      <w:r>
        <w:rPr>
          <w:rFonts w:ascii="Times New Roman" w:cs="Times New Roman" w:eastAsia="Times New Roman" w:hAnsi="Times New Roman"/>
          <w:sz w:val="18"/>
          <w:szCs w:val="18"/>
          <w:color w:val="auto"/>
        </w:rPr>
        <w:t>) to this letter. The opinion given in this letter is strictly limited to the matters stated in paragraph 2 (</w:t>
      </w:r>
      <w:r>
        <w:rPr>
          <w:rFonts w:ascii="Times New Roman" w:cs="Times New Roman" w:eastAsia="Times New Roman" w:hAnsi="Times New Roman"/>
          <w:sz w:val="18"/>
          <w:szCs w:val="18"/>
          <w:i w:val="1"/>
          <w:iCs w:val="1"/>
          <w:color w:val="auto"/>
        </w:rPr>
        <w:t>Opinion</w:t>
      </w:r>
      <w:r>
        <w:rPr>
          <w:rFonts w:ascii="Times New Roman" w:cs="Times New Roman" w:eastAsia="Times New Roman" w:hAnsi="Times New Roman"/>
          <w:sz w:val="18"/>
          <w:szCs w:val="18"/>
          <w:color w:val="auto"/>
        </w:rPr>
        <w:t>) below and does not extend, and should not be read as extending, by implication or otherwise, to any other matters.</w:t>
      </w:r>
    </w:p>
    <w:p>
      <w:pPr>
        <w:spacing w:after="0" w:line="320" w:lineRule="exact"/>
        <w:rPr>
          <w:sz w:val="20"/>
          <w:szCs w:val="20"/>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119" w:lineRule="exact"/>
        <w:rPr>
          <w:rFonts w:ascii="Times New Roman" w:cs="Times New Roman" w:eastAsia="Times New Roman" w:hAnsi="Times New Roman"/>
          <w:sz w:val="18"/>
          <w:szCs w:val="18"/>
          <w:b w:val="1"/>
          <w:bCs w:val="1"/>
          <w:color w:val="auto"/>
        </w:rPr>
      </w:pPr>
    </w:p>
    <w:p>
      <w:pPr>
        <w:ind w:left="444" w:right="6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documents referred to in paragraph 1 (</w:t>
      </w: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 and subject to the other matters set out in this letter and its Schedules and to any matters not disclosed to us, it is our opinion that, as of today’s date:</w:t>
      </w:r>
    </w:p>
    <w:p>
      <w:pPr>
        <w:spacing w:after="0" w:line="65" w:lineRule="exact"/>
        <w:rPr>
          <w:rFonts w:ascii="Times New Roman" w:cs="Times New Roman" w:eastAsia="Times New Roman" w:hAnsi="Times New Roman"/>
          <w:sz w:val="18"/>
          <w:szCs w:val="18"/>
          <w:b w:val="1"/>
          <w:bCs w:val="1"/>
          <w:color w:val="auto"/>
        </w:rPr>
      </w:pPr>
    </w:p>
    <w:p>
      <w:pPr>
        <w:ind w:left="964" w:hanging="532"/>
        <w:spacing w:after="0" w:line="266" w:lineRule="auto"/>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AstraZeneca Shares registered in the name of AstraZeneca in the register of members of the Company and delivered as described in the Registration Statement and pursuant to the AstraZeneca Subscription Agreement have been duly and validly authorised and issued, fully paid or credited as fully paid, and will not be subject to any call for payment of further capital; and</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and subject further to the following:</w:t>
      </w:r>
    </w:p>
    <w:p>
      <w:pPr>
        <w:spacing w:after="0" w:line="130" w:lineRule="exact"/>
        <w:rPr>
          <w:rFonts w:ascii="Times New Roman" w:cs="Times New Roman" w:eastAsia="Times New Roman" w:hAnsi="Times New Roman"/>
          <w:sz w:val="18"/>
          <w:szCs w:val="18"/>
          <w:color w:val="auto"/>
        </w:rPr>
      </w:pPr>
    </w:p>
    <w:p>
      <w:pPr>
        <w:ind w:left="1424" w:right="140" w:hanging="439"/>
        <w:spacing w:after="0" w:line="282" w:lineRule="auto"/>
        <w:tabs>
          <w:tab w:leader="none" w:pos="142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finally amended and supplemented, having become effective under the Securities Act and continuing to be so effective;</w:t>
      </w:r>
    </w:p>
    <w:p>
      <w:pPr>
        <w:spacing w:after="0" w:line="67" w:lineRule="exact"/>
        <w:rPr>
          <w:rFonts w:ascii="Times New Roman" w:cs="Times New Roman" w:eastAsia="Times New Roman" w:hAnsi="Times New Roman"/>
          <w:sz w:val="18"/>
          <w:szCs w:val="18"/>
          <w:color w:val="auto"/>
        </w:rPr>
      </w:pPr>
    </w:p>
    <w:p>
      <w:pPr>
        <w:ind w:left="1424" w:right="20" w:hanging="439"/>
        <w:spacing w:after="0" w:line="261" w:lineRule="auto"/>
        <w:tabs>
          <w:tab w:leader="none" w:pos="142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at the time of any allotment and issue of Underlying Shares being duly authorised pursuant to the articles of association of the Company in force at the time of such allotment and issue, the Companies Act and any relevant authority given by the members of the Company to allot such Underlying Shares and any rights of pre-emption under such articles of association or the Companies Act in respect of such allotment having been validly disapplied;</w:t>
      </w:r>
    </w:p>
    <w:p>
      <w:pPr>
        <w:spacing w:after="0" w:line="85"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having validly resolved to allot the Underlying Shares;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60" w:name="page61"/>
    <w:bookmarkEnd w:id="6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52590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152590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24" w:right="60" w:hanging="439"/>
        <w:spacing w:after="0" w:line="282" w:lineRule="auto"/>
        <w:tabs>
          <w:tab w:leader="none" w:pos="1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in full by the Company of payment for the Underlying Shares in an amount of “cash consideration” (as defined in section 583(3) of the Companies Act) of not less than the aggregate nominal value for such Underlying Shares; and</w:t>
      </w:r>
    </w:p>
    <w:p>
      <w:pPr>
        <w:spacing w:after="0" w:line="67" w:lineRule="exact"/>
        <w:rPr>
          <w:rFonts w:ascii="Times New Roman" w:cs="Times New Roman" w:eastAsia="Times New Roman" w:hAnsi="Times New Roman"/>
          <w:sz w:val="18"/>
          <w:szCs w:val="18"/>
          <w:color w:val="auto"/>
        </w:rPr>
      </w:pPr>
    </w:p>
    <w:p>
      <w:pPr>
        <w:ind w:left="1424" w:right="500" w:hanging="439"/>
        <w:spacing w:after="0" w:line="282" w:lineRule="auto"/>
        <w:tabs>
          <w:tab w:leader="none" w:pos="1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entries having been made in relation to the allotment and issue of the Underlying Shares in the books and registers of the Company,</w:t>
      </w:r>
    </w:p>
    <w:p>
      <w:pPr>
        <w:spacing w:after="0" w:line="54" w:lineRule="exact"/>
        <w:rPr>
          <w:sz w:val="20"/>
          <w:szCs w:val="20"/>
          <w:color w:val="auto"/>
        </w:rPr>
      </w:pPr>
    </w:p>
    <w:p>
      <w:pPr>
        <w:ind w:left="984"/>
        <w:spacing w:after="0" w:line="261" w:lineRule="auto"/>
        <w:rPr>
          <w:sz w:val="20"/>
          <w:szCs w:val="20"/>
          <w:color w:val="auto"/>
        </w:rPr>
      </w:pPr>
      <w:r>
        <w:rPr>
          <w:rFonts w:ascii="Times New Roman" w:cs="Times New Roman" w:eastAsia="Times New Roman" w:hAnsi="Times New Roman"/>
          <w:sz w:val="18"/>
          <w:szCs w:val="18"/>
          <w:color w:val="auto"/>
        </w:rPr>
        <w:t>the Underlying Shares, if and when allotted and issued, registered in the name of the recipient in the register of members of the Company and delivered in accordance with the terms of the Registration Statement and the relevant Instrument, and as described therein, will be duly and validly authorised and issued, fully paid or credited as fully paid (subject to the receipt of valid consideration by the Company for the issue thereof) and will not be subject to any call for payment of further capital.</w:t>
      </w:r>
    </w:p>
    <w:p>
      <w:pPr>
        <w:spacing w:after="0" w:line="324" w:lineRule="exact"/>
        <w:rPr>
          <w:sz w:val="20"/>
          <w:szCs w:val="20"/>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EXTENT OF OPINION</w:t>
      </w:r>
    </w:p>
    <w:p>
      <w:pPr>
        <w:spacing w:after="0" w:line="121" w:lineRule="exact"/>
        <w:rPr>
          <w:rFonts w:ascii="Times New Roman" w:cs="Times New Roman" w:eastAsia="Times New Roman" w:hAnsi="Times New Roman"/>
          <w:sz w:val="18"/>
          <w:szCs w:val="18"/>
          <w:b w:val="1"/>
          <w:bCs w:val="1"/>
          <w:color w:val="auto"/>
        </w:rPr>
      </w:pPr>
    </w:p>
    <w:p>
      <w:pPr>
        <w:ind w:left="444"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express no opinion as to any agreement, instrument or other document other than as specified in this letter or as to any liability to tax which may arise or be suffered as a result of or in connection with the transactions contemplated by the Registration Statement.</w:t>
      </w:r>
    </w:p>
    <w:p>
      <w:pPr>
        <w:spacing w:after="0" w:line="53" w:lineRule="exact"/>
        <w:rPr>
          <w:rFonts w:ascii="Times New Roman" w:cs="Times New Roman" w:eastAsia="Times New Roman" w:hAnsi="Times New Roman"/>
          <w:sz w:val="18"/>
          <w:szCs w:val="18"/>
          <w:b w:val="1"/>
          <w:bCs w:val="1"/>
          <w:color w:val="auto"/>
        </w:rPr>
      </w:pPr>
    </w:p>
    <w:p>
      <w:pPr>
        <w:jc w:val="both"/>
        <w:ind w:left="444" w:right="1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302"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 AND DISCLOSURE</w:t>
      </w:r>
    </w:p>
    <w:p>
      <w:pPr>
        <w:spacing w:after="0" w:line="121" w:lineRule="exact"/>
        <w:rPr>
          <w:rFonts w:ascii="Times New Roman" w:cs="Times New Roman" w:eastAsia="Times New Roman" w:hAnsi="Times New Roman"/>
          <w:sz w:val="18"/>
          <w:szCs w:val="18"/>
          <w:b w:val="1"/>
          <w:bCs w:val="1"/>
          <w:color w:val="auto"/>
        </w:rPr>
      </w:pPr>
    </w:p>
    <w:p>
      <w:pPr>
        <w:ind w:left="444"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67" w:lineRule="exact"/>
        <w:rPr>
          <w:rFonts w:ascii="Times New Roman" w:cs="Times New Roman" w:eastAsia="Times New Roman" w:hAnsi="Times New Roman"/>
          <w:sz w:val="18"/>
          <w:szCs w:val="18"/>
          <w:b w:val="1"/>
          <w:bCs w:val="1"/>
          <w:color w:val="auto"/>
        </w:rPr>
      </w:pPr>
    </w:p>
    <w:p>
      <w:pPr>
        <w:ind w:left="4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may not be relied upon by you for any other purpose, and, other than as set out in this paragraph 4, may not be furnished to, or assigned to or relied upon by, any other person, firm or entity for any purpose (including, without limitation, by any person, firm or other entity that acquires Shares from the Company), without our prior written consent, which may be granted or withheld in our discretion.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LATHAM &amp; WATKINS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LATHAM &amp; WATKINS</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in this letter has been given on the basis of the following assumptions:</w:t>
      </w:r>
    </w:p>
    <w:p>
      <w:pPr>
        <w:spacing w:after="0" w:line="131" w:lineRule="exact"/>
        <w:rPr>
          <w:sz w:val="20"/>
          <w:szCs w:val="20"/>
          <w:color w:val="auto"/>
        </w:rPr>
      </w:pPr>
    </w:p>
    <w:p>
      <w:pPr>
        <w:ind w:left="960" w:hanging="532"/>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case of a document signed electronically, the person signing it intended to sign and be bound by the document;</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where a document has been examined by us in draft or specimen form, it will be or has been duly executed in the form of that draft or specimen;</w:t>
      </w:r>
    </w:p>
    <w:p>
      <w:pPr>
        <w:spacing w:after="0" w:line="67"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filing of the Registration Statement with the SEC has been authorised by all necessary actions under all applicable laws other than English law;</w:t>
      </w:r>
    </w:p>
    <w:p>
      <w:pPr>
        <w:spacing w:after="0" w:line="67" w:lineRule="exact"/>
        <w:rPr>
          <w:rFonts w:ascii="Times New Roman" w:cs="Times New Roman" w:eastAsia="Times New Roman" w:hAnsi="Times New Roman"/>
          <w:sz w:val="18"/>
          <w:szCs w:val="18"/>
          <w:color w:val="auto"/>
        </w:rPr>
      </w:pPr>
    </w:p>
    <w:p>
      <w:pPr>
        <w:ind w:left="960" w:right="40" w:hanging="532"/>
        <w:spacing w:after="0" w:line="312" w:lineRule="auto"/>
        <w:tabs>
          <w:tab w:leader="none" w:pos="9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Articles of Association remain in full force and effect, and no alteration has been made or will be made to the Articles of Association, in each case prior to any date on which Underlying Shares are allotted or issued (each such date being an “</w:t>
      </w:r>
      <w:r>
        <w:rPr>
          <w:rFonts w:ascii="Times New Roman" w:cs="Times New Roman" w:eastAsia="Times New Roman" w:hAnsi="Times New Roman"/>
          <w:sz w:val="17"/>
          <w:szCs w:val="17"/>
          <w:b w:val="1"/>
          <w:bCs w:val="1"/>
          <w:color w:val="auto"/>
        </w:rPr>
        <w:t>Allotment Date</w:t>
      </w:r>
      <w:r>
        <w:rPr>
          <w:rFonts w:ascii="Times New Roman" w:cs="Times New Roman" w:eastAsia="Times New Roman" w:hAnsi="Times New Roman"/>
          <w:sz w:val="17"/>
          <w:szCs w:val="17"/>
          <w:color w:val="auto"/>
        </w:rPr>
        <w:t>”);</w:t>
      </w:r>
    </w:p>
    <w:p>
      <w:pPr>
        <w:spacing w:after="0" w:line="45" w:lineRule="exact"/>
        <w:rPr>
          <w:rFonts w:ascii="Times New Roman" w:cs="Times New Roman" w:eastAsia="Times New Roman" w:hAnsi="Times New Roman"/>
          <w:sz w:val="17"/>
          <w:szCs w:val="17"/>
          <w:color w:val="auto"/>
        </w:rPr>
      </w:pPr>
    </w:p>
    <w:p>
      <w:pPr>
        <w:ind w:left="960" w:right="260" w:hanging="532"/>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complete prospectus supplement will have been prepared and filed with the SEC describing the Underlying Shares offered before each Allotment Date;</w:t>
      </w:r>
    </w:p>
    <w:p>
      <w:pPr>
        <w:spacing w:after="0" w:line="67"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documents, forms and notices which should have been delivered to the UK Companies House in respect of the Company have been or will be so delivered, that the results of the Searches are complete and accurate, and that the position has not changed since the times at which the Searches were made and that the results of the Searches will remain complete and accurate as at each Allotment Date;</w:t>
      </w:r>
    </w:p>
    <w:p>
      <w:pPr>
        <w:spacing w:after="0" w:line="81"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Instruments (and the other documents referred to therein) remain accurate and complete and have not been amended, terminated, revoked or otherwise discharged as at the date of this letter;</w:t>
      </w:r>
    </w:p>
    <w:p>
      <w:pPr>
        <w:spacing w:after="0" w:line="67"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the persons executing and/or issuing (as applicable) the Instruments on behalf of the relevant parties thereto executed and/or issued (as applicable) an identical final version of such document, in each case in the form reviewed by us;</w:t>
      </w:r>
    </w:p>
    <w:p>
      <w:pPr>
        <w:spacing w:after="0" w:line="67" w:lineRule="exact"/>
        <w:rPr>
          <w:rFonts w:ascii="Times New Roman" w:cs="Times New Roman" w:eastAsia="Times New Roman" w:hAnsi="Times New Roman"/>
          <w:sz w:val="18"/>
          <w:szCs w:val="18"/>
          <w:color w:val="auto"/>
        </w:rPr>
      </w:pPr>
    </w:p>
    <w:p>
      <w:pPr>
        <w:jc w:val="both"/>
        <w:ind w:left="960" w:right="60" w:hanging="532"/>
        <w:spacing w:after="0" w:line="26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fraud or mutual mistake of fact or law or any other arrangements, agreements, understandings or course of conduct or prior or subsequent dealings, amending, rescinding or modifying or suspending any of the terms of the Instruments or which would result in the inclusion of additional terms therein, and that the relevant parties have acted in accordance with the terms of the Instruments;</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requirements and conditions precedent for the Instruments to be entered into and/or issued (as applicable) have been satisfied;</w:t>
      </w:r>
    </w:p>
    <w:p>
      <w:pPr>
        <w:spacing w:after="0" w:line="130" w:lineRule="exact"/>
        <w:rPr>
          <w:rFonts w:ascii="Times New Roman" w:cs="Times New Roman" w:eastAsia="Times New Roman" w:hAnsi="Times New Roman"/>
          <w:sz w:val="18"/>
          <w:szCs w:val="18"/>
          <w:color w:val="auto"/>
        </w:rPr>
      </w:pPr>
    </w:p>
    <w:p>
      <w:pPr>
        <w:ind w:left="960" w:right="100" w:hanging="532"/>
        <w:spacing w:after="0" w:line="26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Instruments has been or will be duly authorised, executed, delivered and issued (as applicable) by or on behalf of all relevant parties and are or will be legal, valid, binding and enforceable against all relevant parties in accordance with their terms under all relevant laws;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62" w:name="page63"/>
    <w:bookmarkEnd w:id="62"/>
    <w:p>
      <w:pPr>
        <w:ind w:left="540" w:hanging="532"/>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preconditions to the obligations of the parties to the applicable Instruments, including to the obligation of the Company to issue and allot any Underlying Shares under any such Instrument, will have been satisfied or duly waived prior to the issue and allotment of any such Underlying Shares (as applicable), and there will be no breach of the terms of the applicable Instruments;</w:t>
      </w:r>
    </w:p>
    <w:p>
      <w:pPr>
        <w:spacing w:after="0" w:line="81" w:lineRule="exact"/>
        <w:rPr>
          <w:rFonts w:ascii="Times New Roman" w:cs="Times New Roman" w:eastAsia="Times New Roman" w:hAnsi="Times New Roman"/>
          <w:sz w:val="18"/>
          <w:szCs w:val="18"/>
          <w:color w:val="auto"/>
        </w:rPr>
      </w:pPr>
    </w:p>
    <w:p>
      <w:pPr>
        <w:ind w:left="540" w:right="20" w:hanging="532"/>
        <w:spacing w:after="0" w:line="253"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 the proceedings and resolutions described in the minutes of the meetings of the board of directors of the Company, of the Financing Committee, and of any other committee of the Company, were duly conducted as so described, and that the meetings referred to therein were duly constituted and convened and all constitutional, statutory and other formalities were duly observed (including, if applicable, those relating to the declaration of directors’ interests or the power of interested directors to vote), a quorum was present throughout, the requisite majority of directors voted in favour of approving the resolutions and such resolutions were duly adopted, and have not been and will not be revoked or varied and remain in full force and effect and will remain so as at each Allotment Date (as applicable), and (ii) the resolutions described in the written resolutions of the board of directors of the Company, of the Financing Committee, and of Chief Executive Officer of the Company, were duly passed as written resolutions of the board of directors of the Company, of the Financing Committee, or of the Chief Executive Officer of the Company (as applicable), and all constitutional, statutory and other formalities were duly observed (including, if applicable, those relating to the declaration of directors’ interests or the power of interested directors to vote) and such resolutions were duly adopted, and have not been and will not be revoked or varied and remain in full force and effect and will remain so as at each Allotment Date (as applicable);</w:t>
      </w:r>
    </w:p>
    <w:p>
      <w:pPr>
        <w:spacing w:after="0" w:line="95" w:lineRule="exact"/>
        <w:rPr>
          <w:rFonts w:ascii="Times New Roman" w:cs="Times New Roman" w:eastAsia="Times New Roman" w:hAnsi="Times New Roman"/>
          <w:sz w:val="18"/>
          <w:szCs w:val="18"/>
          <w:color w:val="auto"/>
        </w:rPr>
      </w:pPr>
    </w:p>
    <w:p>
      <w:pPr>
        <w:ind w:left="540" w:hanging="532"/>
        <w:spacing w:after="0" w:line="261"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proceedings and resolutions described in the General Meeting Minutes provided to us were duly conducted as so described and that the meetings referred to therein were duly constituted and convened and all constitutional, statutory and other formalities were duly observed, a quorum was present throughout, the requisite majority of shareholders voted in favour of approving the resolutions and the resolutions passed thereat were duly adopted, and have not been and will not be revoked or varied and remain in full force and effect;</w:t>
      </w:r>
    </w:p>
    <w:p>
      <w:pPr>
        <w:spacing w:after="0" w:line="85" w:lineRule="exact"/>
        <w:rPr>
          <w:rFonts w:ascii="Times New Roman" w:cs="Times New Roman" w:eastAsia="Times New Roman" w:hAnsi="Times New Roman"/>
          <w:sz w:val="18"/>
          <w:szCs w:val="18"/>
          <w:color w:val="auto"/>
        </w:rPr>
      </w:pPr>
    </w:p>
    <w:p>
      <w:pPr>
        <w:ind w:left="540" w:right="120" w:hanging="532"/>
        <w:spacing w:after="0" w:line="261"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 at the date of entry into each Instrument by the Company, the directors of the Company had sufficient authority and powers conferred upon them to grant rights to subscribe for, and/or to convert any security into, Underlying Shares under section 551 of the Companies Act and under section 570 or section 571 (as applicable) of the Companies Act as if section 561 of the Companies Act did not apply to such grant of rights to subscribe for and/or to convert any security into Underlying Shares;</w:t>
      </w:r>
    </w:p>
    <w:p>
      <w:pPr>
        <w:spacing w:after="0" w:line="85" w:lineRule="exact"/>
        <w:rPr>
          <w:rFonts w:ascii="Times New Roman" w:cs="Times New Roman" w:eastAsia="Times New Roman" w:hAnsi="Times New Roman"/>
          <w:sz w:val="18"/>
          <w:szCs w:val="18"/>
          <w:color w:val="auto"/>
        </w:rPr>
      </w:pPr>
    </w:p>
    <w:p>
      <w:pPr>
        <w:ind w:left="540" w:right="40" w:hanging="532"/>
        <w:spacing w:after="0" w:line="258"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immediately prior to each Allotment Date, the directors of the Company shall have sufficient authority and powers conferred upon them to allot and issue such Underlying Shares under section 551 of the Companies Act and under section 570 or section 571 (as applicable) of the Companies Act as if section 561 of the Companies Act did not apply to such allotment and issue, and the directors of the Company shall not allot or issue (or purport to allot or issue) Underlying Shares in excess of such powers or in breach of any other limitation on their power to allot and issue Underlying Shares;</w:t>
      </w:r>
    </w:p>
    <w:p>
      <w:pPr>
        <w:spacing w:after="0" w:line="88" w:lineRule="exact"/>
        <w:rPr>
          <w:rFonts w:ascii="Times New Roman" w:cs="Times New Roman" w:eastAsia="Times New Roman" w:hAnsi="Times New Roman"/>
          <w:sz w:val="18"/>
          <w:szCs w:val="18"/>
          <w:color w:val="auto"/>
        </w:rPr>
      </w:pPr>
    </w:p>
    <w:p>
      <w:pPr>
        <w:ind w:left="540" w:right="260" w:hanging="532"/>
        <w:spacing w:after="0" w:line="258"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each allotment and issue of any Underlying Shares, the Company has or shall have received “cash consideration” (as such term is defined in section 583(3) of the Companies Act) in full, equal to the subscription price payable for such Shares and has or shall have entered the holder or holders thereof in the register of members of the Company showing that all such Shares have been fully paid up as to their nominal value and any premium thereon or shall have been fully paid up as to their nominal value and any premium thereon as at each Allotment Date;</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0"/>
          </w:cols>
          <w:pgMar w:left="860" w:top="270" w:right="459" w:bottom="1440" w:gutter="0" w:footer="0" w:header="0"/>
        </w:sectPr>
      </w:pPr>
    </w:p>
    <w:bookmarkStart w:id="63" w:name="page64"/>
    <w:bookmarkEnd w:id="63"/>
    <w:p>
      <w:pPr>
        <w:ind w:left="540" w:right="320" w:hanging="532"/>
        <w:spacing w:after="0" w:line="282"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no Underlying Shares shall be allotted or issued, or shall be committed to be allotted or issued, at a discount to their nominal value (whether in pounds sterling or equivalent in any other currency);</w:t>
      </w:r>
    </w:p>
    <w:p>
      <w:pPr>
        <w:spacing w:after="0" w:line="67" w:lineRule="exact"/>
        <w:rPr>
          <w:rFonts w:ascii="Times New Roman" w:cs="Times New Roman" w:eastAsia="Times New Roman" w:hAnsi="Times New Roman"/>
          <w:sz w:val="18"/>
          <w:szCs w:val="18"/>
          <w:color w:val="auto"/>
        </w:rPr>
      </w:pPr>
    </w:p>
    <w:p>
      <w:pPr>
        <w:ind w:left="540" w:right="440" w:hanging="532"/>
        <w:spacing w:after="0" w:line="266"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allotment and issue of Underlying Shares will be duly made in accordance with both the Articles of Association (as may be amended), the Companies Act and the applicable law, rules and regulations in force at the time of such allotment and issue, including without limitation, the rules of any stock exchange on which the Company’s securities may be traded;</w:t>
      </w:r>
    </w:p>
    <w:p>
      <w:pPr>
        <w:spacing w:after="0" w:line="81"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is, at each Allotment Date, no matter affecting the authority of the directors to issue and allot the Underlying Shares which would have any adverse implications in relation to the opinion given above;</w:t>
      </w:r>
    </w:p>
    <w:p>
      <w:pPr>
        <w:spacing w:after="0" w:line="67" w:lineRule="exact"/>
        <w:rPr>
          <w:rFonts w:ascii="Times New Roman" w:cs="Times New Roman" w:eastAsia="Times New Roman" w:hAnsi="Times New Roman"/>
          <w:sz w:val="18"/>
          <w:szCs w:val="18"/>
          <w:color w:val="auto"/>
        </w:rPr>
      </w:pPr>
    </w:p>
    <w:p>
      <w:pPr>
        <w:ind w:left="540" w:right="100" w:hanging="532"/>
        <w:spacing w:after="0" w:line="258"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Instruments and all obligations thereunder have been entered into and/or issued (as applicable), and the Underlying Shares will be allotted and issued, in good faith and on bona fide commercial terms and on arms’ length terms and for the purpose of carrying on the business of the Company and that there will be, in respect of the Underlying Shares, reasonable grounds for believing that the entry into and/or issue of (as applicable) the relevant Instrument, and the allotment and issue of the relevant Underlying Shares will, promote the success of the Company for the benefit of its members as a whole;</w:t>
      </w:r>
    </w:p>
    <w:p>
      <w:pPr>
        <w:spacing w:after="0" w:line="88" w:lineRule="exact"/>
        <w:rPr>
          <w:rFonts w:ascii="Times New Roman" w:cs="Times New Roman" w:eastAsia="Times New Roman" w:hAnsi="Times New Roman"/>
          <w:sz w:val="18"/>
          <w:szCs w:val="18"/>
          <w:color w:val="auto"/>
        </w:rPr>
      </w:pPr>
    </w:p>
    <w:p>
      <w:pPr>
        <w:ind w:left="540" w:right="80" w:hanging="532"/>
        <w:spacing w:after="0" w:line="261"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AstraZeneca Shares were allotted and issued in good faith and on bona fide commercial terms and on arms’ length terms and for the purpose of carrying on the business of the Company and that there were reasonable grounds for believing that the entry into the Subscription Agreement and the allotment and issue of the AstraZeneca Shares would promote the success of the Company for the benefit of its members as a whole;</w:t>
      </w:r>
    </w:p>
    <w:p>
      <w:pPr>
        <w:spacing w:after="0" w:line="85" w:lineRule="exact"/>
        <w:rPr>
          <w:rFonts w:ascii="Times New Roman" w:cs="Times New Roman" w:eastAsia="Times New Roman" w:hAnsi="Times New Roman"/>
          <w:sz w:val="18"/>
          <w:szCs w:val="18"/>
          <w:color w:val="auto"/>
        </w:rPr>
      </w:pPr>
    </w:p>
    <w:p>
      <w:pPr>
        <w:ind w:left="540" w:hanging="532"/>
        <w:spacing w:after="0" w:line="261"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relation to the allotment and issue of the Shares, the directors of the Company have acted and will act in the manner required by section 172 of the Companies Act (Duty to promote the success of the Company), and there has not and will not be any bad faith, breach of duty, breach of trust, fraud, coercion, duress or undue influence on the part of any of the directors of the Company in relation to any allotment and issue of Shares;</w:t>
      </w:r>
    </w:p>
    <w:p>
      <w:pPr>
        <w:spacing w:after="0" w:line="85"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or rights to subscribe for Shares have been or shall be offered to the public in the United Kingdom in breach of the Financial Services and Markets Act 2000, as amended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or of any other United Kingdom laws or regulations concerning offers of securities to the public, and no communication has been or shall be made in relation to the Shares in breach of section 21 of FSMA or any other United Kingdom laws or regulations relating to offers or invitations to subscribe for, or to acquire rights to subscribe for or otherwise acquire, Shares or other securities;</w:t>
      </w:r>
    </w:p>
    <w:p>
      <w:pPr>
        <w:spacing w:after="0" w:line="88" w:lineRule="exact"/>
        <w:rPr>
          <w:rFonts w:ascii="Times New Roman" w:cs="Times New Roman" w:eastAsia="Times New Roman" w:hAnsi="Times New Roman"/>
          <w:sz w:val="18"/>
          <w:szCs w:val="18"/>
          <w:color w:val="auto"/>
        </w:rPr>
      </w:pPr>
    </w:p>
    <w:p>
      <w:pPr>
        <w:ind w:left="540" w:right="720" w:hanging="532"/>
        <w:spacing w:after="0" w:line="282"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issuing and allotting the AstraZeneca Shares the Company was not, and in issuing and allotting the Underlying Shares the Company is not, carrying on a regulated activity for the purposes of section 19 of FSMA;</w:t>
      </w:r>
    </w:p>
    <w:p>
      <w:pPr>
        <w:spacing w:after="0" w:line="67" w:lineRule="exact"/>
        <w:rPr>
          <w:sz w:val="20"/>
          <w:szCs w:val="20"/>
          <w:color w:val="auto"/>
        </w:rPr>
      </w:pPr>
    </w:p>
    <w:p>
      <w:pPr>
        <w:ind w:left="540" w:right="360" w:hanging="532"/>
        <w:spacing w:after="0" w:line="28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complied and will comply with all applicable anti-terrorism, anti-money laundering, sanctions and human rights laws and regulations and that each allotment and issue of Shares was and will be consistent with all such laws and regulations;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60" w:top="270" w:right="459" w:bottom="1440" w:gutter="0" w:footer="0" w:header="0"/>
        </w:sectPr>
      </w:pPr>
    </w:p>
    <w:bookmarkStart w:id="64" w:name="page65"/>
    <w:bookmarkEnd w:id="64"/>
    <w:p>
      <w:pPr>
        <w:ind w:left="540" w:right="220" w:hanging="532"/>
        <w:spacing w:after="0" w:line="258"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except to the extent expressly set out in the opinion given in this letter no consents, approvals, authorisations, orders, licences, registrations, filings or similar formalities are or were required from any governmental or regulatory authority in connection with the execution, delivery and performance of the Registration Statement or the entrance into and/or issue of the Instruments (as applicable) by the Company, or if such consents, approvals, authorisations, orders, licences, registrations, filings or similar formalities are or were required, these have been made or will be made within the prescribed time limits; and</w:t>
      </w:r>
    </w:p>
    <w:p>
      <w:pPr>
        <w:spacing w:after="0" w:line="88" w:lineRule="exact"/>
        <w:rPr>
          <w:rFonts w:ascii="Times New Roman" w:cs="Times New Roman" w:eastAsia="Times New Roman" w:hAnsi="Times New Roman"/>
          <w:sz w:val="18"/>
          <w:szCs w:val="18"/>
          <w:color w:val="auto"/>
        </w:rPr>
      </w:pPr>
    </w:p>
    <w:p>
      <w:pPr>
        <w:ind w:left="540" w:right="200" w:hanging="532"/>
        <w:spacing w:after="0" w:line="28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not taken any corporate or other action nor have any steps been taken or legal proceedings been started against the Company for:</w:t>
      </w:r>
    </w:p>
    <w:p>
      <w:pPr>
        <w:spacing w:after="0" w:line="67" w:lineRule="exact"/>
        <w:rPr>
          <w:rFonts w:ascii="Times New Roman" w:cs="Times New Roman" w:eastAsia="Times New Roman" w:hAnsi="Times New Roman"/>
          <w:sz w:val="18"/>
          <w:szCs w:val="18"/>
          <w:color w:val="auto"/>
        </w:rPr>
      </w:pPr>
    </w:p>
    <w:p>
      <w:pPr>
        <w:ind w:left="1000" w:right="620" w:hanging="439"/>
        <w:spacing w:after="0" w:line="282" w:lineRule="auto"/>
        <w:tabs>
          <w:tab w:leader="none" w:pos="10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administration, winding up, dissolution, reorganisation, or bankruptcy or similar procedures in other relevant jurisdictions, of; or</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 moratorium in respect of; or</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liquidator, receiver, trustee, administrator, administrative receiver, monitor or similar officer of,</w:t>
      </w:r>
    </w:p>
    <w:p>
      <w:pPr>
        <w:spacing w:after="0" w:line="117"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moratorium or administration order, application or filing or appointment of a liquidator, receiver, administrator, administrative receiver, monitor or similar officer has been made with respect to the Company) and such actions and steps will not have been taken as at any Allotment Date.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60" w:top="270" w:right="4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in this letter is subject to the following reservations:</w:t>
      </w:r>
    </w:p>
    <w:p>
      <w:pPr>
        <w:spacing w:after="0" w:line="131" w:lineRule="exact"/>
        <w:rPr>
          <w:sz w:val="20"/>
          <w:szCs w:val="20"/>
          <w:color w:val="auto"/>
        </w:rPr>
      </w:pPr>
    </w:p>
    <w:p>
      <w:pPr>
        <w:ind w:left="960" w:right="60" w:hanging="532"/>
        <w:spacing w:after="0" w:line="266"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w:t>
      </w:r>
    </w:p>
    <w:p>
      <w:pPr>
        <w:spacing w:after="0" w:line="131" w:lineRule="exact"/>
        <w:rPr>
          <w:sz w:val="20"/>
          <w:szCs w:val="20"/>
          <w:color w:val="auto"/>
        </w:rPr>
      </w:pPr>
    </w:p>
    <w:p>
      <w:pPr>
        <w:ind w:left="1420" w:hanging="439"/>
        <w:spacing w:after="0" w:line="282" w:lineRule="auto"/>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arising from applicable laws relating to insolvency, bankruptcy, administration, reorganisation, liquidation, moratoria, schemes, restructuring plans or analogous circumstances; and</w:t>
      </w:r>
    </w:p>
    <w:p>
      <w:pPr>
        <w:spacing w:after="0" w:line="65" w:lineRule="exact"/>
        <w:rPr>
          <w:rFonts w:ascii="Times New Roman" w:cs="Times New Roman" w:eastAsia="Times New Roman" w:hAnsi="Times New Roman"/>
          <w:sz w:val="18"/>
          <w:szCs w:val="18"/>
          <w:color w:val="auto"/>
        </w:rPr>
      </w:pPr>
    </w:p>
    <w:p>
      <w:pPr>
        <w:ind w:left="1420" w:right="80" w:hanging="439"/>
        <w:spacing w:after="0" w:line="267" w:lineRule="auto"/>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English court exercising its discretion under section 426 of the Insolvency Act 1986 (</w:t>
      </w:r>
      <w:r>
        <w:rPr>
          <w:rFonts w:ascii="Times New Roman" w:cs="Times New Roman" w:eastAsia="Times New Roman" w:hAnsi="Times New Roman"/>
          <w:sz w:val="18"/>
          <w:szCs w:val="18"/>
          <w:i w:val="1"/>
          <w:iCs w:val="1"/>
          <w:color w:val="auto"/>
        </w:rPr>
        <w:t>co-operation between courts exercising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jurisdiction in relation to insolvency</w:t>
      </w:r>
      <w:r>
        <w:rPr>
          <w:rFonts w:ascii="Times New Roman" w:cs="Times New Roman" w:eastAsia="Times New Roman" w:hAnsi="Times New Roman"/>
          <w:sz w:val="18"/>
          <w:szCs w:val="18"/>
          <w:color w:val="auto"/>
        </w:rPr>
        <w:t>) to assist the courts having the corresponding jurisdiction in any part of the United Kingdom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relevant country or territory;</w:t>
      </w:r>
    </w:p>
    <w:p>
      <w:pPr>
        <w:spacing w:after="0" w:line="8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matters of fact;</w:t>
      </w:r>
    </w:p>
    <w:p>
      <w:pPr>
        <w:spacing w:after="0" w:line="130" w:lineRule="exact"/>
        <w:rPr>
          <w:rFonts w:ascii="Times New Roman" w:cs="Times New Roman" w:eastAsia="Times New Roman" w:hAnsi="Times New Roman"/>
          <w:sz w:val="18"/>
          <w:szCs w:val="18"/>
          <w:color w:val="auto"/>
        </w:rPr>
      </w:pPr>
    </w:p>
    <w:p>
      <w:pPr>
        <w:ind w:left="960" w:right="420" w:hanging="532"/>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on the compliance of the allotment and issue of the Shares with the rules or regulations of the New York Stock Exchange or the rules or regulations of any other securities exchange that are applicable to the Company;</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in relation to the legality, enforceability or validity of any of the Instruments;</w:t>
      </w:r>
    </w:p>
    <w:p>
      <w:pPr>
        <w:spacing w:after="0" w:line="130"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 and</w:t>
      </w:r>
    </w:p>
    <w:p>
      <w:pPr>
        <w:spacing w:after="0" w:line="77" w:lineRule="exact"/>
        <w:rPr>
          <w:rFonts w:ascii="Times New Roman" w:cs="Times New Roman" w:eastAsia="Times New Roman" w:hAnsi="Times New Roman"/>
          <w:sz w:val="18"/>
          <w:szCs w:val="18"/>
          <w:color w:val="auto"/>
        </w:rPr>
      </w:pPr>
    </w:p>
    <w:p>
      <w:pPr>
        <w:jc w:val="both"/>
        <w:ind w:left="960" w:right="220" w:hanging="532"/>
        <w:spacing w:after="0" w:line="268"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undertaken any consideration, analysis or assessment of whether the National Security &amp; Investment Act 2021 (“</w:t>
      </w:r>
      <w:r>
        <w:rPr>
          <w:rFonts w:ascii="Times New Roman" w:cs="Times New Roman" w:eastAsia="Times New Roman" w:hAnsi="Times New Roman"/>
          <w:sz w:val="18"/>
          <w:szCs w:val="18"/>
          <w:b w:val="1"/>
          <w:bCs w:val="1"/>
          <w:color w:val="auto"/>
        </w:rPr>
        <w:t>NS&amp;IA</w:t>
      </w:r>
      <w:r>
        <w:rPr>
          <w:rFonts w:ascii="Times New Roman" w:cs="Times New Roman" w:eastAsia="Times New Roman" w:hAnsi="Times New Roman"/>
          <w:sz w:val="18"/>
          <w:szCs w:val="18"/>
          <w:color w:val="auto"/>
        </w:rPr>
        <w:t>”) may or will apply to any of the transactions contemplated herein for the purposes of the opinions in this letter. We express no opinion on the application or potential application of the NS&amp;IA in relation to the Company or any transaction contemplated herein.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Mereo BioPharma Group plc of our report dated March 27, 2024 relating to the financial statements, which appears in Mereo BioPharma Group plc’s Annual Report on Form 10-K for the year ended December 31, 2023.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2024</w:t>
      </w:r>
    </w:p>
    <w:p>
      <w:pPr>
        <w:sectPr>
          <w:pgSz w:w="11900" w:h="16838" w:orient="portrait"/>
          <w:cols w:equalWidth="0" w:num="1">
            <w:col w:w="11020"/>
          </w:cols>
          <w:pgMar w:left="440" w:top="117" w:right="439" w:bottom="1440" w:gutter="0" w:footer="0" w:header="0"/>
        </w:sectPr>
      </w:pPr>
    </w:p>
    <w:bookmarkStart w:id="67" w:name="page68"/>
    <w:bookmarkEnd w:id="67"/>
    <w:p>
      <w:pPr>
        <w:ind w:left="10164"/>
        <w:spacing w:after="0"/>
        <w:rPr>
          <w:sz w:val="20"/>
          <w:szCs w:val="20"/>
          <w:color w:val="auto"/>
        </w:rPr>
      </w:pPr>
      <w:r>
        <w:rPr>
          <w:rFonts w:ascii="Times New Roman" w:cs="Times New Roman" w:eastAsia="Times New Roman" w:hAnsi="Times New Roman"/>
          <w:sz w:val="18"/>
          <w:szCs w:val="18"/>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S-3</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44"/>
        </w:trPr>
        <w:tc>
          <w:tcPr>
            <w:tcW w:w="2780" w:type="dxa"/>
            <w:vAlign w:val="bottom"/>
            <w:tcBorders>
              <w:top w:val="single" w:sz="8" w:color="auto"/>
              <w:left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180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4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4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0" w:type="dxa"/>
            <w:vAlign w:val="bottom"/>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0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4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jc w:val="center"/>
              <w:ind w:left="21"/>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100" w:type="dxa"/>
            <w:vAlign w:val="bottom"/>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000" w:type="dxa"/>
            <w:vAlign w:val="bottom"/>
            <w:tcBorders>
              <w:right w:val="single" w:sz="8" w:color="auto"/>
            </w:tcBorders>
          </w:tcPr>
          <w:p>
            <w:pPr>
              <w:jc w:val="center"/>
              <w:ind w:left="1"/>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4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4"/>
        </w:trPr>
        <w:tc>
          <w:tcPr>
            <w:tcW w:w="278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Type</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3"/>
                <w:szCs w:val="13"/>
                <w:color w:val="auto"/>
                <w:w w:val="97"/>
              </w:rPr>
              <w:t>Registered (2)</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Unit (3)</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3"/>
                <w:szCs w:val="13"/>
                <w:color w:val="auto"/>
              </w:rPr>
              <w:t>Rate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39"/>
        </w:trPr>
        <w:tc>
          <w:tcPr>
            <w:tcW w:w="2780" w:type="dxa"/>
            <w:vAlign w:val="bottom"/>
            <w:tcBorders>
              <w:left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ind w:left="1080"/>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80" w:type="dxa"/>
            <w:vAlign w:val="bottom"/>
            <w:tcBorders>
              <w:left w:val="single" w:sz="8" w:color="auto"/>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Fees to Be</w:t>
            </w:r>
          </w:p>
        </w:tc>
        <w:tc>
          <w:tcPr>
            <w:tcW w:w="6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w:t>
            </w: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780" w:type="dxa"/>
            <w:vAlign w:val="bottom"/>
            <w:tcBorders>
              <w:left w:val="single" w:sz="8" w:color="auto"/>
              <w:right w:val="single" w:sz="8" w:color="auto"/>
            </w:tcBorders>
            <w:vMerge w:val="continue"/>
          </w:tcPr>
          <w:p>
            <w:pPr>
              <w:spacing w:after="0"/>
              <w:rPr>
                <w:sz w:val="8"/>
                <w:szCs w:val="8"/>
                <w:color w:val="auto"/>
              </w:rPr>
            </w:pPr>
          </w:p>
        </w:tc>
        <w:tc>
          <w:tcPr>
            <w:tcW w:w="680" w:type="dxa"/>
            <w:vAlign w:val="bottom"/>
            <w:tcBorders>
              <w:right w:val="single" w:sz="8" w:color="auto"/>
            </w:tcBorders>
            <w:vMerge w:val="restart"/>
          </w:tcPr>
          <w:p>
            <w:pPr>
              <w:jc w:val="center"/>
              <w:ind w:left="1"/>
              <w:spacing w:after="0"/>
              <w:rPr>
                <w:sz w:val="20"/>
                <w:szCs w:val="20"/>
                <w:color w:val="auto"/>
              </w:rPr>
            </w:pPr>
            <w:r>
              <w:rPr>
                <w:rFonts w:ascii="Times New Roman" w:cs="Times New Roman" w:eastAsia="Times New Roman" w:hAnsi="Times New Roman"/>
                <w:sz w:val="18"/>
                <w:szCs w:val="18"/>
                <w:color w:val="auto"/>
                <w:w w:val="99"/>
              </w:rPr>
              <w:t>Equity</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nominal value</w:t>
            </w:r>
          </w:p>
        </w:tc>
        <w:tc>
          <w:tcPr>
            <w:tcW w:w="100" w:type="dxa"/>
            <w:vAlign w:val="bottom"/>
          </w:tcPr>
          <w:p>
            <w:pPr>
              <w:spacing w:after="0"/>
              <w:rPr>
                <w:sz w:val="8"/>
                <w:szCs w:val="8"/>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457(c)</w:t>
            </w:r>
          </w:p>
        </w:tc>
        <w:tc>
          <w:tcPr>
            <w:tcW w:w="1000" w:type="dxa"/>
            <w:vAlign w:val="bottom"/>
            <w:tcBorders>
              <w:right w:val="single" w:sz="8" w:color="auto"/>
            </w:tcBorders>
            <w:vMerge w:val="restart"/>
          </w:tcPr>
          <w:p>
            <w:pPr>
              <w:jc w:val="center"/>
              <w:ind w:left="1"/>
              <w:spacing w:after="0"/>
              <w:rPr>
                <w:sz w:val="20"/>
                <w:szCs w:val="20"/>
                <w:color w:val="auto"/>
              </w:rPr>
            </w:pPr>
            <w:r>
              <w:rPr>
                <w:rFonts w:ascii="Times New Roman" w:cs="Times New Roman" w:eastAsia="Times New Roman" w:hAnsi="Times New Roman"/>
                <w:sz w:val="18"/>
                <w:szCs w:val="18"/>
                <w:color w:val="auto"/>
                <w:w w:val="98"/>
              </w:rPr>
              <w:t>26,638,972</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$0.6990</w:t>
            </w:r>
          </w:p>
        </w:tc>
        <w:tc>
          <w:tcPr>
            <w:tcW w:w="1400" w:type="dxa"/>
            <w:vAlign w:val="bottom"/>
            <w:tcBorders>
              <w:right w:val="single" w:sz="8" w:color="auto"/>
            </w:tcBorders>
            <w:vMerge w:val="restart"/>
          </w:tcPr>
          <w:p>
            <w:pPr>
              <w:jc w:val="center"/>
              <w:ind w:left="4"/>
              <w:spacing w:after="0"/>
              <w:rPr>
                <w:sz w:val="20"/>
                <w:szCs w:val="20"/>
                <w:color w:val="auto"/>
              </w:rPr>
            </w:pPr>
            <w:r>
              <w:rPr>
                <w:rFonts w:ascii="Times New Roman" w:cs="Times New Roman" w:eastAsia="Times New Roman" w:hAnsi="Times New Roman"/>
                <w:sz w:val="18"/>
                <w:szCs w:val="18"/>
                <w:color w:val="auto"/>
                <w:w w:val="99"/>
              </w:rPr>
              <w:t>$18,620,641.43</w:t>
            </w:r>
          </w:p>
        </w:tc>
        <w:tc>
          <w:tcPr>
            <w:tcW w:w="1000" w:type="dxa"/>
            <w:vAlign w:val="bottom"/>
            <w:tcBorders>
              <w:right w:val="single" w:sz="8" w:color="auto"/>
            </w:tcBorders>
            <w:vMerge w:val="restart"/>
          </w:tcPr>
          <w:p>
            <w:pPr>
              <w:jc w:val="center"/>
              <w:ind w:left="1"/>
              <w:spacing w:after="0"/>
              <w:rPr>
                <w:sz w:val="20"/>
                <w:szCs w:val="20"/>
                <w:color w:val="auto"/>
              </w:rPr>
            </w:pPr>
            <w:r>
              <w:rPr>
                <w:rFonts w:ascii="Times New Roman" w:cs="Times New Roman" w:eastAsia="Times New Roman" w:hAnsi="Times New Roman"/>
                <w:sz w:val="18"/>
                <w:szCs w:val="18"/>
                <w:color w:val="auto"/>
                <w:w w:val="99"/>
              </w:rPr>
              <w:t>.00015310</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$2,850.82</w:t>
            </w:r>
          </w:p>
        </w:tc>
        <w:tc>
          <w:tcPr>
            <w:tcW w:w="0" w:type="dxa"/>
            <w:vAlign w:val="bottom"/>
          </w:tcPr>
          <w:p>
            <w:pPr>
              <w:spacing w:after="0"/>
              <w:rPr>
                <w:sz w:val="1"/>
                <w:szCs w:val="1"/>
                <w:color w:val="auto"/>
              </w:rPr>
            </w:pPr>
          </w:p>
        </w:tc>
      </w:tr>
      <w:tr>
        <w:trPr>
          <w:trHeight w:val="122"/>
        </w:trPr>
        <w:tc>
          <w:tcPr>
            <w:tcW w:w="2780" w:type="dxa"/>
            <w:vAlign w:val="bottom"/>
            <w:tcBorders>
              <w:left w:val="single" w:sz="8" w:color="auto"/>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68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80" w:type="dxa"/>
            <w:vAlign w:val="bottom"/>
            <w:tcBorders>
              <w:left w:val="single" w:sz="8" w:color="auto"/>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£0.003 per share (1)</w:t>
            </w:r>
          </w:p>
        </w:tc>
        <w:tc>
          <w:tcPr>
            <w:tcW w:w="10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780" w:type="dxa"/>
            <w:vAlign w:val="bottom"/>
            <w:tcBorders>
              <w:left w:val="single" w:sz="8" w:color="auto"/>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7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6"/>
              </w:rPr>
              <w:t>Fees</w:t>
            </w:r>
          </w:p>
        </w:tc>
        <w:tc>
          <w:tcPr>
            <w:tcW w:w="6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Previously</w:t>
            </w:r>
          </w:p>
        </w:tc>
        <w:tc>
          <w:tcPr>
            <w:tcW w:w="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auto"/>
            </w:tcBorders>
          </w:tcPr>
          <w:p>
            <w:pPr>
              <w:jc w:val="right"/>
              <w:ind w:right="258"/>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7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6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780" w:type="dxa"/>
            <w:vAlign w:val="bottom"/>
            <w:tcBorders>
              <w:left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Carry Forward Securities</w:t>
            </w: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Carry</w:t>
            </w:r>
          </w:p>
        </w:tc>
        <w:tc>
          <w:tcPr>
            <w:tcW w:w="6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Forward</w:t>
            </w:r>
          </w:p>
        </w:tc>
        <w:tc>
          <w:tcPr>
            <w:tcW w:w="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right"/>
              <w:ind w:right="258"/>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7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Securities</w:t>
            </w:r>
          </w:p>
        </w:tc>
        <w:tc>
          <w:tcPr>
            <w:tcW w:w="6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78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9"/>
              </w:rPr>
              <w:t>Total Offering Amounts </w:t>
            </w: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$0.6990</w:t>
            </w:r>
          </w:p>
        </w:tc>
        <w:tc>
          <w:tcPr>
            <w:tcW w:w="14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$18,620,641.43</w:t>
            </w:r>
          </w:p>
        </w:tc>
        <w:tc>
          <w:tcPr>
            <w:tcW w:w="10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w w:val="99"/>
              </w:rPr>
              <w:t>.00015310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$2,850.82</w:t>
            </w:r>
          </w:p>
        </w:tc>
        <w:tc>
          <w:tcPr>
            <w:tcW w:w="0" w:type="dxa"/>
            <w:vAlign w:val="bottom"/>
          </w:tcPr>
          <w:p>
            <w:pPr>
              <w:spacing w:after="0"/>
              <w:rPr>
                <w:sz w:val="1"/>
                <w:szCs w:val="1"/>
                <w:color w:val="auto"/>
              </w:rPr>
            </w:pPr>
          </w:p>
        </w:tc>
      </w:tr>
      <w:tr>
        <w:trPr>
          <w:trHeight w:val="237"/>
        </w:trPr>
        <w:tc>
          <w:tcPr>
            <w:tcW w:w="278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Total Fees Previously Paid </w:t>
            </w:r>
          </w:p>
        </w:tc>
        <w:tc>
          <w:tcPr>
            <w:tcW w:w="10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58"/>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6"/>
        </w:trPr>
        <w:tc>
          <w:tcPr>
            <w:tcW w:w="278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Fee Offsets </w:t>
            </w: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58"/>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278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Fees Due </w:t>
            </w: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$2,850.82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40" w:hanging="424"/>
        <w:spacing w:after="0" w:line="257" w:lineRule="auto"/>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registered hereby will be represented by the registrant’s American Depositary Shares (“ADSs”), with each ADS representing five (5) of our ordinary shares. ADSs issuable upon deposit of the ordinary shares registered hereby will have been registered under separate registration statements on Form F-6 (File No. 333-223890, File No. 333-249338 and File No. 333-258824).</w:t>
      </w:r>
    </w:p>
    <w:p>
      <w:pPr>
        <w:spacing w:after="0" w:line="1"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our ordinary shares issued to the selling shareholders or issuable to the selling shareholders upon the exercise of warrants or conversion of convertible loan notes. Pursuant to Rule 416 under the Securities Act of 1933, as amended (the “Securities Act”), the ordinary shares being registered hereunder include such indeterminate number of shares of common stock as may be issuable with respect to the shares of common stock being registered hereunder as a result of stock splits, stock dividends or similar transactions.</w:t>
      </w:r>
    </w:p>
    <w:p>
      <w:pPr>
        <w:spacing w:after="0" w:line="1" w:lineRule="exact"/>
        <w:rPr>
          <w:rFonts w:ascii="Times New Roman" w:cs="Times New Roman" w:eastAsia="Times New Roman" w:hAnsi="Times New Roman"/>
          <w:sz w:val="18"/>
          <w:szCs w:val="18"/>
          <w:color w:val="auto"/>
        </w:rPr>
      </w:pPr>
    </w:p>
    <w:p>
      <w:pPr>
        <w:ind w:left="424" w:right="100" w:hanging="424"/>
        <w:spacing w:after="0" w:line="253" w:lineRule="auto"/>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of the Securities Act. The proposed maximum offering price per share and maximum aggregate offering price are calculated using the average of the high and low prices of the ADSs as reported on the Nasdaq Global Market on November 20, 2024, which date is within five (5) business days prior to the filing of this registration statement, divided by five (5).</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lvl w:ilvl="1">
      <w:lvlJc w:val="left"/>
      <w:lvlText w:val="(%2)"/>
      <w:numFmt w:val="decimal"/>
      <w:start w:val="2"/>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lowerRoman"/>
      <w:start w:val="3"/>
    </w:lvl>
  </w:abstractNum>
  <w:abstractNum w:abstractNumId="20">
    <w:nsid w:val="5577F8E1"/>
    <w:multiLevelType w:val="hybridMultilevel"/>
    <w:lvl w:ilvl="0">
      <w:lvlJc w:val="left"/>
      <w:lvlText w:val="(%1)"/>
      <w:numFmt w:val="lowerRoman"/>
      <w:start w:val="3"/>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107"/>
    </w:lvl>
  </w:abstractNum>
  <w:abstractNum w:abstractNumId="25">
    <w:nsid w:val="7724C67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6">
    <w:nsid w:val="5C482A97"/>
    <w:multiLevelType w:val="hybridMultilevel"/>
    <w:lvl w:ilvl="0">
      <w:lvlJc w:val="left"/>
      <w:lvlText w:val="(%1)"/>
      <w:numFmt w:val="upperLetter"/>
      <w:start w:val="1"/>
    </w:lvl>
  </w:abstractNum>
  <w:abstractNum w:abstractNumId="27">
    <w:nsid w:val="2463B9EA"/>
    <w:multiLevelType w:val="hybridMultilevel"/>
    <w:lvl w:ilvl="0">
      <w:lvlJc w:val="left"/>
      <w:lvlText w:val="(%1)"/>
      <w:numFmt w:val="lowerLetter"/>
      <w:start w:val="2"/>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3"/>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5"/>
    </w:lvl>
    <w:lvl w:ilvl="1">
      <w:lvlJc w:val="left"/>
      <w:lvlText w:val="%2"/>
      <w:numFmt w:val="decimal"/>
      <w:start w:val="26"/>
    </w:lvl>
  </w:abstractNum>
  <w:abstractNum w:abstractNumId="33">
    <w:nsid w:val="3855585C"/>
    <w:multiLevelType w:val="hybridMultilevel"/>
    <w:lvl w:ilvl="0">
      <w:lvlJc w:val="left"/>
      <w:lvlText w:val="%1"/>
      <w:numFmt w:val="lowerLetter"/>
      <w:start w:val="1"/>
    </w:lvl>
    <w:lvl w:ilvl="1">
      <w:lvlJc w:val="left"/>
      <w:lvlText w:val="%2"/>
      <w:numFmt w:val="decimal"/>
      <w:start w:val="12"/>
    </w:lvl>
  </w:abstractNum>
  <w:abstractNum w:abstractNumId="34">
    <w:nsid w:val="70A64E2A"/>
    <w:multiLevelType w:val="hybridMultilevel"/>
    <w:lvl w:ilvl="0">
      <w:lvlJc w:val="left"/>
      <w:lvlText w:val="(%1)"/>
      <w:numFmt w:val="lowerLetter"/>
      <w:start w:val="9"/>
    </w:lvl>
    <w:lvl w:ilvl="1">
      <w:lvlJc w:val="left"/>
      <w:lvlText w:val="%2"/>
      <w:numFmt w:val="decimal"/>
      <w:start w:val="19"/>
    </w:lvl>
  </w:abstractNum>
  <w:abstractNum w:abstractNumId="35">
    <w:nsid w:val="6A2342EC"/>
    <w:multiLevelType w:val="hybridMultilevel"/>
    <w:lvl w:ilvl="0">
      <w:lvlJc w:val="left"/>
      <w:lvlText w:val="(%1)"/>
      <w:numFmt w:val="lowerLetter"/>
      <w:start w:val="14"/>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8">
    <w:nsid w:val="725A06FB"/>
    <w:multiLevelType w:val="hybridMultilevel"/>
    <w:lvl w:ilvl="0">
      <w:lvlJc w:val="left"/>
      <w:lvlText w:val="(%1)"/>
      <w:numFmt w:val="lowerRoman"/>
      <w:start w:val="4"/>
    </w:lvl>
  </w:abstractNum>
  <w:abstractNum w:abstractNumId="39">
    <w:nsid w:val="2CD89A32"/>
    <w:multiLevelType w:val="hybridMultilevel"/>
    <w:lvl w:ilvl="0">
      <w:lvlJc w:val="left"/>
      <w:lvlText w:val="%1."/>
      <w:numFmt w:val="decimal"/>
      <w:start w:val="3"/>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lowerLetter"/>
      <w:start w:val="13"/>
    </w:lvl>
  </w:abstractNum>
  <w:abstractNum w:abstractNumId="42">
    <w:nsid w:val="4B588F54"/>
    <w:multiLevelType w:val="hybridMultilevel"/>
    <w:lvl w:ilvl="0">
      <w:lvlJc w:val="left"/>
      <w:lvlText w:val="(%1)"/>
      <w:numFmt w:val="lowerLetter"/>
      <w:start w:val="19"/>
    </w:lvl>
  </w:abstractNum>
  <w:abstractNum w:abstractNumId="43">
    <w:nsid w:val="542289EC"/>
    <w:multiLevelType w:val="hybridMultilevel"/>
    <w:lvl w:ilvl="0">
      <w:lvlJc w:val="left"/>
      <w:lvlText w:val="(%1)"/>
      <w:numFmt w:val="lowerLetter"/>
      <w:start w:val="27"/>
    </w:lvl>
  </w:abstractNum>
  <w:abstractNum w:abstractNumId="44">
    <w:nsid w:val="6DE91B18"/>
    <w:multiLevelType w:val="hybridMultilevel"/>
    <w:lvl w:ilvl="0">
      <w:lvlJc w:val="left"/>
      <w:lvlText w:val="(%1)"/>
      <w:numFmt w:val="lowerLetter"/>
      <w:start w:val="28"/>
    </w:lvl>
    <w:lvl w:ilvl="1">
      <w:lvlJc w:val="left"/>
      <w:lvlText w:val="(%2)"/>
      <w:numFmt w:val="lowerRoman"/>
      <w:start w:val="1"/>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lowerLetter"/>
      <w:start w:val="1"/>
    </w:lvl>
    <w:lvl w:ilvl="1">
      <w:lvlJc w:val="left"/>
      <w:lvlText w:val="(%2)"/>
      <w:numFmt w:val="lowerRoman"/>
      <w:start w:val="1"/>
    </w:lvl>
  </w:abstractNum>
  <w:abstractNum w:abstractNumId="47">
    <w:nsid w:val="32FFF902"/>
    <w:multiLevelType w:val="hybridMultilevel"/>
    <w:lvl w:ilvl="0">
      <w:lvlJc w:val="left"/>
      <w:lvlText w:val="(%1)"/>
      <w:numFmt w:val="lowerLetter"/>
      <w:start w:val="3"/>
    </w:lvl>
    <w:lvl w:ilvl="1">
      <w:lvlJc w:val="left"/>
      <w:lvlText w:val="%2"/>
      <w:numFmt w:val="lowerRoman"/>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jpeg"/><Relationship Id="rId111" Type="http://schemas.openxmlformats.org/officeDocument/2006/relationships/image" Target="media/image91.png"/><Relationship Id="rId112" Type="http://schemas.openxmlformats.org/officeDocument/2006/relationships/image" Target="media/image92.jpeg"/><Relationship Id="rId113" Type="http://schemas.openxmlformats.org/officeDocument/2006/relationships/image" Target="media/image93.png"/><Relationship Id="rId114" Type="http://schemas.openxmlformats.org/officeDocument/2006/relationships/image" Target="media/image94.jpeg"/><Relationship Id="rId115" Type="http://schemas.openxmlformats.org/officeDocument/2006/relationships/image" Target="media/image95.png"/><Relationship Id="rId116" Type="http://schemas.openxmlformats.org/officeDocument/2006/relationships/image" Target="media/image96.jpeg"/><Relationship Id="rId117" Type="http://schemas.openxmlformats.org/officeDocument/2006/relationships/image" Target="media/image97.png"/><Relationship Id="rId118" Type="http://schemas.openxmlformats.org/officeDocument/2006/relationships/image" Target="media/image98.jpe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86" Type="http://schemas.openxmlformats.org/officeDocument/2006/relationships/hyperlink" Target="http://www.sec.gov/ix?doc=/Archives/edgar/data/0001719714/000095017024037348/mreo-20231231.htm" TargetMode="External"/><Relationship Id="rId87" Type="http://schemas.openxmlformats.org/officeDocument/2006/relationships/hyperlink" Target="http://www.sec.gov/ix?doc=/Archives/edgar/data/1719714/000095017024060497/mreo-20240331.htm" TargetMode="External"/><Relationship Id="rId88" Type="http://schemas.openxmlformats.org/officeDocument/2006/relationships/hyperlink" Target="http://www.sec.gov/Archives/edgar/data/1719714/000095017024095777/mreo-20240630.htm" TargetMode="External"/><Relationship Id="rId89" Type="http://schemas.openxmlformats.org/officeDocument/2006/relationships/hyperlink" Target="http://www.sec.gov/Archives/edgar/data/1719714/000095017024124637/mreo-20240930.htm" TargetMode="External"/><Relationship Id="rId90" Type="http://schemas.openxmlformats.org/officeDocument/2006/relationships/hyperlink" Target="http://www.sec.gov/Archives/edgar/data/1719714/000119312524095508/d818381d8k.htm" TargetMode="External"/><Relationship Id="rId91" Type="http://schemas.openxmlformats.org/officeDocument/2006/relationships/hyperlink" Target="http://www.sec.gov/Archives/edgar/data/1719714/000119312524145983/d840193d8k.htm" TargetMode="External"/><Relationship Id="rId92" Type="http://schemas.openxmlformats.org/officeDocument/2006/relationships/hyperlink" Target="http://www.sec.gov/Archives/edgar/data/1719714/000119312524159393/d849907d8k.htm" TargetMode="External"/><Relationship Id="rId93" Type="http://schemas.openxmlformats.org/officeDocument/2006/relationships/hyperlink" Target="http://www.sec.gov/Archives/edgar/data/1719714/000119312524161662/d828399d8k.htm" TargetMode="External"/><Relationship Id="rId94" Type="http://schemas.openxmlformats.org/officeDocument/2006/relationships/hyperlink" Target="http://www.sec.gov/Archives/edgar/data/1719714/000095017024124598/mreo-20241108.htm" TargetMode="External"/><Relationship Id="rId95" Type="http://schemas.openxmlformats.org/officeDocument/2006/relationships/hyperlink" Target="http://www.sec.gov/Archives/edgar/data/1719714/000119312523297640/d671792d8a12ba.htm" TargetMode="External"/><Relationship Id="rId96" Type="http://schemas.openxmlformats.org/officeDocument/2006/relationships/hyperlink" Target="http://www.sec.gov/Archives/edgar/data/1719714/000095017024037348/mreo-ex4_2.htm" TargetMode="External"/><Relationship Id="rId100" Type="http://schemas.openxmlformats.org/officeDocument/2006/relationships/hyperlink" Target="http://www.sec.gov/Archives/edgar/data/1719714/000119312523297624/d677335dex31.htm" TargetMode="External"/><Relationship Id="rId101" Type="http://schemas.openxmlformats.org/officeDocument/2006/relationships/hyperlink" Target="http://www.sec.gov/Archives/edgar/data/1719714/000119312519016112/d68087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2024-11-25T15:35:30Z</dcterms:created>
  <dcterms:modified xsi:type="dcterms:W3CDTF">2024-11-25T15:35:30Z</dcterms:modified>
</cp:coreProperties>
</file>