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Fox Christine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MEREO BIOPHARMA GROUP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4TH FLOOR, ONE CAVENDISH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W1G 0QF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Mereo BioPharma Group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MREO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6"/>
        <w:gridCol w:w="904"/>
        <w:gridCol w:w="774"/>
        <w:gridCol w:w="600"/>
        <w:gridCol w:w="346"/>
        <w:gridCol w:w="968"/>
        <w:gridCol w:w="447"/>
        <w:gridCol w:w="610"/>
        <w:gridCol w:w="1151"/>
        <w:gridCol w:w="989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 representing 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117,571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104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Based 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09/11/2024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01/25/2025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Depository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five ordinary shares, nominal value GBP 0.003 per ordinary share,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performance-based restricted stock unit earned under the issuer's 2019 Employee Incentive Plan (the "Plan"), that vested on September 11, 2024 based on satisfaction of ADS price threshold values over a two year performance period.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Christine Fox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5755" TargetMode="External"/><Relationship Id="rId5" Type="http://schemas.openxmlformats.org/officeDocument/2006/relationships/hyperlink" Target="http://www.sec.gov/cgi-bin/browse-edgar?action=getcompany&amp;CIK=00017197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645</Words>
  <Characters>3547</Characters>
  <CharactersWithSpaces>4123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