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Mereo Biopharma Group plc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American Depositary Shares, each representing five Ordinary shares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589492107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219075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20" w:hanging="201"/>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20" w:hanging="201"/>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20" w:hanging="201"/>
        <w:spacing w:after="0"/>
        <w:tabs>
          <w:tab w:leader="none" w:pos="12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220" w:hanging="445"/>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ind w:left="10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2 of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Boxer Capital, LLC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140" w:type="dxa"/>
            <w:vAlign w:val="bottom"/>
          </w:tcPr>
          <w:p>
            <w:pPr>
              <w:spacing w:after="0"/>
              <w:rPr>
                <w:sz w:val="19"/>
                <w:szCs w:val="19"/>
                <w:color w:val="auto"/>
              </w:rPr>
            </w:pP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10,309,250*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18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c>
          <w:tcPr>
            <w:tcW w:w="140" w:type="dxa"/>
            <w:vAlign w:val="bottom"/>
            <w:tcBorders>
              <w:right w:val="single" w:sz="8" w:color="auto"/>
            </w:tcBorders>
          </w:tcPr>
          <w:p>
            <w:pPr>
              <w:spacing w:after="0"/>
              <w:rPr>
                <w:sz w:val="15"/>
                <w:szCs w:val="15"/>
                <w:color w:val="auto"/>
              </w:rPr>
            </w:pPr>
          </w:p>
        </w:tc>
        <w:tc>
          <w:tcPr>
            <w:tcW w:w="940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tcBorders>
              <w:right w:val="single" w:sz="8" w:color="auto"/>
            </w:tcBorders>
          </w:tcPr>
          <w:p>
            <w:pPr>
              <w:spacing w:after="0"/>
              <w:rPr>
                <w:sz w:val="12"/>
                <w:szCs w:val="12"/>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10,309,250*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0"/>
              </w:rPr>
              <w:t>10,309,250*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American Depositary Shares (“ADS”), each of which represents five Ordinary Shares. This number includes 20,412,883 Ordinary</w:t>
      </w:r>
    </w:p>
    <w:p>
      <w:pPr>
        <w:spacing w:after="0" w:line="35" w:lineRule="exact"/>
        <w:rPr>
          <w:sz w:val="20"/>
          <w:szCs w:val="20"/>
          <w:color w:val="auto"/>
        </w:rPr>
      </w:pPr>
    </w:p>
    <w:p>
      <w:pPr>
        <w:ind w:left="460" w:right="200"/>
        <w:spacing w:after="0" w:line="281" w:lineRule="auto"/>
        <w:rPr>
          <w:sz w:val="20"/>
          <w:szCs w:val="20"/>
          <w:color w:val="auto"/>
        </w:rPr>
      </w:pPr>
      <w:r>
        <w:rPr>
          <w:rFonts w:ascii="Arial" w:cs="Arial" w:eastAsia="Arial" w:hAnsi="Arial"/>
          <w:sz w:val="16"/>
          <w:szCs w:val="16"/>
          <w:color w:val="auto"/>
        </w:rPr>
        <w:t>Shares, the equivalent of 4,082,577 ADS, that Boxer Capital has the right to acquire pursuant to a warrant to purchase Ordinary Shares (the “Boxer Warrant”) issued in connection with the private placement as described in the Issuer’s press release on June 4, 2020 (the “Private Placement”).</w:t>
      </w:r>
    </w:p>
    <w:p>
      <w:pPr>
        <w:spacing w:after="0" w:line="1" w:lineRule="exact"/>
        <w:rPr>
          <w:sz w:val="20"/>
          <w:szCs w:val="20"/>
          <w:color w:val="auto"/>
        </w:rPr>
      </w:pPr>
    </w:p>
    <w:p>
      <w:pPr>
        <w:ind w:left="460" w:right="220" w:hanging="452"/>
        <w:spacing w:after="0" w:line="295"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112,694,417 ADS outstanding, which is the sum of (i) 108,142,781 ADS outstanding, as set forth in the Issuer’s prospectus supplement filed with the SEC on February 10, 2021, which includes the underwriters’ full exercise of their option to purchase additional ADS, (ii) 20,412,883 Ordinary Shares, the equivalent of 4,082,577 ADS, that Boxer Capital has the right to acquire pursuant to the Boxer Warrant and (iii) 2,345,297 Ordinary Shares, the equivalent of 469,059 ADS, that MVA Investors has the right to acquire pursuant to the MVA Warrant.</w:t>
      </w:r>
    </w:p>
    <w:p>
      <w:pPr>
        <w:sectPr>
          <w:pgSz w:w="11900" w:h="16838" w:orient="portrait"/>
          <w:cols w:equalWidth="0" w:num="1">
            <w:col w:w="11260"/>
          </w:cols>
          <w:pgMar w:left="320" w:top="274" w:right="319" w:bottom="1440" w:gutter="0" w:footer="0" w:header="0"/>
        </w:sectPr>
      </w:pPr>
    </w:p>
    <w:bookmarkStart w:id="2" w:name="page3"/>
    <w:bookmarkEnd w:id="2"/>
    <w:p>
      <w:pPr>
        <w:ind w:left="10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3 of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Boxer Asset Management Inc.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140" w:type="dxa"/>
            <w:vAlign w:val="bottom"/>
          </w:tcPr>
          <w:p>
            <w:pPr>
              <w:spacing w:after="0"/>
              <w:rPr>
                <w:sz w:val="19"/>
                <w:szCs w:val="19"/>
                <w:color w:val="auto"/>
              </w:rPr>
            </w:pP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Bahamas</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10,309,250*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18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c>
          <w:tcPr>
            <w:tcW w:w="140" w:type="dxa"/>
            <w:vAlign w:val="bottom"/>
            <w:tcBorders>
              <w:right w:val="single" w:sz="8" w:color="auto"/>
            </w:tcBorders>
          </w:tcPr>
          <w:p>
            <w:pPr>
              <w:spacing w:after="0"/>
              <w:rPr>
                <w:sz w:val="15"/>
                <w:szCs w:val="15"/>
                <w:color w:val="auto"/>
              </w:rPr>
            </w:pPr>
          </w:p>
        </w:tc>
        <w:tc>
          <w:tcPr>
            <w:tcW w:w="940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tcBorders>
              <w:right w:val="single" w:sz="8" w:color="auto"/>
            </w:tcBorders>
          </w:tcPr>
          <w:p>
            <w:pPr>
              <w:spacing w:after="0"/>
              <w:rPr>
                <w:sz w:val="12"/>
                <w:szCs w:val="12"/>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10,309,250*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0"/>
              </w:rPr>
              <w:t>10,309,250*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Consists of ADS, each of which represents five Ordinary Shares. This number includes 20,412,883 Ordinary Shares, the equivalent of 4,082,577</w:t>
      </w:r>
    </w:p>
    <w:p>
      <w:pPr>
        <w:spacing w:after="0" w:line="248" w:lineRule="exact"/>
        <w:rPr>
          <w:sz w:val="20"/>
          <w:szCs w:val="20"/>
          <w:color w:val="auto"/>
        </w:rPr>
      </w:pPr>
    </w:p>
    <w:p>
      <w:pPr>
        <w:ind w:left="460" w:right="220" w:hanging="452"/>
        <w:spacing w:after="0" w:line="30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112,694,417 ADS outstanding, which is the sum of (i) 108,142,781 ADS outstanding, as set forth in the Issuer’s prospectus supplement filed with the SEC on February 10, 2021, which includes the underwriters’ full exercise of their option to purchase additional ADS, (ii) 20,412,883 Ordinary Shares, the equivalent of 4,082,577 ADS, that Boxer Capital has the right to acquire pursuant to the Boxer Warrant and (iii) 2,345,297 Ordinary Shares, the equivalent of 469,059 ADS, that MVA Investors has the right to acquire pursuant to the MVA Warrant.</w:t>
      </w:r>
    </w:p>
    <w:p>
      <w:pPr>
        <w:sectPr>
          <w:pgSz w:w="11900" w:h="16838" w:orient="portrait"/>
          <w:cols w:equalWidth="0" w:num="1">
            <w:col w:w="11260"/>
          </w:cols>
          <w:pgMar w:left="320" w:top="274" w:right="319" w:bottom="1440" w:gutter="0" w:footer="0" w:header="0"/>
        </w:sectPr>
      </w:pPr>
    </w:p>
    <w:bookmarkStart w:id="3" w:name="page4"/>
    <w:bookmarkEnd w:id="3"/>
    <w:p>
      <w:pPr>
        <w:ind w:left="10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4 of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MVA Investors, LLC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140" w:type="dxa"/>
            <w:vAlign w:val="bottom"/>
          </w:tcPr>
          <w:p>
            <w:pPr>
              <w:spacing w:after="0"/>
              <w:rPr>
                <w:sz w:val="19"/>
                <w:szCs w:val="19"/>
                <w:color w:val="auto"/>
              </w:rPr>
            </w:pP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Delaware</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948,922*</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18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c>
          <w:tcPr>
            <w:tcW w:w="140" w:type="dxa"/>
            <w:vAlign w:val="bottom"/>
            <w:tcBorders>
              <w:right w:val="single" w:sz="8" w:color="auto"/>
            </w:tcBorders>
          </w:tcPr>
          <w:p>
            <w:pPr>
              <w:spacing w:after="0"/>
              <w:rPr>
                <w:sz w:val="15"/>
                <w:szCs w:val="15"/>
                <w:color w:val="auto"/>
              </w:rPr>
            </w:pPr>
          </w:p>
        </w:tc>
        <w:tc>
          <w:tcPr>
            <w:tcW w:w="940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tcBorders>
              <w:right w:val="single" w:sz="8" w:color="auto"/>
            </w:tcBorders>
          </w:tcPr>
          <w:p>
            <w:pPr>
              <w:spacing w:after="0"/>
              <w:rPr>
                <w:sz w:val="12"/>
                <w:szCs w:val="12"/>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948,922*</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948,922*</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ADS, each of which represents five Ordinary Shares. This number includes 2,345,297 Ordinary Shares, the equivalent of 469,059 ADS,</w:t>
      </w:r>
    </w:p>
    <w:p>
      <w:pPr>
        <w:spacing w:after="0" w:line="46" w:lineRule="exact"/>
        <w:rPr>
          <w:sz w:val="20"/>
          <w:szCs w:val="20"/>
          <w:color w:val="auto"/>
        </w:rPr>
      </w:pPr>
    </w:p>
    <w:p>
      <w:pPr>
        <w:ind w:left="460" w:right="280"/>
        <w:spacing w:after="0" w:line="250" w:lineRule="auto"/>
        <w:rPr>
          <w:sz w:val="20"/>
          <w:szCs w:val="20"/>
          <w:color w:val="auto"/>
        </w:rPr>
      </w:pPr>
      <w:r>
        <w:rPr>
          <w:rFonts w:ascii="Arial" w:cs="Arial" w:eastAsia="Arial" w:hAnsi="Arial"/>
          <w:sz w:val="18"/>
          <w:szCs w:val="18"/>
          <w:color w:val="auto"/>
        </w:rPr>
        <w:t>that MVA Investors has the right to acquire pursuant to a warrant to purchase Ordinary Shares (the “MVA Warrant”) issued in connection with the Private Placement.</w:t>
      </w:r>
    </w:p>
    <w:p>
      <w:pPr>
        <w:spacing w:after="0" w:line="1" w:lineRule="exact"/>
        <w:rPr>
          <w:sz w:val="20"/>
          <w:szCs w:val="20"/>
          <w:color w:val="auto"/>
        </w:rPr>
      </w:pPr>
    </w:p>
    <w:p>
      <w:pPr>
        <w:ind w:left="460" w:right="220" w:hanging="452"/>
        <w:spacing w:after="0" w:line="2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112,694,417 ADS outstanding, which is the sum of (i) 108,142,781 ADS outstanding, as set forth in the Issuer’s prospectus supplement filed with the SEC on February 10, 2021, which includes the underwriters’ full exercise of their option to purchase additional ADS, (ii) 20,412,883 Ordinary Shares, the equivalent of 4,082,577 ADS, that Boxer Capital has the right to acquire pursuant to the Boxer Warrant and (iii) 2,345,297 Ordinary Shares, the equivalent of 469,059 ADS, that MVA Investors has the right to acquire pursuant to the MVA Warrant.</w:t>
      </w:r>
    </w:p>
    <w:p>
      <w:pPr>
        <w:sectPr>
          <w:pgSz w:w="11900" w:h="16838" w:orient="portrait"/>
          <w:cols w:equalWidth="0" w:num="1">
            <w:col w:w="11260"/>
          </w:cols>
          <w:pgMar w:left="320" w:top="274" w:right="319" w:bottom="1440" w:gutter="0" w:footer="0" w:header="0"/>
        </w:sectPr>
      </w:pPr>
    </w:p>
    <w:bookmarkStart w:id="4" w:name="page5"/>
    <w:bookmarkEnd w:id="4"/>
    <w:p>
      <w:pPr>
        <w:ind w:left="10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5 of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5"/>
              </w:rPr>
              <w:t>Aaron I. Davis</w:t>
            </w: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140" w:type="dxa"/>
            <w:vAlign w:val="bottom"/>
          </w:tcPr>
          <w:p>
            <w:pPr>
              <w:spacing w:after="0"/>
              <w:rPr>
                <w:sz w:val="19"/>
                <w:szCs w:val="19"/>
                <w:color w:val="auto"/>
              </w:rPr>
            </w:pP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United States</w:t>
            </w: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948,922*</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18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c>
          <w:tcPr>
            <w:tcW w:w="140" w:type="dxa"/>
            <w:vAlign w:val="bottom"/>
            <w:tcBorders>
              <w:right w:val="single" w:sz="8" w:color="auto"/>
            </w:tcBorders>
          </w:tcPr>
          <w:p>
            <w:pPr>
              <w:spacing w:after="0"/>
              <w:rPr>
                <w:sz w:val="15"/>
                <w:szCs w:val="15"/>
                <w:color w:val="auto"/>
              </w:rPr>
            </w:pPr>
          </w:p>
        </w:tc>
        <w:tc>
          <w:tcPr>
            <w:tcW w:w="940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tcBorders>
              <w:right w:val="single" w:sz="8" w:color="auto"/>
            </w:tcBorders>
          </w:tcPr>
          <w:p>
            <w:pPr>
              <w:spacing w:after="0"/>
              <w:rPr>
                <w:sz w:val="12"/>
                <w:szCs w:val="12"/>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948,922*</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948,922*</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Consists of ADS, each of which represents five Ordinary Shares. This number includes 2,345,297 Ordinary Shares, the equivalent of 469,059 ADS,</w:t>
      </w:r>
    </w:p>
    <w:p>
      <w:pPr>
        <w:spacing w:after="0" w:line="46" w:lineRule="exact"/>
        <w:rPr>
          <w:sz w:val="20"/>
          <w:szCs w:val="20"/>
          <w:color w:val="auto"/>
        </w:rPr>
      </w:pPr>
    </w:p>
    <w:p>
      <w:pPr>
        <w:ind w:left="460" w:right="280"/>
        <w:spacing w:after="0" w:line="250" w:lineRule="auto"/>
        <w:rPr>
          <w:sz w:val="20"/>
          <w:szCs w:val="20"/>
          <w:color w:val="auto"/>
        </w:rPr>
      </w:pPr>
      <w:r>
        <w:rPr>
          <w:rFonts w:ascii="Arial" w:cs="Arial" w:eastAsia="Arial" w:hAnsi="Arial"/>
          <w:sz w:val="18"/>
          <w:szCs w:val="18"/>
          <w:color w:val="auto"/>
        </w:rPr>
        <w:t>that MVA Investors has the right to acquire pursuant to a warrant to purchase Ordinary Shares (the “MVA Warrant”) issued in connection with the Private Placement.</w:t>
      </w:r>
    </w:p>
    <w:p>
      <w:pPr>
        <w:spacing w:after="0" w:line="1" w:lineRule="exact"/>
        <w:rPr>
          <w:sz w:val="20"/>
          <w:szCs w:val="20"/>
          <w:color w:val="auto"/>
        </w:rPr>
      </w:pPr>
    </w:p>
    <w:p>
      <w:pPr>
        <w:ind w:left="460" w:right="220" w:hanging="452"/>
        <w:spacing w:after="0" w:line="29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112,694,417 ADS outstanding, which is the sum of (i) 108,142,781 ADS outstanding, as set forth in the Issuer’s prospectus supplement filed with the SEC on February 10, 2021, which includes the underwriters’ full exercise of their option to purchase additional ADS, (ii) 20,412,883 Ordinary Shares, the equivalent of 4,082,577 ADS, that Boxer Capital has the right to acquire pursuant to the Boxer Warrant and (iii) 2,345,297 Ordinary Shares, the equivalent of 469,059 ADS, that MVA Investors has the right to acquire pursuant to the MVA Warrant.</w:t>
      </w:r>
    </w:p>
    <w:p>
      <w:pPr>
        <w:sectPr>
          <w:pgSz w:w="11900" w:h="16838" w:orient="portrait"/>
          <w:cols w:equalWidth="0" w:num="1">
            <w:col w:w="11260"/>
          </w:cols>
          <w:pgMar w:left="320" w:top="274" w:right="319" w:bottom="1440" w:gutter="0" w:footer="0" w:header="0"/>
        </w:sectPr>
      </w:pPr>
    </w:p>
    <w:bookmarkStart w:id="5" w:name="page6"/>
    <w:bookmarkEnd w:id="5"/>
    <w:p>
      <w:pPr>
        <w:ind w:left="10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Page 6 of 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CUSIP No. 589492107</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80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4"/>
              </w:rPr>
              <w:t>Joe Lewis</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80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54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color w:val="auto"/>
                <w:w w:val="94"/>
              </w:rPr>
              <w:t>SEC use only.</w:t>
            </w:r>
          </w:p>
        </w:tc>
        <w:tc>
          <w:tcPr>
            <w:tcW w:w="140" w:type="dxa"/>
            <w:vAlign w:val="bottom"/>
          </w:tcPr>
          <w:p>
            <w:pPr>
              <w:spacing w:after="0"/>
              <w:rPr>
                <w:sz w:val="19"/>
                <w:szCs w:val="19"/>
                <w:color w:val="auto"/>
              </w:rPr>
            </w:pPr>
          </w:p>
        </w:tc>
        <w:tc>
          <w:tcPr>
            <w:tcW w:w="9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4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6"/>
              </w:rPr>
              <w:t>NUMBER OF</w:t>
            </w:r>
          </w:p>
        </w:tc>
        <w:tc>
          <w:tcPr>
            <w:tcW w:w="1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SHARES</w:t>
            </w:r>
          </w:p>
        </w:tc>
        <w:tc>
          <w:tcPr>
            <w:tcW w:w="140" w:type="dxa"/>
            <w:vAlign w:val="bottom"/>
            <w:tcBorders>
              <w:right w:val="single" w:sz="8" w:color="auto"/>
            </w:tcBorders>
          </w:tcPr>
          <w:p>
            <w:pPr>
              <w:spacing w:after="0"/>
              <w:rPr>
                <w:sz w:val="20"/>
                <w:szCs w:val="20"/>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Borders>
              <w:right w:val="single" w:sz="8" w:color="auto"/>
            </w:tcBorders>
          </w:tcPr>
          <w:p>
            <w:pPr>
              <w:spacing w:after="0"/>
              <w:rPr>
                <w:sz w:val="20"/>
                <w:szCs w:val="20"/>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gridSpan w:val="4"/>
          </w:tcPr>
          <w:p>
            <w:pPr>
              <w:jc w:val="center"/>
              <w:ind w:left="7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10,309,250*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7"/>
              </w:rPr>
              <w:t>OWNED BY</w:t>
            </w:r>
          </w:p>
        </w:tc>
        <w:tc>
          <w:tcPr>
            <w:tcW w:w="1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94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Borders>
              <w:right w:val="single" w:sz="8" w:color="auto"/>
            </w:tcBorders>
          </w:tcPr>
          <w:p>
            <w:pPr>
              <w:spacing w:after="0"/>
              <w:rPr>
                <w:sz w:val="15"/>
                <w:szCs w:val="15"/>
                <w:color w:val="auto"/>
              </w:rPr>
            </w:pPr>
          </w:p>
        </w:tc>
        <w:tc>
          <w:tcPr>
            <w:tcW w:w="180" w:type="dxa"/>
            <w:vAlign w:val="bottom"/>
          </w:tcPr>
          <w:p>
            <w:pPr>
              <w:jc w:val="center"/>
              <w:spacing w:after="0" w:line="182" w:lineRule="exact"/>
              <w:rPr>
                <w:sz w:val="20"/>
                <w:szCs w:val="20"/>
                <w:color w:val="auto"/>
              </w:rPr>
            </w:pPr>
            <w:r>
              <w:rPr>
                <w:rFonts w:ascii="Arial" w:cs="Arial" w:eastAsia="Arial" w:hAnsi="Arial"/>
                <w:sz w:val="18"/>
                <w:szCs w:val="18"/>
                <w:color w:val="auto"/>
                <w:w w:val="99"/>
              </w:rPr>
              <w:t>7</w:t>
            </w:r>
          </w:p>
        </w:tc>
        <w:tc>
          <w:tcPr>
            <w:tcW w:w="140" w:type="dxa"/>
            <w:vAlign w:val="bottom"/>
            <w:tcBorders>
              <w:right w:val="single" w:sz="8" w:color="auto"/>
            </w:tcBorders>
          </w:tcPr>
          <w:p>
            <w:pPr>
              <w:spacing w:after="0"/>
              <w:rPr>
                <w:sz w:val="15"/>
                <w:szCs w:val="15"/>
                <w:color w:val="auto"/>
              </w:rPr>
            </w:pPr>
          </w:p>
        </w:tc>
        <w:tc>
          <w:tcPr>
            <w:tcW w:w="940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PERSON</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4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9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tcBorders>
              <w:right w:val="single" w:sz="8" w:color="auto"/>
            </w:tcBorders>
          </w:tcPr>
          <w:p>
            <w:pPr>
              <w:spacing w:after="0"/>
              <w:rPr>
                <w:sz w:val="12"/>
                <w:szCs w:val="12"/>
                <w:color w:val="auto"/>
              </w:rPr>
            </w:pPr>
          </w:p>
        </w:tc>
        <w:tc>
          <w:tcPr>
            <w:tcW w:w="940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9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10,309,250*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4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0"/>
              </w:rPr>
              <w:t>10,309,250*</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8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Comprised of ADS, each of which represents five Ordinary Shares. This number includes 20,412,883 Ordinary Shares, the equivalent of 4,082,577</w:t>
      </w:r>
    </w:p>
    <w:p>
      <w:pPr>
        <w:spacing w:after="0" w:line="248" w:lineRule="exact"/>
        <w:rPr>
          <w:sz w:val="20"/>
          <w:szCs w:val="20"/>
          <w:color w:val="auto"/>
        </w:rPr>
      </w:pPr>
    </w:p>
    <w:p>
      <w:pPr>
        <w:ind w:left="460" w:right="220" w:hanging="452"/>
        <w:spacing w:after="0" w:line="30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112,694,417 ADS outstanding, which is the sum of (i) 108,142,781 ADS outstanding, as set forth in the Issuer’s prospectus supplement filed with the SEC on February 10, 2021, which includes the underwriters’ full exercise of their option to purchase additional ADS, (ii) 20,412,883 Ordinary Shares, the equivalent of 4,082,577 ADS, that Boxer Capital has the right to acquire pursuant to the Boxer Warrant and (iii) 2,345,297 Ordinary Shares, the equivalent of 469,059 ADS, that MVA Investors has the right to acquire pursuant to the MVA Warrant.</w:t>
      </w:r>
    </w:p>
    <w:p>
      <w:pPr>
        <w:sectPr>
          <w:pgSz w:w="11900" w:h="16838" w:orient="portrait"/>
          <w:cols w:equalWidth="0" w:num="1">
            <w:col w:w="11260"/>
          </w:cols>
          <w:pgMar w:left="320" w:top="274"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7 of 8</w:t>
      </w:r>
    </w:p>
    <w:p>
      <w:pPr>
        <w:spacing w:after="0" w:line="374"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This Amendment No. 2 (“Amendment No. 2”) amends and supplements the statement on Schedule 13G initially filed on March 2, 2020 (the “Original Filing”) by Boxer Capital, LLC (“Boxer Capital”), Boxer Asset Management Inc. (“Boxer Management”) and Joe Lewis, as amended by Amendment No.1 filed on June 3, 2020. Amendment No. 1 was an original filing for MVA Investors, LLC (“MVA Investors”) and Aaron I. Davis (“Aaron Davis” and, together with Boxer Capital, Boxer Management, Joe Lewis and MVA Investors, the “Reporting Persons”). The Original Filing remains in effect except to the extent that it is amended, restated or superseded by information contained in this Amendment No. 2. Capitalized terms used and not defined in this Amendment No. 2 have the meanings set forth in the Original Filing, as amended.</w:t>
      </w:r>
    </w:p>
    <w:p>
      <w:pPr>
        <w:spacing w:after="0" w:line="32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000" w:hanging="54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sz w:val="20"/>
          <w:szCs w:val="20"/>
          <w:color w:val="auto"/>
        </w:rPr>
      </w:pPr>
    </w:p>
    <w:p>
      <w:pPr>
        <w:ind w:right="120" w:firstLine="1011"/>
        <w:spacing w:after="0" w:line="255" w:lineRule="auto"/>
        <w:rPr>
          <w:sz w:val="20"/>
          <w:szCs w:val="20"/>
          <w:color w:val="auto"/>
        </w:rPr>
      </w:pPr>
      <w:r>
        <w:rPr>
          <w:rFonts w:ascii="Arial" w:cs="Arial" w:eastAsia="Arial" w:hAnsi="Arial"/>
          <w:sz w:val="18"/>
          <w:szCs w:val="18"/>
          <w:color w:val="auto"/>
        </w:rPr>
        <w:t>Boxer Capital, Boxer Management and Joe Lewis beneficially own 10,309,250 ADS, which includes 20,412,883 Ordinary Shares, the equivalent of 4,082,577 ADS, that Boxer Capital has the right to acquire pursuant to a warrant to purchase 20,412,883 Ordinary Shares (the “Boxer Warrant”) issued in connection with the private placement set forth in the Issuer’s press release on June 4, 2020 (the “Private Placement”). MVA Investors and Aaron Davis beneficially own 948,922 ADS, which includes 2,345,297 Ordinary Shares, the equivalent of 469,059 ADS, that MVA Investors has the right to acquire pursuant to a warrant to purchase 2,594,027 Ordinary Shares (the “MVA Warrant”). The Reporting Persons may be deemed to beneficially own in the aggregate 11,258,172 ADS.</w:t>
      </w:r>
    </w:p>
    <w:p>
      <w:pPr>
        <w:spacing w:after="0" w:line="192" w:lineRule="exact"/>
        <w:rPr>
          <w:sz w:val="20"/>
          <w:szCs w:val="20"/>
          <w:color w:val="auto"/>
        </w:rPr>
      </w:pPr>
    </w:p>
    <w:p>
      <w:pPr>
        <w:ind w:right="60" w:firstLine="1011"/>
        <w:spacing w:after="0" w:line="271" w:lineRule="auto"/>
        <w:rPr>
          <w:sz w:val="20"/>
          <w:szCs w:val="20"/>
          <w:color w:val="auto"/>
        </w:rPr>
      </w:pPr>
      <w:r>
        <w:rPr>
          <w:rFonts w:ascii="Arial" w:cs="Arial" w:eastAsia="Arial" w:hAnsi="Arial"/>
          <w:sz w:val="17"/>
          <w:szCs w:val="17"/>
          <w:color w:val="auto"/>
        </w:rPr>
        <w:t>In the Private Placement, Boxer Capital received a convertible note that is convertible into 1,003,349 Ordinary Shares (the “Boxer Notes”) and MVA Investors received a convertible note that is convertible into 4,184,706 Ordinary Shares (the “MVA Notes”). The conversions of the Boxer Notes and the MVA Notes, as well as the exercises of the Boxer Warrant and the MVA Warrant, are each subject to a beneficial ownership limitation such that no conversion or exercise may occur if it would result in beneficial ownership in excess of 9.99% with respect to the holder and its affiliates. Therefore, the remaining underlying shares of Ordinary Shares for which the Boxer Notes, MVA Notes, Boxer Warrant and MVA Warrants are convertible or exercisable are not currently reported as shares beneficially owned by the Reporting Persons herein. Copies of the forms of Boxer Warrant, MVA Warrant, Boxer Note and MVA Note are filed herewith as exhibits and incorporated herein by reference, and any description herein of the Boxer Warrant, MVA Warrant, Boxer Note and MVA Note is qualified in its entirety by reference to the form of warrant or note, as applicable.</w:t>
      </w:r>
    </w:p>
    <w:p>
      <w:pPr>
        <w:spacing w:after="0" w:line="84" w:lineRule="exact"/>
        <w:rPr>
          <w:sz w:val="20"/>
          <w:szCs w:val="20"/>
          <w:color w:val="auto"/>
        </w:rPr>
      </w:pPr>
    </w:p>
    <w:p>
      <w:pPr>
        <w:ind w:left="1000" w:hanging="54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firstLine="1011"/>
        <w:spacing w:after="0" w:line="272" w:lineRule="auto"/>
        <w:rPr>
          <w:sz w:val="20"/>
          <w:szCs w:val="20"/>
          <w:color w:val="auto"/>
        </w:rPr>
      </w:pPr>
      <w:r>
        <w:rPr>
          <w:rFonts w:ascii="Arial" w:cs="Arial" w:eastAsia="Arial" w:hAnsi="Arial"/>
          <w:sz w:val="17"/>
          <w:szCs w:val="17"/>
          <w:color w:val="auto"/>
        </w:rPr>
        <w:t>The ADS beneficially owned by Boxer Capital, Boxer Management and Joe Lewis represent 9.1% of the Issuer’s outstanding ADS. The ADS beneficially owned by MVA Investors and Aaron Davis represent 0.8% of the Issuer’s outstanding ADS. The number of ADS beneficially owned by the Reporting Persons in the aggregate represent 9.99% of the Issuer’s outstanding Ordinary Shares. All percentages are based on 112,694,417 ADS outstanding, which is the sum of (i) 108,142,781 ADS outstanding, as set forth in the Issuer’s prospectus supplement filed with the SEC on February 10, 2021, which includes the underwriters’ full exercise of their option to purchase additional ADS, (ii) 20,412,883 Ordinary Shares, the equivalent of 4,082,577 ADS, that Boxer Capital has the right to acquire pursuant to the Boxer Warrant and (iii) 2,345,297 Ordinary Shares, the equivalent of 469,059 ADS, that MVA Investors has the right to acquire pursuant to the MVA Warrant.</w:t>
      </w:r>
    </w:p>
    <w:p>
      <w:pPr>
        <w:spacing w:after="0" w:line="83" w:lineRule="exact"/>
        <w:rPr>
          <w:sz w:val="20"/>
          <w:szCs w:val="20"/>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vote or to direct the vote of any ADS.</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ectPr>
          <w:pgSz w:w="11900" w:h="16838" w:orient="portrait"/>
          <w:cols w:equalWidth="0" w:num="1">
            <w:col w:w="11240"/>
          </w:cols>
          <w:pgMar w:left="320" w:top="27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Page 8 of 8</w:t>
      </w:r>
    </w:p>
    <w:p>
      <w:pPr>
        <w:spacing w:after="0" w:line="374" w:lineRule="exact"/>
        <w:rPr>
          <w:sz w:val="20"/>
          <w:szCs w:val="20"/>
          <w:color w:val="auto"/>
        </w:rPr>
      </w:pPr>
    </w:p>
    <w:p>
      <w:pPr>
        <w:ind w:right="720" w:firstLine="1460"/>
        <w:spacing w:after="0" w:line="342" w:lineRule="auto"/>
        <w:rPr>
          <w:sz w:val="20"/>
          <w:szCs w:val="20"/>
          <w:color w:val="auto"/>
        </w:rPr>
      </w:pPr>
      <w:r>
        <w:rPr>
          <w:rFonts w:ascii="Arial" w:cs="Arial" w:eastAsia="Arial" w:hAnsi="Arial"/>
          <w:sz w:val="16"/>
          <w:szCs w:val="16"/>
          <w:color w:val="auto"/>
        </w:rPr>
        <w:t>Boxer Capital, Boxer Management and Joe Lewis have shared power to vote or to direct the vote of the 10,309,250 ADS they beneficially own. MVA Investors and Aaron Davis have shared power to vote or to direct the vote of the 948,922 ADS they beneficially own.</w:t>
      </w:r>
    </w:p>
    <w:p>
      <w:pPr>
        <w:spacing w:after="0" w:line="29" w:lineRule="exact"/>
        <w:rPr>
          <w:sz w:val="20"/>
          <w:szCs w:val="20"/>
          <w:color w:val="auto"/>
        </w:rPr>
      </w:pPr>
    </w:p>
    <w:p>
      <w:pPr>
        <w:ind w:left="1460" w:hanging="453"/>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dispose or to direct the disposition of any ADS.</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firstLine="1460"/>
        <w:spacing w:after="0" w:line="342" w:lineRule="auto"/>
        <w:rPr>
          <w:sz w:val="20"/>
          <w:szCs w:val="20"/>
          <w:color w:val="auto"/>
        </w:rPr>
      </w:pPr>
      <w:r>
        <w:rPr>
          <w:rFonts w:ascii="Arial" w:cs="Arial" w:eastAsia="Arial" w:hAnsi="Arial"/>
          <w:sz w:val="16"/>
          <w:szCs w:val="16"/>
          <w:color w:val="auto"/>
        </w:rPr>
        <w:t>Boxer Capital, Boxer Management and Joe Lewis have shared power to dispose or to direct the disposition of the 10,309,250 ADS they beneficially own. MVA Investors and Aaron Davis have shared power to dispose or to direct the disposition of the 948,922 ADS they beneficially own.</w:t>
      </w:r>
    </w:p>
    <w:p>
      <w:pPr>
        <w:spacing w:after="0" w:line="26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jc w:val="both"/>
        <w:ind w:right="80" w:firstLine="457"/>
        <w:spacing w:after="0" w:line="311" w:lineRule="auto"/>
        <w:tabs>
          <w:tab w:leader="none" w:pos="69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35" w:lineRule="exact"/>
        <w:rPr>
          <w:sz w:val="20"/>
          <w:szCs w:val="20"/>
          <w:color w:val="auto"/>
        </w:rPr>
      </w:pPr>
    </w:p>
    <w:p>
      <w:pPr>
        <w:ind w:left="1000" w:right="8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Joint Filing Agreement, dated June 5, 2020, among the Reporting Persons, incorporated herein by reference to Exhibit 1 to the Schedule 13G filed by the Reporting Persons on June 5, 2020.</w:t>
      </w:r>
    </w:p>
    <w:p>
      <w:pPr>
        <w:spacing w:after="0" w:line="76" w:lineRule="exact"/>
        <w:rPr>
          <w:sz w:val="20"/>
          <w:szCs w:val="20"/>
          <w:color w:val="auto"/>
        </w:rPr>
      </w:pPr>
    </w:p>
    <w:p>
      <w:pPr>
        <w:ind w:left="1000" w:right="4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 of Convertible Loan Note Instrument, dated June 3, 2020, relating to Mereo BioPharma Group PLC, , incorporated by reference to Exhibit 10.3 to the Form 6-K filed by the Issuer on June 5, 2020.</w:t>
      </w:r>
    </w:p>
    <w:p>
      <w:pPr>
        <w:spacing w:after="0" w:line="76" w:lineRule="exact"/>
        <w:rPr>
          <w:sz w:val="20"/>
          <w:szCs w:val="20"/>
          <w:color w:val="auto"/>
        </w:rPr>
      </w:pPr>
    </w:p>
    <w:p>
      <w:pPr>
        <w:ind w:left="1000" w:right="18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of Warrant Instrument, dated June 3, 2020, relating to Mereo BioPharma Group PLC, incorporated by reference to Exhibit 10.4 to the Form 6-K filed by the Issuer on June 5, 2020.</w:t>
      </w:r>
    </w:p>
    <w:p>
      <w:pPr>
        <w:sectPr>
          <w:pgSz w:w="11900" w:h="16838" w:orient="portrait"/>
          <w:cols w:equalWidth="0" w:num="1">
            <w:col w:w="11240"/>
          </w:cols>
          <w:pgMar w:left="320" w:top="27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Callender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Jason Callender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Joseph C. Lewis, Individually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Aaron I. Davis, Individually</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3"/>
    </w:lvl>
    <w:lvl w:ilvl="1">
      <w:lvlJc w:val="left"/>
      <w:lvlText w:val="(%2)"/>
      <w:numFmt w:val="lowerRoman"/>
      <w:start w:val="1"/>
    </w:lvl>
  </w:abstractNum>
  <w:abstractNum w:abstractNumId="16">
    <w:nsid w:val="7C83E458"/>
    <w:multiLevelType w:val="hybridMultilevel"/>
    <w:lvl w:ilvl="0">
      <w:lvlJc w:val="left"/>
      <w:lvlText w:val="(%1)"/>
      <w:numFmt w:val="lowerRoman"/>
      <w:start w:val="3"/>
    </w:lvl>
  </w:abstractNum>
  <w:abstractNum w:abstractNumId="17">
    <w:nsid w:val="257130A3"/>
    <w:multiLevelType w:val="hybridMultilevel"/>
    <w:lvl w:ilvl="0">
      <w:lvlJc w:val="left"/>
      <w:lvlText w:val="(%1)"/>
      <w:numFmt w:val="lowerLetter"/>
      <w:start w:val="3"/>
    </w:lvl>
  </w:abstractNum>
  <w:abstractNum w:abstractNumId="18">
    <w:nsid w:val="62BBD95A"/>
    <w:multiLevelType w:val="hybridMultilevel"/>
    <w:lvl w:ilvl="0">
      <w:lvlJc w:val="left"/>
      <w:lvlText w:val="1"/>
      <w:numFmt w:val="bullet"/>
      <w:start w:val="1"/>
    </w:lvl>
  </w:abstractNum>
  <w:abstractNum w:abstractNumId="19">
    <w:nsid w:val="436C6125"/>
    <w:multiLevelType w:val="hybridMultilevel"/>
    <w:lvl w:ilvl="0">
      <w:lvlJc w:val="left"/>
      <w:lvlText w:val="2"/>
      <w:numFmt w:val="bullet"/>
      <w:start w:val="1"/>
    </w:lvl>
  </w:abstractNum>
  <w:abstractNum w:abstractNumId="20">
    <w:nsid w:val="628C895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2021-02-16T16:27:07Z</dcterms:created>
  <dcterms:modified xsi:type="dcterms:W3CDTF">2021-02-16T16:27:07Z</dcterms:modified>
</cp:coreProperties>
</file>