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 East 44th St, Suite 1630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Brian Kleinhaus</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212-418-1888</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-127635</wp:posOffset>
            </wp:positionV>
            <wp:extent cx="6214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ý</w:t>
      </w:r>
    </w:p>
    <w:p>
      <w:pPr>
        <w:spacing w:after="0" w:line="162" w:lineRule="exact"/>
        <w:rPr>
          <w:sz w:val="24"/>
          <w:szCs w:val="24"/>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**There is no CUSIP number assigned to the Ordinary Shares. CUSIP number 589492107 has been assigned to the American Depositary Receipts (“</w:t>
      </w:r>
      <w:r>
        <w:rPr>
          <w:rFonts w:ascii="Times New Roman" w:cs="Times New Roman" w:eastAsia="Times New Roman" w:hAnsi="Times New Roman"/>
          <w:sz w:val="17"/>
          <w:szCs w:val="17"/>
          <w:u w:val="single" w:color="auto"/>
          <w:color w:val="auto"/>
        </w:rPr>
        <w:t>ADRs</w:t>
      </w:r>
      <w:r>
        <w:rPr>
          <w:rFonts w:ascii="Times New Roman" w:cs="Times New Roman" w:eastAsia="Times New Roman" w:hAnsi="Times New Roman"/>
          <w:sz w:val="17"/>
          <w:szCs w:val="17"/>
          <w:color w:val="auto"/>
        </w:rPr>
        <w:t>”) of the Issuer, which are quoted on the Nasdaq Global Market under the symbol “MREO.” Each ADR represents 5 Ordinary Shares.</w:t>
      </w:r>
    </w:p>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6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4"/>
          <w:szCs w:val="24"/>
          <w:color w:val="auto"/>
        </w:rPr>
      </w:pPr>
    </w:p>
    <w:p>
      <w:pPr>
        <w:ind w:firstLine="8"/>
        <w:spacing w:after="0" w:line="260"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1"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 of 6 Pages</w:t>
            </w:r>
          </w:p>
        </w:tc>
      </w:tr>
      <w:tr>
        <w:trPr>
          <w:trHeight w:val="675"/>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w:t>
            </w:r>
          </w:p>
        </w:tc>
        <w:tc>
          <w:tcPr>
            <w:tcW w:w="8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8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Rubric Capital Management LP</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gridSpan w:val="2"/>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2</w:t>
            </w:r>
          </w:p>
        </w:tc>
        <w:tc>
          <w:tcPr>
            <w:tcW w:w="8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vMerge w:val="continue"/>
          </w:tcPr>
          <w:p>
            <w:pPr>
              <w:spacing w:after="0"/>
              <w:rPr>
                <w:sz w:val="16"/>
                <w:szCs w:val="16"/>
                <w:color w:val="auto"/>
              </w:rPr>
            </w:pPr>
          </w:p>
        </w:tc>
        <w:tc>
          <w:tcPr>
            <w:tcW w:w="14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360" w:type="dxa"/>
            <w:vAlign w:val="bottom"/>
            <w:tcBorders>
              <w:right w:val="single" w:sz="8" w:color="auto"/>
            </w:tcBorders>
            <w:vMerge w:val="restart"/>
          </w:tcPr>
          <w:p>
            <w:pPr>
              <w:ind w:left="120"/>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67"/>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3</w:t>
            </w: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806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4</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gridSpan w:val="2"/>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82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5"/>
                <w:szCs w:val="25"/>
                <w:b w:val="1"/>
                <w:bCs w:val="1"/>
                <w:color w:val="auto"/>
              </w:rPr>
              <w:t>5</w:t>
            </w:r>
          </w:p>
        </w:tc>
        <w:tc>
          <w:tcPr>
            <w:tcW w:w="8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w:t>
            </w:r>
          </w:p>
        </w:tc>
        <w:tc>
          <w:tcPr>
            <w:tcW w:w="1360" w:type="dxa"/>
            <w:vAlign w:val="bottom"/>
            <w:tcBorders>
              <w:right w:val="single" w:sz="8" w:color="auto"/>
            </w:tcBorders>
          </w:tcPr>
          <w:p>
            <w:pPr>
              <w:ind w:left="12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2(e)</w:t>
            </w:r>
          </w:p>
        </w:tc>
        <w:tc>
          <w:tcPr>
            <w:tcW w:w="65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6</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8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State of Delaware</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7</w:t>
            </w:r>
          </w:p>
        </w:tc>
        <w:tc>
          <w:tcPr>
            <w:tcW w:w="65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vMerge w:val="continue"/>
          </w:tcPr>
          <w:p>
            <w:pPr>
              <w:spacing w:after="0"/>
              <w:rPr>
                <w:sz w:val="22"/>
                <w:szCs w:val="22"/>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48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65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480" w:type="dxa"/>
            <w:vAlign w:val="bottom"/>
            <w:tcBorders>
              <w:right w:val="single" w:sz="8" w:color="auto"/>
            </w:tcBorders>
            <w:vMerge w:val="restart"/>
          </w:tcPr>
          <w:p>
            <w:pPr>
              <w:jc w:val="center"/>
              <w:spacing w:after="0" w:line="262" w:lineRule="exact"/>
              <w:rPr>
                <w:sz w:val="20"/>
                <w:szCs w:val="20"/>
                <w:color w:val="auto"/>
              </w:rPr>
            </w:pPr>
            <w:r>
              <w:rPr>
                <w:rFonts w:ascii="Times New Roman" w:cs="Times New Roman" w:eastAsia="Times New Roman" w:hAnsi="Times New Roman"/>
                <w:sz w:val="25"/>
                <w:szCs w:val="25"/>
                <w:b w:val="1"/>
                <w:bCs w:val="1"/>
                <w:color w:val="auto"/>
                <w:w w:val="95"/>
              </w:rPr>
              <w:t>8</w:t>
            </w:r>
          </w:p>
        </w:tc>
        <w:tc>
          <w:tcPr>
            <w:tcW w:w="6580" w:type="dxa"/>
            <w:vAlign w:val="bottom"/>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820" w:type="dxa"/>
            <w:vAlign w:val="bottom"/>
            <w:tcBorders>
              <w:left w:val="single" w:sz="8" w:color="auto"/>
              <w:right w:val="single" w:sz="8" w:color="auto"/>
            </w:tcBorders>
            <w:vMerge w:val="continue"/>
          </w:tcPr>
          <w:p>
            <w:pPr>
              <w:spacing w:after="0"/>
              <w:rPr>
                <w:sz w:val="15"/>
                <w:szCs w:val="15"/>
                <w:color w:val="auto"/>
              </w:rPr>
            </w:pPr>
          </w:p>
        </w:tc>
        <w:tc>
          <w:tcPr>
            <w:tcW w:w="1480" w:type="dxa"/>
            <w:vAlign w:val="bottom"/>
            <w:tcBorders>
              <w:right w:val="single" w:sz="8" w:color="auto"/>
            </w:tcBorders>
            <w:vMerge w:val="continue"/>
          </w:tcPr>
          <w:p>
            <w:pPr>
              <w:spacing w:after="0"/>
              <w:rPr>
                <w:sz w:val="15"/>
                <w:szCs w:val="15"/>
                <w:color w:val="auto"/>
              </w:rPr>
            </w:pPr>
          </w:p>
        </w:tc>
        <w:tc>
          <w:tcPr>
            <w:tcW w:w="658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76,792,625 Ordinary Shares (represented by 15,358,525 ADRs)</w:t>
            </w: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BENEFICIALLY</w:t>
            </w:r>
          </w:p>
        </w:tc>
        <w:tc>
          <w:tcPr>
            <w:tcW w:w="1480" w:type="dxa"/>
            <w:vAlign w:val="bottom"/>
            <w:tcBorders>
              <w:right w:val="single" w:sz="8" w:color="auto"/>
            </w:tcBorders>
          </w:tcPr>
          <w:p>
            <w:pPr>
              <w:spacing w:after="0"/>
              <w:rPr>
                <w:sz w:val="14"/>
                <w:szCs w:val="14"/>
                <w:color w:val="auto"/>
              </w:rPr>
            </w:pPr>
          </w:p>
        </w:tc>
        <w:tc>
          <w:tcPr>
            <w:tcW w:w="658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480" w:type="dxa"/>
            <w:vAlign w:val="bottom"/>
            <w:tcBorders>
              <w:bottom w:val="single" w:sz="8" w:color="auto"/>
              <w:right w:val="single" w:sz="8" w:color="auto"/>
            </w:tcBorders>
          </w:tcPr>
          <w:p>
            <w:pPr>
              <w:spacing w:after="0"/>
              <w:rPr>
                <w:sz w:val="8"/>
                <w:szCs w:val="8"/>
                <w:color w:val="auto"/>
              </w:rPr>
            </w:pPr>
          </w:p>
        </w:tc>
        <w:tc>
          <w:tcPr>
            <w:tcW w:w="65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65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480" w:type="dxa"/>
            <w:vAlign w:val="bottom"/>
            <w:tcBorders>
              <w:right w:val="single" w:sz="8" w:color="auto"/>
            </w:tcBorders>
            <w:vMerge w:val="restart"/>
          </w:tcPr>
          <w:p>
            <w:pPr>
              <w:jc w:val="center"/>
              <w:spacing w:after="0" w:line="275" w:lineRule="exact"/>
              <w:rPr>
                <w:sz w:val="20"/>
                <w:szCs w:val="20"/>
                <w:color w:val="auto"/>
              </w:rPr>
            </w:pPr>
            <w:r>
              <w:rPr>
                <w:rFonts w:ascii="Times New Roman" w:cs="Times New Roman" w:eastAsia="Times New Roman" w:hAnsi="Times New Roman"/>
                <w:sz w:val="25"/>
                <w:szCs w:val="25"/>
                <w:b w:val="1"/>
                <w:bCs w:val="1"/>
                <w:color w:val="auto"/>
                <w:w w:val="95"/>
              </w:rPr>
              <w:t>9</w:t>
            </w:r>
          </w:p>
        </w:tc>
        <w:tc>
          <w:tcPr>
            <w:tcW w:w="6580" w:type="dxa"/>
            <w:vAlign w:val="bottom"/>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820" w:type="dxa"/>
            <w:vAlign w:val="bottom"/>
            <w:tcBorders>
              <w:left w:val="single" w:sz="8" w:color="auto"/>
              <w:right w:val="single" w:sz="8" w:color="auto"/>
            </w:tcBorders>
            <w:vMerge w:val="continue"/>
          </w:tcPr>
          <w:p>
            <w:pPr>
              <w:spacing w:after="0"/>
              <w:rPr>
                <w:sz w:val="15"/>
                <w:szCs w:val="15"/>
                <w:color w:val="auto"/>
              </w:rPr>
            </w:pPr>
          </w:p>
        </w:tc>
        <w:tc>
          <w:tcPr>
            <w:tcW w:w="1480" w:type="dxa"/>
            <w:vAlign w:val="bottom"/>
            <w:tcBorders>
              <w:right w:val="single" w:sz="8" w:color="auto"/>
            </w:tcBorders>
            <w:vMerge w:val="continue"/>
          </w:tcPr>
          <w:p>
            <w:pPr>
              <w:spacing w:after="0"/>
              <w:rPr>
                <w:sz w:val="15"/>
                <w:szCs w:val="15"/>
                <w:color w:val="auto"/>
              </w:rPr>
            </w:pPr>
          </w:p>
        </w:tc>
        <w:tc>
          <w:tcPr>
            <w:tcW w:w="658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82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color w:val="auto"/>
                <w:w w:val="98"/>
              </w:rPr>
              <w:t>REPORTING</w:t>
            </w:r>
          </w:p>
        </w:tc>
        <w:tc>
          <w:tcPr>
            <w:tcW w:w="1480" w:type="dxa"/>
            <w:vAlign w:val="bottom"/>
            <w:tcBorders>
              <w:right w:val="single" w:sz="8" w:color="auto"/>
            </w:tcBorders>
          </w:tcPr>
          <w:p>
            <w:pPr>
              <w:spacing w:after="0"/>
              <w:rPr>
                <w:sz w:val="13"/>
                <w:szCs w:val="13"/>
                <w:color w:val="auto"/>
              </w:rPr>
            </w:pPr>
          </w:p>
        </w:tc>
        <w:tc>
          <w:tcPr>
            <w:tcW w:w="658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1480" w:type="dxa"/>
            <w:vAlign w:val="bottom"/>
            <w:tcBorders>
              <w:bottom w:val="single" w:sz="8" w:color="auto"/>
              <w:right w:val="single" w:sz="8" w:color="auto"/>
            </w:tcBorders>
          </w:tcPr>
          <w:p>
            <w:pPr>
              <w:spacing w:after="0"/>
              <w:rPr>
                <w:sz w:val="9"/>
                <w:szCs w:val="9"/>
                <w:color w:val="auto"/>
              </w:rPr>
            </w:pPr>
          </w:p>
        </w:tc>
        <w:tc>
          <w:tcPr>
            <w:tcW w:w="658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10</w:t>
            </w:r>
          </w:p>
        </w:tc>
        <w:tc>
          <w:tcPr>
            <w:tcW w:w="65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right w:val="single" w:sz="8" w:color="auto"/>
            </w:tcBorders>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6580" w:type="dxa"/>
            <w:vAlign w:val="bottom"/>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vMerge w:val="continue"/>
          </w:tcPr>
          <w:p>
            <w:pPr>
              <w:spacing w:after="0"/>
              <w:rPr>
                <w:sz w:val="22"/>
                <w:szCs w:val="22"/>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76,792,625 Ordinary Shares (represented by 15,358,525 ADRs)</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8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76,792,625 Ordinary Shares (represented by 15,358,525 ADRs)</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12</w:t>
            </w:r>
          </w:p>
        </w:tc>
        <w:tc>
          <w:tcPr>
            <w:tcW w:w="8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360" w:type="dxa"/>
            <w:vAlign w:val="bottom"/>
            <w:tcBorders>
              <w:right w:val="single" w:sz="8" w:color="auto"/>
            </w:tcBorders>
            <w:vMerge w:val="restart"/>
          </w:tcPr>
          <w:p>
            <w:pPr>
              <w:ind w:left="22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658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13</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13.129%</w:t>
            </w:r>
          </w:p>
        </w:tc>
        <w:tc>
          <w:tcPr>
            <w:tcW w:w="65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14</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PN, IA</w:t>
            </w:r>
          </w:p>
        </w:tc>
        <w:tc>
          <w:tcPr>
            <w:tcW w:w="65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57"/>
        </w:trPr>
        <w:tc>
          <w:tcPr>
            <w:tcW w:w="1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648"/>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w:t>
            </w:r>
          </w:p>
        </w:tc>
        <w:tc>
          <w:tcPr>
            <w:tcW w:w="8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David Rosen</w:t>
            </w:r>
          </w:p>
        </w:tc>
        <w:tc>
          <w:tcPr>
            <w:tcW w:w="65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gridSpan w:val="2"/>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2</w:t>
            </w:r>
          </w:p>
        </w:tc>
        <w:tc>
          <w:tcPr>
            <w:tcW w:w="8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vMerge w:val="continue"/>
          </w:tcPr>
          <w:p>
            <w:pPr>
              <w:spacing w:after="0"/>
              <w:rPr>
                <w:sz w:val="16"/>
                <w:szCs w:val="16"/>
                <w:color w:val="auto"/>
              </w:rPr>
            </w:pPr>
          </w:p>
        </w:tc>
        <w:tc>
          <w:tcPr>
            <w:tcW w:w="14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360" w:type="dxa"/>
            <w:vAlign w:val="bottom"/>
            <w:tcBorders>
              <w:right w:val="single" w:sz="8" w:color="auto"/>
            </w:tcBorders>
            <w:vMerge w:val="restart"/>
          </w:tcPr>
          <w:p>
            <w:pPr>
              <w:ind w:left="120"/>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67"/>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3</w:t>
            </w: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806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4</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gridSpan w:val="2"/>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820" w:type="dxa"/>
            <w:vAlign w:val="bottom"/>
            <w:tcBorders>
              <w:left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5"/>
                <w:szCs w:val="25"/>
                <w:b w:val="1"/>
                <w:bCs w:val="1"/>
                <w:color w:val="auto"/>
              </w:rPr>
              <w:t>5</w:t>
            </w:r>
          </w:p>
        </w:tc>
        <w:tc>
          <w:tcPr>
            <w:tcW w:w="8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w:t>
            </w:r>
          </w:p>
        </w:tc>
        <w:tc>
          <w:tcPr>
            <w:tcW w:w="1360" w:type="dxa"/>
            <w:vAlign w:val="bottom"/>
            <w:tcBorders>
              <w:right w:val="single" w:sz="8" w:color="auto"/>
            </w:tcBorders>
          </w:tcPr>
          <w:p>
            <w:pPr>
              <w:ind w:left="12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2(e)</w:t>
            </w:r>
          </w:p>
        </w:tc>
        <w:tc>
          <w:tcPr>
            <w:tcW w:w="65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6</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8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7</w:t>
            </w:r>
          </w:p>
        </w:tc>
        <w:tc>
          <w:tcPr>
            <w:tcW w:w="65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vMerge w:val="continue"/>
          </w:tcPr>
          <w:p>
            <w:pPr>
              <w:spacing w:after="0"/>
              <w:rPr>
                <w:sz w:val="22"/>
                <w:szCs w:val="22"/>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48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65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480" w:type="dxa"/>
            <w:vAlign w:val="bottom"/>
            <w:tcBorders>
              <w:right w:val="single" w:sz="8" w:color="auto"/>
            </w:tcBorders>
            <w:vMerge w:val="restart"/>
          </w:tcPr>
          <w:p>
            <w:pPr>
              <w:jc w:val="center"/>
              <w:spacing w:after="0" w:line="262" w:lineRule="exact"/>
              <w:rPr>
                <w:sz w:val="20"/>
                <w:szCs w:val="20"/>
                <w:color w:val="auto"/>
              </w:rPr>
            </w:pPr>
            <w:r>
              <w:rPr>
                <w:rFonts w:ascii="Times New Roman" w:cs="Times New Roman" w:eastAsia="Times New Roman" w:hAnsi="Times New Roman"/>
                <w:sz w:val="25"/>
                <w:szCs w:val="25"/>
                <w:b w:val="1"/>
                <w:bCs w:val="1"/>
                <w:color w:val="auto"/>
                <w:w w:val="95"/>
              </w:rPr>
              <w:t>8</w:t>
            </w:r>
          </w:p>
        </w:tc>
        <w:tc>
          <w:tcPr>
            <w:tcW w:w="6580" w:type="dxa"/>
            <w:vAlign w:val="bottom"/>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820" w:type="dxa"/>
            <w:vAlign w:val="bottom"/>
            <w:tcBorders>
              <w:left w:val="single" w:sz="8" w:color="auto"/>
              <w:right w:val="single" w:sz="8" w:color="auto"/>
            </w:tcBorders>
            <w:vMerge w:val="continue"/>
          </w:tcPr>
          <w:p>
            <w:pPr>
              <w:spacing w:after="0"/>
              <w:rPr>
                <w:sz w:val="15"/>
                <w:szCs w:val="15"/>
                <w:color w:val="auto"/>
              </w:rPr>
            </w:pPr>
          </w:p>
        </w:tc>
        <w:tc>
          <w:tcPr>
            <w:tcW w:w="1480" w:type="dxa"/>
            <w:vAlign w:val="bottom"/>
            <w:tcBorders>
              <w:right w:val="single" w:sz="8" w:color="auto"/>
            </w:tcBorders>
            <w:vMerge w:val="continue"/>
          </w:tcPr>
          <w:p>
            <w:pPr>
              <w:spacing w:after="0"/>
              <w:rPr>
                <w:sz w:val="15"/>
                <w:szCs w:val="15"/>
                <w:color w:val="auto"/>
              </w:rPr>
            </w:pPr>
          </w:p>
        </w:tc>
        <w:tc>
          <w:tcPr>
            <w:tcW w:w="658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76,792,625 Ordinary Shares (represented by 15,358,525 ADRs)</w:t>
            </w: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BENEFICIALLY</w:t>
            </w:r>
          </w:p>
        </w:tc>
        <w:tc>
          <w:tcPr>
            <w:tcW w:w="1480" w:type="dxa"/>
            <w:vAlign w:val="bottom"/>
            <w:tcBorders>
              <w:right w:val="single" w:sz="8" w:color="auto"/>
            </w:tcBorders>
          </w:tcPr>
          <w:p>
            <w:pPr>
              <w:spacing w:after="0"/>
              <w:rPr>
                <w:sz w:val="14"/>
                <w:szCs w:val="14"/>
                <w:color w:val="auto"/>
              </w:rPr>
            </w:pPr>
          </w:p>
        </w:tc>
        <w:tc>
          <w:tcPr>
            <w:tcW w:w="658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480" w:type="dxa"/>
            <w:vAlign w:val="bottom"/>
            <w:tcBorders>
              <w:bottom w:val="single" w:sz="8" w:color="auto"/>
              <w:right w:val="single" w:sz="8" w:color="auto"/>
            </w:tcBorders>
          </w:tcPr>
          <w:p>
            <w:pPr>
              <w:spacing w:after="0"/>
              <w:rPr>
                <w:sz w:val="8"/>
                <w:szCs w:val="8"/>
                <w:color w:val="auto"/>
              </w:rPr>
            </w:pPr>
          </w:p>
        </w:tc>
        <w:tc>
          <w:tcPr>
            <w:tcW w:w="65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65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480" w:type="dxa"/>
            <w:vAlign w:val="bottom"/>
            <w:tcBorders>
              <w:right w:val="single" w:sz="8" w:color="auto"/>
            </w:tcBorders>
            <w:vMerge w:val="restart"/>
          </w:tcPr>
          <w:p>
            <w:pPr>
              <w:jc w:val="center"/>
              <w:spacing w:after="0" w:line="275" w:lineRule="exact"/>
              <w:rPr>
                <w:sz w:val="20"/>
                <w:szCs w:val="20"/>
                <w:color w:val="auto"/>
              </w:rPr>
            </w:pPr>
            <w:r>
              <w:rPr>
                <w:rFonts w:ascii="Times New Roman" w:cs="Times New Roman" w:eastAsia="Times New Roman" w:hAnsi="Times New Roman"/>
                <w:sz w:val="25"/>
                <w:szCs w:val="25"/>
                <w:b w:val="1"/>
                <w:bCs w:val="1"/>
                <w:color w:val="auto"/>
                <w:w w:val="95"/>
              </w:rPr>
              <w:t>9</w:t>
            </w:r>
          </w:p>
        </w:tc>
        <w:tc>
          <w:tcPr>
            <w:tcW w:w="6580" w:type="dxa"/>
            <w:vAlign w:val="bottom"/>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820" w:type="dxa"/>
            <w:vAlign w:val="bottom"/>
            <w:tcBorders>
              <w:left w:val="single" w:sz="8" w:color="auto"/>
              <w:right w:val="single" w:sz="8" w:color="auto"/>
            </w:tcBorders>
            <w:vMerge w:val="continue"/>
          </w:tcPr>
          <w:p>
            <w:pPr>
              <w:spacing w:after="0"/>
              <w:rPr>
                <w:sz w:val="15"/>
                <w:szCs w:val="15"/>
                <w:color w:val="auto"/>
              </w:rPr>
            </w:pPr>
          </w:p>
        </w:tc>
        <w:tc>
          <w:tcPr>
            <w:tcW w:w="1480" w:type="dxa"/>
            <w:vAlign w:val="bottom"/>
            <w:tcBorders>
              <w:right w:val="single" w:sz="8" w:color="auto"/>
            </w:tcBorders>
            <w:vMerge w:val="continue"/>
          </w:tcPr>
          <w:p>
            <w:pPr>
              <w:spacing w:after="0"/>
              <w:rPr>
                <w:sz w:val="15"/>
                <w:szCs w:val="15"/>
                <w:color w:val="auto"/>
              </w:rPr>
            </w:pPr>
          </w:p>
        </w:tc>
        <w:tc>
          <w:tcPr>
            <w:tcW w:w="658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82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color w:val="auto"/>
                <w:w w:val="98"/>
              </w:rPr>
              <w:t>REPORTING</w:t>
            </w:r>
          </w:p>
        </w:tc>
        <w:tc>
          <w:tcPr>
            <w:tcW w:w="1480" w:type="dxa"/>
            <w:vAlign w:val="bottom"/>
            <w:tcBorders>
              <w:right w:val="single" w:sz="8" w:color="auto"/>
            </w:tcBorders>
          </w:tcPr>
          <w:p>
            <w:pPr>
              <w:spacing w:after="0"/>
              <w:rPr>
                <w:sz w:val="13"/>
                <w:szCs w:val="13"/>
                <w:color w:val="auto"/>
              </w:rPr>
            </w:pPr>
          </w:p>
        </w:tc>
        <w:tc>
          <w:tcPr>
            <w:tcW w:w="658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1480" w:type="dxa"/>
            <w:vAlign w:val="bottom"/>
            <w:tcBorders>
              <w:bottom w:val="single" w:sz="8" w:color="auto"/>
              <w:right w:val="single" w:sz="8" w:color="auto"/>
            </w:tcBorders>
          </w:tcPr>
          <w:p>
            <w:pPr>
              <w:spacing w:after="0"/>
              <w:rPr>
                <w:sz w:val="9"/>
                <w:szCs w:val="9"/>
                <w:color w:val="auto"/>
              </w:rPr>
            </w:pPr>
          </w:p>
        </w:tc>
        <w:tc>
          <w:tcPr>
            <w:tcW w:w="658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10</w:t>
            </w:r>
          </w:p>
        </w:tc>
        <w:tc>
          <w:tcPr>
            <w:tcW w:w="65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right w:val="single" w:sz="8" w:color="auto"/>
            </w:tcBorders>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6580" w:type="dxa"/>
            <w:vAlign w:val="bottom"/>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vMerge w:val="continue"/>
          </w:tcPr>
          <w:p>
            <w:pPr>
              <w:spacing w:after="0"/>
              <w:rPr>
                <w:sz w:val="22"/>
                <w:szCs w:val="22"/>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76,792,625 Ordinary Shares (represented by 15,358,525 ADRs)</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8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76,792,625 Ordinary Shares (represented by 15,358,525 ADRs)</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12</w:t>
            </w:r>
          </w:p>
        </w:tc>
        <w:tc>
          <w:tcPr>
            <w:tcW w:w="8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360" w:type="dxa"/>
            <w:vAlign w:val="bottom"/>
            <w:tcBorders>
              <w:right w:val="single" w:sz="8" w:color="auto"/>
            </w:tcBorders>
            <w:vMerge w:val="restart"/>
          </w:tcPr>
          <w:p>
            <w:pPr>
              <w:ind w:left="22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658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13</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13.129%</w:t>
            </w:r>
          </w:p>
        </w:tc>
        <w:tc>
          <w:tcPr>
            <w:tcW w:w="65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14</w:t>
            </w:r>
          </w:p>
        </w:tc>
        <w:tc>
          <w:tcPr>
            <w:tcW w:w="80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vMerge w:val="continue"/>
          </w:tcPr>
          <w:p>
            <w:pPr>
              <w:spacing w:after="0"/>
              <w:rPr>
                <w:sz w:val="22"/>
                <w:szCs w:val="22"/>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w:t>
            </w:r>
          </w:p>
        </w:tc>
        <w:tc>
          <w:tcPr>
            <w:tcW w:w="65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58"/>
        </w:trPr>
        <w:tc>
          <w:tcPr>
            <w:tcW w:w="1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648"/>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Schedule 13D amends the Schedule 13D initially filed by the Reporting Persons with the Securities and Exchange Commission on May 26, 2022 (the “</w:t>
      </w:r>
      <w:r>
        <w:rPr>
          <w:rFonts w:ascii="Times New Roman" w:cs="Times New Roman" w:eastAsia="Times New Roman" w:hAnsi="Times New Roman"/>
          <w:sz w:val="18"/>
          <w:szCs w:val="18"/>
          <w:u w:val="single" w:color="auto"/>
          <w:color w:val="auto"/>
        </w:rPr>
        <w:t>May 26 13D</w:t>
      </w:r>
      <w:r>
        <w:rPr>
          <w:rFonts w:ascii="Times New Roman" w:cs="Times New Roman" w:eastAsia="Times New Roman" w:hAnsi="Times New Roman"/>
          <w:sz w:val="18"/>
          <w:szCs w:val="18"/>
          <w:color w:val="auto"/>
        </w:rPr>
        <w:t>”) with respect to the ordinary shares of stock, par value , £0.003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Mereo BioPharma Group plc, a public limited company under the laws of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May 26 13D collectively with this amendment, the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13D</w:t>
      </w:r>
      <w:r>
        <w:rPr>
          <w:rFonts w:ascii="Times New Roman" w:cs="Times New Roman" w:eastAsia="Times New Roman" w:hAnsi="Times New Roman"/>
          <w:sz w:val="18"/>
          <w:szCs w:val="18"/>
          <w:color w:val="auto"/>
        </w:rPr>
        <w:t>”). Capitalized terms used but not defined herein have the meanings given to such terms in the Schedule 13D.</w:t>
      </w:r>
    </w:p>
    <w:p>
      <w:pPr>
        <w:spacing w:after="0" w:line="176"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229" w:lineRule="exact"/>
        <w:rPr>
          <w:sz w:val="20"/>
          <w:szCs w:val="20"/>
          <w:color w:val="auto"/>
        </w:rPr>
      </w:pPr>
    </w:p>
    <w:p>
      <w:pPr>
        <w:ind w:left="1340" w:hanging="1235"/>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w:t>
      </w:r>
    </w:p>
    <w:p>
      <w:pPr>
        <w:spacing w:after="0" w:line="27" w:lineRule="exact"/>
        <w:rPr>
          <w:rFonts w:ascii="Times New Roman" w:cs="Times New Roman" w:eastAsia="Times New Roman" w:hAnsi="Times New Roman"/>
          <w:sz w:val="18"/>
          <w:szCs w:val="18"/>
          <w:color w:val="auto"/>
        </w:rPr>
      </w:pPr>
    </w:p>
    <w:p>
      <w:pPr>
        <w:ind w:left="1920" w:right="720" w:hanging="573"/>
        <w:spacing w:after="0" w:line="260" w:lineRule="auto"/>
        <w:tabs>
          <w:tab w:leader="none" w:pos="1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Capital Management LP (“</w:t>
      </w:r>
      <w:r>
        <w:rPr>
          <w:rFonts w:ascii="Times New Roman" w:cs="Times New Roman" w:eastAsia="Times New Roman" w:hAnsi="Times New Roman"/>
          <w:sz w:val="18"/>
          <w:szCs w:val="18"/>
          <w:u w:val="single" w:color="auto"/>
          <w:color w:val="auto"/>
        </w:rPr>
        <w:t>Rubric Capital</w:t>
      </w:r>
      <w:r>
        <w:rPr>
          <w:rFonts w:ascii="Times New Roman" w:cs="Times New Roman" w:eastAsia="Times New Roman" w:hAnsi="Times New Roman"/>
          <w:sz w:val="18"/>
          <w:szCs w:val="18"/>
          <w:color w:val="auto"/>
        </w:rPr>
        <w:t xml:space="preserve"> “), the investment adviser to certain investment funds and/or accounts (collectively, the “</w:t>
      </w:r>
      <w:r>
        <w:rPr>
          <w:rFonts w:ascii="Times New Roman" w:cs="Times New Roman" w:eastAsia="Times New Roman" w:hAnsi="Times New Roman"/>
          <w:sz w:val="18"/>
          <w:szCs w:val="18"/>
          <w:u w:val="single" w:color="auto"/>
          <w:color w:val="auto"/>
        </w:rPr>
        <w:t>Rubric Funds</w:t>
      </w:r>
      <w:r>
        <w:rPr>
          <w:rFonts w:ascii="Times New Roman" w:cs="Times New Roman" w:eastAsia="Times New Roman" w:hAnsi="Times New Roman"/>
          <w:sz w:val="18"/>
          <w:szCs w:val="18"/>
          <w:color w:val="auto"/>
        </w:rPr>
        <w:t>”) that hold ADRs which represent the Ordinary Shares reported herein; and</w:t>
      </w:r>
    </w:p>
    <w:p>
      <w:pPr>
        <w:spacing w:after="0" w:line="181" w:lineRule="exact"/>
        <w:rPr>
          <w:rFonts w:ascii="Times New Roman" w:cs="Times New Roman" w:eastAsia="Times New Roman" w:hAnsi="Times New Roman"/>
          <w:sz w:val="18"/>
          <w:szCs w:val="18"/>
          <w:color w:val="auto"/>
        </w:rPr>
      </w:pPr>
    </w:p>
    <w:p>
      <w:pPr>
        <w:ind w:left="1920" w:hanging="573"/>
        <w:spacing w:after="0"/>
        <w:tabs>
          <w:tab w:leader="none" w:pos="1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Rosen (“</w:t>
      </w:r>
      <w:r>
        <w:rPr>
          <w:rFonts w:ascii="Times New Roman" w:cs="Times New Roman" w:eastAsia="Times New Roman" w:hAnsi="Times New Roman"/>
          <w:sz w:val="18"/>
          <w:szCs w:val="18"/>
          <w:u w:val="single" w:color="auto"/>
          <w:color w:val="auto"/>
        </w:rPr>
        <w:t>Mr. Rosen</w:t>
      </w:r>
      <w:r>
        <w:rPr>
          <w:rFonts w:ascii="Times New Roman" w:cs="Times New Roman" w:eastAsia="Times New Roman" w:hAnsi="Times New Roman"/>
          <w:sz w:val="18"/>
          <w:szCs w:val="18"/>
          <w:color w:val="auto"/>
        </w:rPr>
        <w:t>”), Managing Member of Rubric Capital Management GP LLC, the general partner of Rubric Capital.</w:t>
      </w:r>
    </w:p>
    <w:p>
      <w:pPr>
        <w:spacing w:after="0" w:line="225" w:lineRule="exact"/>
        <w:rPr>
          <w:sz w:val="20"/>
          <w:szCs w:val="20"/>
          <w:color w:val="auto"/>
        </w:rPr>
      </w:pPr>
    </w:p>
    <w:p>
      <w:pPr>
        <w:ind w:left="1340" w:right="340"/>
        <w:spacing w:after="0" w:line="312" w:lineRule="auto"/>
        <w:rPr>
          <w:sz w:val="20"/>
          <w:szCs w:val="20"/>
          <w:color w:val="auto"/>
        </w:rPr>
      </w:pPr>
      <w:r>
        <w:rPr>
          <w:rFonts w:ascii="Times New Roman" w:cs="Times New Roman" w:eastAsia="Times New Roman" w:hAnsi="Times New Roman"/>
          <w:sz w:val="17"/>
          <w:szCs w:val="17"/>
          <w:color w:val="auto"/>
        </w:rPr>
        <w:t>The foregoing persons are hereinafter sometimes collectively referred to as the “</w:t>
      </w:r>
      <w:r>
        <w:rPr>
          <w:rFonts w:ascii="Times New Roman" w:cs="Times New Roman" w:eastAsia="Times New Roman" w:hAnsi="Times New Roman"/>
          <w:sz w:val="17"/>
          <w:szCs w:val="17"/>
          <w:u w:val="single" w:color="auto"/>
          <w:color w:val="auto"/>
        </w:rPr>
        <w:t>Reporting Persons</w:t>
      </w:r>
      <w:r>
        <w:rPr>
          <w:rFonts w:ascii="Times New Roman" w:cs="Times New Roman" w:eastAsia="Times New Roman" w:hAnsi="Times New Roman"/>
          <w:sz w:val="17"/>
          <w:szCs w:val="17"/>
          <w:color w:val="auto"/>
        </w:rPr>
        <w:t>.” Any disclosures herein with respect to persons other than the Reporting Persons are made on information and belief after making inquiry to the appropriate party.</w:t>
      </w:r>
    </w:p>
    <w:p>
      <w:pPr>
        <w:spacing w:after="0" w:line="352"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Item 3 of the Schedule 13D is hereby amended by adding the following:</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information set forth in Item 4 of the Schedule 13D is incorporated herein by reference.</w:t>
      </w:r>
    </w:p>
    <w:p>
      <w:pPr>
        <w:spacing w:after="0" w:line="221"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2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Item 4 of the Schedule 13D is hereby amended by adding the following.</w:t>
      </w:r>
    </w:p>
    <w:p>
      <w:pPr>
        <w:spacing w:after="0" w:line="225" w:lineRule="exact"/>
        <w:rPr>
          <w:sz w:val="20"/>
          <w:szCs w:val="20"/>
          <w:color w:val="auto"/>
        </w:rPr>
      </w:pPr>
    </w:p>
    <w:p>
      <w:pPr>
        <w:jc w:val="both"/>
        <w:ind w:left="1340" w:right="420"/>
        <w:spacing w:after="0" w:line="266" w:lineRule="auto"/>
        <w:rPr>
          <w:sz w:val="20"/>
          <w:szCs w:val="20"/>
          <w:color w:val="auto"/>
        </w:rPr>
      </w:pPr>
      <w:r>
        <w:rPr>
          <w:rFonts w:ascii="Times New Roman" w:cs="Times New Roman" w:eastAsia="Times New Roman" w:hAnsi="Times New Roman"/>
          <w:sz w:val="18"/>
          <w:szCs w:val="18"/>
          <w:color w:val="auto"/>
        </w:rPr>
        <w:t>On June 9, 2022, the Reporting Persons delivered a letter to the Issuer discussing in further detail some of the issues set forth in the May 26 13D. The foregoing description of the Reporting Persons’ letter is qualified in its entirety by reference to the full text of the letter, a copy of which is attached hereto as Exhibit 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648"/>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4"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2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Item 5(c) of the Schedule 13D is hereby amended by adding the following:</w:t>
      </w:r>
    </w:p>
    <w:p>
      <w:pPr>
        <w:spacing w:after="0" w:line="225" w:lineRule="exact"/>
        <w:rPr>
          <w:sz w:val="20"/>
          <w:szCs w:val="20"/>
          <w:color w:val="auto"/>
        </w:rPr>
      </w:pPr>
    </w:p>
    <w:p>
      <w:pPr>
        <w:ind w:left="1340" w:right="100" w:hanging="1235"/>
        <w:spacing w:after="0" w:line="282" w:lineRule="auto"/>
        <w:tabs>
          <w:tab w:leader="none" w:pos="1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Between June 6, 2022 to June 8, 2022, the Reporting Persons purchased an additional 358,525 ADRs that represent the Ordinary Shares reported herein at prices ranging from $0.556 to $0.62 per ADR.</w:t>
      </w:r>
    </w:p>
    <w:p>
      <w:pPr>
        <w:spacing w:after="0" w:line="158" w:lineRule="exact"/>
        <w:rPr>
          <w:sz w:val="20"/>
          <w:szCs w:val="20"/>
          <w:color w:val="auto"/>
        </w:rPr>
      </w:pPr>
    </w:p>
    <w:p>
      <w:pPr>
        <w:ind w:left="1340" w:right="360" w:hanging="1241"/>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Item 6 of the Schedule 13D is hereby amended by adding the following:</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information set forth in Item 4 of the Schedule 13D is incorporated herein by reference.</w:t>
      </w:r>
    </w:p>
    <w:p>
      <w:pPr>
        <w:spacing w:after="0" w:line="221"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Item 7 of the Schedule 13D is hereby amended by adding the following:</w:t>
      </w:r>
    </w:p>
    <w:p>
      <w:pPr>
        <w:spacing w:after="0" w:line="225"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0000EE"/>
        </w:rPr>
        <w:t>Exhibit 2:</w:t>
      </w:r>
      <w:r>
        <w:rPr>
          <w:sz w:val="20"/>
          <w:szCs w:val="20"/>
          <w:color w:val="auto"/>
        </w:rPr>
        <w:tab/>
      </w:r>
      <w:r>
        <w:rPr>
          <w:rFonts w:ascii="Times New Roman" w:cs="Times New Roman" w:eastAsia="Times New Roman" w:hAnsi="Times New Roman"/>
          <w:sz w:val="17"/>
          <w:szCs w:val="17"/>
          <w:u w:val="single" w:color="auto"/>
          <w:color w:val="0000EE"/>
        </w:rPr>
        <w:t>Letter from the Reporting Persons to the Issuer dated 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648"/>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Nachmani</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167640</wp:posOffset>
            </wp:positionV>
            <wp:extent cx="160274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274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Cavendish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W1G 0QF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Michael Wyzga,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200" w:lineRule="exact"/>
        <w:rPr>
          <w:sz w:val="20"/>
          <w:szCs w:val="20"/>
          <w:color w:val="auto"/>
        </w:rPr>
      </w:pPr>
    </w:p>
    <w:p>
      <w:pPr>
        <w:spacing w:after="0" w:line="24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am writing you on behalf of Rubric Capital Management LP (together, “Rubric”, “we”, or “our”), whose managed funds and accounts collectively own approximately 13.1% of the common stock of Mereo BioPharma Group plc (the “Company” or “Mereo”).</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current Board has presided over a precipitous decline in the value of shareholders’ investment. As we have communicated privately to you in good faith on several occasions, we believe the Company’s depressed market value, deteriorating financial position and uncertain product pipeline require fresh thinking about the Company’s value creation strategy.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believe the Board must immediately launch a review of the Company’s assets with a view to winding down clinical operations and partnering alvelestat and the Company’s other compounds to the extent possible with an eye to maximizing the value of the cash and rights to setrusumab. The conclusion to us is clear: </w:t>
      </w:r>
      <w:r>
        <w:rPr>
          <w:rFonts w:ascii="Times New Roman" w:cs="Times New Roman" w:eastAsia="Times New Roman" w:hAnsi="Times New Roman"/>
          <w:sz w:val="18"/>
          <w:szCs w:val="18"/>
          <w:u w:val="single" w:color="auto"/>
          <w:color w:val="auto"/>
        </w:rPr>
        <w:t>Mereo shares could be worth more than $4.00 per ADS on a risk-adjusted basis without ascribing any value to alvelestat or etiglimab</w:t>
      </w:r>
      <w:r>
        <w:rPr>
          <w:rFonts w:ascii="Times New Roman" w:cs="Times New Roman" w:eastAsia="Times New Roman" w:hAnsi="Times New Roman"/>
          <w:sz w:val="18"/>
          <w:szCs w:val="18"/>
          <w:color w:val="auto"/>
        </w:rPr>
        <w:t xml:space="preserve">, but the market is ascribing </w:t>
      </w:r>
      <w:r>
        <w:rPr>
          <w:rFonts w:ascii="Times New Roman" w:cs="Times New Roman" w:eastAsia="Times New Roman" w:hAnsi="Times New Roman"/>
          <w:sz w:val="18"/>
          <w:szCs w:val="18"/>
          <w:u w:val="single" w:color="auto"/>
          <w:color w:val="auto"/>
        </w:rPr>
        <w:t>over negative $600 million</w:t>
      </w:r>
      <w:r>
        <w:rPr>
          <w:rFonts w:ascii="Times New Roman" w:cs="Times New Roman" w:eastAsia="Times New Roman" w:hAnsi="Times New Roman"/>
          <w:sz w:val="18"/>
          <w:szCs w:val="18"/>
          <w:color w:val="auto"/>
        </w:rPr>
        <w:t xml:space="preserve"> to the current Board stewardship of the Company and its assets.</w:t>
      </w:r>
    </w:p>
    <w:p>
      <w:pPr>
        <w:spacing w:after="0" w:line="18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 Company’s June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“portfolio prioritization plan” is, in our view, woefully inadequate to address the capital allocation concerns we have with Mereo (and we believe our view is generally shared by investors as Mereo shares traded off as much as 16% that day). The concept that Mereo will “target its investment toward the activities required in support of the EU and UK territories”, when the Company has nowhere near the resources nor expertise to conduct commercialization of those territories on its own, seems profoundly inappropriate given the timeline for the recently commenced Ultragenyx program and the </w:t>
      </w:r>
      <w:r>
        <w:rPr>
          <w:rFonts w:ascii="Times New Roman" w:cs="Times New Roman" w:eastAsia="Times New Roman" w:hAnsi="Times New Roman"/>
          <w:sz w:val="18"/>
          <w:szCs w:val="18"/>
          <w:i w:val="1"/>
          <w:iCs w:val="1"/>
          <w:color w:val="auto"/>
        </w:rPr>
        <w:t>extremely</w:t>
      </w:r>
      <w:r>
        <w:rPr>
          <w:rFonts w:ascii="Times New Roman" w:cs="Times New Roman" w:eastAsia="Times New Roman" w:hAnsi="Times New Roman"/>
          <w:sz w:val="18"/>
          <w:szCs w:val="18"/>
          <w:color w:val="auto"/>
        </w:rPr>
        <w:t xml:space="preserve"> high cost of capital of Mereo. We are deeply disappointed at the Board’s continued failure to take decisive action on alvelestat, etigilimab, and the excessive administrative costs of Mereo.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have communicated with you previously, a few recent events inform our view that the status quo operation of the Company is unacceptable:</w:t>
      </w:r>
    </w:p>
    <w:p>
      <w:pPr>
        <w:spacing w:after="0" w:line="225" w:lineRule="exact"/>
        <w:rPr>
          <w:sz w:val="20"/>
          <w:szCs w:val="20"/>
          <w:color w:val="auto"/>
        </w:rPr>
      </w:pPr>
    </w:p>
    <w:p>
      <w:pPr>
        <w:ind w:left="980" w:right="60" w:hanging="324"/>
        <w:spacing w:after="0" w:line="235"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alvelestat in ASTRAEUS, while providing interesting data about the drug’s clinical utility, poses too high a risk in Phase 3 for Mereo shareholders to bear alone considering the failure of the original desmosine endpoint to achieve statistical significance and the necessary FDA concordance on endpoints in a potential trial. While we hope a partner can be found to take this asset forward given the signal generated on the neutrophil elastase activity and Aα-val</w:t>
      </w:r>
      <w:r>
        <w:rPr>
          <w:rFonts w:ascii="Times New Roman" w:cs="Times New Roman" w:eastAsia="Times New Roman" w:hAnsi="Times New Roman"/>
          <w:sz w:val="29"/>
          <w:szCs w:val="29"/>
          <w:color w:val="auto"/>
          <w:vertAlign w:val="superscript"/>
        </w:rPr>
        <w:t>360</w:t>
      </w:r>
      <w:r>
        <w:rPr>
          <w:rFonts w:ascii="Times New Roman" w:cs="Times New Roman" w:eastAsia="Times New Roman" w:hAnsi="Times New Roman"/>
          <w:sz w:val="18"/>
          <w:szCs w:val="18"/>
          <w:color w:val="auto"/>
        </w:rPr>
        <w:t xml:space="preserve"> endpoints, we do not believe it is in the best interests of shareholders to solely finance a trial at this time.</w:t>
      </w:r>
    </w:p>
    <w:p>
      <w:pPr>
        <w:spacing w:after="0" w:line="1" w:lineRule="exact"/>
        <w:rPr>
          <w:rFonts w:ascii="Times New Roman" w:cs="Times New Roman" w:eastAsia="Times New Roman" w:hAnsi="Times New Roman"/>
          <w:sz w:val="18"/>
          <w:szCs w:val="18"/>
          <w:color w:val="auto"/>
        </w:rPr>
      </w:pPr>
    </w:p>
    <w:p>
      <w:pPr>
        <w:ind w:left="980" w:right="34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SKYSCRAPER-01 and SKYSCRAPER-02 have diminished the market value of all TIGIT antibodies, including etiglimab. While the Company has been clear spending on this program will be limited, it’s time to cut all spending on it.</w:t>
      </w:r>
    </w:p>
    <w:p>
      <w:pPr>
        <w:ind w:left="980" w:right="180" w:hanging="324"/>
        <w:spacing w:after="0" w:line="255"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cost of capital has increased dramatically due to these events and the broad sell-off of biotechnology equities. Mereo’s enterprise value has declined from ~$300 million a year ago to negative $20 million today. The Company burned 10% of its cash in the first quarter and continues to burn cash on a small but expensive full-time staff, clinical trials, and Board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 w:name="page8"/>
    <w:bookmarkEnd w:id="7"/>
    <w:p>
      <w:pPr>
        <w:ind w:right="360"/>
        <w:spacing w:after="0" w:line="282" w:lineRule="auto"/>
        <w:rPr>
          <w:sz w:val="20"/>
          <w:szCs w:val="20"/>
          <w:color w:val="auto"/>
        </w:rPr>
      </w:pPr>
      <w:r>
        <w:rPr>
          <w:rFonts w:ascii="Times New Roman" w:cs="Times New Roman" w:eastAsia="Times New Roman" w:hAnsi="Times New Roman"/>
          <w:sz w:val="18"/>
          <w:szCs w:val="18"/>
          <w:color w:val="auto"/>
        </w:rPr>
        <w:t>To demonstrate our plan for value creation and highlight how much value destruction is being ascribed to the current strategy, we present the following illustrative analysis. Except as indicated, our analysis is based on publicly available information.</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Ultragenyx Partnership Model</w:t>
            </w:r>
          </w:p>
        </w:tc>
        <w:tc>
          <w:tcPr>
            <w:tcW w:w="182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 of OI Patients Globally</w:t>
            </w:r>
          </w:p>
        </w:tc>
        <w:tc>
          <w:tcPr>
            <w:tcW w:w="694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OI Patients ex EU</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2</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3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Total Patients Addressable by Ultragenyx</w:t>
            </w:r>
          </w:p>
        </w:tc>
        <w:tc>
          <w:tcPr>
            <w:tcW w:w="1900" w:type="dxa"/>
            <w:vAlign w:val="bottom"/>
            <w:gridSpan w:val="2"/>
          </w:tcPr>
          <w:p>
            <w:pPr>
              <w:jc w:val="right"/>
              <w:ind w:right="25"/>
              <w:spacing w:after="0" w:line="195" w:lineRule="exact"/>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Peak Penetration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2</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Illustrative Price Per Patient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$150,000 </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Peak Revenue to Ultragenyx ($MM)</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Royalty Rate to Mereo (Net of Sublicense to Novartis)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3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Royalty Revenue to Mereo ($MM)</w:t>
            </w:r>
          </w:p>
        </w:tc>
        <w:tc>
          <w:tcPr>
            <w:tcW w:w="1900" w:type="dxa"/>
            <w:vAlign w:val="bottom"/>
            <w:gridSpan w:val="2"/>
          </w:tcPr>
          <w:p>
            <w:pPr>
              <w:jc w:val="right"/>
              <w:ind w:right="25"/>
              <w:spacing w:after="0" w:line="195" w:lineRule="exact"/>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Royalty Due to Novartis under License Agreement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93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Net Royalty ($MM)</w:t>
            </w:r>
          </w:p>
        </w:tc>
        <w:tc>
          <w:tcPr>
            <w:tcW w:w="1900" w:type="dxa"/>
            <w:vAlign w:val="bottom"/>
            <w:gridSpan w:val="2"/>
          </w:tcPr>
          <w:p>
            <w:pPr>
              <w:jc w:val="right"/>
              <w:ind w:right="25"/>
              <w:spacing w:after="0" w:line="191" w:lineRule="exact"/>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 Multiple for Royalty Transactions</w:t>
            </w:r>
          </w:p>
        </w:tc>
        <w:tc>
          <w:tcPr>
            <w:tcW w:w="190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5.5x</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 Value of Royalty ($MM)</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Milestone Amount ($MM)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Milestones Achieved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5</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Milestones Due to Novartis under License Agreement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Milestones Received ($MM)</w:t>
            </w:r>
          </w:p>
        </w:tc>
        <w:tc>
          <w:tcPr>
            <w:tcW w:w="190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09"/>
        </w:trPr>
        <w:tc>
          <w:tcPr>
            <w:tcW w:w="40" w:type="dxa"/>
            <w:vAlign w:val="bottom"/>
            <w:tcBorders>
              <w:top w:val="single" w:sz="8" w:color="auto"/>
              <w:left w:val="single" w:sz="8" w:color="auto"/>
              <w:bottom w:val="single" w:sz="8" w:color="auto"/>
            </w:tcBorders>
          </w:tcPr>
          <w:p>
            <w:pPr>
              <w:spacing w:after="0"/>
              <w:rPr>
                <w:sz w:val="18"/>
                <w:szCs w:val="18"/>
                <w:color w:val="auto"/>
              </w:rPr>
            </w:pPr>
          </w:p>
        </w:tc>
        <w:tc>
          <w:tcPr>
            <w:tcW w:w="93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Value of Setrusumab Partnership ($MM)</w:t>
            </w:r>
          </w:p>
        </w:tc>
        <w:tc>
          <w:tcPr>
            <w:tcW w:w="18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Probability of Success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2</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Risk Adjusted Value to MREO ($MM)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Adding it all up:</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Risk Adjusted Value of Setrusumab Royalty ($MM)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Risk Adjusted Value for EU Rights ($MM)</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 of Navicixizumab Partnership Value ($MM)</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on Hand as of 3/31/22 ($MM)</w:t>
            </w:r>
          </w:p>
        </w:tc>
        <w:tc>
          <w:tcPr>
            <w:tcW w:w="190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1"/>
        </w:trPr>
        <w:tc>
          <w:tcPr>
            <w:tcW w:w="40" w:type="dxa"/>
            <w:vAlign w:val="bottom"/>
            <w:tcBorders>
              <w:bottom w:val="single" w:sz="8" w:color="auto"/>
            </w:tcBorders>
          </w:tcPr>
          <w:p>
            <w:pPr>
              <w:spacing w:after="0"/>
              <w:rPr>
                <w:sz w:val="23"/>
                <w:szCs w:val="23"/>
                <w:color w:val="auto"/>
              </w:rPr>
            </w:pPr>
          </w:p>
        </w:tc>
        <w:tc>
          <w:tcPr>
            <w:tcW w:w="9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Wind Down Costs ($MM)</w:t>
            </w:r>
          </w:p>
        </w:tc>
        <w:tc>
          <w:tcPr>
            <w:tcW w:w="1900" w:type="dxa"/>
            <w:vAlign w:val="bottom"/>
            <w:tcBorders>
              <w:bottom w:val="single" w:sz="8" w:color="auto"/>
            </w:tcBorders>
            <w:gridSpan w:val="2"/>
          </w:tcPr>
          <w:p>
            <w:pPr>
              <w:jc w:val="right"/>
              <w:spacing w:after="0" w:line="271" w:lineRule="exact"/>
              <w:rPr>
                <w:sz w:val="20"/>
                <w:szCs w:val="20"/>
                <w:color w:val="auto"/>
              </w:rPr>
            </w:pPr>
            <w:r>
              <w:rPr>
                <w:rFonts w:ascii="Times New Roman" w:cs="Times New Roman" w:eastAsia="Times New Roman" w:hAnsi="Times New Roman"/>
                <w:sz w:val="18"/>
                <w:szCs w:val="18"/>
                <w:color w:val="FF0000"/>
              </w:rPr>
              <w:t xml:space="preserve">($25) </w:t>
            </w:r>
            <w:r>
              <w:rPr>
                <w:rFonts w:ascii="Times New Roman" w:cs="Times New Roman" w:eastAsia="Times New Roman" w:hAnsi="Times New Roman"/>
                <w:sz w:val="29"/>
                <w:szCs w:val="29"/>
                <w:color w:val="000000"/>
                <w:vertAlign w:val="superscript"/>
              </w:rPr>
              <w:t>5</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3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Value of Cash + Partnerships</w:t>
            </w:r>
          </w:p>
        </w:tc>
        <w:tc>
          <w:tcPr>
            <w:tcW w:w="1820" w:type="dxa"/>
            <w:vAlign w:val="bottom"/>
            <w:tcBorders>
              <w:right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93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Per MREO ADS</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bottom w:val="single" w:sz="8" w:color="auto"/>
            </w:tcBorders>
          </w:tcPr>
          <w:p>
            <w:pPr>
              <w:spacing w:after="0"/>
              <w:rPr>
                <w:sz w:val="20"/>
                <w:szCs w:val="20"/>
                <w:color w:val="auto"/>
              </w:rPr>
            </w:pPr>
          </w:p>
        </w:tc>
        <w:tc>
          <w:tcPr>
            <w:tcW w:w="93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Upside to Last Closing Price</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544.9%</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Current Enterprise Value of MREO ($MM)</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FF0000"/>
              </w:rPr>
              <w:t xml:space="preserve">($19) </w:t>
            </w:r>
            <w:r>
              <w:rPr>
                <w:rFonts w:ascii="Times New Roman" w:cs="Times New Roman" w:eastAsia="Times New Roman" w:hAnsi="Times New Roman"/>
                <w:sz w:val="29"/>
                <w:szCs w:val="29"/>
                <w:color w:val="000000"/>
                <w:vertAlign w:val="superscript"/>
              </w:rPr>
              <w:t>5</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9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Market Implied Value of Mereo's Current Pipeline and Strategy ($MM)</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FF0000"/>
              </w:rPr>
              <w:t>($617)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Ultragenyx estimate: https://www.ultragenyx.com/our-research/our-pipeline/ux143-for-osteogenesis-imperfecta-mereo-biopharma-collaboration/</w:t>
      </w:r>
    </w:p>
    <w:p>
      <w:pPr>
        <w:spacing w:after="0" w:line="98" w:lineRule="exact"/>
        <w:rPr>
          <w:rFonts w:ascii="Times New Roman" w:cs="Times New Roman" w:eastAsia="Times New Roman" w:hAnsi="Times New Roman"/>
          <w:sz w:val="24"/>
          <w:szCs w:val="24"/>
          <w:color w:val="auto"/>
          <w:vertAlign w:val="superscript"/>
        </w:rPr>
      </w:pPr>
    </w:p>
    <w:p>
      <w:pPr>
        <w:ind w:left="140" w:hanging="132"/>
        <w:spacing w:after="0" w:line="231" w:lineRule="auto"/>
        <w:tabs>
          <w:tab w:leader="none" w:pos="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Sellside estimates.</w:t>
      </w:r>
    </w:p>
    <w:p>
      <w:pPr>
        <w:spacing w:after="0" w:line="98" w:lineRule="exact"/>
        <w:rPr>
          <w:rFonts w:ascii="Times New Roman" w:cs="Times New Roman" w:eastAsia="Times New Roman" w:hAnsi="Times New Roman"/>
          <w:sz w:val="24"/>
          <w:szCs w:val="24"/>
          <w:color w:val="auto"/>
          <w:vertAlign w:val="superscript"/>
        </w:rPr>
      </w:pPr>
    </w:p>
    <w:p>
      <w:pPr>
        <w:ind w:left="140" w:hanging="132"/>
        <w:spacing w:after="0" w:line="231" w:lineRule="auto"/>
        <w:tabs>
          <w:tab w:leader="none" w:pos="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Tiered Double Digit % Royalty on Net Sales per Mereo disclosure. Low single digits sublicense royalty to Novartis per 20-F.</w:t>
      </w:r>
    </w:p>
    <w:p>
      <w:pPr>
        <w:spacing w:after="0" w:line="98" w:lineRule="exact"/>
        <w:rPr>
          <w:rFonts w:ascii="Times New Roman" w:cs="Times New Roman" w:eastAsia="Times New Roman" w:hAnsi="Times New Roman"/>
          <w:sz w:val="24"/>
          <w:szCs w:val="24"/>
          <w:color w:val="auto"/>
          <w:vertAlign w:val="superscript"/>
        </w:rPr>
      </w:pPr>
    </w:p>
    <w:p>
      <w:pPr>
        <w:ind w:left="140" w:hanging="132"/>
        <w:spacing w:after="0" w:line="231" w:lineRule="auto"/>
        <w:tabs>
          <w:tab w:leader="none" w:pos="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Based on split of Ultragenyx upfront payment per Mereo filings.</w:t>
      </w:r>
    </w:p>
    <w:p>
      <w:pPr>
        <w:spacing w:after="0" w:line="98" w:lineRule="exact"/>
        <w:rPr>
          <w:rFonts w:ascii="Times New Roman" w:cs="Times New Roman" w:eastAsia="Times New Roman" w:hAnsi="Times New Roman"/>
          <w:sz w:val="24"/>
          <w:szCs w:val="24"/>
          <w:color w:val="auto"/>
          <w:vertAlign w:val="superscript"/>
        </w:rPr>
      </w:pPr>
    </w:p>
    <w:p>
      <w:pPr>
        <w:ind w:left="140" w:hanging="132"/>
        <w:spacing w:after="0" w:line="231" w:lineRule="auto"/>
        <w:tabs>
          <w:tab w:leader="none" w:pos="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Rubric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right="680"/>
        <w:spacing w:after="0" w:line="282" w:lineRule="auto"/>
        <w:rPr>
          <w:sz w:val="20"/>
          <w:szCs w:val="20"/>
          <w:color w:val="auto"/>
        </w:rPr>
      </w:pPr>
      <w:r>
        <w:rPr>
          <w:rFonts w:ascii="Times New Roman" w:cs="Times New Roman" w:eastAsia="Times New Roman" w:hAnsi="Times New Roman"/>
          <w:sz w:val="18"/>
          <w:szCs w:val="18"/>
          <w:color w:val="auto"/>
        </w:rPr>
        <w:t>To further highlight this mismatch in value, here is what Dr. Emil Kakkis, the President and CEO of Ultragenyx had to say at the Morgan Stanley Conference last September regarding the prospects of setrusumab:</w:t>
      </w:r>
    </w:p>
    <w:p>
      <w:pPr>
        <w:spacing w:after="0" w:line="162"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 xml:space="preserve">I do think that the osteogenesis imperfecta program is not getting enough attention. I do think it's also an advanced stage program like the gene therapy. In some ways, it's a little more straightforward. And it's right up our alley, and </w:t>
      </w:r>
      <w:r>
        <w:rPr>
          <w:rFonts w:ascii="Times New Roman" w:cs="Times New Roman" w:eastAsia="Times New Roman" w:hAnsi="Times New Roman"/>
          <w:sz w:val="18"/>
          <w:szCs w:val="18"/>
          <w:b w:val="1"/>
          <w:bCs w:val="1"/>
          <w:u w:val="single" w:color="auto"/>
          <w:color w:val="auto"/>
        </w:rPr>
        <w:t>it's bigger than XLH, in our mind, in terms of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of patients and value</w:t>
      </w:r>
      <w:r>
        <w:rPr>
          <w:rFonts w:ascii="Times New Roman" w:cs="Times New Roman" w:eastAsia="Times New Roman" w:hAnsi="Times New Roman"/>
          <w:sz w:val="18"/>
          <w:szCs w:val="18"/>
          <w:color w:val="auto"/>
        </w:rPr>
        <w:t>. So, I think OI should probably -- I think the other thing is, as a company, we are incredibly effective and efficient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discovering how to develop things and getting them done. (emphasis added)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When the CEO of the company holding the rights to setrusumab is saying it could be larger than its own “blockbuster” drug CRYSVITA–which consensus expectations have as generating over $1 billion in peak revenue–and Mereo–which is owed up to $254 million in potential milestones payments and a double-digit royalty on sales of the drug–is trading at </w:t>
      </w:r>
      <w:r>
        <w:rPr>
          <w:rFonts w:ascii="Times New Roman" w:cs="Times New Roman" w:eastAsia="Times New Roman" w:hAnsi="Times New Roman"/>
          <w:sz w:val="18"/>
          <w:szCs w:val="18"/>
          <w:u w:val="single" w:color="auto"/>
          <w:color w:val="auto"/>
        </w:rPr>
        <w:t>negative</w:t>
      </w:r>
      <w:r>
        <w:rPr>
          <w:rFonts w:ascii="Times New Roman" w:cs="Times New Roman" w:eastAsia="Times New Roman" w:hAnsi="Times New Roman"/>
          <w:sz w:val="18"/>
          <w:szCs w:val="18"/>
          <w:color w:val="auto"/>
        </w:rPr>
        <w:t xml:space="preserve"> ~$20 million enterprise value, it becomes startlingly clear that a course correction at Mereo is needed immediately to unlock this value.</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conclusion, the Company is at a crucial juncture and navigating this situation requires decisive action. Given the Board’s limited direct shareholder ownership (who, to our knowledge, own less than 1% of shares outstanding (excluding options) and have not made any open market purchases in the last year) and considering Mereo’s current high cost of capital, we do not currently believe there is proper alignment between shareholders and the Board regarding the maximization of the Company’s valuable assets, both financial and operational. The funding environment and risk tolerance in the biotech market globally has changed dramatically for the worse in the last 18 months. While shareholders have suffered enormously, Mereo’s management and Board continue to ignore this new reality. In our view, the opportunity in Mereo shares is too large to maintain the status quo. Failing such action, we reserve our rights as shareholders to take further steps to protect and maximize the interests of all shareholders.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Roman"/>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2022-06-09T07:02:47Z</dcterms:created>
  <dcterms:modified xsi:type="dcterms:W3CDTF">2022-06-09T07:02:47Z</dcterms:modified>
</cp:coreProperties>
</file>