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567055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584200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0" w:lineRule="exact"/>
        <w:rPr>
          <w:sz w:val="24"/>
          <w:szCs w:val="24"/>
          <w:color w:val="auto"/>
        </w:rPr>
      </w:pPr>
    </w:p>
    <w:p>
      <w:pPr>
        <w:ind w:left="380" w:hanging="359"/>
        <w:spacing w:after="0"/>
        <w:tabs>
          <w:tab w:leader="none" w:pos="3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2024</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7" w:lineRule="exact"/>
        <w:rPr>
          <w:sz w:val="24"/>
          <w:szCs w:val="24"/>
          <w:color w:val="auto"/>
        </w:rPr>
      </w:pPr>
    </w:p>
    <w:p>
      <w:pPr>
        <w:ind w:left="380" w:hanging="359"/>
        <w:spacing w:after="0"/>
        <w:tabs>
          <w:tab w:leader="none" w:pos="3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942" w:right="339" w:bottom="1440" w:gutter="0" w:footer="0" w:header="0"/>
        </w:sectPr>
      </w:pPr>
    </w:p>
    <w:p>
      <w:pPr>
        <w:spacing w:after="0" w:line="8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8"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Commission File Number 001-38452</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58" w:lineRule="exact"/>
        <w:rPr>
          <w:sz w:val="24"/>
          <w:szCs w:val="24"/>
          <w:color w:val="auto"/>
        </w:rPr>
      </w:pPr>
    </w:p>
    <w:p>
      <w:pPr>
        <w:sectPr>
          <w:pgSz w:w="11900" w:h="16838" w:orient="portrait"/>
          <w:cols w:equalWidth="0" w:num="2">
            <w:col w:w="6940" w:space="200"/>
            <w:col w:w="4100"/>
          </w:cols>
          <w:pgMar w:left="320" w:top="94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5"/>
          <w:szCs w:val="25"/>
          <w:b w:val="1"/>
          <w:bCs w:val="1"/>
          <w:color w:val="auto"/>
        </w:rPr>
        <w:t>MEREO BIOPHARMA GROUP PLC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288"/>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One Cavendish Place, 4</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Floor</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2"/>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London, W1G 0QF</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29"/>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5720" w:type="dxa"/>
            <w:vAlign w:val="bottom"/>
            <w:gridSpan w:val="2"/>
          </w:tcPr>
          <w:p>
            <w:pPr>
              <w:jc w:val="right"/>
              <w:ind w:right="2085"/>
              <w:spacing w:after="0"/>
              <w:rPr>
                <w:sz w:val="20"/>
                <w:szCs w:val="20"/>
                <w:color w:val="auto"/>
              </w:rPr>
            </w:pPr>
            <w:r>
              <w:rPr>
                <w:rFonts w:ascii="Times New Roman" w:cs="Times New Roman" w:eastAsia="Times New Roman" w:hAnsi="Times New Roman"/>
                <w:sz w:val="16"/>
                <w:szCs w:val="16"/>
                <w:b w:val="1"/>
                <w:bCs w:val="1"/>
                <w:color w:val="auto"/>
              </w:rPr>
              <w:t>+44-333-023-7300</w:t>
            </w:r>
          </w:p>
        </w:tc>
      </w:tr>
      <w:tr>
        <w:trPr>
          <w:trHeight w:val="254"/>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0" w:type="dxa"/>
            <w:vAlign w:val="bottom"/>
          </w:tcPr>
          <w:p>
            <w:pPr>
              <w:spacing w:after="0"/>
              <w:rPr>
                <w:sz w:val="22"/>
                <w:szCs w:val="22"/>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r>
    </w:tbl>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3" w:lineRule="exact"/>
        <w:rPr>
          <w:sz w:val="24"/>
          <w:szCs w:val="24"/>
          <w:color w:val="auto"/>
        </w:rPr>
      </w:pPr>
    </w:p>
    <w:tbl>
      <w:tblPr>
        <w:tblLayout w:type="fixed"/>
        <w:tblInd w:w="220" w:type="dxa"/>
        <w:tblCellMar>
          <w:top w:w="0" w:type="dxa"/>
          <w:left w:w="0" w:type="dxa"/>
          <w:bottom w:w="0" w:type="dxa"/>
          <w:right w:w="0" w:type="dxa"/>
        </w:tblCellMar>
      </w:tblPr>
      <w:tr>
        <w:trPr>
          <w:trHeight w:val="186"/>
        </w:trPr>
        <w:tc>
          <w:tcPr>
            <w:tcW w:w="442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6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2"/>
        </w:trPr>
        <w:tc>
          <w:tcPr>
            <w:tcW w:w="4420" w:type="dxa"/>
            <w:vAlign w:val="bottom"/>
          </w:tcPr>
          <w:p>
            <w:pPr>
              <w:jc w:val="center"/>
              <w:ind w:right="382"/>
              <w:spacing w:after="0"/>
              <w:rPr>
                <w:sz w:val="20"/>
                <w:szCs w:val="20"/>
                <w:color w:val="auto"/>
              </w:rPr>
            </w:pPr>
            <w:r>
              <w:rPr>
                <w:rFonts w:ascii="Times New Roman" w:cs="Times New Roman" w:eastAsia="Times New Roman" w:hAnsi="Times New Roman"/>
                <w:sz w:val="16"/>
                <w:szCs w:val="16"/>
                <w:color w:val="auto"/>
              </w:rPr>
              <w:t>American Depositary Shares, each representing five ordinary</w:t>
            </w:r>
          </w:p>
        </w:tc>
        <w:tc>
          <w:tcPr>
            <w:tcW w:w="2360" w:type="dxa"/>
            <w:vAlign w:val="bottom"/>
          </w:tcPr>
          <w:p>
            <w:pPr>
              <w:jc w:val="center"/>
              <w:ind w:right="184"/>
              <w:spacing w:after="0"/>
              <w:rPr>
                <w:sz w:val="20"/>
                <w:szCs w:val="20"/>
                <w:color w:val="auto"/>
              </w:rPr>
            </w:pPr>
            <w:r>
              <w:rPr>
                <w:rFonts w:ascii="Times New Roman" w:cs="Times New Roman" w:eastAsia="Times New Roman" w:hAnsi="Times New Roman"/>
                <w:sz w:val="16"/>
                <w:szCs w:val="16"/>
                <w:color w:val="auto"/>
                <w:w w:val="99"/>
              </w:rPr>
              <w:t>MREO</w:t>
            </w:r>
          </w:p>
        </w:tc>
        <w:tc>
          <w:tcPr>
            <w:tcW w:w="3420" w:type="dxa"/>
            <w:vAlign w:val="bottom"/>
          </w:tcPr>
          <w:p>
            <w:pPr>
              <w:jc w:val="center"/>
              <w:ind w:left="642"/>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42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rPr>
              <w:t>shares, nominal value of £0.003 per share</w:t>
            </w:r>
          </w:p>
        </w:tc>
        <w:tc>
          <w:tcPr>
            <w:tcW w:w="23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42"/>
        </w:trPr>
        <w:tc>
          <w:tcPr>
            <w:tcW w:w="4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2360" w:type="dxa"/>
            <w:vAlign w:val="bottom"/>
          </w:tcPr>
          <w:p>
            <w:pPr>
              <w:spacing w:after="0"/>
              <w:rPr>
                <w:sz w:val="21"/>
                <w:szCs w:val="21"/>
                <w:color w:val="auto"/>
              </w:rPr>
            </w:pPr>
          </w:p>
        </w:tc>
        <w:tc>
          <w:tcPr>
            <w:tcW w:w="3420" w:type="dxa"/>
            <w:vAlign w:val="bottom"/>
          </w:tcPr>
          <w:p>
            <w:pPr>
              <w:jc w:val="center"/>
              <w:ind w:left="682"/>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8" w:lineRule="exact"/>
        <w:rPr>
          <w:sz w:val="24"/>
          <w:szCs w:val="24"/>
          <w:color w:val="auto"/>
        </w:rPr>
      </w:pPr>
    </w:p>
    <w:p>
      <w:pPr>
        <w:ind w:right="60" w:firstLine="8"/>
        <w:spacing w:after="0" w:line="258" w:lineRule="auto"/>
        <w:tabs>
          <w:tab w:leader="none" w:pos="1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 trading, but only in connection with the registration of American Depositary Shares representing such Ordinary Shares pursuant to the requirements of the U.S. 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29" w:lineRule="exact"/>
        <w:rPr>
          <w:sz w:val="24"/>
          <w:szCs w:val="24"/>
          <w:color w:val="auto"/>
        </w:rPr>
      </w:pPr>
    </w:p>
    <w:p>
      <w:pPr>
        <w:ind w:right="4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23"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97"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w:t>
            </w:r>
          </w:p>
        </w:tc>
        <w:tc>
          <w:tcPr>
            <w:tcW w:w="290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w:t>
            </w:r>
          </w:p>
        </w:tc>
        <w:tc>
          <w:tcPr>
            <w:tcW w:w="294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tc>
        <w:tc>
          <w:tcPr>
            <w:tcW w:w="272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w w:val="98"/>
              </w:rPr>
              <w:t xml:space="preserve">Smaller reporting company </w:t>
            </w:r>
            <w:r>
              <w:rPr>
                <w:rFonts w:ascii="MS PGothic" w:cs="MS PGothic" w:eastAsia="MS PGothic" w:hAnsi="MS PGothic"/>
                <w:sz w:val="17"/>
                <w:szCs w:val="17"/>
                <w:color w:val="auto"/>
                <w:w w:val="98"/>
              </w:rPr>
              <w:t>☒</w:t>
            </w:r>
          </w:p>
        </w:tc>
      </w:tr>
      <w:tr>
        <w:trPr>
          <w:trHeight w:val="286"/>
        </w:trPr>
        <w:tc>
          <w:tcPr>
            <w:tcW w:w="2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72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w w:val="98"/>
              </w:rPr>
              <w:t xml:space="preserve">Emerging growth company </w:t>
            </w:r>
            <w:r>
              <w:rPr>
                <w:rFonts w:ascii="MS PGothic" w:cs="MS PGothic" w:eastAsia="MS PGothic" w:hAnsi="MS PGothic"/>
                <w:sz w:val="17"/>
                <w:szCs w:val="17"/>
                <w:color w:val="auto"/>
                <w:w w:val="98"/>
              </w:rPr>
              <w:t>☒</w:t>
            </w:r>
          </w:p>
        </w:tc>
      </w:tr>
    </w:tbl>
    <w:p>
      <w:pPr>
        <w:spacing w:after="0" w:line="8" w:lineRule="exact"/>
        <w:rPr>
          <w:sz w:val="24"/>
          <w:szCs w:val="24"/>
          <w:color w:val="auto"/>
        </w:rPr>
      </w:pPr>
    </w:p>
    <w:p>
      <w:pPr>
        <w:jc w:val="both"/>
        <w:ind w:right="40"/>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Wingdings" w:cs="Wingdings" w:eastAsia="Wingdings" w:hAnsi="Wingdings"/>
          <w:sz w:val="17"/>
          <w:szCs w:val="17"/>
          <w:b w:val="1"/>
          <w:bCs w:val="1"/>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May 15, 2024 the number of outstanding ordinary shares, par value £0.003 per share, of the registrant was 701,363,484.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816610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4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9"/>
        </w:trPr>
        <w:tc>
          <w:tcPr>
            <w:tcW w:w="20" w:type="dxa"/>
            <w:vAlign w:val="bottom"/>
            <w:tcBorders>
              <w:bottom w:val="single" w:sz="8" w:color="0000EE"/>
            </w:tcBorders>
          </w:tcPr>
          <w:p>
            <w:pPr>
              <w:spacing w:after="0"/>
              <w:rPr>
                <w:sz w:val="21"/>
                <w:szCs w:val="21"/>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40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5420" w:type="dxa"/>
            <w:vAlign w:val="bottom"/>
            <w:tcBorders>
              <w:left w:val="single" w:sz="8" w:color="0000FF"/>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64"/>
        </w:trPr>
        <w:tc>
          <w:tcPr>
            <w:tcW w:w="20" w:type="dxa"/>
            <w:vAlign w:val="bottom"/>
            <w:tcBorders>
              <w:bottom w:val="single" w:sz="8" w:color="0000EE"/>
            </w:tcBorders>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340" w:type="dxa"/>
            <w:vAlign w:val="bottom"/>
            <w:gridSpan w:val="2"/>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Item1.</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9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4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64"/>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1225"/>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7" w:lineRule="exact"/>
        <w:rPr>
          <w:sz w:val="20"/>
          <w:szCs w:val="20"/>
          <w:color w:val="auto"/>
        </w:rPr>
      </w:pPr>
    </w:p>
    <w:p>
      <w:pPr>
        <w:ind w:right="540" w:firstLine="749"/>
        <w:spacing w:after="0" w:line="245" w:lineRule="exact"/>
        <w:rPr>
          <w:sz w:val="20"/>
          <w:szCs w:val="20"/>
          <w:color w:val="auto"/>
        </w:rPr>
      </w:pPr>
      <w:r>
        <w:rPr>
          <w:rFonts w:ascii="Times New Roman" w:cs="Times New Roman" w:eastAsia="Times New Roman" w:hAnsi="Times New Roman"/>
          <w:sz w:val="18"/>
          <w:szCs w:val="18"/>
          <w:color w:val="auto"/>
        </w:rPr>
        <w:t>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(“Quarterly Report”), “Mereo,” the “Group,” the “Company,” “we,” “us” and “our” refer to Mereo BioPharma Group plc and its consolidated subsidiaries, except where the context otherwise requires.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“believe,” “may,” “will,” “estimate,” “continue,” “anticipate,” “intend,” “expect” or the negative of these words or other comparable terminology.</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of our Annual Report on Form 10-K for the year ended December 31, 2023.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7"/>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5"/>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MEREO BIOPHARMA GROUP PLC</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5"/>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78"/>
        </w:trPr>
        <w:tc>
          <w:tcPr>
            <w:tcW w:w="7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0"/>
        </w:trPr>
        <w:tc>
          <w:tcPr>
            <w:tcW w:w="7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48,660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57,421</w:t>
            </w: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3,188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5,156</w:t>
            </w:r>
          </w:p>
        </w:tc>
      </w:tr>
      <w:tr>
        <w:trPr>
          <w:trHeight w:val="242"/>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1,648</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53,496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63,760</w:t>
            </w:r>
          </w:p>
        </w:tc>
      </w:tr>
      <w:tr>
        <w:trPr>
          <w:trHeight w:val="24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w:t>
            </w:r>
          </w:p>
        </w:tc>
      </w:tr>
      <w:tr>
        <w:trPr>
          <w:trHeight w:val="242"/>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1,089</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55,937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66,499</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2,455</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2,346</w:t>
            </w: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5,467</w:t>
            </w:r>
          </w:p>
        </w:tc>
      </w:tr>
      <w:tr>
        <w:trPr>
          <w:trHeight w:val="24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4,630</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6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r>
      <w:tr>
        <w:trPr>
          <w:trHeight w:val="242"/>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11,004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9,486</w:t>
            </w:r>
          </w:p>
        </w:tc>
      </w:tr>
      <w:tr>
        <w:trPr>
          <w:trHeight w:val="24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loan notes – non-current</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4,394</w:t>
            </w: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26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r>
      <w:tr>
        <w:trPr>
          <w:trHeight w:val="24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727</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906</w:t>
            </w: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13,099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15,962</w:t>
            </w: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1"/>
        </w:trPr>
        <w:tc>
          <w:tcPr>
            <w:tcW w:w="7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 par value £0.003 per share; 701,349,434 shares issued at March 31, 2024 (December</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2023: 701,217,089).</w:t>
            </w:r>
          </w:p>
        </w:tc>
        <w:tc>
          <w:tcPr>
            <w:tcW w:w="26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2,775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2,775</w:t>
            </w: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486,927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486,107</w:t>
            </w:r>
          </w:p>
        </w:tc>
      </w:tr>
      <w:tr>
        <w:trPr>
          <w:trHeight w:val="24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(428,581 )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(419,630 )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(18,283 )</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(17,485 )</w:t>
            </w: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42,838</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50,537</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55,937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66,499</w:t>
            </w: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5975985</wp:posOffset>
            </wp:positionH>
            <wp:positionV relativeFrom="paragraph">
              <wp:posOffset>-4697730</wp:posOffset>
            </wp:positionV>
            <wp:extent cx="111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-4074160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-2656205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-187325</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7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4"/>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r>
      <w:tr>
        <w:trPr>
          <w:trHeight w:val="23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(5,307 )</w:t>
            </w:r>
          </w:p>
        </w:tc>
      </w:tr>
      <w:tr>
        <w:trPr>
          <w:trHeight w:val="242"/>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(5,906 )</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(6,450 )</w:t>
            </w: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(11,410 )</w:t>
            </w:r>
          </w:p>
        </w:tc>
      </w:tr>
      <w:tr>
        <w:trPr>
          <w:trHeight w:val="244"/>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r>
      <w:tr>
        <w:trPr>
          <w:trHeight w:val="24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the fair value of financial instruments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w:t>
            </w:r>
          </w:p>
        </w:tc>
      </w:tr>
      <w:tr>
        <w:trPr>
          <w:trHeight w:val="24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(1,207 )</w:t>
            </w: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28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2"/>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(12,076 )</w:t>
            </w:r>
          </w:p>
        </w:tc>
      </w:tr>
      <w:tr>
        <w:trPr>
          <w:trHeight w:val="24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(8,951 )</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(12,076 )</w:t>
            </w:r>
          </w:p>
        </w:tc>
      </w:tr>
      <w:tr>
        <w:trPr>
          <w:trHeight w:val="20"/>
        </w:trPr>
        <w:tc>
          <w:tcPr>
            <w:tcW w:w="7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7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8"/>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r>
      <w:tr>
        <w:trPr>
          <w:trHeight w:val="236"/>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700,263,490</w:t>
            </w:r>
          </w:p>
        </w:tc>
        <w:tc>
          <w:tcPr>
            <w:tcW w:w="1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623,925,635</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7"/>
        </w:trPr>
        <w:tc>
          <w:tcPr>
            <w:tcW w:w="7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2"/>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(8,951 )</w:t>
            </w:r>
          </w:p>
        </w:tc>
        <w:tc>
          <w:tcPr>
            <w:tcW w:w="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(12,076 )</w:t>
            </w: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 Foreign currency transaction adjustments, net of tax</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2,278</w:t>
            </w:r>
          </w:p>
        </w:tc>
      </w:tr>
      <w:tr>
        <w:trPr>
          <w:trHeight w:val="278"/>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(9,749 )</w:t>
            </w: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-2886710</wp:posOffset>
            </wp:positionV>
            <wp:extent cx="1022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-1647825</wp:posOffset>
            </wp:positionV>
            <wp:extent cx="1022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-1332230</wp:posOffset>
            </wp:positionV>
            <wp:extent cx="102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-836295</wp:posOffset>
            </wp:positionV>
            <wp:extent cx="102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-24765</wp:posOffset>
            </wp:positionV>
            <wp:extent cx="102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235"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-7620</wp:posOffset>
            </wp:positionV>
            <wp:extent cx="102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235"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20" w:type="dxa"/>
            <w:vAlign w:val="bottom"/>
          </w:tcPr>
          <w:p>
            <w:pPr>
              <w:spacing w:after="0"/>
              <w:rPr>
                <w:sz w:val="21"/>
                <w:szCs w:val="21"/>
                <w:color w:val="auto"/>
              </w:rPr>
            </w:pPr>
          </w:p>
        </w:tc>
        <w:tc>
          <w:tcPr>
            <w:tcW w:w="352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77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(8,951 )</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(12,076 )</w:t>
            </w:r>
          </w:p>
        </w:tc>
      </w:tr>
      <w:tr>
        <w:trPr>
          <w:trHeight w:val="24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1,635</w:t>
            </w:r>
          </w:p>
        </w:tc>
      </w:tr>
      <w:tr>
        <w:trPr>
          <w:trHeight w:val="24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24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4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(gain)/loss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1,207</w:t>
            </w:r>
          </w:p>
        </w:tc>
      </w:tr>
      <w:tr>
        <w:trPr>
          <w:trHeight w:val="24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w:t>
            </w:r>
          </w:p>
        </w:tc>
      </w:tr>
      <w:tr>
        <w:trPr>
          <w:trHeight w:val="24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(499 )</w:t>
            </w: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r>
      <w:tr>
        <w:trPr>
          <w:trHeight w:val="24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(3,098 )</w:t>
            </w: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(7,991 )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(9,248 )</w:t>
            </w:r>
          </w:p>
        </w:tc>
      </w:tr>
      <w:tr>
        <w:trPr>
          <w:trHeight w:val="242"/>
        </w:trPr>
        <w:tc>
          <w:tcPr>
            <w:tcW w:w="7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(700 )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(419 )</w:t>
            </w:r>
          </w:p>
        </w:tc>
      </w:tr>
      <w:tr>
        <w:trPr>
          <w:trHeight w:val="47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0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(8,691 )</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(9,667 )</w:t>
            </w: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57,421</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68,182</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1,293</w:t>
            </w:r>
          </w:p>
        </w:tc>
      </w:tr>
      <w:tr>
        <w:trPr>
          <w:trHeight w:val="27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March 31</w:t>
            </w:r>
          </w:p>
        </w:tc>
        <w:tc>
          <w:tcPr>
            <w:tcW w:w="102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48,660</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59,808</w:t>
            </w:r>
          </w:p>
        </w:tc>
      </w:tr>
      <w:tr>
        <w:trPr>
          <w:trHeight w:val="46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0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4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the amounts included in the measurement of operating lease liabilities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5975985</wp:posOffset>
            </wp:positionH>
            <wp:positionV relativeFrom="paragraph">
              <wp:posOffset>-793750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-776605</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900" w:type="dxa"/>
            <w:vAlign w:val="bottom"/>
            <w:gridSpan w:val="4"/>
            <w:vMerge w:val="restart"/>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2"/>
                <w:szCs w:val="12"/>
                <w:color w:val="auto"/>
              </w:rPr>
            </w:pPr>
          </w:p>
        </w:tc>
        <w:tc>
          <w:tcPr>
            <w:tcW w:w="1760" w:type="dxa"/>
            <w:vAlign w:val="bottom"/>
            <w:gridSpan w:val="4"/>
            <w:vMerge w:val="restart"/>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3"/>
              <w:spacing w:after="0" w:line="14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33"/>
              <w:spacing w:after="0" w:line="14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33"/>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880" w:type="dxa"/>
            <w:vAlign w:val="bottom"/>
          </w:tcPr>
          <w:p>
            <w:pPr>
              <w:spacing w:after="0"/>
              <w:rPr>
                <w:sz w:val="14"/>
                <w:szCs w:val="14"/>
                <w:color w:val="auto"/>
              </w:rPr>
            </w:pPr>
          </w:p>
        </w:tc>
        <w:tc>
          <w:tcPr>
            <w:tcW w:w="190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1100" w:type="dxa"/>
            <w:vAlign w:val="bottom"/>
            <w:gridSpan w:val="2"/>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4"/>
                <w:szCs w:val="14"/>
                <w:color w:val="auto"/>
              </w:rPr>
            </w:pPr>
          </w:p>
        </w:tc>
        <w:tc>
          <w:tcPr>
            <w:tcW w:w="100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68"/>
        </w:trPr>
        <w:tc>
          <w:tcPr>
            <w:tcW w:w="2880" w:type="dxa"/>
            <w:vAlign w:val="bottom"/>
          </w:tcPr>
          <w:p>
            <w:pPr>
              <w:spacing w:after="0"/>
              <w:rPr>
                <w:sz w:val="14"/>
                <w:szCs w:val="14"/>
                <w:color w:val="auto"/>
              </w:rPr>
            </w:pPr>
          </w:p>
        </w:tc>
        <w:tc>
          <w:tcPr>
            <w:tcW w:w="9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(loss)/income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9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701,217,089</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2,775</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923,400</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(1,230 )</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486,107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(17,485 )</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(419,630 )</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50,537</w:t>
            </w:r>
          </w:p>
        </w:tc>
        <w:tc>
          <w:tcPr>
            <w:tcW w:w="0" w:type="dxa"/>
            <w:vAlign w:val="bottom"/>
          </w:tcPr>
          <w:p>
            <w:pPr>
              <w:spacing w:after="0"/>
              <w:rPr>
                <w:sz w:val="1"/>
                <w:szCs w:val="1"/>
                <w:color w:val="auto"/>
              </w:rPr>
            </w:pPr>
          </w:p>
        </w:tc>
      </w:tr>
      <w:tr>
        <w:trPr>
          <w:trHeight w:val="168"/>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(8,951 )</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(8,951 )</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(798 )</w:t>
            </w:r>
          </w:p>
        </w:tc>
        <w:tc>
          <w:tcPr>
            <w:tcW w:w="0" w:type="dxa"/>
            <w:vAlign w:val="bottom"/>
          </w:tcPr>
          <w:p>
            <w:pPr>
              <w:spacing w:after="0"/>
              <w:rPr>
                <w:sz w:val="1"/>
                <w:szCs w:val="1"/>
                <w:color w:val="auto"/>
              </w:rPr>
            </w:pPr>
          </w:p>
        </w:tc>
      </w:tr>
      <w:tr>
        <w:trPr>
          <w:trHeight w:val="17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2,050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2,050</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132,345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(210,485 )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Delivery of shares on vesting of restricted stock</w:t>
            </w: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(712,915 )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8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701,349,434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2,775</w:t>
            </w:r>
          </w:p>
        </w:tc>
        <w:tc>
          <w:tcPr>
            <w:tcW w:w="120" w:type="dxa"/>
            <w:vAlign w:val="bottom"/>
          </w:tcPr>
          <w:p>
            <w:pPr>
              <w:spacing w:after="0"/>
              <w:rPr>
                <w:sz w:val="14"/>
                <w:szCs w:val="14"/>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486,927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(18,283 )</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(428,581 )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42,838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9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624,928,519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2,478</w:t>
            </w:r>
          </w:p>
        </w:tc>
        <w:tc>
          <w:tcPr>
            <w:tcW w:w="110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1,003,030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(1,335 )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476,521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(21,687 )</w:t>
            </w:r>
          </w:p>
        </w:tc>
        <w:tc>
          <w:tcPr>
            <w:tcW w:w="2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(404,575 )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51,402</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(12,076 )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(12,076 )</w:t>
            </w:r>
          </w:p>
        </w:tc>
        <w:tc>
          <w:tcPr>
            <w:tcW w:w="0" w:type="dxa"/>
            <w:vAlign w:val="bottom"/>
          </w:tcPr>
          <w:p>
            <w:pPr>
              <w:spacing w:after="0"/>
              <w:rPr>
                <w:sz w:val="1"/>
                <w:szCs w:val="1"/>
                <w:color w:val="auto"/>
              </w:rPr>
            </w:pPr>
          </w:p>
        </w:tc>
      </w:tr>
      <w:tr>
        <w:trPr>
          <w:trHeight w:val="17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2,278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2,278</w:t>
            </w:r>
          </w:p>
        </w:tc>
        <w:tc>
          <w:tcPr>
            <w:tcW w:w="0" w:type="dxa"/>
            <w:vAlign w:val="bottom"/>
          </w:tcPr>
          <w:p>
            <w:pPr>
              <w:spacing w:after="0"/>
              <w:rPr>
                <w:sz w:val="1"/>
                <w:szCs w:val="1"/>
                <w:color w:val="auto"/>
              </w:rPr>
            </w:pPr>
          </w:p>
        </w:tc>
      </w:tr>
      <w:tr>
        <w:trPr>
          <w:trHeight w:val="149"/>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Extinguishment and reissuance of convertible loan</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1,161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1,161</w:t>
            </w:r>
          </w:p>
        </w:tc>
        <w:tc>
          <w:tcPr>
            <w:tcW w:w="0" w:type="dxa"/>
            <w:vAlign w:val="bottom"/>
          </w:tcPr>
          <w:p>
            <w:pPr>
              <w:spacing w:after="0"/>
              <w:rPr>
                <w:sz w:val="1"/>
                <w:szCs w:val="1"/>
                <w:color w:val="auto"/>
              </w:rPr>
            </w:pPr>
          </w:p>
        </w:tc>
      </w:tr>
      <w:tr>
        <w:trPr>
          <w:trHeight w:val="175"/>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1,635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1,635</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2023</w:t>
            </w: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624,928,519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2,478</w:t>
            </w:r>
          </w:p>
        </w:tc>
        <w:tc>
          <w:tcPr>
            <w:tcW w:w="110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1,003,030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(1,335 )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479,317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(19,409 )</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(416,651 )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44,400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-1050290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-1050290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-1050290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-1050290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-1050290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5694045</wp:posOffset>
            </wp:positionH>
            <wp:positionV relativeFrom="paragraph">
              <wp:posOffset>-1050290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6394450</wp:posOffset>
            </wp:positionH>
            <wp:positionV relativeFrom="paragraph">
              <wp:posOffset>-1050290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-144780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-144780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-144780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-144780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-144780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5694045</wp:posOffset>
            </wp:positionH>
            <wp:positionV relativeFrom="paragraph">
              <wp:posOffset>-144780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6394450</wp:posOffset>
            </wp:positionH>
            <wp:positionV relativeFrom="paragraph">
              <wp:posOffset>-144780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7" w:name="page8"/>
    <w:bookmarkEnd w:id="7"/>
    <w:p>
      <w:pPr>
        <w:jc w:val="center"/>
        <w:ind w:left="340" w:right="2660"/>
        <w:spacing w:after="0" w:line="276" w:lineRule="auto"/>
        <w:rPr>
          <w:sz w:val="20"/>
          <w:szCs w:val="20"/>
          <w:color w:val="auto"/>
        </w:rPr>
      </w:pPr>
      <w:r>
        <w:rPr>
          <w:rFonts w:ascii="Times New Roman" w:cs="Times New Roman" w:eastAsia="Times New Roman" w:hAnsi="Times New Roman"/>
          <w:sz w:val="18"/>
          <w:szCs w:val="18"/>
          <w:b w:val="1"/>
          <w:bCs w:val="1"/>
          <w:color w:val="auto"/>
        </w:rPr>
        <w:t>MEREO BIOPHARMA GROUP PLC NOTES TO CONDENSED CONSOLIDATED FINANCIAL STATEMENTS (UNAUDITED)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7" w:lineRule="exact"/>
        <w:rPr>
          <w:sz w:val="20"/>
          <w:szCs w:val="20"/>
          <w:color w:val="auto"/>
        </w:rPr>
      </w:pPr>
    </w:p>
    <w:p>
      <w:pPr>
        <w:ind w:right="100" w:firstLine="749"/>
        <w:spacing w:after="0" w:line="259" w:lineRule="auto"/>
        <w:rPr>
          <w:sz w:val="20"/>
          <w:szCs w:val="20"/>
          <w:color w:val="auto"/>
        </w:rPr>
      </w:pPr>
      <w:r>
        <w:rPr>
          <w:rFonts w:ascii="Times New Roman" w:cs="Times New Roman" w:eastAsia="Times New Roman" w:hAnsi="Times New Roman"/>
          <w:sz w:val="18"/>
          <w:szCs w:val="18"/>
          <w:color w:val="auto"/>
        </w:rPr>
        <w:t>Mereo BioPharma Group plc (the “Company” or “Mereo”) is United Kingdom (“U.K.”) based biopharmaceutical company focused on the development of innovative therapeutics for rare diseases. The Company has developed a portfolio of late-stage clinical product candidates, and its two rare disease product candidates are setrusumab for the treatment of osteogenesis imperfecta (“OI”) and alvelestat primarily for the treatment of severe alpha-1 antitrypsin deficiency-associated lung disease (“AATD-LD”).</w:t>
      </w:r>
    </w:p>
    <w:p>
      <w:pPr>
        <w:spacing w:after="0" w:line="183" w:lineRule="exact"/>
        <w:rPr>
          <w:sz w:val="20"/>
          <w:szCs w:val="20"/>
          <w:color w:val="auto"/>
        </w:rPr>
      </w:pPr>
    </w:p>
    <w:p>
      <w:pPr>
        <w:jc w:val="both"/>
        <w:ind w:right="100" w:firstLine="749"/>
        <w:spacing w:after="0" w:line="265" w:lineRule="auto"/>
        <w:rPr>
          <w:sz w:val="20"/>
          <w:szCs w:val="20"/>
          <w:color w:val="auto"/>
        </w:rPr>
      </w:pPr>
      <w:r>
        <w:rPr>
          <w:rFonts w:ascii="Times New Roman" w:cs="Times New Roman" w:eastAsia="Times New Roman" w:hAnsi="Times New Roman"/>
          <w:sz w:val="18"/>
          <w:szCs w:val="18"/>
          <w:color w:val="auto"/>
        </w:rPr>
        <w:t>The Company is a public limited company incorporated and domiciled in the U.K., and registered in England, with shares publicly traded on the Nasdaq Capital Market via American Depositary Shares (“ADSs”) under the ticker symbol “MREO”. The Company’s registered office is located at Fourth Floor, 1 Cavendish Place, London, W1G 0QF, United Kingdom.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consolidated financial statements for the year ended December 31, 2023, included in the Company’s Annual Report on Form 10-K for the year ended December 31, 2023, which was filed with the Securities and Exchange Commission (the “SEC”) on March 27, 2024 (the “2023 Annual Report”). Since the date of such consolidated financial statements, there have been no changes to the Company’s significant accounting policies. In the opinion of management, the accompanying unaudited condensed financial statements contain all adjustments, consisting of only normal recurring adjustments, necessary for a fair statement of its financial position as of March 31, 2024, and its results of operations and cash flows for the three months ended March 31,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7" w:lineRule="exact"/>
        <w:rPr>
          <w:sz w:val="20"/>
          <w:szCs w:val="20"/>
          <w:color w:val="auto"/>
        </w:rPr>
      </w:pPr>
    </w:p>
    <w:p>
      <w:pPr>
        <w:ind w:right="60" w:firstLine="749"/>
        <w:spacing w:after="0" w:line="259" w:lineRule="auto"/>
        <w:rPr>
          <w:sz w:val="20"/>
          <w:szCs w:val="20"/>
          <w:color w:val="auto"/>
        </w:rPr>
      </w:pPr>
      <w:r>
        <w:rPr>
          <w:rFonts w:ascii="Times New Roman" w:cs="Times New Roman" w:eastAsia="Times New Roman" w:hAnsi="Times New Roman"/>
          <w:sz w:val="18"/>
          <w:szCs w:val="18"/>
          <w:color w:val="auto"/>
        </w:rPr>
        <w:t>The Company has prepared its financial statements on the basis that it will continue as a going concern. In accordance with the Financial Accounting Standards Board (“FASB”), Accounting Standards Update, or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w:t>
      </w:r>
    </w:p>
    <w:p>
      <w:pPr>
        <w:spacing w:after="0" w:line="18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8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 has historically been loss making and anticipates that it will continue to incur losses for the foreseeable future and had an accumulated deficit of $428.6 million as of March 31, 2024. The Company has funded these losses through a combination of public equity, private equity and debt financings, and it expects it will continue to do so until such time as it can generate significant revenue from product sales, or other commercial revenues, if ever, or through licensing and/or collaboration agreements for its rare disease or oncology product candidates. Although management continues to pursue these plans, there is no assurance that the Company will be successful in obtaining sufficient funding on terms acceptable to the Company to fund continuing operations, if at all.</w:t>
      </w:r>
    </w:p>
    <w:p>
      <w:pPr>
        <w:spacing w:after="0" w:line="187"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The Company currently operates in a period of economic uncertainty which has been significantly impacted by domestic and global monetary and fiscal policy, geopolitical conflicts such as the ongoing wars involving Ukraine and Israel, inflation and interest rates, and fluctuations in monetary exchange rates. While the Company has experienced limited financial impacts at this time, these factors may in turn adversely impact the Company’s ability to deliver its goals so the Company continues to monitor these factors and events and the potential effects each may have on the Company’s business, financial condition, results of operations and growth prospects.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8" w:name="page9"/>
    <w:bookmarkEnd w:id="8"/>
    <w:p>
      <w:pPr>
        <w:ind w:right="100" w:firstLine="794"/>
        <w:spacing w:after="0" w:line="265" w:lineRule="auto"/>
        <w:rPr>
          <w:sz w:val="20"/>
          <w:szCs w:val="20"/>
          <w:color w:val="auto"/>
        </w:rPr>
      </w:pPr>
      <w:r>
        <w:rPr>
          <w:rFonts w:ascii="Times New Roman" w:cs="Times New Roman" w:eastAsia="Times New Roman" w:hAnsi="Times New Roman"/>
          <w:sz w:val="18"/>
          <w:szCs w:val="18"/>
          <w:color w:val="auto"/>
        </w:rPr>
        <w:t>As of March 31, 2024, the Company had cash and cash equivalents of $48.7 million. The Company expects that its cash and cash equivalents as of March 31, 2024, will be sufficient to fund its operations and capital expenditure requirements for at least twelve months from the date of filing of this Quarterly Report on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7"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Significant estimates and assumptions reflected in the Company's unaudited condensed financial statements include, but are not limited to, revenue recognition on contracts with customers and convertible loan notes. Estimates are periodically reviewed in light of changes in circumstances, facts and experience. Changes in estimates are recorded in the period in which they become known.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27" w:lineRule="exact"/>
        <w:rPr>
          <w:sz w:val="20"/>
          <w:szCs w:val="20"/>
          <w:color w:val="auto"/>
        </w:rPr>
      </w:pPr>
    </w:p>
    <w:p>
      <w:pPr>
        <w:ind w:right="120" w:firstLine="749"/>
        <w:spacing w:after="0" w:line="259" w:lineRule="auto"/>
        <w:rPr>
          <w:sz w:val="20"/>
          <w:szCs w:val="20"/>
          <w:color w:val="auto"/>
        </w:rPr>
      </w:pPr>
      <w:r>
        <w:rPr>
          <w:rFonts w:ascii="Times New Roman" w:cs="Times New Roman" w:eastAsia="Times New Roman" w:hAnsi="Times New Roman"/>
          <w:sz w:val="18"/>
          <w:szCs w:val="18"/>
          <w:color w:val="auto"/>
        </w:rPr>
        <w:t>There have been no recent accounting pronouncements, changes in accounting pronouncements or recently adopted accounting guidance other than those previously included in the Company’s Annual Report on Form 10-K for the year ended December 31, 2023, which was filed with the SEC on March 27, 2024, that are of significance or potential significance to the Company. The Company is continuing to evaluate the impact of the recently issued pronouncements that are effective in future periods that were discussed in its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7" w:lineRule="exact"/>
        <w:rPr>
          <w:sz w:val="20"/>
          <w:szCs w:val="20"/>
          <w:color w:val="auto"/>
        </w:rPr>
      </w:pPr>
    </w:p>
    <w:p>
      <w:pPr>
        <w:ind w:right="320" w:firstLine="749"/>
        <w:spacing w:after="0" w:line="265"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certain accrued expenses, contingent consideration, warrant liability and convertible loan notes. The carrying amounts of cash and cash equivalents, accounts receivable, accounts payable and accrued expenses approximate their fair value due to the short-term nature of those financial instruments.</w:t>
      </w:r>
    </w:p>
    <w:p>
      <w:pPr>
        <w:spacing w:after="0" w:line="175" w:lineRule="exact"/>
        <w:rPr>
          <w:sz w:val="20"/>
          <w:szCs w:val="20"/>
          <w:color w:val="auto"/>
        </w:rPr>
      </w:pPr>
    </w:p>
    <w:p>
      <w:pPr>
        <w:ind w:right="60" w:firstLine="749"/>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and classified under the appropriate level of the fair value hierarchy as described above: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the three months ended March 31, 2024.</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33"/>
        </w:trPr>
        <w:tc>
          <w:tcPr>
            <w:tcW w:w="5780" w:type="dxa"/>
            <w:vAlign w:val="bottom"/>
          </w:tcPr>
          <w:p>
            <w:pPr>
              <w:spacing w:after="0"/>
              <w:rPr>
                <w:sz w:val="20"/>
                <w:szCs w:val="20"/>
                <w:color w:val="auto"/>
              </w:rPr>
            </w:pPr>
          </w:p>
        </w:tc>
        <w:tc>
          <w:tcPr>
            <w:tcW w:w="8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56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4"/>
        </w:trPr>
        <w:tc>
          <w:tcPr>
            <w:tcW w:w="6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3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560" w:type="dxa"/>
            <w:vAlign w:val="bottom"/>
          </w:tcPr>
          <w:p>
            <w:pPr>
              <w:spacing w:after="0"/>
              <w:rPr>
                <w:sz w:val="21"/>
                <w:szCs w:val="21"/>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9"/>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96"/>
              </w:rPr>
              <w:t>855</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855</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CVR liability</w:t>
            </w:r>
          </w:p>
        </w:tc>
        <w:tc>
          <w:tcPr>
            <w:tcW w:w="146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33"/>
        </w:trPr>
        <w:tc>
          <w:tcPr>
            <w:tcW w:w="5780" w:type="dxa"/>
            <w:vAlign w:val="bottom"/>
          </w:tcPr>
          <w:p>
            <w:pPr>
              <w:spacing w:after="0"/>
              <w:rPr>
                <w:sz w:val="20"/>
                <w:szCs w:val="20"/>
                <w:color w:val="auto"/>
              </w:rPr>
            </w:pPr>
          </w:p>
        </w:tc>
        <w:tc>
          <w:tcPr>
            <w:tcW w:w="8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56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4"/>
        </w:trPr>
        <w:tc>
          <w:tcPr>
            <w:tcW w:w="6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560" w:type="dxa"/>
            <w:vAlign w:val="bottom"/>
          </w:tcPr>
          <w:p>
            <w:pPr>
              <w:spacing w:after="0"/>
              <w:rPr>
                <w:sz w:val="21"/>
                <w:szCs w:val="21"/>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9"/>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96"/>
              </w:rPr>
              <w:t>412</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6"/>
              </w:rPr>
              <w:t>412</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CVR liability</w:t>
            </w:r>
          </w:p>
        </w:tc>
        <w:tc>
          <w:tcPr>
            <w:tcW w:w="146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52" w:lineRule="exact"/>
        <w:rPr>
          <w:sz w:val="20"/>
          <w:szCs w:val="20"/>
          <w:color w:val="auto"/>
        </w:rPr>
      </w:pPr>
    </w:p>
    <w:p>
      <w:pPr>
        <w:jc w:val="both"/>
        <w:ind w:right="120" w:firstLine="749"/>
        <w:spacing w:after="0" w:line="280" w:lineRule="auto"/>
        <w:rPr>
          <w:sz w:val="20"/>
          <w:szCs w:val="20"/>
          <w:color w:val="auto"/>
        </w:rPr>
      </w:pPr>
      <w:r>
        <w:rPr>
          <w:rFonts w:ascii="Times New Roman" w:cs="Times New Roman" w:eastAsia="Times New Roman" w:hAnsi="Times New Roman"/>
          <w:sz w:val="18"/>
          <w:szCs w:val="18"/>
          <w:color w:val="auto"/>
        </w:rPr>
        <w:t>At March 31, 2024 and December 31, 2023, warrant liabilities solely related to those warrants outstanding to the former lenders of the Company as described in Note 11.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Contingent Value Rights Agreement Liability ("CVR liability")</w:t>
      </w:r>
    </w:p>
    <w:p>
      <w:pPr>
        <w:spacing w:after="0" w:line="225" w:lineRule="exact"/>
        <w:rPr>
          <w:sz w:val="20"/>
          <w:szCs w:val="20"/>
          <w:color w:val="auto"/>
        </w:rPr>
      </w:pPr>
    </w:p>
    <w:p>
      <w:pPr>
        <w:ind w:right="240" w:firstLine="749"/>
        <w:spacing w:after="0" w:line="259" w:lineRule="auto"/>
        <w:rPr>
          <w:sz w:val="20"/>
          <w:szCs w:val="20"/>
          <w:color w:val="auto"/>
        </w:rPr>
      </w:pPr>
      <w:r>
        <w:rPr>
          <w:rFonts w:ascii="Times New Roman" w:cs="Times New Roman" w:eastAsia="Times New Roman" w:hAnsi="Times New Roman"/>
          <w:sz w:val="18"/>
          <w:szCs w:val="18"/>
          <w:color w:val="auto"/>
        </w:rPr>
        <w:t>In 2019, the Company acquired OncoMed and subsequently renamed it Mereo BioPharma 5, Inc. The Company made a provision for the estimated fair value of amounts payable to the former shareholders of Mereo BioPharma 5, Inc. under a Contingent Value Rights Agreement (“CVR”), established at the time of the acquisition of Mereo BioPharma 5, Inc. which is accounted for as a contingent consideration liability. The CVR expired on April 23, 2024 with no further amounts payable (see Note 17).</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March 31, 2024 and December 31, 2023, the Company estimated the fair value of the liability for its obligations under the CVR to be $nil.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potential payments under the CVR on a gross, undiscounted basis, were approximately $80.0 million.</w:t>
      </w:r>
    </w:p>
    <w:p>
      <w:pPr>
        <w:spacing w:after="0" w:line="205" w:lineRule="exact"/>
        <w:rPr>
          <w:sz w:val="20"/>
          <w:szCs w:val="20"/>
          <w:color w:val="auto"/>
        </w:rPr>
      </w:pPr>
    </w:p>
    <w:p>
      <w:pPr>
        <w:ind w:right="340" w:firstLine="749"/>
        <w:spacing w:after="0" w:line="280" w:lineRule="auto"/>
        <w:rPr>
          <w:sz w:val="20"/>
          <w:szCs w:val="20"/>
          <w:color w:val="auto"/>
        </w:rPr>
      </w:pPr>
      <w:r>
        <w:rPr>
          <w:rFonts w:ascii="Times New Roman" w:cs="Times New Roman" w:eastAsia="Times New Roman" w:hAnsi="Times New Roman"/>
          <w:sz w:val="18"/>
          <w:szCs w:val="18"/>
          <w:color w:val="auto"/>
        </w:rPr>
        <w:t>The CVR liability was estimated based on a risk-adjusted, probability-based scenario. Under this approach the likelihood of future payments being made to the former shareholders of Mereo BioPharma 5, Inc. under the CVR was considered.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c>
          <w:tcPr>
            <w:tcW w:w="3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services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claim receivable</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 and current assets</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3,188</w:t>
            </w:r>
          </w:p>
        </w:tc>
        <w:tc>
          <w:tcPr>
            <w:tcW w:w="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($'000)</w:t>
            </w: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3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-2348230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-503555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-187325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less than $0.1 million and $0.1 million for the three months ended March 31, 2024 and 2023, respectively.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7" w:lineRule="exact"/>
        <w:rPr>
          <w:sz w:val="20"/>
          <w:szCs w:val="20"/>
          <w:color w:val="auto"/>
        </w:rPr>
      </w:pPr>
    </w:p>
    <w:p>
      <w:pPr>
        <w:ind w:right="140" w:firstLine="749"/>
        <w:spacing w:after="0" w:line="259" w:lineRule="auto"/>
        <w:rPr>
          <w:sz w:val="20"/>
          <w:szCs w:val="20"/>
          <w:color w:val="auto"/>
        </w:rPr>
      </w:pPr>
      <w:r>
        <w:rPr>
          <w:rFonts w:ascii="Times New Roman" w:cs="Times New Roman" w:eastAsia="Times New Roman" w:hAnsi="Times New Roman"/>
          <w:sz w:val="18"/>
          <w:szCs w:val="18"/>
          <w:color w:val="auto"/>
        </w:rPr>
        <w:t>In August 2015, the Company entered into a lease agreement under which it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revisionary lease to extend the term for the original fourth floor lease to be coterminous with the fifth floor, ending in June 2026.</w:t>
      </w:r>
    </w:p>
    <w:p>
      <w:pPr>
        <w:spacing w:after="0" w:line="183"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The Company made lease payments of $0.2 million in the three months ended March 31, 2024 and 2023. The total lease expenses included in the statements of operations and comprehensive loss was $0.2 million in the three months ended March 31, 2024 and 2023. There were no material variable lease costs.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195" w:right="399" w:bottom="1440" w:gutter="0" w:footer="0" w:header="0"/>
        </w:sectPr>
      </w:pPr>
    </w:p>
    <w:bookmarkStart w:id="10" w:name="page11"/>
    <w:bookmarkEnd w:id="10"/>
    <w:tbl>
      <w:tblPr>
        <w:tblLayout w:type="fixed"/>
        <w:tblInd w:w="1140" w:type="dxa"/>
        <w:tblCellMar>
          <w:top w:w="0" w:type="dxa"/>
          <w:left w:w="0" w:type="dxa"/>
          <w:bottom w:w="0" w:type="dxa"/>
          <w:right w:w="0" w:type="dxa"/>
        </w:tblCellMar>
      </w:tblPr>
      <w:tr>
        <w:trPr>
          <w:trHeight w:val="244"/>
        </w:trPr>
        <w:tc>
          <w:tcPr>
            <w:tcW w:w="6140" w:type="dxa"/>
            <w:vAlign w:val="bottom"/>
          </w:tcPr>
          <w:p>
            <w:pPr>
              <w:spacing w:after="0"/>
              <w:rPr>
                <w:sz w:val="21"/>
                <w:szCs w:val="21"/>
                <w:color w:val="auto"/>
              </w:rPr>
            </w:pPr>
          </w:p>
        </w:tc>
        <w:tc>
          <w:tcPr>
            <w:tcW w:w="23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4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0"/>
        </w:trPr>
        <w:tc>
          <w:tcPr>
            <w:tcW w:w="6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contractual lease term (years)</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0"/>
                <w:szCs w:val="20"/>
                <w:color w:val="auto"/>
              </w:rPr>
            </w:pPr>
          </w:p>
        </w:tc>
      </w:tr>
      <w:tr>
        <w:trPr>
          <w:trHeight w:val="237"/>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10.0 %</w:t>
            </w:r>
          </w:p>
        </w:tc>
        <w:tc>
          <w:tcPr>
            <w:tcW w:w="880" w:type="dxa"/>
            <w:vAlign w:val="bottom"/>
          </w:tcPr>
          <w:p>
            <w:pPr>
              <w:spacing w:after="0"/>
              <w:rPr>
                <w:sz w:val="20"/>
                <w:szCs w:val="20"/>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4"/>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-144780</wp:posOffset>
            </wp:positionV>
            <wp:extent cx="5706110" cy="153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6110" cy="153670"/>
                    </a:xfrm>
                    <a:prstGeom prst="rect">
                      <a:avLst/>
                    </a:prstGeom>
                    <a:noFill/>
                  </pic:spPr>
                </pic:pic>
              </a:graphicData>
            </a:graphic>
          </wp:anchor>
        </w:drawing>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6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40"/>
        </w:trPr>
        <w:tc>
          <w:tcPr>
            <w:tcW w:w="6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4"/>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r>
    </w:tbl>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maturities of the Company’s operating lease liabilities as of March 31, 2024:</w:t>
      </w:r>
    </w:p>
    <w:p>
      <w:pPr>
        <w:spacing w:after="0" w:line="260" w:lineRule="exact"/>
        <w:rPr>
          <w:sz w:val="20"/>
          <w:szCs w:val="20"/>
          <w:color w:val="auto"/>
        </w:rPr>
      </w:pPr>
    </w:p>
    <w:tbl>
      <w:tblPr>
        <w:tblLayout w:type="fixed"/>
        <w:tblInd w:w="170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44"/>
        </w:trPr>
        <w:tc>
          <w:tcPr>
            <w:tcW w:w="6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0"/>
        </w:trPr>
        <w:tc>
          <w:tcPr>
            <w:tcW w:w="6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Maturity analysis of the operating lease liabilities for the years ending December</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51"/>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4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7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current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4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r>
    </w:tbl>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Other current liabilities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0"/>
        </w:trPr>
        <w:tc>
          <w:tcPr>
            <w:tcW w:w="7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0"/>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4"/>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Social security and other taxes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liability</w:t>
            </w:r>
          </w:p>
        </w:tc>
        <w:tc>
          <w:tcPr>
            <w:tcW w:w="1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r>
      <w:tr>
        <w:trPr>
          <w:trHeight w:val="242"/>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-187325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200"/>
          </w:cols>
          <w:pgMar w:left="320" w:top="1207" w:right="1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0"/>
        </w:trPr>
        <w:tc>
          <w:tcPr>
            <w:tcW w:w="7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0"/>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20"/>
                <w:szCs w:val="20"/>
                <w:color w:val="auto"/>
              </w:rPr>
            </w:pPr>
          </w:p>
        </w:tc>
      </w:tr>
      <w:tr>
        <w:trPr>
          <w:trHeight w:val="244"/>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80" w:type="dxa"/>
            <w:vAlign w:val="bottom"/>
            <w:shd w:val="clear" w:color="auto" w:fill="CFF0FC"/>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fees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20"/>
                <w:szCs w:val="20"/>
                <w:color w:val="auto"/>
              </w:rPr>
            </w:pPr>
          </w:p>
        </w:tc>
      </w:tr>
      <w:tr>
        <w:trPr>
          <w:trHeight w:val="246"/>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shd w:val="clear" w:color="auto" w:fill="CFF0FC"/>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audit fees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20"/>
                <w:szCs w:val="20"/>
                <w:color w:val="auto"/>
              </w:rPr>
            </w:pPr>
          </w:p>
        </w:tc>
      </w:tr>
      <w:tr>
        <w:trPr>
          <w:trHeight w:val="246"/>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FF0FC"/>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local taxes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20"/>
                <w:szCs w:val="20"/>
                <w:color w:val="auto"/>
              </w:rPr>
            </w:pPr>
          </w:p>
        </w:tc>
      </w:tr>
      <w:tr>
        <w:trPr>
          <w:trHeight w:val="242"/>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-187325</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6377305</wp:posOffset>
            </wp:positionH>
            <wp:positionV relativeFrom="paragraph">
              <wp:posOffset>-187325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loan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Loan Note</w:t>
      </w:r>
    </w:p>
    <w:p>
      <w:pPr>
        <w:spacing w:after="0" w:line="227" w:lineRule="exact"/>
        <w:rPr>
          <w:sz w:val="20"/>
          <w:szCs w:val="20"/>
          <w:color w:val="auto"/>
        </w:rPr>
      </w:pPr>
    </w:p>
    <w:p>
      <w:pPr>
        <w:ind w:right="160" w:firstLine="749"/>
        <w:spacing w:after="0" w:line="257" w:lineRule="auto"/>
        <w:rPr>
          <w:sz w:val="20"/>
          <w:szCs w:val="20"/>
          <w:color w:val="auto"/>
        </w:rPr>
      </w:pPr>
      <w:r>
        <w:rPr>
          <w:rFonts w:ascii="Times New Roman" w:cs="Times New Roman" w:eastAsia="Times New Roman" w:hAnsi="Times New Roman"/>
          <w:sz w:val="18"/>
          <w:szCs w:val="18"/>
          <w:color w:val="auto"/>
        </w:rPr>
        <w:t>On February 10, 2020, the Company entered into a convertible equity financing with Novartis Pharma (AG) (“Novartis”) under which Novartis purchased a £3.8 million ($5.2 million) convertible loan note (the “Novartis Loan Note”). The Novartis Loan Note is convertible at the discretion of the holder, at a fixed price of £0.265 per ordinary share and originally bore interest at 6% per annum with a maturity date of February 10, 2023. In connection with the Novartis Loan Note, the Company also issued 1,449,614 warrants which are exercisable until February 2025 at an exercise price of £0.265 per ordinary share. These warrants were recognized separately as equity instruments.</w:t>
      </w:r>
    </w:p>
    <w:p>
      <w:pPr>
        <w:spacing w:after="0" w:line="183"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Effective February 10, 2023, the maturity date of the Novartis Loan Note was extended to February 10, 2025 and the interest rate amended to 9%. Interest accrued to the amendment date of $0.9 million was paid in cash, and additional warrants to purchase 2,000,000 ordinary shares were issued. These warrants were also recognized separately as equity instruments.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amendments to the Novartis Loan Note were an extinguishment of the original instrument and the issuance of a new one. Accordingly, on the extinguishment date, the carrying value of $5.5 million was derecognized. At the same time, a new liability of $3.4 million was recognized, which represents the portion of the consideration of the new arrangement allocated to the liability component of the new Novartis Loan Note on the basis of its relative fair value, net of fees. The remaining amount was allocated between the $0.9 million of interest paid in cash and the residual $1.3 million which was recorded in additional paid-in capital to reflect the relative fair value of the warrants and the conversion option embedded in the new Novartis Loan Note. No extinguishment gain or loss was recognized in the unaudited condensed consolidated statements of operations and comprehensive loss. The Company recognized interest expense of $0.3 million in relation to the Novartis Loan Note in the unaudited condensed consolidated statements of operations and comprehensive loss for the three months ended March 31, 2024 and 2023. The effective interest rate applied to the liability portion of the Novartis Loan Note in the three months ended March 31, 2024 was 27.8% and the effective interest rate in the three months ended March 31, 2023 after the amendments was 27.8% and 37.4% before the amendments</w:t>
      </w:r>
    </w:p>
    <w:p>
      <w:pPr>
        <w:spacing w:after="0" w:line="186" w:lineRule="exact"/>
        <w:rPr>
          <w:sz w:val="20"/>
          <w:szCs w:val="20"/>
          <w:color w:val="auto"/>
        </w:rPr>
      </w:pPr>
    </w:p>
    <w:p>
      <w:pPr>
        <w:ind w:right="280" w:firstLine="749"/>
        <w:spacing w:after="0" w:line="280" w:lineRule="auto"/>
        <w:rPr>
          <w:sz w:val="20"/>
          <w:szCs w:val="20"/>
          <w:color w:val="auto"/>
        </w:rPr>
      </w:pPr>
      <w:r>
        <w:rPr>
          <w:rFonts w:ascii="Times New Roman" w:cs="Times New Roman" w:eastAsia="Times New Roman" w:hAnsi="Times New Roman"/>
          <w:sz w:val="18"/>
          <w:szCs w:val="18"/>
          <w:color w:val="auto"/>
        </w:rPr>
        <w:t>As of March 31, 2024, and December 31, 2023 the net carrying amount of the liability component of the convertible debt instrument was $4.6 million and $4.4 million, respectively. The fair value was $3.2 million and $3.1 million at March 31, 2024 and December 31,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Loan Notes</w:t>
      </w:r>
    </w:p>
    <w:p>
      <w:pPr>
        <w:spacing w:after="0" w:line="227" w:lineRule="exact"/>
        <w:rPr>
          <w:sz w:val="20"/>
          <w:szCs w:val="20"/>
          <w:color w:val="auto"/>
        </w:rPr>
      </w:pPr>
    </w:p>
    <w:p>
      <w:pPr>
        <w:ind w:right="100" w:firstLine="749"/>
        <w:spacing w:after="0" w:line="259" w:lineRule="auto"/>
        <w:rPr>
          <w:sz w:val="20"/>
          <w:szCs w:val="20"/>
          <w:color w:val="auto"/>
        </w:rPr>
      </w:pPr>
      <w:r>
        <w:rPr>
          <w:rFonts w:ascii="Times New Roman" w:cs="Times New Roman" w:eastAsia="Times New Roman" w:hAnsi="Times New Roman"/>
          <w:sz w:val="18"/>
          <w:szCs w:val="18"/>
          <w:color w:val="auto"/>
        </w:rPr>
        <w:t>The Private Placement Loan Notes were issued in 2020 as part of a $70.0 million private placement transaction which also included the issuance of ordinary shares and warrants. As of January 1, 2023, Private Placement Loan Notes with an aggregate principal of £6.2 million ($7.5 million) were still outstanding and were convertible at a fixed price of £0.174 per ordinary share. The Private Placement Loan Notes bore interest at a rate of 6% per annum and had a maturity date of June 3,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12" w:name="page13"/>
    <w:bookmarkEnd w:id="12"/>
    <w:p>
      <w:pPr>
        <w:ind w:right="20" w:firstLine="749"/>
        <w:spacing w:after="0" w:line="259" w:lineRule="auto"/>
        <w:rPr>
          <w:sz w:val="20"/>
          <w:szCs w:val="20"/>
          <w:color w:val="auto"/>
        </w:rPr>
      </w:pPr>
      <w:r>
        <w:rPr>
          <w:rFonts w:ascii="Times New Roman" w:cs="Times New Roman" w:eastAsia="Times New Roman" w:hAnsi="Times New Roman"/>
          <w:sz w:val="18"/>
          <w:szCs w:val="18"/>
          <w:color w:val="auto"/>
        </w:rPr>
        <w:t>In May 2023, the maturity date of the Private Placement Loan Notes was extended to August 3, 2023, with all other terms remaining unchanged. This extension was a modification and the carrying value of the liability component was adjusted to the present value of the modified cash flows discounted at the original effective interest rate, net of identifiable transaction costs. The carrying value was also reduced by $0.6 million with a corresponding adjustment to additional paid-in capital to reflect the increase in the fair value of the embedded conversion option.</w:t>
      </w:r>
    </w:p>
    <w:p>
      <w:pPr>
        <w:spacing w:after="0" w:line="183" w:lineRule="exact"/>
        <w:rPr>
          <w:sz w:val="20"/>
          <w:szCs w:val="20"/>
          <w:color w:val="auto"/>
        </w:rPr>
      </w:pPr>
    </w:p>
    <w:p>
      <w:pPr>
        <w:ind w:right="160" w:firstLine="749"/>
        <w:spacing w:after="0" w:line="259" w:lineRule="auto"/>
        <w:rPr>
          <w:sz w:val="20"/>
          <w:szCs w:val="20"/>
          <w:color w:val="auto"/>
        </w:rPr>
      </w:pPr>
      <w:r>
        <w:rPr>
          <w:rFonts w:ascii="Times New Roman" w:cs="Times New Roman" w:eastAsia="Times New Roman" w:hAnsi="Times New Roman"/>
          <w:sz w:val="18"/>
          <w:szCs w:val="18"/>
          <w:color w:val="auto"/>
        </w:rPr>
        <w:t>In 2023, the Company received conversion notices and subsequently issued and allotted 17,774,895 and 9,645,200 ordinary shares respectively, both at a price of £0.174 per share on non-cash conversion of Private Placement Loan Notes with an aggregate principal amount of $4.6 million. In 2023, the Company also paid $3.2 million to fully settle the outstanding principal and accrued interest balance on the remaining Private Placement Loan Notes such that at both March 31, 2024 and December 31, 2023 the net carrying amount of the convertible debt instrument was $nil.</w:t>
      </w:r>
    </w:p>
    <w:p>
      <w:pPr>
        <w:spacing w:after="0" w:line="183"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color w:val="auto"/>
        </w:rPr>
        <w:t>The Company recognized no interest expense in relation to the Private Placement Loan Notes in the unaudited condensed consolidated statements of operations and comprehensive loss for the three months ended March 31, 2024 (2023: $0.5 million). The effective interest rate applied to the liability portion of the Private Placement Loan Notes in 2023 after the amendments was 27.1% while the effective interest rate applied in 2023 before the amendments was 25.1%.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 liability</w:t>
      </w:r>
    </w:p>
    <w:p>
      <w:pPr>
        <w:spacing w:after="0" w:line="200" w:lineRule="exact"/>
        <w:rPr>
          <w:sz w:val="20"/>
          <w:szCs w:val="20"/>
          <w:color w:val="auto"/>
        </w:rPr>
      </w:pP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7260" w:type="dxa"/>
            <w:vAlign w:val="bottom"/>
          </w:tcPr>
          <w:p>
            <w:pPr>
              <w:spacing w:after="0"/>
              <w:rPr>
                <w:sz w:val="21"/>
                <w:szCs w:val="21"/>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Warrant labilities</w:t>
            </w:r>
          </w:p>
        </w:tc>
      </w:tr>
      <w:tr>
        <w:trPr>
          <w:trHeight w:val="240"/>
        </w:trPr>
        <w:tc>
          <w:tcPr>
            <w:tcW w:w="7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r>
      <w:tr>
        <w:trPr>
          <w:trHeight w:val="244"/>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FF0FC"/>
          </w:tcPr>
          <w:p>
            <w:pPr>
              <w:spacing w:after="0"/>
              <w:rPr>
                <w:sz w:val="21"/>
                <w:szCs w:val="21"/>
                <w:color w:val="auto"/>
              </w:rPr>
            </w:pPr>
          </w:p>
        </w:tc>
      </w:t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during the year</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40" w:type="dxa"/>
            <w:vAlign w:val="bottom"/>
          </w:tcPr>
          <w:p>
            <w:pPr>
              <w:spacing w:after="0"/>
              <w:rPr>
                <w:sz w:val="20"/>
                <w:szCs w:val="20"/>
                <w:color w:val="auto"/>
              </w:rPr>
            </w:pPr>
          </w:p>
        </w:tc>
      </w:tr>
      <w:tr>
        <w:trPr>
          <w:trHeight w:val="242"/>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0"/>
                <w:szCs w:val="20"/>
                <w:color w:val="auto"/>
              </w:rPr>
            </w:pPr>
          </w:p>
        </w:tc>
      </w:tr>
      <w:tr>
        <w:trPr>
          <w:trHeight w:val="24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during the quarter</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FF0FC"/>
          </w:tcPr>
          <w:p>
            <w:pPr>
              <w:spacing w:after="0"/>
              <w:rPr>
                <w:sz w:val="21"/>
                <w:szCs w:val="21"/>
                <w:color w:val="auto"/>
              </w:rPr>
            </w:pPr>
          </w:p>
        </w:tc>
      </w:t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r>
      <w:tr>
        <w:trPr>
          <w:trHeight w:val="276"/>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-657225</wp:posOffset>
            </wp:positionV>
            <wp:extent cx="939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-24765</wp:posOffset>
            </wp:positionV>
            <wp:extent cx="939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-7620</wp:posOffset>
            </wp:positionV>
            <wp:extent cx="939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4" w:lineRule="exact"/>
        <w:rPr>
          <w:sz w:val="20"/>
          <w:szCs w:val="20"/>
          <w:color w:val="auto"/>
        </w:rPr>
      </w:pPr>
    </w:p>
    <w:p>
      <w:pPr>
        <w:ind w:right="200" w:firstLine="749"/>
        <w:spacing w:after="0" w:line="280" w:lineRule="auto"/>
        <w:rPr>
          <w:sz w:val="20"/>
          <w:szCs w:val="20"/>
          <w:color w:val="auto"/>
        </w:rPr>
      </w:pPr>
      <w:r>
        <w:rPr>
          <w:rFonts w:ascii="Times New Roman" w:cs="Times New Roman" w:eastAsia="Times New Roman" w:hAnsi="Times New Roman"/>
          <w:sz w:val="18"/>
          <w:szCs w:val="18"/>
          <w:color w:val="auto"/>
        </w:rPr>
        <w:t>The change in fair value of the warrant liability represents an unrealized loss in the quarter ended March 31, 2024 and an unrealized gain in the quarter ended March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private placement</w:t>
      </w:r>
    </w:p>
    <w:p>
      <w:pPr>
        <w:spacing w:after="0" w:line="227" w:lineRule="exact"/>
        <w:rPr>
          <w:sz w:val="20"/>
          <w:szCs w:val="20"/>
          <w:color w:val="auto"/>
        </w:rPr>
      </w:pPr>
    </w:p>
    <w:p>
      <w:pPr>
        <w:jc w:val="both"/>
        <w:ind w:right="80" w:firstLine="749"/>
        <w:spacing w:after="0" w:line="259" w:lineRule="auto"/>
        <w:rPr>
          <w:sz w:val="20"/>
          <w:szCs w:val="20"/>
          <w:color w:val="auto"/>
        </w:rPr>
      </w:pPr>
      <w:r>
        <w:rPr>
          <w:rFonts w:ascii="Times New Roman" w:cs="Times New Roman" w:eastAsia="Times New Roman" w:hAnsi="Times New Roman"/>
          <w:sz w:val="18"/>
          <w:szCs w:val="18"/>
          <w:color w:val="auto"/>
        </w:rPr>
        <w:t>As a part of a private placement transaction on June 3, 2020, the participating investors received conditional warrants entitling them to subscribe for an aggregate of 161,048,366 ordinary shares in the Company at an exercise price of £0.348 per warrant and were exercisable until June 2023 when they expired. The warrants were classified as liabilities as the Company did not have an unconditional right to avoid redeeming the instruments for cash. As the warrants expired in 2023, the fair value of the warrant liability was $nil as of both March 31, 2024 and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bank loan</w:t>
      </w:r>
    </w:p>
    <w:p>
      <w:pPr>
        <w:spacing w:after="0" w:line="227" w:lineRule="exact"/>
        <w:rPr>
          <w:sz w:val="20"/>
          <w:szCs w:val="20"/>
          <w:color w:val="auto"/>
        </w:rPr>
      </w:pPr>
    </w:p>
    <w:p>
      <w:pPr>
        <w:ind w:right="520" w:firstLine="749"/>
        <w:spacing w:after="0" w:line="265" w:lineRule="auto"/>
        <w:rPr>
          <w:sz w:val="20"/>
          <w:szCs w:val="20"/>
          <w:color w:val="auto"/>
        </w:rPr>
      </w:pPr>
      <w:r>
        <w:rPr>
          <w:rFonts w:ascii="Times New Roman" w:cs="Times New Roman" w:eastAsia="Times New Roman" w:hAnsi="Times New Roman"/>
          <w:sz w:val="18"/>
          <w:szCs w:val="18"/>
          <w:color w:val="auto"/>
        </w:rPr>
        <w:t>As of March 31, 2024, the former lenders of the Company have warrants outstanding to purchase a total of 1,243,908 ordinary shares at an exercise price of £2.95 per share, exercisable until August 2027 and a total of 1,243,908 ordinary shares at an exercise price of $0.4144 per share, exercisable on dates between August 2027 and October 2028.</w:t>
      </w:r>
    </w:p>
    <w:p>
      <w:pPr>
        <w:spacing w:after="0" w:line="175" w:lineRule="exact"/>
        <w:rPr>
          <w:sz w:val="20"/>
          <w:szCs w:val="20"/>
          <w:color w:val="auto"/>
        </w:rPr>
      </w:pPr>
    </w:p>
    <w:p>
      <w:pPr>
        <w:ind w:right="40" w:firstLine="749"/>
        <w:spacing w:after="0" w:line="265" w:lineRule="auto"/>
        <w:rPr>
          <w:sz w:val="20"/>
          <w:szCs w:val="20"/>
          <w:color w:val="auto"/>
        </w:rPr>
      </w:pPr>
      <w:r>
        <w:rPr>
          <w:rFonts w:ascii="Times New Roman" w:cs="Times New Roman" w:eastAsia="Times New Roman" w:hAnsi="Times New Roman"/>
          <w:sz w:val="18"/>
          <w:szCs w:val="18"/>
          <w:color w:val="auto"/>
        </w:rPr>
        <w:t>The fair value of these warrants was $0.9 million and $0.4 million at March 31, 2024 and December 31, 2023 respectively. The change in the fair value of $0.4 million was recognized as a loss in the unaudited condensed consolidated statements of operations and comprehensive loss. There were no warrants exercised during either the quarter ended March 31, 2024 or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outstanding warrants</w:t>
      </w:r>
    </w:p>
    <w:p>
      <w:pPr>
        <w:spacing w:after="0" w:line="227" w:lineRule="exact"/>
        <w:rPr>
          <w:sz w:val="20"/>
          <w:szCs w:val="20"/>
          <w:color w:val="auto"/>
        </w:rPr>
      </w:pPr>
    </w:p>
    <w:p>
      <w:pPr>
        <w:ind w:right="120" w:firstLine="749"/>
        <w:spacing w:after="0" w:line="280" w:lineRule="auto"/>
        <w:rPr>
          <w:sz w:val="20"/>
          <w:szCs w:val="20"/>
          <w:color w:val="auto"/>
        </w:rPr>
      </w:pPr>
      <w:r>
        <w:rPr>
          <w:rFonts w:ascii="Times New Roman" w:cs="Times New Roman" w:eastAsia="Times New Roman" w:hAnsi="Times New Roman"/>
          <w:sz w:val="18"/>
          <w:szCs w:val="18"/>
          <w:color w:val="auto"/>
        </w:rPr>
        <w:t>As of March 31, 2024 and December 31, 2023, a total of 2,487,816 warrants are outstanding. These warrants outstanding are equivalent to 0.4% of the issued ordinary share capital of the Company at March 31, 2024 and December 31, 2023.</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8"/>
          <w:szCs w:val="18"/>
          <w:color w:val="auto"/>
        </w:rPr>
        <w:t>The following table lists the weighted average inputs to the models used to calculate the fair value of warrants: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6140" w:type="dxa"/>
            <w:vAlign w:val="bottom"/>
          </w:tcPr>
          <w:p>
            <w:pPr>
              <w:spacing w:after="0"/>
              <w:rPr>
                <w:sz w:val="21"/>
                <w:szCs w:val="21"/>
                <w:color w:val="auto"/>
              </w:rPr>
            </w:pPr>
          </w:p>
        </w:tc>
        <w:tc>
          <w:tcPr>
            <w:tcW w:w="1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1"/>
                <w:szCs w:val="21"/>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0"/>
        </w:trPr>
        <w:tc>
          <w:tcPr>
            <w:tcW w:w="6140" w:type="dxa"/>
            <w:vAlign w:val="bottom"/>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24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Market price of ADS ($)</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4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Model used</w:t>
            </w:r>
          </w:p>
        </w:tc>
        <w:tc>
          <w:tcPr>
            <w:tcW w:w="1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Black-Scholes</w:t>
            </w:r>
          </w:p>
        </w:tc>
        <w:tc>
          <w:tcPr>
            <w:tcW w:w="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Black-Scholes</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0"/>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21"/>
        </w:trPr>
        <w:tc>
          <w:tcPr>
            <w:tcW w:w="7700" w:type="dxa"/>
            <w:vAlign w:val="bottom"/>
          </w:tcPr>
          <w:p>
            <w:pPr>
              <w:spacing w:after="0"/>
              <w:rPr>
                <w:sz w:val="24"/>
                <w:szCs w:val="24"/>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7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Cost</w:t>
            </w:r>
          </w:p>
        </w:tc>
      </w:tr>
      <w:tr>
        <w:trPr>
          <w:trHeight w:val="244"/>
        </w:trPr>
        <w:tc>
          <w:tcPr>
            <w:tcW w:w="7700" w:type="dxa"/>
            <w:vAlign w:val="bottom"/>
          </w:tcPr>
          <w:p>
            <w:pPr>
              <w:spacing w:after="0"/>
              <w:rPr>
                <w:sz w:val="21"/>
                <w:szCs w:val="21"/>
                <w:color w:val="auto"/>
              </w:rPr>
            </w:pPr>
          </w:p>
        </w:tc>
        <w:tc>
          <w:tcPr>
            <w:tcW w:w="1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7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January 1, 2023 and March 31, 2023</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624,928,519</w:t>
            </w:r>
          </w:p>
        </w:tc>
        <w:tc>
          <w:tcPr>
            <w:tcW w:w="1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2,478</w:t>
            </w:r>
          </w:p>
        </w:tc>
      </w:tr>
      <w:tr>
        <w:trPr>
          <w:trHeight w:val="227"/>
        </w:trPr>
        <w:tc>
          <w:tcPr>
            <w:tcW w:w="7700" w:type="dxa"/>
            <w:vAlign w:val="bottom"/>
            <w:tcBorders>
              <w:top w:val="single" w:sz="8" w:color="CFF0FC"/>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r>
      <w:tr>
        <w:trPr>
          <w:trHeight w:val="24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January 1, 2024</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701,217,089</w:t>
            </w:r>
          </w:p>
        </w:tc>
        <w:tc>
          <w:tcPr>
            <w:tcW w:w="1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2,775</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options exercised in the quarter</w:t>
            </w: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132,345</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March 31,2024</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701,349,434</w:t>
            </w:r>
          </w:p>
        </w:tc>
        <w:tc>
          <w:tcPr>
            <w:tcW w:w="120" w:type="dxa"/>
            <w:vAlign w:val="bottom"/>
            <w:tcBorders>
              <w:bottom w:val="single" w:sz="8" w:color="CFF0FC"/>
            </w:tcBorders>
            <w:shd w:val="clear" w:color="auto" w:fill="CFF0FC"/>
          </w:tcPr>
          <w:p>
            <w:pPr>
              <w:spacing w:after="0"/>
              <w:rPr>
                <w:sz w:val="23"/>
                <w:szCs w:val="23"/>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-674370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-657225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During the quarter ended March 31, 2024, 132,345 ordinary shares were issued due to the exercise of employee share options in March. The exercise of employee share options were satisfied by delivering shares from the Employee Benefit Trust until all of the shares in the Employee Benefit Trust were used and the trust was terminated.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based compensation</w:t>
      </w:r>
    </w:p>
    <w:p>
      <w:pPr>
        <w:spacing w:after="0" w:line="227" w:lineRule="exact"/>
        <w:rPr>
          <w:sz w:val="20"/>
          <w:szCs w:val="20"/>
          <w:color w:val="auto"/>
        </w:rPr>
      </w:pPr>
    </w:p>
    <w:p>
      <w:pPr>
        <w:ind w:right="120" w:firstLine="749"/>
        <w:spacing w:after="0" w:line="287" w:lineRule="auto"/>
        <w:rPr>
          <w:sz w:val="20"/>
          <w:szCs w:val="20"/>
          <w:color w:val="auto"/>
        </w:rPr>
      </w:pPr>
      <w:r>
        <w:rPr>
          <w:rFonts w:ascii="Times New Roman" w:cs="Times New Roman" w:eastAsia="Times New Roman" w:hAnsi="Times New Roman"/>
          <w:sz w:val="17"/>
          <w:szCs w:val="17"/>
          <w:color w:val="auto"/>
        </w:rPr>
        <w:t>The Company currently grants equity awards under the Mereo 2019 Equity Incentive Plan (the "2019 EIP") and the 2019 Non-Employee Equity Incentive Plan (the “2019 NED EIP”). There are also still outstanding awards under two previous plans, the 2015 Plan and the Mereo Share Option Plan (together the "Previous Share Option Plans"), however no awards have been granted under these plans since 2016 and no further grants are envisioned.</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ADSs available for issue under the 2019 EIP and 2019 NED EIP was 9.0 million as of March 31, 2024.</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charge for share-based compensation arises solely in respect of awards made under these two active plans as follows: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6140" w:type="dxa"/>
            <w:vAlign w:val="bottom"/>
          </w:tcPr>
          <w:p>
            <w:pPr>
              <w:spacing w:after="0"/>
              <w:rPr>
                <w:sz w:val="21"/>
                <w:szCs w:val="21"/>
                <w:color w:val="auto"/>
              </w:rPr>
            </w:pPr>
          </w:p>
        </w:tc>
        <w:tc>
          <w:tcPr>
            <w:tcW w:w="28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614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6140" w:type="dxa"/>
            <w:vAlign w:val="bottom"/>
          </w:tcPr>
          <w:p>
            <w:pPr>
              <w:spacing w:after="0"/>
              <w:rPr>
                <w:sz w:val="20"/>
                <w:szCs w:val="20"/>
                <w:color w:val="auto"/>
              </w:rPr>
            </w:pPr>
          </w:p>
        </w:tc>
        <w:tc>
          <w:tcPr>
            <w:tcW w:w="14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4"/>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EIP</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1,459</w:t>
            </w:r>
          </w:p>
        </w:tc>
        <w:tc>
          <w:tcPr>
            <w:tcW w:w="1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1,207</w:t>
            </w:r>
          </w:p>
        </w:tc>
      </w:t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2019 NED EIP</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r>
      <w:tr>
        <w:trPr>
          <w:trHeight w:val="278"/>
        </w:trPr>
        <w:tc>
          <w:tcPr>
            <w:tcW w:w="6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2,050</w:t>
            </w:r>
          </w:p>
        </w:tc>
        <w:tc>
          <w:tcPr>
            <w:tcW w:w="8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-24765</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-7620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ind w:right="500" w:firstLine="749"/>
        <w:spacing w:after="0" w:line="280" w:lineRule="auto"/>
        <w:rPr>
          <w:sz w:val="20"/>
          <w:szCs w:val="20"/>
          <w:color w:val="auto"/>
        </w:rPr>
      </w:pPr>
      <w:r>
        <w:rPr>
          <w:rFonts w:ascii="Times New Roman" w:cs="Times New Roman" w:eastAsia="Times New Roman" w:hAnsi="Times New Roman"/>
          <w:sz w:val="18"/>
          <w:szCs w:val="18"/>
          <w:color w:val="auto"/>
        </w:rPr>
        <w:t>As of March 31, 2024, the total unrecognized compensation cost related to outstanding share awards was $9.3 million, which the Company expects to recognize over a weighted-average period of 1.7 years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2019 EIP</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EIP: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Value Options (“Options”)</w:t>
      </w:r>
    </w:p>
    <w:p>
      <w:pPr>
        <w:spacing w:after="0" w:line="227" w:lineRule="exact"/>
        <w:rPr>
          <w:sz w:val="20"/>
          <w:szCs w:val="20"/>
          <w:color w:val="auto"/>
        </w:rPr>
      </w:pPr>
    </w:p>
    <w:p>
      <w:pPr>
        <w:ind w:right="380" w:firstLine="749"/>
        <w:spacing w:after="0" w:line="280" w:lineRule="auto"/>
        <w:rPr>
          <w:sz w:val="20"/>
          <w:szCs w:val="20"/>
          <w:color w:val="auto"/>
        </w:rPr>
      </w:pPr>
      <w:r>
        <w:rPr>
          <w:rFonts w:ascii="Times New Roman" w:cs="Times New Roman" w:eastAsia="Times New Roman" w:hAnsi="Times New Roman"/>
          <w:sz w:val="18"/>
          <w:szCs w:val="18"/>
          <w:color w:val="auto"/>
        </w:rPr>
        <w:t>A summary of the Company’s Option activity and related information under the 2019 EIP for the three months ended March 31, 2024 is as follows; all outstanding Options are expected to vest:</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518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intrinsic</w:t>
            </w:r>
          </w:p>
        </w:tc>
      </w:tr>
      <w:tr>
        <w:trPr>
          <w:trHeight w:val="215"/>
        </w:trPr>
        <w:tc>
          <w:tcPr>
            <w:tcW w:w="518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4"/>
        </w:trPr>
        <w:tc>
          <w:tcPr>
            <w:tcW w:w="5180" w:type="dxa"/>
            <w:vAlign w:val="bottom"/>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Value ($)</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2"/>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9,595,161</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8,122</w:t>
            </w:r>
          </w:p>
        </w:tc>
      </w:tr>
      <w:tr>
        <w:trPr>
          <w:trHeight w:val="238"/>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2,414,404</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r>
      <w:tr>
        <w:trPr>
          <w:trHeight w:val="246"/>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(40,288 )</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38"/>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(119,217 )</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r>
      <w:tr>
        <w:trPr>
          <w:trHeight w:val="242"/>
        </w:trPr>
        <w:tc>
          <w:tcPr>
            <w:tcW w:w="5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11,850,060</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17,349</w:t>
            </w:r>
          </w:p>
        </w:tc>
      </w:tr>
      <w:tr>
        <w:trPr>
          <w:trHeight w:val="20"/>
        </w:trPr>
        <w:tc>
          <w:tcPr>
            <w:tcW w:w="5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4,713,688</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6,753</w:t>
            </w:r>
          </w:p>
        </w:tc>
      </w:tr>
      <w:tr>
        <w:trPr>
          <w:trHeight w:val="234"/>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Nonvested</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7,136,372</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-489585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-489585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-489585</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2" w:lineRule="exact"/>
        <w:rPr>
          <w:sz w:val="20"/>
          <w:szCs w:val="20"/>
          <w:color w:val="auto"/>
        </w:rPr>
      </w:pPr>
    </w:p>
    <w:p>
      <w:pPr>
        <w:ind w:right="260" w:firstLine="749"/>
        <w:spacing w:after="0" w:line="280" w:lineRule="auto"/>
        <w:rPr>
          <w:sz w:val="20"/>
          <w:szCs w:val="20"/>
          <w:color w:val="auto"/>
        </w:rPr>
      </w:pPr>
      <w:r>
        <w:rPr>
          <w:rFonts w:ascii="Times New Roman" w:cs="Times New Roman" w:eastAsia="Times New Roman" w:hAnsi="Times New Roman"/>
          <w:sz w:val="18"/>
          <w:szCs w:val="18"/>
          <w:color w:val="auto"/>
        </w:rPr>
        <w:t>At December 31, 2023, 6,169,952 Options with a weighted average grant date fair value of $1.13 were nonvested. The weighted average per share fair value of options vesting during the quarter ended March 31, 2024 was $1.43 (2023: $1.55).</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At March 31, 2024, the weighted average contractual life of Options outstanding was 8.3 years (2023: 8.1 years) and for vested Options was 7.4</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(2023: 7.1 years).</w:t>
      </w:r>
    </w:p>
    <w:p>
      <w:pPr>
        <w:spacing w:after="0" w:line="205" w:lineRule="exact"/>
        <w:rPr>
          <w:sz w:val="20"/>
          <w:szCs w:val="20"/>
          <w:color w:val="auto"/>
        </w:rPr>
      </w:pPr>
    </w:p>
    <w:p>
      <w:pPr>
        <w:ind w:right="80" w:firstLine="749"/>
        <w:spacing w:after="0" w:line="280"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quoted market price of the Company’s ADSs for the Options that were in-the-money at March 31, 2024.</w:t>
      </w:r>
    </w:p>
    <w:p>
      <w:pPr>
        <w:spacing w:after="0" w:line="163" w:lineRule="exact"/>
        <w:rPr>
          <w:sz w:val="20"/>
          <w:szCs w:val="20"/>
          <w:color w:val="auto"/>
        </w:rPr>
      </w:pPr>
    </w:p>
    <w:p>
      <w:pPr>
        <w:ind w:right="180" w:firstLine="749"/>
        <w:spacing w:after="0" w:line="280"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based on the following weighted average assumptions:</w:t>
      </w:r>
    </w:p>
    <w:p>
      <w:pPr>
        <w:spacing w:after="0" w:line="19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247"/>
        </w:trPr>
        <w:tc>
          <w:tcPr>
            <w:tcW w:w="61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8"/>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0"/>
                <w:szCs w:val="20"/>
                <w:color w:val="auto"/>
              </w:rPr>
            </w:pP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r>
      <w:tr>
        <w:trPr>
          <w:trHeight w:val="246"/>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90.80 %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98.01 %</w:t>
            </w:r>
          </w:p>
        </w:tc>
      </w:tr>
      <w:tr>
        <w:trPr>
          <w:trHeight w:val="251"/>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bl>
    <w:p>
      <w:pPr>
        <w:spacing w:after="0" w:line="224"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The expected volatility assumption is calculated by reference to the historical volatility of an appropriate peer group of companies for a period equal to the expected term of the Option. The grant date fair value is recognized over the requisite service period using the accelerated graded-vesting attribution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1193"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7"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RSUs were first awarded in 2023 and each RSU entitles the holder a conditional right to receive an ADS at no cost upon the completion of the applicable vesting period. RSUs granted under the EIP vest over three years with one-third of the awards vesting on the first anniversary of the grant date and the remainder vesting in four equal six-monthly installments thereafter. Upon vesting of the RSUs, the Company issues the requisite ADSs, a portion of which are sold to satisfy the resulting withholding tax obligations, and the remaining ADSs are delivered to the holder. RSUs have a maximum contractual life of 3.0 years.</w:t>
      </w:r>
    </w:p>
    <w:p>
      <w:pPr>
        <w:spacing w:after="0" w:line="183" w:lineRule="exact"/>
        <w:rPr>
          <w:sz w:val="20"/>
          <w:szCs w:val="20"/>
          <w:color w:val="auto"/>
        </w:rPr>
      </w:pPr>
    </w:p>
    <w:p>
      <w:pPr>
        <w:ind w:right="660" w:firstLine="749"/>
        <w:spacing w:after="0" w:line="280" w:lineRule="auto"/>
        <w:rPr>
          <w:sz w:val="20"/>
          <w:szCs w:val="20"/>
          <w:color w:val="auto"/>
        </w:rPr>
      </w:pPr>
      <w:r>
        <w:rPr>
          <w:rFonts w:ascii="Times New Roman" w:cs="Times New Roman" w:eastAsia="Times New Roman" w:hAnsi="Times New Roman"/>
          <w:sz w:val="18"/>
          <w:szCs w:val="18"/>
          <w:color w:val="auto"/>
        </w:rPr>
        <w:t>A summary of the Company’s RSU activity and related information under the 2019 EIP for 2023 is as follows. As of March 31, 2024 all outstanding RSUs are expected to vest:</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52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5"/>
        </w:trPr>
        <w:tc>
          <w:tcPr>
            <w:tcW w:w="52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Date Fair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4"/>
        </w:trPr>
        <w:tc>
          <w:tcPr>
            <w:tcW w:w="5280" w:type="dxa"/>
            <w:vAlign w:val="bottom"/>
          </w:tcPr>
          <w:p>
            <w:pPr>
              <w:spacing w:after="0"/>
              <w:rPr>
                <w:sz w:val="21"/>
                <w:szCs w:val="21"/>
                <w:color w:val="auto"/>
              </w:rPr>
            </w:pPr>
          </w:p>
        </w:tc>
        <w:tc>
          <w:tcPr>
            <w:tcW w:w="11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(ADSs)</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489,225</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r>
      <w:tr>
        <w:trPr>
          <w:trHeight w:val="238"/>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204,914</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(142,583 )</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r>
      <w:tr>
        <w:trPr>
          <w:trHeight w:val="238"/>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(23,533 )</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528,023</w:t>
            </w:r>
          </w:p>
        </w:tc>
        <w:tc>
          <w:tcPr>
            <w:tcW w:w="10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-24765</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-24765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-7620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March 31, 2024, the weighted average remaining period of RSUs outstanding was 2.3 years.</w:t>
      </w:r>
    </w:p>
    <w:p>
      <w:pPr>
        <w:spacing w:after="0" w:line="223" w:lineRule="exact"/>
        <w:rPr>
          <w:sz w:val="20"/>
          <w:szCs w:val="20"/>
          <w:color w:val="auto"/>
        </w:rPr>
      </w:pPr>
    </w:p>
    <w:p>
      <w:pPr>
        <w:ind w:right="40" w:firstLine="749"/>
        <w:spacing w:after="0" w:line="265" w:lineRule="auto"/>
        <w:rPr>
          <w:sz w:val="20"/>
          <w:szCs w:val="20"/>
          <w:color w:val="auto"/>
        </w:rPr>
      </w:pPr>
      <w:r>
        <w:rPr>
          <w:rFonts w:ascii="Times New Roman" w:cs="Times New Roman" w:eastAsia="Times New Roman" w:hAnsi="Times New Roman"/>
          <w:sz w:val="18"/>
          <w:szCs w:val="18"/>
          <w:color w:val="auto"/>
        </w:rPr>
        <w:t>The aggregate intrinsic value is calculated as the quoted market price of the Company’s ADSs at March 31, 2024. The fair value of each RSU was calculated by reference to the value of the shares awarded. The grant date fair value is recognized over the vesting period using the accelerated graded-vesting attribution method.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Restricted Stock Units (PSUs)</w:t>
      </w:r>
    </w:p>
    <w:p>
      <w:pPr>
        <w:spacing w:after="0" w:line="227"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color w:val="auto"/>
        </w:rPr>
        <w:t>PSUs were first awarded in 2023 and each PSU entitles the holder a conditional right to receive an ADS at no cost upon satisfaction of four escalating ADS price performance targets over a two year performance period following the date of grant. A summary of the Company’s PSU activity and related information under the 2019 EIP for the first quarter of 2024 is as follows. As of March 31, 2024, performance conditions on 802,890 PSUs had been met and the awards will vest in June 2024.</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52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5"/>
        </w:trPr>
        <w:tc>
          <w:tcPr>
            <w:tcW w:w="52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PSUs</w:t>
            </w: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4"/>
        </w:trPr>
        <w:tc>
          <w:tcPr>
            <w:tcW w:w="5260" w:type="dxa"/>
            <w:vAlign w:val="bottom"/>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2"/>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1,338,150</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3,091</w:t>
            </w:r>
          </w:p>
        </w:tc>
      </w:tr>
      <w:tr>
        <w:trPr>
          <w:trHeight w:val="238"/>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1,338,150</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4,563</w:t>
            </w:r>
          </w:p>
        </w:tc>
      </w:tr>
      <w:tr>
        <w:trPr>
          <w:trHeight w:val="20"/>
        </w:trPr>
        <w:tc>
          <w:tcPr>
            <w:tcW w:w="5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-187325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-187325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March 31, 2024, the weighted average contractual life of PSUs outstanding was 0.3 years.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grant date fair value is recognized over the expected life using the straight-line attribution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93"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2019 NED EIP</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NED EIP: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7"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color w:val="auto"/>
        </w:rPr>
        <w:t>Options permit the recipient to purchase ADSs at an exercise price equal to the market price of the underlying ADSs on the date of grant. Options issued under the 2019 NED EIP have a contractual term of 10 years and vest in equal monthly installments over one year. There are no performance conditions. A summary of the Company’s Option activity and related information under the 2019 NED EIP for the first quarter of 2024 is as follows; all outstanding Options are expected to vest:</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518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intrinsic</w:t>
            </w:r>
          </w:p>
        </w:tc>
      </w:tr>
      <w:tr>
        <w:trPr>
          <w:trHeight w:val="215"/>
        </w:trPr>
        <w:tc>
          <w:tcPr>
            <w:tcW w:w="518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4"/>
        </w:trPr>
        <w:tc>
          <w:tcPr>
            <w:tcW w:w="5180" w:type="dxa"/>
            <w:vAlign w:val="bottom"/>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Value ($)</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2"/>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1,355,087</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r>
      <w:tr>
        <w:trPr>
          <w:trHeight w:val="238"/>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360,000</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1,228</w:t>
            </w:r>
          </w:p>
        </w:tc>
      </w:tr>
      <w:tr>
        <w:trPr>
          <w:trHeight w:val="242"/>
        </w:trPr>
        <w:tc>
          <w:tcPr>
            <w:tcW w:w="5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1,715,087</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2,450</w:t>
            </w:r>
          </w:p>
        </w:tc>
      </w:tr>
      <w:tr>
        <w:trPr>
          <w:trHeight w:val="20"/>
        </w:trPr>
        <w:tc>
          <w:tcPr>
            <w:tcW w:w="5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1,385,087</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2,450</w:t>
            </w:r>
          </w:p>
        </w:tc>
      </w:tr>
      <w:tr>
        <w:trPr>
          <w:trHeight w:val="234"/>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Nonvested</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330,000</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-489585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-489585</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-489585</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2" w:lineRule="exact"/>
        <w:rPr>
          <w:sz w:val="20"/>
          <w:szCs w:val="20"/>
          <w:color w:val="auto"/>
        </w:rPr>
      </w:pPr>
    </w:p>
    <w:p>
      <w:pPr>
        <w:ind w:right="180" w:firstLine="749"/>
        <w:spacing w:after="0" w:line="280" w:lineRule="auto"/>
        <w:rPr>
          <w:sz w:val="20"/>
          <w:szCs w:val="20"/>
          <w:color w:val="auto"/>
        </w:rPr>
      </w:pPr>
      <w:r>
        <w:rPr>
          <w:rFonts w:ascii="Times New Roman" w:cs="Times New Roman" w:eastAsia="Times New Roman" w:hAnsi="Times New Roman"/>
          <w:sz w:val="18"/>
          <w:szCs w:val="18"/>
          <w:color w:val="auto"/>
        </w:rPr>
        <w:t>At December 31, 2023, 73,336 Options with a weighted average grant date fair value of $0.84 were nonvested. The weighted average per share fair value of options vesting during the quarter ended March 31, 2024 was $1.42 (2023: $1.38).</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March 31, 2024, the weighted average contractual life of Options outstanding was 7.8 years (2023: 8.0 years) and for vested Options was 8.2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(2023: 7.9 years).</w:t>
      </w:r>
    </w:p>
    <w:p>
      <w:pPr>
        <w:spacing w:after="0" w:line="205" w:lineRule="exact"/>
        <w:rPr>
          <w:sz w:val="20"/>
          <w:szCs w:val="20"/>
          <w:color w:val="auto"/>
        </w:rPr>
      </w:pPr>
    </w:p>
    <w:p>
      <w:pPr>
        <w:ind w:right="200" w:firstLine="749"/>
        <w:spacing w:after="0" w:line="280"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quoted market price of the Company’s shares for the Options that were in-the-money at March 31, 2024.</w:t>
      </w:r>
    </w:p>
    <w:p>
      <w:pPr>
        <w:spacing w:after="0" w:line="163" w:lineRule="exact"/>
        <w:rPr>
          <w:sz w:val="20"/>
          <w:szCs w:val="20"/>
          <w:color w:val="auto"/>
        </w:rPr>
      </w:pPr>
    </w:p>
    <w:p>
      <w:pPr>
        <w:ind w:right="300" w:firstLine="749"/>
        <w:spacing w:after="0" w:line="280"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based on the following weighted average assumptions:</w:t>
      </w:r>
    </w:p>
    <w:p>
      <w:pPr>
        <w:spacing w:after="0" w:line="19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247"/>
        </w:trPr>
        <w:tc>
          <w:tcPr>
            <w:tcW w:w="61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8"/>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20"/>
                <w:szCs w:val="20"/>
                <w:color w:val="auto"/>
              </w:rPr>
            </w:pP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46"/>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90.67 %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97.94 %</w:t>
            </w:r>
          </w:p>
        </w:tc>
      </w:tr>
      <w:tr>
        <w:trPr>
          <w:trHeight w:val="251"/>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bl>
    <w:p>
      <w:pPr>
        <w:spacing w:after="0" w:line="224" w:lineRule="exact"/>
        <w:rPr>
          <w:sz w:val="20"/>
          <w:szCs w:val="20"/>
          <w:color w:val="auto"/>
        </w:rPr>
      </w:pPr>
    </w:p>
    <w:p>
      <w:pPr>
        <w:jc w:val="both"/>
        <w:ind w:right="260" w:firstLine="749"/>
        <w:spacing w:after="0" w:line="265" w:lineRule="auto"/>
        <w:rPr>
          <w:sz w:val="20"/>
          <w:szCs w:val="20"/>
          <w:color w:val="auto"/>
        </w:rPr>
      </w:pPr>
      <w:r>
        <w:rPr>
          <w:rFonts w:ascii="Times New Roman" w:cs="Times New Roman" w:eastAsia="Times New Roman" w:hAnsi="Times New Roman"/>
          <w:sz w:val="18"/>
          <w:szCs w:val="18"/>
          <w:color w:val="auto"/>
        </w:rPr>
        <w:t>The expected volatility assumption is calculated by reference to the historical volatility of an appropriate peer group of companies for a period equal to the expected term of the Option. The grant date fair value is recognized over the vesting period using the accelerated graded-vesting attribution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Restricted Stock Units (“DRSUs”)</w:t>
      </w:r>
    </w:p>
    <w:p>
      <w:pPr>
        <w:spacing w:after="0" w:line="227"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Non-executive directors may voluntarily elect to convert their annual cash fees for services on the board of directors and DRSUs were granted to NEDs who made such elections. The number of DRSUs granted is determined by dividing the amount of the annual cash compensation by the average closing trading price of the Company's ADSs over the most recent 30 trading days as of the date of grant. Each DRSU entitles the holder to receive an ADS at no cost upon the completion of the vesting period. DRSUs granted under the 2019 NED EIP vest in substantially equal monthly installments over the plan year. Payment of DRSUs in ADSs will generally be 180 days following separation of service but have no specified contractual term.</w:t>
      </w:r>
    </w:p>
    <w:p>
      <w:pPr>
        <w:spacing w:after="0" w:line="183" w:lineRule="exact"/>
        <w:rPr>
          <w:sz w:val="20"/>
          <w:szCs w:val="20"/>
          <w:color w:val="auto"/>
        </w:rPr>
      </w:pPr>
    </w:p>
    <w:p>
      <w:pPr>
        <w:ind w:right="360" w:firstLine="749"/>
        <w:spacing w:after="0" w:line="280" w:lineRule="auto"/>
        <w:rPr>
          <w:sz w:val="20"/>
          <w:szCs w:val="20"/>
          <w:color w:val="auto"/>
        </w:rPr>
      </w:pPr>
      <w:r>
        <w:rPr>
          <w:rFonts w:ascii="Times New Roman" w:cs="Times New Roman" w:eastAsia="Times New Roman" w:hAnsi="Times New Roman"/>
          <w:sz w:val="18"/>
          <w:szCs w:val="18"/>
          <w:color w:val="auto"/>
        </w:rPr>
        <w:t>A summary of the Company’s DRSU activity and related information under the 2019 NED EIP for the first quarter of 2024 is as follows. At March 31, 2024 all DRSUs are expected to vest:</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52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5"/>
        </w:trPr>
        <w:tc>
          <w:tcPr>
            <w:tcW w:w="526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DRSUs</w:t>
            </w: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4"/>
        </w:trPr>
        <w:tc>
          <w:tcPr>
            <w:tcW w:w="5260" w:type="dxa"/>
            <w:vAlign w:val="bottom"/>
          </w:tcPr>
          <w:p>
            <w:pPr>
              <w:spacing w:after="0"/>
              <w:rPr>
                <w:sz w:val="21"/>
                <w:szCs w:val="21"/>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729,982</w:t>
            </w:r>
          </w:p>
        </w:tc>
        <w:tc>
          <w:tcPr>
            <w:tcW w:w="80" w:type="dxa"/>
            <w:vAlign w:val="bottom"/>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1,686</w:t>
            </w:r>
          </w:p>
        </w:tc>
      </w:tr>
      <w:tr>
        <w:trPr>
          <w:trHeight w:val="24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125,393</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855,375</w:t>
            </w:r>
          </w:p>
        </w:tc>
        <w:tc>
          <w:tcPr>
            <w:tcW w:w="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1,776</w:t>
            </w:r>
          </w:p>
        </w:tc>
      </w:tr>
      <w:tr>
        <w:trPr>
          <w:trHeight w:val="22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740,429</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1,443</w:t>
            </w:r>
          </w:p>
        </w:tc>
      </w:tr>
      <w:tr>
        <w:trPr>
          <w:trHeight w:val="246"/>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Nonvested</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114,946</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-332740</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-315595</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-332740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5634355</wp:posOffset>
            </wp:positionH>
            <wp:positionV relativeFrom="paragraph">
              <wp:posOffset>-315595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The aggregate intrinsic value is calculated as the quoted market price of the Company’s ADSs at March 31, 2024. The fair value of each DRSU was calculated by reference to the value of the shares awarded. The grant date fair value is recognized over the vesting period using the accelerated graded-vesting attribution method.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Share Option Plans</w:t>
      </w:r>
    </w:p>
    <w:p>
      <w:pPr>
        <w:spacing w:after="0" w:line="227"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Mereo previously granted options to employees under two separate plans, the Mereo BioPharma Group Limited Share Option Plan (the “2015 Plan”) and the Mereo Share Option Plan (the “Share Option Plan”). No awards have been granted under either of these plans since 2017 and following the introduction of the 2019 EIP and the 2019 NED EIP, no further awards are envisioned.</w:t>
      </w:r>
    </w:p>
    <w:p>
      <w:pPr>
        <w:spacing w:after="0" w:line="175" w:lineRule="exact"/>
        <w:rPr>
          <w:sz w:val="20"/>
          <w:szCs w:val="20"/>
          <w:color w:val="auto"/>
        </w:rPr>
      </w:pPr>
    </w:p>
    <w:p>
      <w:pPr>
        <w:ind w:right="100" w:firstLine="749"/>
        <w:spacing w:after="0" w:line="280" w:lineRule="auto"/>
        <w:rPr>
          <w:sz w:val="20"/>
          <w:szCs w:val="20"/>
          <w:color w:val="auto"/>
        </w:rPr>
      </w:pPr>
      <w:r>
        <w:rPr>
          <w:rFonts w:ascii="Times New Roman" w:cs="Times New Roman" w:eastAsia="Times New Roman" w:hAnsi="Times New Roman"/>
          <w:sz w:val="18"/>
          <w:szCs w:val="18"/>
          <w:color w:val="auto"/>
        </w:rPr>
        <w:t>All awards made under these plans became fully vested, with all compensation cost fully recognized, before December 31, 2021. A summary of the awards still outstanding under these plans is as 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516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intrinsic</w:t>
            </w:r>
          </w:p>
        </w:tc>
      </w:tr>
      <w:tr>
        <w:trPr>
          <w:trHeight w:val="215"/>
        </w:trPr>
        <w:tc>
          <w:tcPr>
            <w:tcW w:w="516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4"/>
        </w:trPr>
        <w:tc>
          <w:tcPr>
            <w:tcW w:w="5160" w:type="dxa"/>
            <w:vAlign w:val="bottom"/>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2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Value ($)</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2"/>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1,572,358</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9.22</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(152,491 )</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1,419,867</w:t>
            </w:r>
          </w:p>
        </w:tc>
        <w:tc>
          <w:tcPr>
            <w:tcW w:w="12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-24765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-7620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March 31, 2024, the weighted average contractual life of options outstanding and vested was 1.59 years (2023: 1.8 years).</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193"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14. Loss per share</w:t>
      </w:r>
    </w:p>
    <w:p>
      <w:pPr>
        <w:spacing w:after="0" w:line="227"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color w:val="auto"/>
        </w:rPr>
        <w:t>Basic loss per share is calculated by dividing the loss attributable for the year to ordinary equity holders of the Company by the weighted average number of ordinary shares outstanding during the year. Diluted loss per share is based on dividing the loss attributable for the year, adjusted for the effect of dilutive ordinary shares, by ordinary share equivalents, which includes the weighted average number of ordinary shares outstanding and the effect of dilutive ordinary share equivalents.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28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0"/>
        </w:trPr>
        <w:tc>
          <w:tcPr>
            <w:tcW w:w="2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Borders>
              <w:bottom w:val="single" w:sz="8" w:color="auto"/>
            </w:tcBorders>
          </w:tcPr>
          <w:p>
            <w:pPr>
              <w:spacing w:after="0"/>
              <w:rPr>
                <w:sz w:val="20"/>
                <w:szCs w:val="20"/>
                <w:color w:val="auto"/>
              </w:rPr>
            </w:pPr>
          </w:p>
        </w:tc>
      </w:tr>
      <w:tr>
        <w:trPr>
          <w:trHeight w:val="202"/>
        </w:trPr>
        <w:tc>
          <w:tcPr>
            <w:tcW w:w="28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4"/>
          </w:tcPr>
          <w:p>
            <w:pPr>
              <w:jc w:val="right"/>
              <w:ind w:right="180"/>
              <w:spacing w:after="0" w:line="202" w:lineRule="exact"/>
              <w:rPr>
                <w:sz w:val="20"/>
                <w:szCs w:val="20"/>
                <w:color w:val="auto"/>
              </w:rPr>
            </w:pPr>
            <w:r>
              <w:rPr>
                <w:rFonts w:ascii="Times New Roman" w:cs="Times New Roman" w:eastAsia="Times New Roman" w:hAnsi="Times New Roman"/>
                <w:sz w:val="18"/>
                <w:szCs w:val="18"/>
                <w:b w:val="1"/>
                <w:bCs w:val="1"/>
                <w:color w:val="auto"/>
              </w:rPr>
              <w:t>($'000, except share</w:t>
            </w:r>
          </w:p>
        </w:tc>
        <w:tc>
          <w:tcPr>
            <w:tcW w:w="140" w:type="dxa"/>
            <w:vAlign w:val="bottom"/>
          </w:tcPr>
          <w:p>
            <w:pPr>
              <w:spacing w:after="0"/>
              <w:rPr>
                <w:sz w:val="17"/>
                <w:szCs w:val="17"/>
                <w:color w:val="auto"/>
              </w:rPr>
            </w:pPr>
          </w:p>
        </w:tc>
        <w:tc>
          <w:tcPr>
            <w:tcW w:w="1800" w:type="dxa"/>
            <w:vAlign w:val="bottom"/>
            <w:gridSpan w:val="3"/>
          </w:tcPr>
          <w:p>
            <w:pPr>
              <w:jc w:val="right"/>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($'000, except share</w:t>
            </w:r>
          </w:p>
        </w:tc>
      </w:tr>
      <w:tr>
        <w:trPr>
          <w:trHeight w:val="215"/>
        </w:trPr>
        <w:tc>
          <w:tcPr>
            <w:tcW w:w="2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and per share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and per share</w:t>
            </w:r>
          </w:p>
        </w:tc>
      </w:tr>
      <w:tr>
        <w:trPr>
          <w:trHeight w:val="244"/>
        </w:trPr>
        <w:tc>
          <w:tcPr>
            <w:tcW w:w="28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amounts)</w:t>
            </w:r>
          </w:p>
        </w:tc>
      </w:tr>
      <w:tr>
        <w:trPr>
          <w:trHeight w:val="238"/>
        </w:trPr>
        <w:tc>
          <w:tcPr>
            <w:tcW w:w="71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(8,951 )</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(12,076 )</w:t>
            </w:r>
          </w:p>
        </w:tc>
      </w:tr>
      <w:tr>
        <w:trPr>
          <w:trHeight w:val="236"/>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(0.01 )</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r>
      <w:tr>
        <w:trPr>
          <w:trHeight w:val="20"/>
        </w:trPr>
        <w:tc>
          <w:tcPr>
            <w:tcW w:w="2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71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net loss per share - basic and diluted</w:t>
            </w:r>
          </w:p>
        </w:tc>
        <w:tc>
          <w:tcPr>
            <w:tcW w:w="20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700,263,490</w:t>
            </w:r>
          </w:p>
        </w:tc>
        <w:tc>
          <w:tcPr>
            <w:tcW w:w="4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623,925,635</w:t>
            </w:r>
          </w:p>
        </w:tc>
      </w:tr>
      <w:tr>
        <w:trPr>
          <w:trHeight w:val="435"/>
        </w:trPr>
        <w:tc>
          <w:tcPr>
            <w:tcW w:w="2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7"/>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Quarter ended March 31,</w:t>
            </w:r>
          </w:p>
        </w:tc>
      </w:tr>
      <w:tr>
        <w:trPr>
          <w:trHeight w:val="240"/>
        </w:trPr>
        <w:tc>
          <w:tcPr>
            <w:tcW w:w="2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r>
      <w:tr>
        <w:trPr>
          <w:trHeight w:val="238"/>
        </w:trPr>
        <w:tc>
          <w:tcPr>
            <w:tcW w:w="280" w:type="dxa"/>
            <w:vAlign w:val="bottom"/>
          </w:tcPr>
          <w:p>
            <w:pPr>
              <w:spacing w:after="0"/>
              <w:rPr>
                <w:sz w:val="20"/>
                <w:szCs w:val="20"/>
                <w:color w:val="auto"/>
              </w:rPr>
            </w:pPr>
          </w:p>
        </w:tc>
        <w:tc>
          <w:tcPr>
            <w:tcW w:w="6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ordinary shares</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67,825,735</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61,906,165</w:t>
            </w:r>
          </w:p>
        </w:tc>
        <w:tc>
          <w:tcPr>
            <w:tcW w:w="300" w:type="dxa"/>
            <w:vAlign w:val="bottom"/>
          </w:tcPr>
          <w:p>
            <w:pPr>
              <w:spacing w:after="0"/>
              <w:rPr>
                <w:sz w:val="20"/>
                <w:szCs w:val="20"/>
                <w:color w:val="auto"/>
              </w:rPr>
            </w:pPr>
          </w:p>
        </w:tc>
      </w:tr>
      <w:tr>
        <w:trPr>
          <w:trHeight w:val="238"/>
        </w:trPr>
        <w:tc>
          <w:tcPr>
            <w:tcW w:w="280" w:type="dxa"/>
            <w:vAlign w:val="bottom"/>
          </w:tcPr>
          <w:p>
            <w:pPr>
              <w:spacing w:after="0"/>
              <w:rPr>
                <w:sz w:val="20"/>
                <w:szCs w:val="20"/>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2,640,115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3,088,750</w:t>
            </w:r>
          </w:p>
        </w:tc>
        <w:tc>
          <w:tcPr>
            <w:tcW w:w="300" w:type="dxa"/>
            <w:vAlign w:val="bottom"/>
          </w:tcPr>
          <w:p>
            <w:pPr>
              <w:spacing w:after="0"/>
              <w:rPr>
                <w:sz w:val="20"/>
                <w:szCs w:val="20"/>
                <w:color w:val="auto"/>
              </w:rPr>
            </w:pPr>
          </w:p>
        </w:tc>
      </w:tr>
      <w:tr>
        <w:trPr>
          <w:trHeight w:val="246"/>
        </w:trPr>
        <w:tc>
          <w:tcPr>
            <w:tcW w:w="280" w:type="dxa"/>
            <w:vAlign w:val="bottom"/>
          </w:tcPr>
          <w:p>
            <w:pPr>
              <w:spacing w:after="0"/>
              <w:rPr>
                <w:sz w:val="21"/>
                <w:szCs w:val="21"/>
                <w:color w:val="auto"/>
              </w:rPr>
            </w:pPr>
          </w:p>
        </w:tc>
        <w:tc>
          <w:tcPr>
            <w:tcW w:w="6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6,690,750</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6,690,750</w:t>
            </w:r>
          </w:p>
        </w:tc>
        <w:tc>
          <w:tcPr>
            <w:tcW w:w="300" w:type="dxa"/>
            <w:vAlign w:val="bottom"/>
          </w:tcPr>
          <w:p>
            <w:pPr>
              <w:spacing w:after="0"/>
              <w:rPr>
                <w:sz w:val="21"/>
                <w:szCs w:val="21"/>
                <w:color w:val="auto"/>
              </w:rPr>
            </w:pPr>
          </w:p>
        </w:tc>
      </w:tr>
      <w:tr>
        <w:trPr>
          <w:trHeight w:val="238"/>
        </w:trPr>
        <w:tc>
          <w:tcPr>
            <w:tcW w:w="280" w:type="dxa"/>
            <w:vAlign w:val="bottom"/>
          </w:tcPr>
          <w:p>
            <w:pPr>
              <w:spacing w:after="0"/>
              <w:rPr>
                <w:sz w:val="20"/>
                <w:szCs w:val="20"/>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loan notes (as converted to ordinary shares)</w:t>
            </w:r>
          </w:p>
        </w:tc>
        <w:tc>
          <w:tcPr>
            <w:tcW w:w="2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15,983,094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14,674,867</w:t>
            </w:r>
          </w:p>
        </w:tc>
        <w:tc>
          <w:tcPr>
            <w:tcW w:w="300" w:type="dxa"/>
            <w:vAlign w:val="bottom"/>
          </w:tcPr>
          <w:p>
            <w:pPr>
              <w:spacing w:after="0"/>
              <w:rPr>
                <w:sz w:val="20"/>
                <w:szCs w:val="20"/>
                <w:color w:val="auto"/>
              </w:rPr>
            </w:pPr>
          </w:p>
        </w:tc>
      </w:tr>
      <w:tr>
        <w:trPr>
          <w:trHeight w:val="246"/>
        </w:trPr>
        <w:tc>
          <w:tcPr>
            <w:tcW w:w="280" w:type="dxa"/>
            <w:vAlign w:val="bottom"/>
          </w:tcPr>
          <w:p>
            <w:pPr>
              <w:spacing w:after="0"/>
              <w:rPr>
                <w:sz w:val="21"/>
                <w:szCs w:val="21"/>
                <w:color w:val="auto"/>
              </w:rPr>
            </w:pPr>
          </w:p>
        </w:tc>
        <w:tc>
          <w:tcPr>
            <w:tcW w:w="6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loan notes - private placement (as converted to ordinary shares)</w:t>
            </w:r>
          </w:p>
        </w:tc>
        <w:tc>
          <w:tcPr>
            <w:tcW w:w="20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41,574,726</w:t>
            </w:r>
          </w:p>
        </w:tc>
        <w:tc>
          <w:tcPr>
            <w:tcW w:w="300" w:type="dxa"/>
            <w:vAlign w:val="bottom"/>
          </w:tcPr>
          <w:p>
            <w:pPr>
              <w:spacing w:after="0"/>
              <w:rPr>
                <w:sz w:val="21"/>
                <w:szCs w:val="21"/>
                <w:color w:val="auto"/>
              </w:rPr>
            </w:pPr>
          </w:p>
        </w:tc>
      </w:tr>
      <w:tr>
        <w:trPr>
          <w:trHeight w:val="234"/>
        </w:trPr>
        <w:tc>
          <w:tcPr>
            <w:tcW w:w="280" w:type="dxa"/>
            <w:vAlign w:val="bottom"/>
          </w:tcPr>
          <w:p>
            <w:pPr>
              <w:spacing w:after="0"/>
              <w:rPr>
                <w:sz w:val="20"/>
                <w:szCs w:val="20"/>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to purchase ordinary shares (as converted to ordinary shares)</w:t>
            </w:r>
          </w:p>
        </w:tc>
        <w:tc>
          <w:tcPr>
            <w:tcW w:w="2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2,487,816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147,431,351</w:t>
            </w:r>
          </w:p>
        </w:tc>
        <w:tc>
          <w:tcPr>
            <w:tcW w:w="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5770880</wp:posOffset>
            </wp:positionH>
            <wp:positionV relativeFrom="paragraph">
              <wp:posOffset>-1744980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5770880</wp:posOffset>
            </wp:positionH>
            <wp:positionV relativeFrom="paragraph">
              <wp:posOffset>-1403350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5770880</wp:posOffset>
            </wp:positionH>
            <wp:positionV relativeFrom="paragraph">
              <wp:posOffset>-1386205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2" w:lineRule="exact"/>
        <w:rPr>
          <w:sz w:val="20"/>
          <w:szCs w:val="20"/>
          <w:color w:val="auto"/>
        </w:rPr>
      </w:pPr>
    </w:p>
    <w:p>
      <w:pPr>
        <w:jc w:val="both"/>
        <w:ind w:right="60" w:firstLine="749"/>
        <w:spacing w:after="0" w:line="265" w:lineRule="auto"/>
        <w:rPr>
          <w:sz w:val="20"/>
          <w:szCs w:val="20"/>
          <w:color w:val="auto"/>
        </w:rPr>
      </w:pPr>
      <w:r>
        <w:rPr>
          <w:rFonts w:ascii="Times New Roman" w:cs="Times New Roman" w:eastAsia="Times New Roman" w:hAnsi="Times New Roman"/>
          <w:sz w:val="18"/>
          <w:szCs w:val="18"/>
          <w:color w:val="auto"/>
        </w:rPr>
        <w:t>For the three months ended March 31, 2024, and 2023, stock options, restricted stock units, performance stock units, convertible loan notes and warrants were anti-dilutive as they would have decreased the loss per share and were excluded from the calculation of diluted loss per share. Therefore, the weighted average shares outstanding used to calculate both the basic and diluted loss per share was the same.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7" w:lineRule="exact"/>
        <w:rPr>
          <w:sz w:val="20"/>
          <w:szCs w:val="20"/>
          <w:color w:val="auto"/>
        </w:rPr>
      </w:pPr>
    </w:p>
    <w:p>
      <w:pPr>
        <w:jc w:val="both"/>
        <w:ind w:right="60" w:firstLine="74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w:t>
      </w:r>
    </w:p>
    <w:p>
      <w:pPr>
        <w:spacing w:after="0" w:line="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However, the Company may record charges in the future as a result of these indemnification obligations. In accordance with the Articles of Association in force on March 31, 2024,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may enable it to recover a portion of any amounts paid for future potential claims.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Asset Purchase agreements</w:t>
      </w:r>
    </w:p>
    <w:p>
      <w:pPr>
        <w:spacing w:after="0" w:line="227" w:lineRule="exact"/>
        <w:rPr>
          <w:sz w:val="20"/>
          <w:szCs w:val="20"/>
          <w:color w:val="auto"/>
        </w:rPr>
      </w:pPr>
    </w:p>
    <w:p>
      <w:pPr>
        <w:ind w:right="80" w:firstLine="749"/>
        <w:spacing w:after="0" w:line="287" w:lineRule="auto"/>
        <w:rPr>
          <w:sz w:val="20"/>
          <w:szCs w:val="20"/>
          <w:color w:val="auto"/>
        </w:rPr>
      </w:pPr>
      <w:r>
        <w:rPr>
          <w:rFonts w:ascii="Times New Roman" w:cs="Times New Roman" w:eastAsia="Times New Roman" w:hAnsi="Times New Roman"/>
          <w:sz w:val="17"/>
          <w:szCs w:val="17"/>
          <w:color w:val="auto"/>
        </w:rPr>
        <w:t>The Company issued to Novartis loan notes and agreed to make future payments to Novartis comprising amounts equal to ascending specified percentages of tiered Quarterly worldwide net sales (beginning at high single digits and reaching into double digits at higher sales) of products that include the assets acquired. The levels of ascending percentages of tiered Quarterly worldwide net sales are stipulated under the respective Purchase Agreements.</w:t>
      </w:r>
    </w:p>
    <w:p>
      <w:pPr>
        <w:spacing w:after="0" w:line="160" w:lineRule="exact"/>
        <w:rPr>
          <w:sz w:val="20"/>
          <w:szCs w:val="20"/>
          <w:color w:val="auto"/>
        </w:rPr>
      </w:pPr>
    </w:p>
    <w:p>
      <w:pPr>
        <w:ind w:firstLine="749"/>
        <w:spacing w:after="0" w:line="287" w:lineRule="auto"/>
        <w:rPr>
          <w:sz w:val="20"/>
          <w:szCs w:val="20"/>
          <w:color w:val="auto"/>
        </w:rPr>
      </w:pPr>
      <w:r>
        <w:rPr>
          <w:rFonts w:ascii="Times New Roman" w:cs="Times New Roman" w:eastAsia="Times New Roman" w:hAnsi="Times New Roman"/>
          <w:sz w:val="17"/>
          <w:szCs w:val="17"/>
          <w:color w:val="auto"/>
        </w:rPr>
        <w:t>The Company further agreed that in the event it transfers, licenses, assigns or leases all or substantially all of its assets, it will pay Novartis a percentage of the proceeds of such transaction.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9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October 2017, the Company entered into an exclusive license and option agreement (“the License Agreement”), to obtain from AstraZeneca an exclusive worldwide, sub-licensable license under AstraZeneca’s intellectual property rights relating to alvelestat, with an option to acquire such intellectual property rights following commencement of a pivotal trial and payment of related milestone payments (“the Option”), together with the acquisition of certain related assets. Upon entering into the License Agreement, the Company made a payment of $3.0 million and issued 490,798 ordinary shares to AstraZeneca, for an aggregate upfront payment equal to $5.0 million. In connection with certain development and regulatory milestones, the Company has agreed to make payments of up to $115.5 million in the aggregate and issue additional ordinary shares to AstraZeneca for licensed products containing alvelestat. In addition,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Quarterly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188" w:lineRule="exact"/>
        <w:rPr>
          <w:sz w:val="20"/>
          <w:szCs w:val="20"/>
          <w:color w:val="auto"/>
        </w:rPr>
      </w:pPr>
    </w:p>
    <w:p>
      <w:pPr>
        <w:ind w:right="140" w:firstLine="749"/>
        <w:spacing w:after="0" w:line="279" w:lineRule="auto"/>
        <w:rPr>
          <w:sz w:val="20"/>
          <w:szCs w:val="20"/>
          <w:color w:val="auto"/>
        </w:rPr>
      </w:pPr>
      <w:r>
        <w:rPr>
          <w:rFonts w:ascii="Times New Roman" w:cs="Times New Roman" w:eastAsia="Times New Roman" w:hAnsi="Times New Roman"/>
          <w:sz w:val="17"/>
          <w:szCs w:val="17"/>
          <w:color w:val="auto"/>
        </w:rPr>
        <w:t>The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License Agreement upon prior written notice. Either party may terminate the agreement upon prior written notice for the other party’s material breach that remains uncured for a specified period of time or insolvency.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27" w:lineRule="exact"/>
        <w:rPr>
          <w:sz w:val="20"/>
          <w:szCs w:val="20"/>
          <w:color w:val="auto"/>
        </w:rPr>
      </w:pPr>
    </w:p>
    <w:p>
      <w:pPr>
        <w:ind w:right="140" w:firstLine="749"/>
        <w:spacing w:after="0" w:line="259"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manufacturing organizations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manufacturing commitments with CMOs of $3.1 million as of March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right="100" w:firstLine="749"/>
        <w:spacing w:after="0" w:line="265"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subject to claims incident to the ordinary course of business. The Company was not a party to any material litigation and did not have any material contingency reserves established for any liabilities as of March 31, 2024, and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disclosures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three months ended March 31, 2024, and 2023, there were no reportable related party transactions.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April 23, 2024, the CVR described in Note 4 expired with no further amounts payable.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right="160" w:firstLine="843"/>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and the audited consolidated financial statements and notes thereto and management’s discussion and analysis of financial condition and results of operations for the year ended December 31, 2023, included in our Annual Report on Form 10-K that was filed with the SEC on March 27, 2024.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our Annual Report on Form 10-K for the year ended December 31, 2023, our actual results could differ materially from the results described in, or implied by,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primarily for the treatment of severe alpha-1 antitrypsin deficiency-associated lung disease (AATD-LD). Setrusumab has received orphan designation for OI from the European Medicines Agency (EMA) and the U.S. Food and Drug Administration (FDA), PRIME designation from the EMA and has rare pediatric disease designation from the FDA. Alvelestat has received U.S. Orphan Drug Designation for the treatment of AATD and Fast Track designation for the treatment of AATD-LD.</w:t>
      </w:r>
    </w:p>
    <w:p>
      <w:pPr>
        <w:spacing w:after="0" w:line="187"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the Merger. We have successfully completed large, randomized Phase 2 clinical trials for four of our product candidates and the Phase 1b portion of a Phase 1b/2 for a fifth product candidate.</w:t>
      </w:r>
    </w:p>
    <w:p>
      <w:pPr>
        <w:spacing w:after="0" w:line="187"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83"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On April 30, 2024, our partner, Ultragenyx announced that all patients have been enrolled across the Phase 3 Orbit and Cosmic studies evaluating setrusumab in pediatric and young adult patients with osteogenesis imperfecta (OI). The pivotal Phase 3 portion of the Orbit study has randomized 158 patients ages 5 to 25 years, and the Cosmic study has completed enrollment of 66 patients ages 2 to &lt;7 years.</w:t>
      </w:r>
    </w:p>
    <w:p>
      <w:pPr>
        <w:spacing w:after="0" w:line="17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On April 15, 2024, we entered into an extension letter, effective as of April 15, 2024 to the cooperation agreement, dated October 28, 2022, between the Company and Rubric Capital Management L.P. (“Rubric Capital”). The extension letter waived the requirement under Section 1(f) of the Cooperation Agreement for Mr. Justin Roberts to offer to resign from the Company’s Board of Directors and all applicable committees thereof upon the termination date of the Cooperation Agreement which was immediately following the conclusion of the Company’s 2024 annual shareholder meeting (the “Termination Date”) and extended the Termination Date of the Cooperation Agreement until immediately following the conclusion of the Company’s 2025 annual shareholder meeting.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sets forth Mereo’s results of operations for the three months ended March 31, 2024 and 2023.</w:t>
      </w:r>
    </w:p>
    <w:p>
      <w:pPr>
        <w:spacing w:after="0" w:line="271"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8"/>
          <w:szCs w:val="18"/>
          <w:b w:val="1"/>
          <w:bCs w:val="1"/>
          <w:color w:val="auto"/>
        </w:rPr>
        <w:t>31,</w:t>
      </w:r>
    </w:p>
    <w:p>
      <w:pPr>
        <w:sectPr>
          <w:pgSz w:w="11900" w:h="16838" w:orient="portrait"/>
          <w:cols w:equalWidth="0" w:num="1">
            <w:col w:w="11340"/>
          </w:cols>
          <w:pgMar w:left="320" w:top="1193"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income/(expenses)</w:t>
      </w:r>
    </w:p>
    <w:p>
      <w:pPr>
        <w:spacing w:after="0" w:line="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the fair value of financial instruments</w:t>
      </w:r>
    </w:p>
    <w:p>
      <w:pPr>
        <w:spacing w:after="0" w:line="62" w:lineRule="exact"/>
        <w:rPr>
          <w:sz w:val="20"/>
          <w:szCs w:val="20"/>
          <w:color w:val="auto"/>
        </w:rPr>
      </w:pPr>
    </w:p>
    <w:p>
      <w:pPr>
        <w:ind w:left="580" w:right="1620"/>
        <w:spacing w:after="0" w:line="296" w:lineRule="auto"/>
        <w:rPr>
          <w:sz w:val="20"/>
          <w:szCs w:val="20"/>
          <w:color w:val="auto"/>
        </w:rPr>
      </w:pPr>
      <w:r>
        <w:rPr>
          <w:rFonts w:ascii="Times New Roman" w:cs="Times New Roman" w:eastAsia="Times New Roman" w:hAnsi="Times New Roman"/>
          <w:sz w:val="18"/>
          <w:szCs w:val="18"/>
          <w:color w:val="auto"/>
        </w:rPr>
        <w:t>Foreign currency transaction gain/(loss), net Other expenses, net</w:t>
      </w:r>
    </w:p>
    <w:p>
      <w:pPr>
        <w:spacing w:after="0" w:line="1" w:lineRule="exact"/>
        <w:rPr>
          <w:sz w:val="20"/>
          <w:szCs w:val="20"/>
          <w:color w:val="auto"/>
        </w:rPr>
      </w:pPr>
    </w:p>
    <w:p>
      <w:pPr>
        <w:ind w:left="580" w:right="1240"/>
        <w:spacing w:after="0" w:line="304" w:lineRule="auto"/>
        <w:rPr>
          <w:sz w:val="20"/>
          <w:szCs w:val="20"/>
          <w:color w:val="auto"/>
        </w:rPr>
      </w:pPr>
      <w:r>
        <w:rPr>
          <w:rFonts w:ascii="Times New Roman" w:cs="Times New Roman" w:eastAsia="Times New Roman" w:hAnsi="Times New Roman"/>
          <w:sz w:val="18"/>
          <w:szCs w:val="18"/>
          <w:color w:val="auto"/>
        </w:rPr>
        <w:t xml:space="preserve">Benefit from research and development tax credit </w:t>
      </w:r>
      <w:r>
        <w:rPr>
          <w:rFonts w:ascii="Times New Roman" w:cs="Times New Roman" w:eastAsia="Times New Roman" w:hAnsi="Times New Roman"/>
          <w:sz w:val="18"/>
          <w:szCs w:val="18"/>
          <w:b w:val="1"/>
          <w:bCs w:val="1"/>
          <w:color w:val="auto"/>
        </w:rPr>
        <w:t>Net loss before income tax</w:t>
      </w:r>
    </w:p>
    <w:p>
      <w:pPr>
        <w:ind w:left="58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loss</w:t>
      </w:r>
    </w:p>
    <w:p>
      <w:pPr>
        <w:spacing w:after="0" w:line="76" w:lineRule="exact"/>
        <w:rPr>
          <w:sz w:val="20"/>
          <w:szCs w:val="20"/>
          <w:color w:val="auto"/>
        </w:rPr>
      </w:pPr>
    </w:p>
    <w:p>
      <w:pPr>
        <w:ind w:left="580"/>
        <w:spacing w:after="0" w:line="262" w:lineRule="auto"/>
        <w:rPr>
          <w:sz w:val="20"/>
          <w:szCs w:val="20"/>
          <w:color w:val="auto"/>
        </w:rPr>
      </w:pPr>
      <w:r>
        <w:rPr>
          <w:rFonts w:ascii="Times New Roman" w:cs="Times New Roman" w:eastAsia="Times New Roman" w:hAnsi="Times New Roman"/>
          <w:sz w:val="18"/>
          <w:szCs w:val="18"/>
          <w:color w:val="auto"/>
        </w:rPr>
        <w:t>Other comprehensive (loss)/income – Foreign currency transaction adjustments, net of tax</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5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(5,307 )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9"/>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(6,450 )</w:t>
            </w: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(9,900 )</w:t>
            </w:r>
          </w:p>
        </w:tc>
        <w:tc>
          <w:tcPr>
            <w:tcW w:w="100" w:type="dxa"/>
            <w:vAlign w:val="bottom"/>
            <w:vMerge w:val="continue"/>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(11,410 )</w:t>
            </w:r>
          </w:p>
        </w:tc>
        <w:tc>
          <w:tcPr>
            <w:tcW w:w="100" w:type="dxa"/>
            <w:vAlign w:val="bottom"/>
            <w:vMerge w:val="continue"/>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506"/>
        </w:trPr>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4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69"/>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42"/>
        </w:trPr>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(8,951 )</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(12,076 )</w:t>
            </w:r>
          </w:p>
        </w:tc>
        <w:tc>
          <w:tcPr>
            <w:tcW w:w="1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9"/>
        </w:trPr>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(8,951 )</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(12,076 )</w:t>
            </w:r>
          </w:p>
        </w:tc>
        <w:tc>
          <w:tcPr>
            <w:tcW w:w="1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437"/>
        </w:trPr>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00" w:type="dxa"/>
            <w:vAlign w:val="bottom"/>
          </w:tcPr>
          <w:p>
            <w:pPr>
              <w:spacing w:after="0"/>
              <w:rPr>
                <w:sz w:val="24"/>
                <w:szCs w:val="24"/>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(3,076 )</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(9,798 )</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-3065780</wp:posOffset>
            </wp:positionV>
            <wp:extent cx="6415405" cy="1536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5405" cy="15367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-2758440</wp:posOffset>
            </wp:positionV>
            <wp:extent cx="6415405" cy="1536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5405" cy="15367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-2134870</wp:posOffset>
            </wp:positionV>
            <wp:extent cx="6415405" cy="153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5405" cy="15367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-1810385</wp:posOffset>
            </wp:positionV>
            <wp:extent cx="6415405" cy="1536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5405" cy="15367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-1485900</wp:posOffset>
            </wp:positionV>
            <wp:extent cx="6415405" cy="1536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5405" cy="15367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-2451100</wp:posOffset>
            </wp:positionV>
            <wp:extent cx="641540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5405" cy="16256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-1161415</wp:posOffset>
            </wp:positionV>
            <wp:extent cx="6415405"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5405" cy="16256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-828040</wp:posOffset>
            </wp:positionV>
            <wp:extent cx="6415405"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5405" cy="16256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-486410</wp:posOffset>
            </wp:positionV>
            <wp:extent cx="6415405" cy="290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5405" cy="290195"/>
                    </a:xfrm>
                    <a:prstGeom prst="rect">
                      <a:avLst/>
                    </a:prstGeom>
                    <a:noFill/>
                  </pic:spPr>
                </pic:pic>
              </a:graphicData>
            </a:graphic>
          </wp:anchor>
        </w:drawing>
      </w:r>
    </w:p>
    <w:p>
      <w:pPr>
        <w:spacing w:after="0" w:line="1059" w:lineRule="exact"/>
        <w:rPr>
          <w:sz w:val="20"/>
          <w:szCs w:val="20"/>
          <w:color w:val="auto"/>
        </w:rPr>
      </w:pPr>
    </w:p>
    <w:p>
      <w:pPr>
        <w:sectPr>
          <w:pgSz w:w="11900" w:h="16838" w:orient="portrait"/>
          <w:cols w:equalWidth="0" w:num="2">
            <w:col w:w="5380" w:space="380"/>
            <w:col w:w="5580"/>
          </w:cols>
          <w:pgMar w:left="320" w:top="1193" w:right="239" w:bottom="1440" w:gutter="0" w:footer="0" w:header="0"/>
          <w:type w:val="continuous"/>
        </w:sectPr>
      </w:pP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three months ended March 31, 2024 and 2023.</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60" w:type="dxa"/>
            <w:vAlign w:val="bottom"/>
          </w:tcPr>
          <w:p>
            <w:pPr>
              <w:spacing w:after="0"/>
              <w:rPr>
                <w:sz w:val="21"/>
                <w:szCs w:val="21"/>
                <w:color w:val="auto"/>
              </w:rPr>
            </w:pPr>
          </w:p>
        </w:tc>
        <w:tc>
          <w:tcPr>
            <w:tcW w:w="27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760" w:type="dxa"/>
            <w:vAlign w:val="bottom"/>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7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760" w:type="dxa"/>
            <w:vAlign w:val="bottom"/>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Setrusumab (BPS-804/UX143)</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909</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2"/>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Alvelestat (MPH-966)</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2,613</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2,340</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2"/>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Etigilimab (MPH-313)</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42"/>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Leflutrozole (BGS-649)</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42"/>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Acumapimod (BCT-197)</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2"/>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R&amp;D expenses</w:t>
            </w: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760" w:type="dxa"/>
            <w:vAlign w:val="bottom"/>
            <w:vMerge w:val="continue"/>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3,994</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5,307</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-1109980</wp:posOffset>
            </wp:positionV>
            <wp:extent cx="7132955" cy="1536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-802640</wp:posOffset>
            </wp:positionV>
            <wp:extent cx="7132955" cy="1536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955" cy="1536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955"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9705"/>
                    </a:xfrm>
                    <a:prstGeom prst="rect">
                      <a:avLst/>
                    </a:prstGeom>
                    <a:noFill/>
                  </pic:spPr>
                </pic:pic>
              </a:graphicData>
            </a:graphic>
          </wp:anchor>
        </w:drawing>
      </w:r>
    </w:p>
    <w:p>
      <w:pPr>
        <w:spacing w:after="0" w:line="177" w:lineRule="exact"/>
        <w:rPr>
          <w:sz w:val="20"/>
          <w:szCs w:val="20"/>
          <w:color w:val="auto"/>
        </w:rPr>
      </w:pPr>
    </w:p>
    <w:p>
      <w:pPr>
        <w:ind w:right="180" w:firstLine="749"/>
        <w:spacing w:after="0" w:line="280" w:lineRule="auto"/>
        <w:rPr>
          <w:sz w:val="20"/>
          <w:szCs w:val="20"/>
          <w:color w:val="auto"/>
        </w:rPr>
      </w:pPr>
      <w:r>
        <w:rPr>
          <w:rFonts w:ascii="Times New Roman" w:cs="Times New Roman" w:eastAsia="Times New Roman" w:hAnsi="Times New Roman"/>
          <w:sz w:val="18"/>
          <w:szCs w:val="18"/>
          <w:color w:val="auto"/>
        </w:rPr>
        <w:t>Total R&amp;D expenses decreased by $1.3 million, or 25%, from $5.3 million in the three months ended March 31, 2023 to $4.0 million in the three months ended March 31, 2024.</w:t>
      </w:r>
    </w:p>
    <w:p>
      <w:pPr>
        <w:spacing w:after="0" w:line="163" w:lineRule="exact"/>
        <w:rPr>
          <w:sz w:val="20"/>
          <w:szCs w:val="20"/>
          <w:color w:val="auto"/>
        </w:rPr>
      </w:pPr>
    </w:p>
    <w:p>
      <w:pPr>
        <w:ind w:right="220" w:firstLine="749"/>
        <w:spacing w:after="0" w:line="280" w:lineRule="auto"/>
        <w:rPr>
          <w:sz w:val="20"/>
          <w:szCs w:val="20"/>
          <w:color w:val="auto"/>
        </w:rPr>
      </w:pPr>
      <w:r>
        <w:rPr>
          <w:rFonts w:ascii="Times New Roman" w:cs="Times New Roman" w:eastAsia="Times New Roman" w:hAnsi="Times New Roman"/>
          <w:sz w:val="18"/>
          <w:szCs w:val="18"/>
          <w:color w:val="auto"/>
        </w:rPr>
        <w:t>The decrease was primarily due to a $1.8 million reduction in R&amp;D expenses for etigilimab, partially offset by increases of $0.3 million of R&amp;D expenses for both setrusumab and alvelestat.</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193" w:right="239" w:bottom="1440" w:gutter="0" w:footer="0" w:header="0"/>
          <w:type w:val="continuous"/>
        </w:sectPr>
      </w:pPr>
    </w:p>
    <w:bookmarkStart w:id="22" w:name="page23"/>
    <w:bookmarkEnd w:id="22"/>
    <w:p>
      <w:pPr>
        <w:ind w:right="260" w:firstLine="749"/>
        <w:spacing w:after="0" w:line="255" w:lineRule="auto"/>
        <w:rPr>
          <w:sz w:val="20"/>
          <w:szCs w:val="20"/>
          <w:color w:val="auto"/>
        </w:rPr>
      </w:pPr>
      <w:r>
        <w:rPr>
          <w:rFonts w:ascii="Times New Roman" w:cs="Times New Roman" w:eastAsia="Times New Roman" w:hAnsi="Times New Roman"/>
          <w:sz w:val="18"/>
          <w:szCs w:val="18"/>
          <w:color w:val="auto"/>
        </w:rPr>
        <w:t>The reduction in etigilimab expenses was primarily due to the winding down and completion during 2023 of the open label Phase 1b/2 basket study in combination with an anti-PD-1 in a range of tumor types. Program expenses for setrusumab are in relation to increases in ongoing activities in Europe, and input into development, regulatory and manufacturing plans with our partner, Ultragenyx, as the global development program is funded by Ultragenyx pursuant to our license and collaboration agreement. Program expenses for alvelestat primarily include the preparatory work for the Phase 3 study, including manufacturing and drug formulation activities, St. Georges Respiratory Questionnaire (SGRQ) validation activities and regulatory interactions.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5" w:lineRule="exact"/>
        <w:rPr>
          <w:sz w:val="20"/>
          <w:szCs w:val="20"/>
          <w:color w:val="auto"/>
        </w:rPr>
      </w:pPr>
    </w:p>
    <w:p>
      <w:pPr>
        <w:ind w:right="380" w:firstLine="749"/>
        <w:spacing w:after="0" w:line="280" w:lineRule="auto"/>
        <w:rPr>
          <w:sz w:val="20"/>
          <w:szCs w:val="20"/>
          <w:color w:val="auto"/>
        </w:rPr>
      </w:pPr>
      <w:r>
        <w:rPr>
          <w:rFonts w:ascii="Times New Roman" w:cs="Times New Roman" w:eastAsia="Times New Roman" w:hAnsi="Times New Roman"/>
          <w:sz w:val="18"/>
          <w:szCs w:val="18"/>
          <w:color w:val="auto"/>
        </w:rPr>
        <w:t>General and administrative expenses decreased by $0.5 million, or 8%, from $6.4 million in the three months ended March 31, 2023 to $5.9 million in the three months ended March 31, 2024.</w:t>
      </w:r>
    </w:p>
    <w:p>
      <w:pPr>
        <w:spacing w:after="0" w:line="163" w:lineRule="exact"/>
        <w:rPr>
          <w:sz w:val="20"/>
          <w:szCs w:val="20"/>
          <w:color w:val="auto"/>
        </w:rPr>
      </w:pPr>
    </w:p>
    <w:p>
      <w:pPr>
        <w:ind w:right="200" w:firstLine="749"/>
        <w:spacing w:after="0" w:line="265" w:lineRule="auto"/>
        <w:rPr>
          <w:sz w:val="20"/>
          <w:szCs w:val="20"/>
          <w:color w:val="auto"/>
        </w:rPr>
      </w:pPr>
      <w:r>
        <w:rPr>
          <w:rFonts w:ascii="Times New Roman" w:cs="Times New Roman" w:eastAsia="Times New Roman" w:hAnsi="Times New Roman"/>
          <w:sz w:val="18"/>
          <w:szCs w:val="18"/>
          <w:color w:val="auto"/>
        </w:rPr>
        <w:t>The decrease is primarily related to recognition of a $1.7 million reduction in expenses in the three months ended March 31, 2024 for amounts from our depository to reimburse certain expenses incurred by us in respect of our ADR program, partially offset by an increase in employee-related expenses and professional fees. No similar reimbursements from our depository were recognized in the three months ended March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5" w:lineRule="exact"/>
        <w:rPr>
          <w:sz w:val="20"/>
          <w:szCs w:val="20"/>
          <w:color w:val="auto"/>
        </w:rPr>
      </w:pPr>
    </w:p>
    <w:p>
      <w:pPr>
        <w:ind w:right="200" w:firstLine="749"/>
        <w:spacing w:after="0" w:line="265" w:lineRule="auto"/>
        <w:rPr>
          <w:sz w:val="20"/>
          <w:szCs w:val="20"/>
          <w:color w:val="auto"/>
        </w:rPr>
      </w:pPr>
      <w:r>
        <w:rPr>
          <w:rFonts w:ascii="Times New Roman" w:cs="Times New Roman" w:eastAsia="Times New Roman" w:hAnsi="Times New Roman"/>
          <w:sz w:val="18"/>
          <w:szCs w:val="18"/>
          <w:color w:val="auto"/>
        </w:rPr>
        <w:t>Total interest expense decreased from $0.8 million in the three months ended March 31, 2023 to $0.3 million in the three months ended March 31, 2024. This decrease was principally due to the lower balance in the quarter of convertible loan notes as the private placement loan notes were fully converted and redeemed in August 2023.</w:t>
      </w:r>
    </w:p>
    <w:p>
      <w:pPr>
        <w:spacing w:after="0" w:line="175"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8"/>
          <w:szCs w:val="18"/>
          <w:color w:val="auto"/>
        </w:rPr>
        <w:t>Total interest income increased from $0.3 million in the three months ended March 31, 2023 to $0.6 million in the three months ended March 31, 2024. The increase was principally due to higher interest rates on short-term deposits.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fair value of financial instruments</w:t>
      </w:r>
    </w:p>
    <w:p>
      <w:pPr>
        <w:spacing w:after="0" w:line="225"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color w:val="auto"/>
        </w:rPr>
        <w:t>The total change in fair value of financial instruments for the three months ended March 31, 2024 was an unrealized loss of $0.4 million, compared to an unrealized gain of $0.5 million in the three months ended March 31, 2023. The unrealized loss in 2024 is principally due to the increase in the share price of the Company's ADSs while the unrealized gain in 2023 was due to the Private Placement warrants, which reduced in value as they neared expiration in June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gain/(loss)</w:t>
      </w:r>
    </w:p>
    <w:p>
      <w:pPr>
        <w:spacing w:after="0" w:line="225" w:lineRule="exact"/>
        <w:rPr>
          <w:sz w:val="20"/>
          <w:szCs w:val="20"/>
          <w:color w:val="auto"/>
        </w:rPr>
      </w:pPr>
    </w:p>
    <w:p>
      <w:pPr>
        <w:jc w:val="both"/>
        <w:ind w:right="240" w:firstLine="749"/>
        <w:spacing w:after="0" w:line="265" w:lineRule="auto"/>
        <w:rPr>
          <w:sz w:val="20"/>
          <w:szCs w:val="20"/>
          <w:color w:val="auto"/>
        </w:rPr>
      </w:pPr>
      <w:r>
        <w:rPr>
          <w:rFonts w:ascii="Times New Roman" w:cs="Times New Roman" w:eastAsia="Times New Roman" w:hAnsi="Times New Roman"/>
          <w:sz w:val="18"/>
          <w:szCs w:val="18"/>
          <w:color w:val="auto"/>
        </w:rPr>
        <w:t>The net foreign exchange gain for the three months ended March 31, 2024 was $0.6 million compared to a loss of $1.2 million in for the three months ended March 31, 2023. The net foreign exchange gain is primarily reflecting the impact of the strengthening of the U.S. dollars when translating pound sterling currency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research and development tax credit</w:t>
      </w:r>
    </w:p>
    <w:p>
      <w:pPr>
        <w:spacing w:after="0" w:line="225" w:lineRule="exact"/>
        <w:rPr>
          <w:sz w:val="20"/>
          <w:szCs w:val="20"/>
          <w:color w:val="auto"/>
        </w:rPr>
      </w:pPr>
    </w:p>
    <w:p>
      <w:pPr>
        <w:jc w:val="both"/>
        <w:ind w:right="300" w:firstLine="749"/>
        <w:spacing w:after="0" w:line="287" w:lineRule="auto"/>
        <w:rPr>
          <w:sz w:val="20"/>
          <w:szCs w:val="20"/>
          <w:color w:val="auto"/>
        </w:rPr>
      </w:pPr>
      <w:r>
        <w:rPr>
          <w:rFonts w:ascii="Times New Roman" w:cs="Times New Roman" w:eastAsia="Times New Roman" w:hAnsi="Times New Roman"/>
          <w:sz w:val="17"/>
          <w:szCs w:val="17"/>
          <w:color w:val="auto"/>
        </w:rPr>
        <w:t>The benefit from research and development tax credits was $0.5 million for the three months ended March 31, 2023 and 2024, which reflects similar levels of qualifying expenditure in both periods. This tax credit represents eligible cash rebates paid or receivable from the tax authorities in the jurisdictions within which we operate for eligible types of research and development activities and associated expenditure (the “R&amp;D tax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loss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pacing w:after="0" w:line="225" w:lineRule="exact"/>
        <w:rPr>
          <w:sz w:val="20"/>
          <w:szCs w:val="20"/>
          <w:color w:val="auto"/>
        </w:rPr>
      </w:pPr>
    </w:p>
    <w:p>
      <w:pPr>
        <w:ind w:right="280" w:firstLine="749"/>
        <w:spacing w:after="0" w:line="265" w:lineRule="auto"/>
        <w:rPr>
          <w:sz w:val="20"/>
          <w:szCs w:val="20"/>
          <w:color w:val="auto"/>
        </w:rPr>
      </w:pPr>
      <w:r>
        <w:rPr>
          <w:rFonts w:ascii="Times New Roman" w:cs="Times New Roman" w:eastAsia="Times New Roman" w:hAnsi="Times New Roman"/>
          <w:sz w:val="18"/>
          <w:szCs w:val="18"/>
          <w:color w:val="auto"/>
        </w:rPr>
        <w:t>The foreign currency translation adjustment for the three months ended March 31, 2024 was a loss of $0.8 million compared to a gain of $2.3 million for the three months ended March 31, 2023. The $3.1 million change primarily reflects the impact of the strengthening of U.S. dollars when translating from the functional currency of the Company (pound sterling) into the presentational currency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982"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7" w:lineRule="exact"/>
        <w:rPr>
          <w:sz w:val="20"/>
          <w:szCs w:val="20"/>
          <w:color w:val="auto"/>
        </w:rPr>
      </w:pPr>
    </w:p>
    <w:p>
      <w:pPr>
        <w:ind w:right="220" w:firstLine="749"/>
        <w:spacing w:after="0" w:line="259" w:lineRule="auto"/>
        <w:rPr>
          <w:sz w:val="20"/>
          <w:szCs w:val="20"/>
          <w:color w:val="auto"/>
        </w:rPr>
      </w:pPr>
      <w:r>
        <w:rPr>
          <w:rFonts w:ascii="Times New Roman" w:cs="Times New Roman" w:eastAsia="Times New Roman" w:hAnsi="Times New Roman"/>
          <w:sz w:val="18"/>
          <w:szCs w:val="18"/>
          <w:color w:val="auto"/>
        </w:rPr>
        <w:t>Under the current business plan and cash flow forecasts, and in consideration of our ongoing research and development efforts and our general corporate funding requirements, we anticipate that our current on-hand cash resources will extend into 2026.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financings or other sources.</w:t>
      </w:r>
    </w:p>
    <w:p>
      <w:pPr>
        <w:spacing w:after="0" w:line="183" w:lineRule="exact"/>
        <w:rPr>
          <w:sz w:val="20"/>
          <w:szCs w:val="20"/>
          <w:color w:val="auto"/>
        </w:rPr>
      </w:pPr>
    </w:p>
    <w:p>
      <w:pPr>
        <w:ind w:right="200" w:firstLine="749"/>
        <w:spacing w:after="0" w:line="259" w:lineRule="auto"/>
        <w:rPr>
          <w:sz w:val="20"/>
          <w:szCs w:val="20"/>
          <w:color w:val="auto"/>
        </w:rPr>
      </w:pPr>
      <w:r>
        <w:rPr>
          <w:rFonts w:ascii="Times New Roman" w:cs="Times New Roman" w:eastAsia="Times New Roman" w:hAnsi="Times New Roman"/>
          <w:sz w:val="18"/>
          <w:szCs w:val="18"/>
          <w:color w:val="auto"/>
        </w:rPr>
        <w:t>We do not currently have any approved product candidates and as a result, have not generated any revenue from product sales. As a result, to date, we have financed our operations primarily through the issuances of our equity securities, convertible debt and warrants. Through these offerings, we raised approximately $209 million, including $12.0 million raised in July 2023 through an “at-the-market” offering pursuant to our Open Market Sale Agreement with Jefferies LLC.</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also received payments under various license and collaboration agreements, including:</w:t>
      </w:r>
    </w:p>
    <w:p>
      <w:pPr>
        <w:spacing w:after="0" w:line="223" w:lineRule="exact"/>
        <w:rPr>
          <w:sz w:val="20"/>
          <w:szCs w:val="20"/>
          <w:color w:val="auto"/>
        </w:rPr>
      </w:pPr>
    </w:p>
    <w:p>
      <w:pPr>
        <w:ind w:left="1140" w:right="220" w:hanging="384"/>
        <w:spacing w:after="0" w:line="28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upfront payment of $50.0 million under the license and collaboration agreement with Ultragenyx for setrusumab in 2021 and a further milestone payment of $9.0 million in July 2023.</w:t>
      </w:r>
    </w:p>
    <w:p>
      <w:pPr>
        <w:spacing w:after="0" w:line="162" w:lineRule="exact"/>
        <w:rPr>
          <w:rFonts w:ascii="Times New Roman" w:cs="Times New Roman" w:eastAsia="Times New Roman" w:hAnsi="Times New Roman"/>
          <w:sz w:val="18"/>
          <w:szCs w:val="18"/>
          <w:color w:val="auto"/>
        </w:rPr>
      </w:pPr>
    </w:p>
    <w:p>
      <w:pPr>
        <w:ind w:left="1140" w:right="700" w:hanging="384"/>
        <w:spacing w:after="0" w:line="28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upfront payment of $4.0 million under the license and collaboration agreement with Feng Biosciences (formerly OncXerna) for navicixizumab in 2020 and a further milestone payment of $2.0 million in 2022.</w:t>
      </w:r>
    </w:p>
    <w:p>
      <w:pPr>
        <w:spacing w:after="0" w:line="162"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upfront payment of $1.0 million under the global license agreement with ReproNovo for leflutrozole in December 2023.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7" w:lineRule="exact"/>
        <w:rPr>
          <w:sz w:val="20"/>
          <w:szCs w:val="20"/>
          <w:color w:val="auto"/>
        </w:rPr>
      </w:pPr>
    </w:p>
    <w:p>
      <w:pPr>
        <w:ind w:right="260" w:firstLine="749"/>
        <w:spacing w:after="0" w:line="259" w:lineRule="auto"/>
        <w:rPr>
          <w:sz w:val="20"/>
          <w:szCs w:val="20"/>
          <w:color w:val="auto"/>
        </w:rPr>
      </w:pPr>
      <w:r>
        <w:rPr>
          <w:rFonts w:ascii="Times New Roman" w:cs="Times New Roman" w:eastAsia="Times New Roman" w:hAnsi="Times New Roman"/>
          <w:sz w:val="18"/>
          <w:szCs w:val="18"/>
          <w:color w:val="auto"/>
        </w:rPr>
        <w:t>As further described in our Annual Report on Form 10-K for the year ended December 31, 2023, filed with the SEC on March 27, 2023, under “Item 1. Business—Material Agreements—Novartis Agreements” and “Item 1. Business—Material Agreements—Licensing Agreement with AstraZeneca,” under various agreements with Novartis and AstraZeneca, Mereo has agreed to make milestone payments and pay royalties. The amount, timing, and likelihood of such payments are not known and will remain uncertain for the foreseeable future.</w:t>
      </w:r>
    </w:p>
    <w:p>
      <w:pPr>
        <w:spacing w:after="0" w:line="183" w:lineRule="exact"/>
        <w:rPr>
          <w:sz w:val="20"/>
          <w:szCs w:val="20"/>
          <w:color w:val="auto"/>
        </w:rPr>
      </w:pPr>
    </w:p>
    <w:p>
      <w:pPr>
        <w:jc w:val="both"/>
        <w:ind w:right="160" w:firstLine="749"/>
        <w:spacing w:after="0" w:line="265" w:lineRule="auto"/>
        <w:rPr>
          <w:sz w:val="20"/>
          <w:szCs w:val="20"/>
          <w:color w:val="auto"/>
        </w:rPr>
      </w:pPr>
      <w:r>
        <w:rPr>
          <w:rFonts w:ascii="Times New Roman" w:cs="Times New Roman" w:eastAsia="Times New Roman" w:hAnsi="Times New Roman"/>
          <w:sz w:val="18"/>
          <w:szCs w:val="18"/>
          <w:color w:val="auto"/>
        </w:rPr>
        <w:t>In addition, Mereo enters into contracts in the ordinary course of business with CROs, CMOs, and other vendors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$3.1 million as of March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7" w:lineRule="exact"/>
        <w:rPr>
          <w:sz w:val="20"/>
          <w:szCs w:val="20"/>
          <w:color w:val="auto"/>
        </w:rPr>
      </w:pPr>
    </w:p>
    <w:p>
      <w:pPr>
        <w:ind w:right="340" w:firstLine="749"/>
        <w:spacing w:after="0" w:line="280" w:lineRule="auto"/>
        <w:rPr>
          <w:sz w:val="20"/>
          <w:szCs w:val="20"/>
          <w:color w:val="auto"/>
        </w:rPr>
      </w:pPr>
      <w:r>
        <w:rPr>
          <w:rFonts w:ascii="Times New Roman" w:cs="Times New Roman" w:eastAsia="Times New Roman" w:hAnsi="Times New Roman"/>
          <w:sz w:val="18"/>
          <w:szCs w:val="18"/>
          <w:color w:val="auto"/>
        </w:rPr>
        <w:t>The table below summarizes our cash flows (used in) from operating, investing and financing activities for the three months ended March 31, 2024 and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8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20" w:type="dxa"/>
            <w:vAlign w:val="bottom"/>
          </w:tcPr>
          <w:p>
            <w:pPr>
              <w:spacing w:after="0"/>
              <w:rPr>
                <w:sz w:val="21"/>
                <w:szCs w:val="21"/>
                <w:color w:val="auto"/>
              </w:rPr>
            </w:pPr>
          </w:p>
        </w:tc>
      </w:tr>
      <w:tr>
        <w:trPr>
          <w:trHeight w:val="240"/>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spacing w:after="0"/>
              <w:rPr>
                <w:sz w:val="20"/>
                <w:szCs w:val="20"/>
                <w:color w:val="auto"/>
              </w:rPr>
            </w:pPr>
          </w:p>
        </w:tc>
      </w:tr>
      <w:tr>
        <w:trPr>
          <w:trHeight w:val="244"/>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(7,991 )</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(9,248 )</w:t>
            </w: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120" w:type="dxa"/>
            <w:vAlign w:val="bottom"/>
          </w:tcPr>
          <w:p>
            <w:pPr>
              <w:spacing w:after="0"/>
              <w:rPr>
                <w:sz w:val="20"/>
                <w:szCs w:val="20"/>
                <w:color w:val="auto"/>
              </w:rPr>
            </w:pPr>
          </w:p>
        </w:tc>
      </w:tr>
      <w:tr>
        <w:trPr>
          <w:trHeight w:val="242"/>
        </w:trPr>
        <w:tc>
          <w:tcPr>
            <w:tcW w:w="114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5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1,293</w:t>
            </w:r>
          </w:p>
        </w:tc>
        <w:tc>
          <w:tcPr>
            <w:tcW w:w="1120" w:type="dxa"/>
            <w:vAlign w:val="bottom"/>
          </w:tcPr>
          <w:p>
            <w:pPr>
              <w:spacing w:after="0"/>
              <w:rPr>
                <w:sz w:val="21"/>
                <w:szCs w:val="21"/>
                <w:color w:val="auto"/>
              </w:rPr>
            </w:pPr>
          </w:p>
        </w:tc>
      </w:tr>
      <w:tr>
        <w:trPr>
          <w:trHeight w:val="233"/>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(8,761 )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(8,374 )</w:t>
            </w:r>
          </w:p>
        </w:tc>
        <w:tc>
          <w:tcPr>
            <w:tcW w:w="1120" w:type="dxa"/>
            <w:vAlign w:val="bottom"/>
          </w:tcPr>
          <w:p>
            <w:pPr>
              <w:spacing w:after="0"/>
              <w:rPr>
                <w:sz w:val="20"/>
                <w:szCs w:val="20"/>
                <w:color w:val="auto"/>
              </w:rPr>
            </w:pPr>
          </w:p>
        </w:tc>
      </w:tr>
      <w:tr>
        <w:trPr>
          <w:trHeight w:val="646"/>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58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760"/>
        </w:trPr>
        <w:tc>
          <w:tcPr>
            <w:tcW w:w="11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-1075690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5"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Net cash used in operating activities for the three months ended March 31, 2024, was $8.0 million, a decrease of $1.3 million from $9.2 million in the three months ended March 31, 2023. </w:t>
      </w:r>
      <w:r>
        <w:rPr>
          <w:rFonts w:ascii="Times New Roman" w:cs="Times New Roman" w:eastAsia="Times New Roman" w:hAnsi="Times New Roman"/>
          <w:sz w:val="18"/>
          <w:szCs w:val="18"/>
          <w:color w:val="363435"/>
        </w:rPr>
        <w:t>The decrease was primarily driven by the receipt of</w:t>
      </w:r>
      <w:r>
        <w:rPr>
          <w:rFonts w:ascii="Times New Roman" w:cs="Times New Roman" w:eastAsia="Times New Roman" w:hAnsi="Times New Roman"/>
          <w:sz w:val="18"/>
          <w:szCs w:val="18"/>
          <w:color w:val="auto"/>
        </w:rPr>
        <w:t xml:space="preserve"> $1.7 million from our depository to reimburse certain expenses incurred by us in respect of our ADR program and $2.0 million received under a claim on our Directors and Officers insurance policy to reimburse us for certain legal and professional costs incurred in prior years. These inflows were partially offset by approximately $2.0 million higher up-front payments to suppliers, principally for clinical supply manufacturing, as well as payments pursuant to our asset purchase agreements with Novartis.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5" w:lineRule="exact"/>
        <w:rPr>
          <w:sz w:val="20"/>
          <w:szCs w:val="20"/>
          <w:color w:val="auto"/>
        </w:rPr>
      </w:pPr>
    </w:p>
    <w:p>
      <w:pPr>
        <w:ind w:right="140" w:firstLine="749"/>
        <w:spacing w:after="0" w:line="280"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$0.7 million, an increase of $0.3 million from $0.4 million in the three months ended March 31, 2023. In both periods, these cash flows relate to payments to acquire intangible assets.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and March 31, 2023 was $ nil.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7" w:lineRule="exact"/>
        <w:rPr>
          <w:sz w:val="20"/>
          <w:szCs w:val="20"/>
          <w:color w:val="auto"/>
        </w:rPr>
      </w:pPr>
    </w:p>
    <w:p>
      <w:pPr>
        <w:ind w:right="380" w:firstLine="749"/>
        <w:spacing w:after="0" w:line="265" w:lineRule="auto"/>
        <w:rPr>
          <w:sz w:val="20"/>
          <w:szCs w:val="20"/>
          <w:color w:val="auto"/>
        </w:rPr>
      </w:pPr>
      <w:r>
        <w:rPr>
          <w:rFonts w:ascii="Times New Roman" w:cs="Times New Roman" w:eastAsia="Times New Roman" w:hAnsi="Times New Roman"/>
          <w:sz w:val="18"/>
          <w:szCs w:val="18"/>
          <w:color w:val="auto"/>
        </w:rPr>
        <w:t>As of March 31, 2024, we had an accumulated deficit of $428.6 million. We expect to continue to report significant operating losses for the foreseeable future as we continue our research and development efforts and seek to obtain regulatory approval of our product candidates and any future product we develop.</w:t>
      </w:r>
    </w:p>
    <w:p>
      <w:pPr>
        <w:spacing w:after="0" w:line="175"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costs will increase further if we:</w:t>
      </w:r>
    </w:p>
    <w:p>
      <w:pPr>
        <w:spacing w:after="0" w:line="223" w:lineRule="exact"/>
        <w:rPr>
          <w:sz w:val="20"/>
          <w:szCs w:val="20"/>
          <w:color w:val="auto"/>
        </w:rPr>
      </w:pPr>
    </w:p>
    <w:p>
      <w:pPr>
        <w:ind w:left="1140" w:hanging="3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additional product candidates;</w:t>
      </w:r>
    </w:p>
    <w:p>
      <w:pPr>
        <w:spacing w:after="0" w:line="223"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completes clinical trials;</w:t>
      </w:r>
    </w:p>
    <w:p>
      <w:pPr>
        <w:spacing w:after="0" w:line="223" w:lineRule="exact"/>
        <w:rPr>
          <w:rFonts w:ascii="Times New Roman" w:cs="Times New Roman" w:eastAsia="Times New Roman" w:hAnsi="Times New Roman"/>
          <w:sz w:val="18"/>
          <w:szCs w:val="18"/>
          <w:color w:val="auto"/>
        </w:rPr>
      </w:pPr>
    </w:p>
    <w:p>
      <w:pPr>
        <w:ind w:left="1140" w:right="460" w:hanging="384"/>
        <w:spacing w:after="0" w:line="28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62"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intellectual property portfolio;</w:t>
      </w:r>
    </w:p>
    <w:p>
      <w:pPr>
        <w:spacing w:after="0" w:line="223" w:lineRule="exact"/>
        <w:rPr>
          <w:rFonts w:ascii="Times New Roman" w:cs="Times New Roman" w:eastAsia="Times New Roman" w:hAnsi="Times New Roman"/>
          <w:sz w:val="18"/>
          <w:szCs w:val="18"/>
          <w:color w:val="auto"/>
        </w:rPr>
      </w:pPr>
    </w:p>
    <w:p>
      <w:pPr>
        <w:ind w:left="1140" w:right="400" w:hanging="384"/>
        <w:spacing w:after="0" w:line="28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further clinical, scientific, operational, financial, legal and management information systems, and personnel, including personnel to support our development and to support our operations as a U.S. public company listed on Nasdaq; or</w:t>
      </w:r>
    </w:p>
    <w:p>
      <w:pPr>
        <w:spacing w:after="0" w:line="162" w:lineRule="exact"/>
        <w:rPr>
          <w:rFonts w:ascii="Times New Roman" w:cs="Times New Roman" w:eastAsia="Times New Roman" w:hAnsi="Times New Roman"/>
          <w:sz w:val="18"/>
          <w:szCs w:val="18"/>
          <w:color w:val="auto"/>
        </w:rPr>
      </w:pPr>
    </w:p>
    <w:p>
      <w:pPr>
        <w:ind w:left="1140" w:right="400" w:hanging="384"/>
        <w:spacing w:after="0" w:line="28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16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currently committed clinical trials, operating expenses and capital expenditure requirements into 2026.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25" w:name="page26"/>
    <w:bookmarkEnd w:id="25"/>
    <w:p>
      <w:pPr>
        <w:ind w:left="1140" w:hanging="384"/>
        <w:spacing w:after="0" w:line="28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our activities related to our ongoing collaboration with Ultragenyx for setrusumab for the treatment of adults and children with OI; and potential future clinical trials for alvelestat in AATD and other potential indications;</w:t>
      </w:r>
    </w:p>
    <w:p>
      <w:pPr>
        <w:spacing w:after="0" w:line="162"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clinical supplies of our product candidates;</w:t>
      </w:r>
    </w:p>
    <w:p>
      <w:pPr>
        <w:spacing w:after="0" w:line="223" w:lineRule="exact"/>
        <w:rPr>
          <w:rFonts w:ascii="Times New Roman" w:cs="Times New Roman" w:eastAsia="Times New Roman" w:hAnsi="Times New Roman"/>
          <w:sz w:val="18"/>
          <w:szCs w:val="18"/>
          <w:color w:val="auto"/>
        </w:rPr>
      </w:pPr>
    </w:p>
    <w:p>
      <w:pPr>
        <w:ind w:left="1140" w:right="220" w:hanging="384"/>
        <w:spacing w:after="0" w:line="28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including post-marketing studies that could be required by regulatory authorities;</w:t>
      </w:r>
    </w:p>
    <w:p>
      <w:pPr>
        <w:spacing w:after="0" w:line="162" w:lineRule="exact"/>
        <w:rPr>
          <w:rFonts w:ascii="Times New Roman" w:cs="Times New Roman" w:eastAsia="Times New Roman" w:hAnsi="Times New Roman"/>
          <w:sz w:val="18"/>
          <w:szCs w:val="18"/>
          <w:color w:val="auto"/>
        </w:rPr>
      </w:pPr>
    </w:p>
    <w:p>
      <w:pPr>
        <w:ind w:left="1140" w:right="600" w:hanging="384"/>
        <w:spacing w:after="0" w:line="28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life cycle management and distribution, for our product candidates that we commercialize directly;</w:t>
      </w:r>
    </w:p>
    <w:p>
      <w:pPr>
        <w:spacing w:after="0" w:line="162"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our product candidates;</w:t>
      </w:r>
    </w:p>
    <w:p>
      <w:pPr>
        <w:spacing w:after="0" w:line="223" w:lineRule="exact"/>
        <w:rPr>
          <w:rFonts w:ascii="Times New Roman" w:cs="Times New Roman" w:eastAsia="Times New Roman" w:hAnsi="Times New Roman"/>
          <w:sz w:val="18"/>
          <w:szCs w:val="18"/>
          <w:color w:val="auto"/>
        </w:rPr>
      </w:pPr>
    </w:p>
    <w:p>
      <w:pPr>
        <w:ind w:left="1140" w:right="40" w:hanging="384"/>
        <w:spacing w:after="0" w:line="265"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175"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w:t>
      </w:r>
    </w:p>
    <w:p>
      <w:pPr>
        <w:spacing w:after="0" w:line="223"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w:t>
      </w:r>
    </w:p>
    <w:p>
      <w:pPr>
        <w:spacing w:after="0" w:line="223"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collaborators and partners under the existing agreements on setrusumab, navicixizumab and, leflutrozole;</w:t>
      </w:r>
    </w:p>
    <w:p>
      <w:pPr>
        <w:spacing w:after="0" w:line="223" w:lineRule="exact"/>
        <w:rPr>
          <w:rFonts w:ascii="Times New Roman" w:cs="Times New Roman" w:eastAsia="Times New Roman" w:hAnsi="Times New Roman"/>
          <w:sz w:val="18"/>
          <w:szCs w:val="18"/>
          <w:color w:val="auto"/>
        </w:rPr>
      </w:pPr>
    </w:p>
    <w:p>
      <w:pPr>
        <w:ind w:left="1140" w:right="400" w:hanging="384"/>
        <w:spacing w:after="0" w:line="28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62"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and deferred payments under Mereo’s license and option agreement with AstraZeneca;</w:t>
      </w:r>
    </w:p>
    <w:p>
      <w:pPr>
        <w:spacing w:after="0" w:line="223" w:lineRule="exact"/>
        <w:rPr>
          <w:rFonts w:ascii="Times New Roman" w:cs="Times New Roman" w:eastAsia="Times New Roman" w:hAnsi="Times New Roman"/>
          <w:sz w:val="18"/>
          <w:szCs w:val="18"/>
          <w:color w:val="auto"/>
        </w:rPr>
      </w:pPr>
    </w:p>
    <w:p>
      <w:pPr>
        <w:ind w:left="1140" w:right="340" w:hanging="384"/>
        <w:spacing w:after="0" w:line="28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need to repay the principal and interest on our Convertible Loan Note due in February 2025. We currently assume it will be converted or otherwise refinanced with new debt or equity; and,</w:t>
      </w:r>
    </w:p>
    <w:p>
      <w:pPr>
        <w:spacing w:after="0" w:line="162" w:lineRule="exact"/>
        <w:rPr>
          <w:rFonts w:ascii="Times New Roman" w:cs="Times New Roman" w:eastAsia="Times New Roman" w:hAnsi="Times New Roman"/>
          <w:sz w:val="18"/>
          <w:szCs w:val="18"/>
          <w:color w:val="auto"/>
        </w:rPr>
      </w:pPr>
    </w:p>
    <w:p>
      <w:pPr>
        <w:ind w:left="1140" w:hanging="384"/>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or other assessments and our ability to claim R&amp;D tax credits or other reliefs.</w:t>
      </w:r>
    </w:p>
    <w:p>
      <w:pPr>
        <w:spacing w:after="0" w:line="223" w:lineRule="exact"/>
        <w:rPr>
          <w:sz w:val="20"/>
          <w:szCs w:val="20"/>
          <w:color w:val="auto"/>
        </w:rPr>
      </w:pPr>
    </w:p>
    <w:p>
      <w:pPr>
        <w:ind w:right="240" w:firstLine="749"/>
        <w:spacing w:after="0" w:line="265" w:lineRule="auto"/>
        <w:rPr>
          <w:sz w:val="20"/>
          <w:szCs w:val="20"/>
          <w:color w:val="auto"/>
        </w:rPr>
      </w:pPr>
      <w:r>
        <w:rPr>
          <w:rFonts w:ascii="Times New Roman" w:cs="Times New Roman" w:eastAsia="Times New Roman" w:hAnsi="Times New Roman"/>
          <w:sz w:val="18"/>
          <w:szCs w:val="18"/>
          <w:color w:val="auto"/>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75"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75" w:lineRule="exact"/>
        <w:rPr>
          <w:sz w:val="20"/>
          <w:szCs w:val="20"/>
          <w:color w:val="auto"/>
        </w:rPr>
      </w:pPr>
    </w:p>
    <w:p>
      <w:pPr>
        <w:ind w:right="240" w:firstLine="749"/>
        <w:spacing w:after="0" w:line="265" w:lineRule="auto"/>
        <w:rPr>
          <w:sz w:val="20"/>
          <w:szCs w:val="20"/>
          <w:color w:val="auto"/>
        </w:rPr>
      </w:pPr>
      <w:r>
        <w:rPr>
          <w:rFonts w:ascii="Times New Roman" w:cs="Times New Roman" w:eastAsia="Times New Roman" w:hAnsi="Times New Roman"/>
          <w:sz w:val="18"/>
          <w:szCs w:val="18"/>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5" w:lineRule="exact"/>
        <w:rPr>
          <w:sz w:val="20"/>
          <w:szCs w:val="20"/>
          <w:color w:val="auto"/>
        </w:rPr>
      </w:pPr>
    </w:p>
    <w:p>
      <w:pPr>
        <w:ind w:right="120" w:firstLine="749"/>
        <w:spacing w:after="0" w:line="257"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unaudited condensed consolidated financial statements requires us to make estimates and assumptions that affect the reported amounts of assets, liabilities, revenue,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unaudited condensed consolidated financial statements. We believe that there are no estimates and assumptions made in our unaudited condensed consolidated financial statements that rise to this level. Our critical accounting policies are described under the heading “Management’s Discussion and Analysis of Financial Condition and Results of Operations—Critical Accounting Estimates” in our 2023 Annual Report, which was filed with the SEC on March 27, 2024. If actual results or events differ materially from the estimates, judgments and assumptions used by us in applying these policies, our reported financial condition and results of operations could be materially affected. Other than as disclosed in Note 2 to the unaudited condensed consolidated financial statements included in this Quarterly Report on Form 10-Q, there have been no significant changes to our critical accounting estimates from those described in our 2023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the section titled “Information Regarding Forward-Looking Statements” at the beginning of this Quarterly Report.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jc w:val="both"/>
        <w:ind w:right="100" w:firstLine="749"/>
        <w:spacing w:after="0" w:line="265" w:lineRule="auto"/>
        <w:rPr>
          <w:sz w:val="20"/>
          <w:szCs w:val="20"/>
          <w:color w:val="auto"/>
        </w:rPr>
      </w:pPr>
      <w:r>
        <w:rPr>
          <w:rFonts w:ascii="Times New Roman" w:cs="Times New Roman" w:eastAsia="Times New Roman" w:hAnsi="Times New Roman"/>
          <w:sz w:val="18"/>
          <w:szCs w:val="18"/>
          <w:color w:val="auto"/>
        </w:rPr>
        <w:t>There have been no material changes to the Company’s exposure to market risk during the three months ended March 31, 2024. For a discussion of the Company’s exposure to market risk, please refer to the Company’s market risk disclosures set forth in Part II, Item 7A, “Quantitative and Qualitative Disclosures About Market Risk” in our Annual Report on Form 10-K for the year ended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7" w:lineRule="exact"/>
        <w:rPr>
          <w:sz w:val="20"/>
          <w:szCs w:val="20"/>
          <w:color w:val="auto"/>
        </w:rPr>
      </w:pPr>
    </w:p>
    <w:p>
      <w:pPr>
        <w:ind w:right="200" w:firstLine="749"/>
        <w:spacing w:after="0" w:line="26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 15(e) and 15d 15(e)) under the Securities and Exchange Act of 1934, as amended (“Exchange Act”) as of March 31, 2024.</w:t>
      </w:r>
    </w:p>
    <w:p>
      <w:pPr>
        <w:spacing w:after="0" w:line="175" w:lineRule="exact"/>
        <w:rPr>
          <w:sz w:val="20"/>
          <w:szCs w:val="20"/>
          <w:color w:val="auto"/>
        </w:rPr>
      </w:pPr>
    </w:p>
    <w:p>
      <w:pPr>
        <w:ind w:right="260" w:firstLine="749"/>
        <w:spacing w:after="0" w:line="280" w:lineRule="auto"/>
        <w:rPr>
          <w:sz w:val="20"/>
          <w:szCs w:val="20"/>
          <w:color w:val="auto"/>
        </w:rPr>
      </w:pPr>
      <w:r>
        <w:rPr>
          <w:rFonts w:ascii="Times New Roman" w:cs="Times New Roman" w:eastAsia="Times New Roman" w:hAnsi="Times New Roman"/>
          <w:sz w:val="18"/>
          <w:szCs w:val="18"/>
          <w:color w:val="auto"/>
        </w:rPr>
        <w:t>Based on such evaluation, our Chief Executive Officer and Chief Financial Officer have concluded that our disclosure controls and procedures were effective at March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ind w:right="80" w:firstLine="749"/>
        <w:spacing w:after="0" w:line="311" w:lineRule="auto"/>
        <w:rPr>
          <w:sz w:val="20"/>
          <w:szCs w:val="20"/>
          <w:color w:val="auto"/>
        </w:rPr>
      </w:pPr>
      <w:r>
        <w:rPr>
          <w:rFonts w:ascii="Times New Roman" w:cs="Times New Roman" w:eastAsia="Times New Roman" w:hAnsi="Times New Roman"/>
          <w:sz w:val="17"/>
          <w:szCs w:val="17"/>
          <w:color w:val="auto"/>
        </w:rPr>
        <w:t>No changes in our internal control over financial reporting (as defined in Rules 13a-15(e) and 15d – 15(e)) under Exchange Act) occurred during the quarter ended March 31, 2024 that have materially affected, or are reasonably likely to materially affect, our internal control over financial reporting.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27" w:name="page28"/>
    <w:bookmarkEnd w:id="27"/>
    <w:p>
      <w:pPr>
        <w:jc w:val="center"/>
        <w:ind w:right="-219"/>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2024, we were not a party to any material legal proceedings.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749"/>
        <w:spacing w:after="0" w:line="280"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most recent Annual Report on Form 10-K as filed with the SEC on March 27,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18"/>
          <w:szCs w:val="18"/>
          <w:color w:val="auto"/>
        </w:rPr>
        <w:t>During the three-month period ended March 31, 2024, none of our directors or officers adopted, modified or terminated a “Rule 10b5-1 trading arrangement” or a “non-Rule 10b5-1 trading arrangement” as such terms are defined in Item 408(a) of Regulation S-K.</w:t>
      </w: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20"/>
          </w:cols>
          <w:pgMar w:left="320" w:top="982"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52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The following exhibits are either provided with this Quarterly Report on Form 10-Q or are incorporated herein by reference:</w:t>
            </w:r>
          </w:p>
        </w:tc>
        <w:tc>
          <w:tcPr>
            <w:tcW w:w="0" w:type="dxa"/>
            <w:vAlign w:val="bottom"/>
          </w:tcPr>
          <w:p>
            <w:pPr>
              <w:spacing w:after="0"/>
              <w:rPr>
                <w:sz w:val="1"/>
                <w:szCs w:val="1"/>
                <w:color w:val="auto"/>
              </w:rPr>
            </w:pPr>
          </w:p>
        </w:tc>
      </w:tr>
      <w:tr>
        <w:trPr>
          <w:trHeight w:val="379"/>
        </w:trPr>
        <w:tc>
          <w:tcPr>
            <w:tcW w:w="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7"/>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Extension Letter to the Cooperation Agreement between the Company and Rubric Capital, dated April 15, 2024 (previously filed as Exhibit</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20" w:type="dxa"/>
            <w:vAlign w:val="bottom"/>
            <w:gridSpan w:val="11"/>
          </w:tcPr>
          <w:p>
            <w:pPr>
              <w:spacing w:after="0" w:line="195"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April 15, 2024 and incorporated therein by reference).</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2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and Rule 15d-14(a) of the Securities Exchange Act of 1934, as adopted</w:t>
            </w:r>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6"/>
                <w:szCs w:val="16"/>
                <w:color w:val="auto"/>
              </w:rPr>
            </w:pPr>
          </w:p>
        </w:tc>
        <w:tc>
          <w:tcPr>
            <w:tcW w:w="60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and Rule 15d-14(a) of the Securities Exchange Act of 1934, as adopted</w:t>
            </w:r>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6"/>
                <w:szCs w:val="16"/>
                <w:color w:val="auto"/>
              </w:rPr>
            </w:pPr>
          </w:p>
        </w:tc>
        <w:tc>
          <w:tcPr>
            <w:tcW w:w="60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 Act of</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200" w:type="dxa"/>
            <w:vAlign w:val="bottom"/>
            <w:gridSpan w:val="3"/>
          </w:tcPr>
          <w:p>
            <w:pPr>
              <w:spacing w:after="0"/>
              <w:rPr>
                <w:sz w:val="16"/>
                <w:szCs w:val="16"/>
                <w:color w:val="auto"/>
              </w:rPr>
            </w:pPr>
          </w:p>
        </w:tc>
        <w:tc>
          <w:tcPr>
            <w:tcW w:w="4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bottom w:val="single" w:sz="8" w:color="0000EE"/>
            </w:tcBorders>
          </w:tcPr>
          <w:p>
            <w:pPr>
              <w:spacing w:after="0"/>
              <w:rPr>
                <w:sz w:val="16"/>
                <w:szCs w:val="16"/>
                <w:color w:val="auto"/>
              </w:rPr>
            </w:pPr>
          </w:p>
        </w:tc>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 Act of</w:t>
            </w:r>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200" w:type="dxa"/>
            <w:vAlign w:val="bottom"/>
            <w:gridSpan w:val="3"/>
          </w:tcPr>
          <w:p>
            <w:pPr>
              <w:spacing w:after="0"/>
              <w:rPr>
                <w:sz w:val="16"/>
                <w:szCs w:val="16"/>
                <w:color w:val="auto"/>
              </w:rPr>
            </w:pPr>
          </w:p>
        </w:tc>
        <w:tc>
          <w:tcPr>
            <w:tcW w:w="4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bottom w:val="single" w:sz="8" w:color="0000EE"/>
            </w:tcBorders>
          </w:tcPr>
          <w:p>
            <w:pPr>
              <w:spacing w:after="0"/>
              <w:rPr>
                <w:sz w:val="16"/>
                <w:szCs w:val="16"/>
                <w:color w:val="auto"/>
              </w:rPr>
            </w:pPr>
          </w:p>
        </w:tc>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8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820" w:firstLine="21"/>
        <w:spacing w:after="0" w:line="353" w:lineRule="auto"/>
        <w:tabs>
          <w:tab w:leader="none" w:pos="91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has been formatted in Inline XBRL and contained in Exhibit 101 * Filed herewith.</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9050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905000" cy="8255"/>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240" w:firstLine="749"/>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May 15,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7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15, 2024</w:t>
            </w:r>
          </w:p>
        </w:tc>
        <w:tc>
          <w:tcPr>
            <w:tcW w:w="21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Denise Scots-Knight</w:t>
            </w:r>
          </w:p>
        </w:tc>
      </w:tr>
      <w:tr>
        <w:trPr>
          <w:trHeight w:val="227"/>
        </w:trPr>
        <w:tc>
          <w:tcPr>
            <w:tcW w:w="35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w:t>
            </w:r>
          </w:p>
        </w:tc>
      </w:tr>
      <w:tr>
        <w:trPr>
          <w:trHeight w:val="237"/>
        </w:trPr>
        <w:tc>
          <w:tcPr>
            <w:tcW w:w="3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74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15, 2024</w:t>
            </w:r>
          </w:p>
        </w:tc>
        <w:tc>
          <w:tcPr>
            <w:tcW w:w="21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Fox</w:t>
            </w:r>
          </w:p>
        </w:tc>
      </w:tr>
      <w:tr>
        <w:trPr>
          <w:trHeight w:val="227"/>
        </w:trPr>
        <w:tc>
          <w:tcPr>
            <w:tcW w:w="35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w:t>
            </w:r>
          </w:p>
        </w:tc>
      </w:tr>
      <w:tr>
        <w:trPr>
          <w:trHeight w:val="237"/>
        </w:trPr>
        <w:tc>
          <w:tcPr>
            <w:tcW w:w="3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59"/>
        </w:trPr>
        <w:tc>
          <w:tcPr>
            <w:tcW w:w="3500" w:type="dxa"/>
            <w:vAlign w:val="bottom"/>
          </w:tcPr>
          <w:p>
            <w:pPr>
              <w:spacing w:after="0"/>
              <w:rPr>
                <w:sz w:val="24"/>
                <w:szCs w:val="24"/>
                <w:color w:val="auto"/>
              </w:rPr>
            </w:pPr>
          </w:p>
        </w:tc>
        <w:tc>
          <w:tcPr>
            <w:tcW w:w="774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28</w:t>
            </w:r>
          </w:p>
        </w:tc>
      </w:tr>
      <w:tr>
        <w:trPr>
          <w:trHeight w:val="760"/>
        </w:trPr>
        <w:tc>
          <w:tcPr>
            <w:tcW w:w="35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0" w:name="page31"/>
    <w:bookmarkEnd w:id="30"/>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Denise Scots-Knight, certify that:</w:t>
      </w:r>
    </w:p>
    <w:p>
      <w:pPr>
        <w:spacing w:after="0" w:line="143" w:lineRule="exact"/>
        <w:rPr>
          <w:sz w:val="20"/>
          <w:szCs w:val="20"/>
          <w:color w:val="auto"/>
        </w:rPr>
      </w:pPr>
    </w:p>
    <w:p>
      <w:pPr>
        <w:ind w:left="480" w:hanging="459"/>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w:t>
      </w:r>
    </w:p>
    <w:p>
      <w:pPr>
        <w:spacing w:after="0" w:line="156" w:lineRule="exact"/>
        <w:rPr>
          <w:rFonts w:ascii="Times New Roman" w:cs="Times New Roman" w:eastAsia="Times New Roman" w:hAnsi="Times New Roman"/>
          <w:sz w:val="18"/>
          <w:szCs w:val="18"/>
          <w:color w:val="auto"/>
        </w:rPr>
      </w:pPr>
    </w:p>
    <w:p>
      <w:pPr>
        <w:jc w:val="both"/>
        <w:ind w:left="480" w:right="340" w:hanging="459"/>
        <w:spacing w:after="0" w:line="265"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80" w:right="300" w:hanging="459"/>
        <w:spacing w:after="0" w:line="280"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8"/>
          <w:szCs w:val="18"/>
          <w:color w:val="auto"/>
        </w:rPr>
      </w:pPr>
    </w:p>
    <w:p>
      <w:pPr>
        <w:jc w:val="both"/>
        <w:ind w:left="480" w:right="320" w:hanging="459"/>
        <w:spacing w:after="0" w:line="265"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040" w:right="20" w:hanging="562"/>
        <w:spacing w:after="0" w:line="265" w:lineRule="auto"/>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040" w:right="340" w:hanging="562"/>
        <w:spacing w:after="0" w:line="265" w:lineRule="auto"/>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040" w:right="500" w:hanging="562"/>
        <w:spacing w:after="0" w:line="311" w:lineRule="auto"/>
        <w:tabs>
          <w:tab w:leader="none" w:pos="10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1040" w:right="20" w:hanging="562"/>
        <w:spacing w:after="0" w:line="265" w:lineRule="auto"/>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80" w:right="40" w:hanging="459"/>
        <w:spacing w:after="0" w:line="280"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and risk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1040" w:right="740" w:hanging="562"/>
        <w:spacing w:after="0" w:line="280" w:lineRule="auto"/>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8"/>
          <w:szCs w:val="18"/>
          <w:color w:val="auto"/>
        </w:rPr>
      </w:pPr>
    </w:p>
    <w:p>
      <w:pPr>
        <w:ind w:left="1040" w:right="440" w:hanging="562"/>
        <w:spacing w:after="0" w:line="280" w:lineRule="auto"/>
        <w:tabs>
          <w:tab w:leader="none" w:pos="10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2024</w:t>
      </w:r>
    </w:p>
    <w:p>
      <w:pPr>
        <w:spacing w:after="0" w:line="200" w:lineRule="exact"/>
        <w:rPr>
          <w:sz w:val="20"/>
          <w:szCs w:val="20"/>
          <w:color w:val="auto"/>
        </w:rPr>
      </w:pPr>
    </w:p>
    <w:p>
      <w:pPr>
        <w:spacing w:after="0" w:line="3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17145</wp:posOffset>
            </wp:positionV>
            <wp:extent cx="28359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835910" cy="8255"/>
                    </a:xfrm>
                    <a:prstGeom prst="rect">
                      <a:avLst/>
                    </a:prstGeom>
                    <a:noFill/>
                  </pic:spPr>
                </pic:pic>
              </a:graphicData>
            </a:graphic>
          </wp:anchor>
        </w:drawing>
      </w:r>
    </w:p>
    <w:p>
      <w:pPr>
        <w:spacing w:after="0" w:line="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Denise Scots-Knight, Ph.D.</w:t>
      </w:r>
    </w:p>
    <w:p>
      <w:pPr>
        <w:spacing w:after="0" w:line="35" w:lineRule="exact"/>
        <w:rPr>
          <w:sz w:val="20"/>
          <w:szCs w:val="20"/>
          <w:color w:val="auto"/>
        </w:rPr>
      </w:pPr>
    </w:p>
    <w:p>
      <w:pPr>
        <w:ind w:left="67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Christine Fox, certify that:</w:t>
      </w:r>
    </w:p>
    <w:p>
      <w:pPr>
        <w:spacing w:after="0" w:line="143" w:lineRule="exact"/>
        <w:rPr>
          <w:sz w:val="20"/>
          <w:szCs w:val="20"/>
          <w:color w:val="auto"/>
        </w:rPr>
      </w:pPr>
    </w:p>
    <w:p>
      <w:pPr>
        <w:ind w:left="480" w:hanging="459"/>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w:t>
      </w:r>
    </w:p>
    <w:p>
      <w:pPr>
        <w:spacing w:after="0" w:line="156" w:lineRule="exact"/>
        <w:rPr>
          <w:rFonts w:ascii="Times New Roman" w:cs="Times New Roman" w:eastAsia="Times New Roman" w:hAnsi="Times New Roman"/>
          <w:sz w:val="18"/>
          <w:szCs w:val="18"/>
          <w:color w:val="auto"/>
        </w:rPr>
      </w:pPr>
    </w:p>
    <w:p>
      <w:pPr>
        <w:jc w:val="both"/>
        <w:ind w:left="480" w:right="340" w:hanging="459"/>
        <w:spacing w:after="0" w:line="265"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80" w:right="300" w:hanging="459"/>
        <w:spacing w:after="0" w:line="28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8"/>
          <w:szCs w:val="18"/>
          <w:color w:val="auto"/>
        </w:rPr>
      </w:pPr>
    </w:p>
    <w:p>
      <w:pPr>
        <w:jc w:val="both"/>
        <w:ind w:left="480" w:right="320" w:hanging="459"/>
        <w:spacing w:after="0" w:line="265"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040" w:right="20" w:hanging="562"/>
        <w:spacing w:after="0" w:line="265"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040" w:right="340" w:hanging="562"/>
        <w:spacing w:after="0" w:line="265"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040" w:right="500" w:hanging="562"/>
        <w:spacing w:after="0" w:line="311" w:lineRule="auto"/>
        <w:tabs>
          <w:tab w:leader="none" w:pos="10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1040" w:right="20" w:hanging="562"/>
        <w:spacing w:after="0" w:line="265"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80" w:right="40" w:hanging="459"/>
        <w:spacing w:after="0" w:line="280"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and risk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1040" w:right="740" w:hanging="562"/>
        <w:spacing w:after="0" w:line="280"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8"/>
          <w:szCs w:val="18"/>
          <w:color w:val="auto"/>
        </w:rPr>
      </w:pPr>
    </w:p>
    <w:p>
      <w:pPr>
        <w:ind w:left="1040" w:right="440" w:hanging="562"/>
        <w:spacing w:after="0" w:line="280" w:lineRule="auto"/>
        <w:tabs>
          <w:tab w:leader="none" w:pos="10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2024</w:t>
      </w:r>
    </w:p>
    <w:p>
      <w:pPr>
        <w:spacing w:after="0" w:line="200" w:lineRule="exact"/>
        <w:rPr>
          <w:sz w:val="20"/>
          <w:szCs w:val="20"/>
          <w:color w:val="auto"/>
        </w:rPr>
      </w:pPr>
    </w:p>
    <w:p>
      <w:pPr>
        <w:spacing w:after="0" w:line="3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17145</wp:posOffset>
            </wp:positionV>
            <wp:extent cx="28359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835910" cy="8255"/>
                    </a:xfrm>
                    <a:prstGeom prst="rect">
                      <a:avLst/>
                    </a:prstGeom>
                    <a:noFill/>
                  </pic:spPr>
                </pic:pic>
              </a:graphicData>
            </a:graphic>
          </wp:anchor>
        </w:drawing>
      </w:r>
    </w:p>
    <w:p>
      <w:pPr>
        <w:spacing w:after="0" w:line="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Christine Fox</w:t>
      </w:r>
    </w:p>
    <w:p>
      <w:pPr>
        <w:spacing w:after="0" w:line="35" w:lineRule="exact"/>
        <w:rPr>
          <w:sz w:val="20"/>
          <w:szCs w:val="20"/>
          <w:color w:val="auto"/>
        </w:rPr>
      </w:pPr>
    </w:p>
    <w:p>
      <w:pPr>
        <w:ind w:left="6760"/>
        <w:spacing w:after="0"/>
        <w:tabs>
          <w:tab w:leader="none" w:pos="73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on Form 10-Q for the quarterly period ended March 31, 2024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75"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right="580" w:firstLine="8"/>
        <w:spacing w:after="0" w:line="530" w:lineRule="auto"/>
        <w:tabs>
          <w:tab w:leader="none" w:pos="2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May 15, 2024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Denise Scots-Knight, Ph.D.</w:t>
            </w:r>
          </w:p>
        </w:tc>
        <w:tc>
          <w:tcPr>
            <w:tcW w:w="6760" w:type="dxa"/>
            <w:vAlign w:val="bottom"/>
          </w:tcPr>
          <w:p>
            <w:pPr>
              <w:spacing w:after="0"/>
              <w:rPr>
                <w:sz w:val="20"/>
                <w:szCs w:val="20"/>
                <w:color w:val="auto"/>
              </w:rPr>
            </w:pPr>
          </w:p>
        </w:tc>
      </w:tr>
      <w:tr>
        <w:trPr>
          <w:trHeight w:val="24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Ph.D.</w:t>
            </w:r>
          </w:p>
        </w:tc>
        <w:tc>
          <w:tcPr>
            <w:tcW w:w="6760" w:type="dxa"/>
            <w:vAlign w:val="bottom"/>
          </w:tcPr>
          <w:p>
            <w:pPr>
              <w:spacing w:after="0"/>
              <w:rPr>
                <w:sz w:val="21"/>
                <w:szCs w:val="21"/>
                <w:color w:val="auto"/>
              </w:rPr>
            </w:pPr>
          </w:p>
        </w:tc>
      </w:tr>
      <w:tr>
        <w:trPr>
          <w:trHeight w:val="24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760" w:type="dxa"/>
            <w:vAlign w:val="bottom"/>
          </w:tcPr>
          <w:p>
            <w:pPr>
              <w:spacing w:after="0"/>
              <w:rPr>
                <w:sz w:val="21"/>
                <w:szCs w:val="21"/>
                <w:color w:val="auto"/>
              </w:rPr>
            </w:pPr>
          </w:p>
        </w:tc>
      </w:tr>
      <w:tr>
        <w:trPr>
          <w:trHeight w:val="2307"/>
        </w:trPr>
        <w:tc>
          <w:tcPr>
            <w:tcW w:w="10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5"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on Form 10-Q for the quarterly period ended March 31, 2024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spacing w:after="0" w:line="175"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right="580" w:firstLine="8"/>
        <w:spacing w:after="0" w:line="530" w:lineRule="auto"/>
        <w:tabs>
          <w:tab w:leader="none" w:pos="2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May 15, 2024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Fox</w:t>
            </w:r>
          </w:p>
        </w:tc>
        <w:tc>
          <w:tcPr>
            <w:tcW w:w="6760" w:type="dxa"/>
            <w:vAlign w:val="bottom"/>
          </w:tcPr>
          <w:p>
            <w:pPr>
              <w:spacing w:after="0"/>
              <w:rPr>
                <w:sz w:val="20"/>
                <w:szCs w:val="20"/>
                <w:color w:val="auto"/>
              </w:rPr>
            </w:pPr>
          </w:p>
        </w:tc>
      </w:tr>
      <w:tr>
        <w:trPr>
          <w:trHeight w:val="24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w:t>
            </w:r>
          </w:p>
        </w:tc>
        <w:tc>
          <w:tcPr>
            <w:tcW w:w="6760" w:type="dxa"/>
            <w:vAlign w:val="bottom"/>
          </w:tcPr>
          <w:p>
            <w:pPr>
              <w:spacing w:after="0"/>
              <w:rPr>
                <w:sz w:val="21"/>
                <w:szCs w:val="21"/>
                <w:color w:val="auto"/>
              </w:rPr>
            </w:pPr>
          </w:p>
        </w:tc>
      </w:tr>
      <w:tr>
        <w:trPr>
          <w:trHeight w:val="242"/>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760" w:type="dxa"/>
            <w:vAlign w:val="bottom"/>
          </w:tcPr>
          <w:p>
            <w:pPr>
              <w:spacing w:after="0"/>
              <w:rPr>
                <w:sz w:val="21"/>
                <w:szCs w:val="21"/>
                <w:color w:val="auto"/>
              </w:rPr>
            </w:pPr>
          </w:p>
        </w:tc>
      </w:tr>
      <w:tr>
        <w:trPr>
          <w:trHeight w:val="1850"/>
        </w:trPr>
        <w:tc>
          <w:tcPr>
            <w:tcW w:w="8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2"/>
      <w:numFmt w:val="decimal"/>
      <w:start w:val="104"/>
    </w:lvl>
  </w:abstractNum>
  <w:abstractNum w:abstractNumId="7">
    <w:nsid w:val="4DB127F8"/>
    <w:multiLevelType w:val="hybridMultilevel"/>
    <w:lvl w:ilvl="0">
      <w:lvlJc w:val="left"/>
      <w:lvlText w:val="**"/>
      <w:numFmt w:val="bullet"/>
      <w:start w:val="1"/>
    </w:lvl>
    <w:lvl w:ilvl="1">
      <w:lvlJc w:val="left"/>
      <w:lvlText w:val="%2"/>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23" Type="http://schemas.openxmlformats.org/officeDocument/2006/relationships/hyperlink" Target="https://www.sec.gov/ix?doc=/Archives/edgar/data/1719714/000119312524095508/d81838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2024-05-15T15:47:47Z</dcterms:created>
  <dcterms:modified xsi:type="dcterms:W3CDTF">2024-05-15T15:47:47Z</dcterms:modified>
</cp:coreProperties>
</file>