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2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March, 2022</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One Cavendish Place,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London, W1G 0QF, United Kingdom</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Exhibits</w:t>
      </w:r>
    </w:p>
    <w:p>
      <w:pPr>
        <w:spacing w:after="0" w:line="113" w:lineRule="exact"/>
        <w:rPr>
          <w:sz w:val="20"/>
          <w:szCs w:val="20"/>
          <w:color w:val="auto"/>
        </w:rPr>
      </w:pPr>
    </w:p>
    <w:p>
      <w:pPr>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dated March 31, 2022 titled “Mereo BioPharma Reports Full Year 2021 Financial Results and Recent Highlights.</w:t>
        </w:r>
        <w:r>
          <w:rPr>
            <w:rFonts w:ascii="Arial" w:cs="Arial" w:eastAsia="Arial" w:hAnsi="Arial"/>
            <w:sz w:val="16"/>
            <w:szCs w:val="16"/>
            <w:b w:val="1"/>
            <w:bCs w:val="1"/>
            <w:u w:val="single" w:color="auto"/>
            <w:color w:val="0000EE"/>
          </w:rPr>
          <w:t>”</w:t>
        </w:r>
      </w:hyperlink>
    </w:p>
    <w:p>
      <w:pPr>
        <w:sectPr>
          <w:pgSz w:w="11900" w:h="16838" w:orient="portrait"/>
          <w:cols w:equalWidth="0" w:num="1">
            <w:col w:w="10240"/>
          </w:cols>
          <w:pgMar w:left="440" w:top="270" w:right="121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2022</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Christine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Christine Fox</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0700"/>
          </w:cols>
          <w:pgMar w:left="440" w:top="270"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Mereo BioPharma Reports Full Year 2021 Financial Results and Recent Highlights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7"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 xml:space="preserve">London and Redwood City, Calif., March 31, 2022 </w:t>
      </w:r>
      <w:r>
        <w:rPr>
          <w:rFonts w:ascii="Arial" w:cs="Arial" w:eastAsia="Arial" w:hAnsi="Arial"/>
          <w:sz w:val="18"/>
          <w:szCs w:val="18"/>
          <w:color w:val="auto"/>
        </w:rPr>
        <w:t>- Mereo BioPharma Group plc (NASDAQ: MREO) (“Mereo” or the “Company”), a clinical-stage</w:t>
      </w:r>
      <w:r>
        <w:rPr>
          <w:rFonts w:ascii="Arial" w:cs="Arial" w:eastAsia="Arial" w:hAnsi="Arial"/>
          <w:sz w:val="18"/>
          <w:szCs w:val="18"/>
          <w:b w:val="1"/>
          <w:bCs w:val="1"/>
          <w:color w:val="auto"/>
        </w:rPr>
        <w:t xml:space="preserve"> </w:t>
      </w:r>
      <w:r>
        <w:rPr>
          <w:rFonts w:ascii="Arial" w:cs="Arial" w:eastAsia="Arial" w:hAnsi="Arial"/>
          <w:sz w:val="18"/>
          <w:szCs w:val="18"/>
          <w:color w:val="auto"/>
        </w:rPr>
        <w:t>biopharmaceutical company focused on oncology and rare diseases, today announced financial results for the year ended December 31, 2021 and provided an update on recent corporate highlights.</w:t>
      </w:r>
    </w:p>
    <w:p>
      <w:pPr>
        <w:spacing w:after="0" w:line="180"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“During 2021, we continued to execute on all fronts and made substantial progress across our pipeline. We further advanced our etigilimab anti-TIGIT program, reporting highly promising interim data from the ongoing ACTIVATE Phase 1b/2 study and expanded our research to include clear-cell ovarian cancer through our partnership with Cancer Focus Fund and MD Anderson,” said Dr. Denise Scots-Knight, Chief Executive Officer of Mereo. “In addition, we reported positive data from multiple studies of alvelestat, which also received orphan drug designation for the treatment of AATD. We ended the year well positioned for further success in 2022, with a strong balance sheet supported by the proceeds of our public offering early last year. Following our accomplishments in 2021, we look forward to our upcoming catalysts in 2022.”</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from 2021 and Recent Developments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Etigilimab (MPH-313)</w:t>
      </w:r>
    </w:p>
    <w:p>
      <w:pPr>
        <w:spacing w:after="0" w:line="135" w:lineRule="exact"/>
        <w:rPr>
          <w:sz w:val="20"/>
          <w:szCs w:val="20"/>
          <w:color w:val="auto"/>
        </w:rPr>
      </w:pPr>
    </w:p>
    <w:p>
      <w:pPr>
        <w:ind w:left="960" w:right="300" w:hanging="424"/>
        <w:spacing w:after="0" w:line="277"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Reported interim data in Q4 2021 from ACTIVATE Phase 1b/2 open label study of etigilimab anti-TIGIT antibody in combination with nivolumab in solid tumors</w:t>
      </w:r>
    </w:p>
    <w:p>
      <w:pPr>
        <w:spacing w:after="0" w:line="75" w:lineRule="exact"/>
        <w:rPr>
          <w:rFonts w:ascii="Arial" w:cs="Arial" w:eastAsia="Arial" w:hAnsi="Arial"/>
          <w:sz w:val="18"/>
          <w:szCs w:val="18"/>
          <w:color w:val="auto"/>
        </w:rPr>
      </w:pPr>
    </w:p>
    <w:p>
      <w:pPr>
        <w:ind w:left="1420" w:right="280" w:hanging="331"/>
        <w:spacing w:after="0" w:line="286" w:lineRule="auto"/>
        <w:tabs>
          <w:tab w:leader="none" w:pos="1420" w:val="left"/>
        </w:tabs>
        <w:numPr>
          <w:ilvl w:val="1"/>
          <w:numId w:val="1"/>
        </w:numPr>
        <w:rPr>
          <w:rFonts w:ascii="Arial" w:cs="Arial" w:eastAsia="Arial" w:hAnsi="Arial"/>
          <w:sz w:val="17"/>
          <w:szCs w:val="17"/>
          <w:color w:val="auto"/>
        </w:rPr>
      </w:pPr>
      <w:r>
        <w:rPr>
          <w:rFonts w:ascii="Arial" w:cs="Arial" w:eastAsia="Arial" w:hAnsi="Arial"/>
          <w:sz w:val="17"/>
          <w:szCs w:val="17"/>
          <w:color w:val="auto"/>
        </w:rPr>
        <w:t>Based on analysis of 15 patients in the efficacy analysis set with a minimum of one scan to-date or clinical progression, those receiving the etigilimab / nivolumab combination have achieved one complete response in cervical cancer, one partial response in ovarian cancer and four instances of stable disease in ovarian cancer, cervical and uveal melanoma</w:t>
      </w:r>
    </w:p>
    <w:p>
      <w:pPr>
        <w:spacing w:after="0" w:line="70" w:lineRule="exact"/>
        <w:rPr>
          <w:rFonts w:ascii="Arial" w:cs="Arial" w:eastAsia="Arial" w:hAnsi="Arial"/>
          <w:sz w:val="17"/>
          <w:szCs w:val="17"/>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Well tolerated with a favorable safety profile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Ongoing Phase 1b/2 basket combination study continues to enroll well</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1"/>
        </w:numPr>
        <w:rPr>
          <w:rFonts w:ascii="Arial" w:cs="Arial" w:eastAsia="Arial" w:hAnsi="Arial"/>
          <w:sz w:val="18"/>
          <w:szCs w:val="18"/>
          <w:color w:val="auto"/>
        </w:rPr>
      </w:pPr>
      <w:r>
        <w:rPr>
          <w:rFonts w:ascii="Arial" w:cs="Arial" w:eastAsia="Arial" w:hAnsi="Arial"/>
          <w:sz w:val="18"/>
          <w:szCs w:val="18"/>
          <w:color w:val="auto"/>
        </w:rPr>
        <w:t>Update on additional patients and durability of initial responses expected in Q2 2022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Alvelestat (MPH-966)</w:t>
      </w:r>
    </w:p>
    <w:p>
      <w:pPr>
        <w:spacing w:after="0" w:line="135" w:lineRule="exact"/>
        <w:rPr>
          <w:sz w:val="20"/>
          <w:szCs w:val="20"/>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Received orphan designation from the FDA for the treatment of AATD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color w:val="auto"/>
        </w:rPr>
        <w:t>Held an R&amp;D Day update on the alvelestat programs in Q1 2022, including in the ongoing Phase 2 trial which enrolled 99 patients with</w:t>
      </w:r>
    </w:p>
    <w:p>
      <w:pPr>
        <w:spacing w:after="0" w:line="46"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8"/>
          <w:szCs w:val="18"/>
          <w:color w:val="auto"/>
        </w:rPr>
        <w:t>AATD</w:t>
      </w:r>
    </w:p>
    <w:p>
      <w:pPr>
        <w:spacing w:after="0" w:line="116" w:lineRule="exact"/>
        <w:rPr>
          <w:rFonts w:ascii="Arial" w:cs="Arial" w:eastAsia="Arial" w:hAnsi="Arial"/>
          <w:sz w:val="16"/>
          <w:szCs w:val="16"/>
          <w:color w:val="auto"/>
        </w:rPr>
      </w:pPr>
    </w:p>
    <w:p>
      <w:pPr>
        <w:ind w:left="1420" w:hanging="331"/>
        <w:spacing w:after="0"/>
        <w:tabs>
          <w:tab w:leader="none" w:pos="1420" w:val="left"/>
        </w:tabs>
        <w:numPr>
          <w:ilvl w:val="1"/>
          <w:numId w:val="2"/>
        </w:numPr>
        <w:rPr>
          <w:rFonts w:ascii="Arial" w:cs="Arial" w:eastAsia="Arial" w:hAnsi="Arial"/>
          <w:sz w:val="18"/>
          <w:szCs w:val="18"/>
          <w:color w:val="auto"/>
        </w:rPr>
      </w:pPr>
      <w:r>
        <w:rPr>
          <w:rFonts w:ascii="Arial" w:cs="Arial" w:eastAsia="Arial" w:hAnsi="Arial"/>
          <w:sz w:val="18"/>
          <w:szCs w:val="18"/>
          <w:color w:val="auto"/>
        </w:rPr>
        <w:t>Data expected in early Q2 2022</w:t>
      </w:r>
    </w:p>
    <w:p>
      <w:pPr>
        <w:spacing w:after="0" w:line="130" w:lineRule="exact"/>
        <w:rPr>
          <w:rFonts w:ascii="Arial" w:cs="Arial" w:eastAsia="Arial" w:hAnsi="Arial"/>
          <w:sz w:val="18"/>
          <w:szCs w:val="18"/>
          <w:color w:val="auto"/>
        </w:rPr>
      </w:pPr>
    </w:p>
    <w:p>
      <w:pPr>
        <w:ind w:left="960" w:right="104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Reported positive bio-marker data from investigator-sponsored Phase 1b/2 study of alvelestat in patients with BOS following hematopoietic stem cell transplantation</w:t>
      </w:r>
    </w:p>
    <w:p>
      <w:pPr>
        <w:spacing w:after="0" w:line="75" w:lineRule="exact"/>
        <w:rPr>
          <w:rFonts w:ascii="Arial" w:cs="Arial" w:eastAsia="Arial" w:hAnsi="Arial"/>
          <w:sz w:val="18"/>
          <w:szCs w:val="18"/>
          <w:color w:val="auto"/>
        </w:rPr>
      </w:pPr>
    </w:p>
    <w:p>
      <w:pPr>
        <w:jc w:val="both"/>
        <w:ind w:left="960" w:right="220" w:hanging="424"/>
        <w:spacing w:after="0" w:line="263"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Reported positive top-line results from Phase 1b/2 trial in hospitalized patients with COVID-19 respiratory disease; Alvelestat, on top of standard of care, resulted in a more rapid time to improvement in WHO Disease Severity score in the first 5-7 days compared to placebo plus standard of care.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Updates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Partnerships</w:t>
      </w:r>
    </w:p>
    <w:p>
      <w:pPr>
        <w:spacing w:after="0" w:line="135" w:lineRule="exact"/>
        <w:rPr>
          <w:sz w:val="20"/>
          <w:szCs w:val="20"/>
          <w:color w:val="auto"/>
        </w:rPr>
      </w:pPr>
    </w:p>
    <w:p>
      <w:pPr>
        <w:ind w:left="960" w:right="6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Announced partnership with the Cancer Focus Fund supporting a Phase 1b/2 clinical study of etigilimab in combination with nivolumab in clear cell ovarian cancer to be conducted at The University of Texas MD Anderson Cancer Center</w:t>
      </w:r>
    </w:p>
    <w:p>
      <w:pPr>
        <w:spacing w:after="0" w:line="75" w:lineRule="exact"/>
        <w:rPr>
          <w:rFonts w:ascii="Arial" w:cs="Arial" w:eastAsia="Arial" w:hAnsi="Arial"/>
          <w:sz w:val="18"/>
          <w:szCs w:val="18"/>
          <w:color w:val="auto"/>
        </w:rPr>
      </w:pPr>
    </w:p>
    <w:p>
      <w:pPr>
        <w:ind w:left="960" w:right="30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Ultragenyx expects to enroll the first patient in the Phase 2/3 study of setrusumab in 5–25 year-olds with osteogenesis imperfecta in 1H 2022</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 of American Depositary Shares</w:t>
      </w:r>
    </w:p>
    <w:p>
      <w:pPr>
        <w:spacing w:after="0" w:line="135" w:lineRule="exact"/>
        <w:rPr>
          <w:sz w:val="20"/>
          <w:szCs w:val="20"/>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Public offering gross proceeds of $115.1 million in Q1 2021</w:t>
      </w:r>
    </w:p>
    <w:p>
      <w:pPr>
        <w:sectPr>
          <w:pgSz w:w="11900" w:h="16838" w:orient="portrait"/>
          <w:cols w:equalWidth="0" w:num="1">
            <w:col w:w="11020"/>
          </w:cols>
          <w:pgMar w:left="440" w:top="121" w:right="4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Strengthened Board of Directors</w:t>
      </w:r>
    </w:p>
    <w:p>
      <w:pPr>
        <w:spacing w:after="0" w:line="135" w:lineRule="exact"/>
        <w:rPr>
          <w:sz w:val="20"/>
          <w:szCs w:val="20"/>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Pierre Jacquet, M.D., Ph.D. appointed to Board of Directors, September 2021</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Anne Hyland appointed to Board of Directors, March 2022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2021 Financial Results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Revenue was £36.5 million in 2021, representing the upfront payment under the licensing and collaboration agreement with Ultragenyx in January 2021 for the development and commercialization of setrusumab for OI.</w:t>
      </w:r>
    </w:p>
    <w:p>
      <w:pPr>
        <w:spacing w:after="0" w:line="170"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Full year 2021 research and development expenses were £23.6 million, compared to £16.3 million in 2020, an increase of £7.2 million, or 44%. R&amp;D expenses relating to etigilimab increased by £12.5 million. The increase was due to the costs associated with commencement of the open label Phase 1b/2 basket study in combination with nivolumab in a range of tumor types. R&amp;D expenses relating to alvelestat increased £0.6 million, or 13%, primarily related to the ongoing Phase 2 proof-of-concept study. Partially offsetting the increases, R&amp;D expenses relating to setrusumab and navicixizumab decreased by £4.1 million and £1.7 million, respectively. The decrease related to setrusumab was primarily driven by the licensing and collaboration agreement with Ultragenyx, under which Ultragenyx will fund global development of the program, and the decrease related to navicixizumab was driven by the global out-licensing agreement with OncXerna for the development and commercialization of navicixizumab.</w:t>
      </w:r>
    </w:p>
    <w:p>
      <w:pPr>
        <w:spacing w:after="0" w:line="1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Administrative expenses decreased by £5.3 million, or 25%, from £21.2 million in 2020 to £15.9 million in 2021. The decrease was primarily driven by a £4.0 million reduction in legal and professional fees in 2021, reflecting lower activity and related transaction costs in 2021 compared to 2020. Premises-related costs decreased by £1.3 million in 2021 primarily due to one-off transaction costs in 2020 associated with renegotiation of our office lease in Redwood City.</w:t>
      </w:r>
    </w:p>
    <w:p>
      <w:pPr>
        <w:spacing w:after="0" w:line="18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Net profit attributable to equity holders for the year 2021 was a net profit of £12.7 million, compared to a net loss of £163.6 million in 2020, reflecting an operating loss of £20.9 million and a gain of £40.0 million, due to changes in the fair value of financial instruments resulting from an unrealized gain on warrants.</w:t>
      </w:r>
    </w:p>
    <w:p>
      <w:pPr>
        <w:spacing w:after="0" w:line="184"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Total ordinary shares outstanding at December 31, 2021 were approximately 585 million. Total ADSs outstanding at December 31, 2021 were approximately 116.5 million, with each ADS representing five ordinary shares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Cash and short-term deposits totaled £94.3 million at December 31, 2021.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Mereo BioPharma</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Mereo BioPharma is a biopharmaceutical company focused on the development of innovative therapeutics that aim to improve outcomes for oncology and rare diseases and plans to commercialize selected rare disease programs. The Company has developed a portfolio of six clinical stage product candidates. Mereo’s lead oncology product candidate, etigilimab (anti-TIGIT), has advanced into an open label Phase 1b/2 basket study evaluating anti-TIGIT in combination with an anti-PD-1 in a range of tumor types including three rare tumors and three gynecological carcinomas, cervical, ovarian, and endometrial carcinomas. The Company’s second oncology product, navicixizumab, for the treatment of late line ovarian cancer, has completed a Phase 1 study and has been partnered with OncXerna Therapeutics, Inc., formerly Oncologie, Inc. The Company has two rare disease product candidates, alvelestat for the treatment of severe Alpha-1 antitrypsin deficiency (AATD) and Bronchiolitis Obliterans Syndrome (BOS), and setrusumab for the treatment of osteogenesis imperfecta (OI). Alvelestat has recently received U.S. Orphan Drug Designation for the treatment of AATD and is being investigated in an ongoing Phase 2 proof-of-concept study in the U.S. and Europe, with top-line data expected in early Q2 2022. The Company’s partner, Ultragenyx Pharmaceutical, Inc., is expected to initiate a pivotal Phase 2/3 pediatric study and young adult study (5-25 years old) for setrusumab in OI in H1 2022.</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press release contains “forward-looking statements.” All statements other than statements of historical fact contained in this press release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You should carefully consider the foregoing factors and the other risks and uncertainties that affect the Company’s business, including those described in the “Risk Factors” section of its latest Annual Report on Form 20-F, reports on Form 6-K and other documents furnished or filed from time to time by the Company with the Securities and Exchange Commission.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r>
              <w:rPr>
                <w:rFonts w:ascii="Arial" w:cs="Arial" w:eastAsia="Arial" w:hAnsi="Arial"/>
                <w:sz w:val="18"/>
                <w:szCs w:val="18"/>
                <w:b w:val="1"/>
                <w:bCs w:val="1"/>
                <w:color w:val="auto"/>
              </w:rPr>
              <w:t>Mereo BioPharma Contacts:</w:t>
            </w: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432"/>
        </w:trPr>
        <w:tc>
          <w:tcPr>
            <w:tcW w:w="4860" w:type="dxa"/>
            <w:vAlign w:val="bottom"/>
          </w:tcPr>
          <w:p>
            <w:pPr>
              <w:spacing w:after="0"/>
              <w:rPr>
                <w:sz w:val="20"/>
                <w:szCs w:val="20"/>
                <w:color w:val="auto"/>
              </w:rPr>
            </w:pPr>
            <w:r>
              <w:rPr>
                <w:rFonts w:ascii="Arial" w:cs="Arial" w:eastAsia="Arial" w:hAnsi="Arial"/>
                <w:sz w:val="18"/>
                <w:szCs w:val="18"/>
                <w:b w:val="1"/>
                <w:bCs w:val="1"/>
                <w:color w:val="auto"/>
              </w:rPr>
              <w:t>Mereo</w:t>
            </w:r>
          </w:p>
        </w:tc>
        <w:tc>
          <w:tcPr>
            <w:tcW w:w="1180" w:type="dxa"/>
            <w:vAlign w:val="bottom"/>
            <w:gridSpan w:val="2"/>
          </w:tcPr>
          <w:p>
            <w:pPr>
              <w:ind w:left="880"/>
              <w:spacing w:after="0"/>
              <w:rPr>
                <w:sz w:val="20"/>
                <w:szCs w:val="20"/>
                <w:color w:val="auto"/>
              </w:rPr>
            </w:pPr>
            <w:r>
              <w:rPr>
                <w:rFonts w:ascii="Arial" w:cs="Arial" w:eastAsia="Arial" w:hAnsi="Arial"/>
                <w:sz w:val="18"/>
                <w:szCs w:val="18"/>
                <w:b w:val="1"/>
                <w:bCs w:val="1"/>
                <w:color w:val="auto"/>
                <w:w w:val="91"/>
              </w:rPr>
              <w:t>+44</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(0)333 023 7300</w:t>
            </w:r>
          </w:p>
        </w:tc>
      </w:tr>
      <w:tr>
        <w:trPr>
          <w:trHeight w:val="432"/>
        </w:trPr>
        <w:tc>
          <w:tcPr>
            <w:tcW w:w="4860" w:type="dxa"/>
            <w:vAlign w:val="bottom"/>
          </w:tcPr>
          <w:p>
            <w:pPr>
              <w:spacing w:after="0"/>
              <w:rPr>
                <w:sz w:val="20"/>
                <w:szCs w:val="20"/>
                <w:color w:val="auto"/>
              </w:rPr>
            </w:pPr>
            <w:r>
              <w:rPr>
                <w:rFonts w:ascii="Arial" w:cs="Arial" w:eastAsia="Arial" w:hAnsi="Arial"/>
                <w:sz w:val="18"/>
                <w:szCs w:val="18"/>
                <w:color w:val="auto"/>
              </w:rPr>
              <w:t>Denise Scots-Knight, Chief Executive Officer</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432"/>
        </w:trPr>
        <w:tc>
          <w:tcPr>
            <w:tcW w:w="4860" w:type="dxa"/>
            <w:vAlign w:val="bottom"/>
          </w:tcPr>
          <w:p>
            <w:pPr>
              <w:spacing w:after="0"/>
              <w:rPr>
                <w:sz w:val="20"/>
                <w:szCs w:val="20"/>
                <w:color w:val="auto"/>
              </w:rPr>
            </w:pPr>
            <w:r>
              <w:rPr>
                <w:rFonts w:ascii="Arial" w:cs="Arial" w:eastAsia="Arial" w:hAnsi="Arial"/>
                <w:sz w:val="18"/>
                <w:szCs w:val="18"/>
                <w:color w:val="auto"/>
              </w:rPr>
              <w:t>Christine Fox, Chief Financial Officer</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432"/>
        </w:trPr>
        <w:tc>
          <w:tcPr>
            <w:tcW w:w="4860" w:type="dxa"/>
            <w:vAlign w:val="bottom"/>
          </w:tcPr>
          <w:p>
            <w:pPr>
              <w:spacing w:after="0"/>
              <w:rPr>
                <w:sz w:val="20"/>
                <w:szCs w:val="20"/>
                <w:color w:val="auto"/>
              </w:rPr>
            </w:pPr>
            <w:r>
              <w:rPr>
                <w:rFonts w:ascii="Arial" w:cs="Arial" w:eastAsia="Arial" w:hAnsi="Arial"/>
                <w:sz w:val="18"/>
                <w:szCs w:val="18"/>
                <w:b w:val="1"/>
                <w:bCs w:val="1"/>
                <w:color w:val="auto"/>
              </w:rPr>
              <w:t>Burns McClellan (Investor Relations Adviser to Mereo)</w:t>
            </w:r>
          </w:p>
        </w:tc>
        <w:tc>
          <w:tcPr>
            <w:tcW w:w="1180" w:type="dxa"/>
            <w:vAlign w:val="bottom"/>
            <w:gridSpan w:val="2"/>
          </w:tcPr>
          <w:p>
            <w:pPr>
              <w:ind w:left="880"/>
              <w:spacing w:after="0"/>
              <w:rPr>
                <w:sz w:val="20"/>
                <w:szCs w:val="20"/>
                <w:color w:val="auto"/>
              </w:rPr>
            </w:pPr>
            <w:r>
              <w:rPr>
                <w:rFonts w:ascii="Arial" w:cs="Arial" w:eastAsia="Arial" w:hAnsi="Arial"/>
                <w:sz w:val="18"/>
                <w:szCs w:val="18"/>
                <w:b w:val="1"/>
                <w:bCs w:val="1"/>
                <w:color w:val="auto"/>
                <w:w w:val="91"/>
              </w:rPr>
              <w:t>+01</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212 213 0006</w:t>
            </w:r>
          </w:p>
        </w:tc>
      </w:tr>
      <w:tr>
        <w:trPr>
          <w:trHeight w:val="432"/>
        </w:trPr>
        <w:tc>
          <w:tcPr>
            <w:tcW w:w="4860" w:type="dxa"/>
            <w:vAlign w:val="bottom"/>
          </w:tcPr>
          <w:p>
            <w:pPr>
              <w:spacing w:after="0"/>
              <w:rPr>
                <w:sz w:val="20"/>
                <w:szCs w:val="20"/>
                <w:color w:val="auto"/>
              </w:rPr>
            </w:pPr>
            <w:r>
              <w:rPr>
                <w:rFonts w:ascii="Arial" w:cs="Arial" w:eastAsia="Arial" w:hAnsi="Arial"/>
                <w:sz w:val="18"/>
                <w:szCs w:val="18"/>
                <w:b w:val="1"/>
                <w:bCs w:val="1"/>
                <w:color w:val="auto"/>
              </w:rPr>
              <w:t>Lee Roth</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91"/>
        </w:trPr>
        <w:tc>
          <w:tcPr>
            <w:tcW w:w="4860" w:type="dxa"/>
            <w:vAlign w:val="bottom"/>
          </w:tcPr>
          <w:p>
            <w:pPr>
              <w:spacing w:after="0"/>
              <w:rPr>
                <w:sz w:val="20"/>
                <w:szCs w:val="20"/>
                <w:color w:val="auto"/>
              </w:rPr>
            </w:pPr>
            <w:r>
              <w:rPr>
                <w:rFonts w:ascii="Arial" w:cs="Arial" w:eastAsia="Arial" w:hAnsi="Arial"/>
                <w:sz w:val="18"/>
                <w:szCs w:val="18"/>
                <w:b w:val="1"/>
                <w:bCs w:val="1"/>
                <w:color w:val="auto"/>
              </w:rPr>
              <w:t>Investors</w:t>
            </w:r>
          </w:p>
        </w:tc>
        <w:tc>
          <w:tcPr>
            <w:tcW w:w="3260" w:type="dxa"/>
            <w:vAlign w:val="bottom"/>
            <w:gridSpan w:val="3"/>
          </w:tcPr>
          <w:p>
            <w:pPr>
              <w:ind w:left="880"/>
              <w:spacing w:after="0"/>
              <w:rPr>
                <w:sz w:val="20"/>
                <w:szCs w:val="20"/>
                <w:color w:val="auto"/>
              </w:rPr>
            </w:pPr>
            <w:r>
              <w:rPr>
                <w:rFonts w:ascii="Arial" w:cs="Arial" w:eastAsia="Arial" w:hAnsi="Arial"/>
                <w:sz w:val="18"/>
                <w:szCs w:val="18"/>
                <w:color w:val="auto"/>
                <w:w w:val="88"/>
              </w:rPr>
              <w:t>investors@mereobiopharma.com</w:t>
            </w:r>
          </w:p>
        </w:tc>
      </w:tr>
      <w:tr>
        <w:trPr>
          <w:trHeight w:val="385"/>
        </w:trPr>
        <w:tc>
          <w:tcPr>
            <w:tcW w:w="4860" w:type="dxa"/>
            <w:vAlign w:val="bottom"/>
          </w:tcPr>
          <w:p>
            <w:pPr>
              <w:spacing w:after="0"/>
              <w:rPr>
                <w:sz w:val="24"/>
                <w:szCs w:val="24"/>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300" w:type="dxa"/>
            <w:vAlign w:val="bottom"/>
            <w:tcBorders>
              <w:top w:val="single" w:sz="8" w:color="auto"/>
            </w:tcBorders>
          </w:tcPr>
          <w:p>
            <w:pPr>
              <w:spacing w:after="0"/>
              <w:rPr>
                <w:sz w:val="24"/>
                <w:szCs w:val="24"/>
                <w:color w:val="auto"/>
              </w:rPr>
            </w:pPr>
          </w:p>
        </w:tc>
        <w:tc>
          <w:tcPr>
            <w:tcW w:w="2080" w:type="dxa"/>
            <w:vAlign w:val="bottom"/>
            <w:tcBorders>
              <w:top w:val="single" w:sz="8" w:color="auto"/>
            </w:tcBorders>
          </w:tcPr>
          <w:p>
            <w:pPr>
              <w:spacing w:after="0"/>
              <w:rPr>
                <w:sz w:val="24"/>
                <w:szCs w:val="24"/>
                <w:color w:val="auto"/>
              </w:rPr>
            </w:pPr>
          </w:p>
        </w:tc>
      </w:tr>
    </w:tbl>
    <w:p>
      <w:pPr>
        <w:sectPr>
          <w:pgSz w:w="11900" w:h="16838" w:orient="portrait"/>
          <w:cols w:equalWidth="0" w:num="1">
            <w:col w:w="10980"/>
          </w:cols>
          <w:pgMar w:left="440" w:top="270"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Consolidated Statements of Comprehensive Income/(Loss)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92"/>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4"/>
                <w:szCs w:val="14"/>
                <w:color w:val="auto"/>
              </w:rPr>
            </w:pPr>
          </w:p>
        </w:tc>
        <w:tc>
          <w:tcPr>
            <w:tcW w:w="88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‘000s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‘000s</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‘000s</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36,464</w:t>
            </w:r>
          </w:p>
        </w:tc>
        <w:tc>
          <w:tcPr>
            <w:tcW w:w="120" w:type="dxa"/>
            <w:vAlign w:val="bottom"/>
          </w:tcPr>
          <w:p>
            <w:pPr>
              <w:spacing w:after="0"/>
              <w:rPr>
                <w:sz w:val="18"/>
                <w:szCs w:val="18"/>
                <w:color w:val="auto"/>
              </w:rPr>
            </w:pPr>
          </w:p>
        </w:tc>
        <w:tc>
          <w:tcPr>
            <w:tcW w:w="940" w:type="dxa"/>
            <w:vAlign w:val="bottom"/>
            <w:gridSpan w:val="2"/>
          </w:tcPr>
          <w:p>
            <w:pPr>
              <w:jc w:val="right"/>
              <w:ind w:right="20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(17,908)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gridSpan w:val="2"/>
          </w:tcPr>
          <w:p>
            <w:pPr>
              <w:spacing w:after="0"/>
              <w:rPr>
                <w:sz w:val="20"/>
                <w:szCs w:val="20"/>
                <w:color w:val="auto"/>
              </w:rPr>
            </w:pPr>
            <w:r>
              <w:rPr>
                <w:rFonts w:ascii="Arial" w:cs="Arial" w:eastAsia="Arial" w:hAnsi="Arial"/>
                <w:sz w:val="18"/>
                <w:szCs w:val="18"/>
                <w:color w:val="auto"/>
              </w:rPr>
              <w:t>Research and development expenses</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(23,559)</w:t>
            </w:r>
          </w:p>
        </w:tc>
        <w:tc>
          <w:tcPr>
            <w:tcW w:w="1060" w:type="dxa"/>
            <w:vAlign w:val="bottom"/>
            <w:gridSpan w:val="3"/>
          </w:tcPr>
          <w:p>
            <w:pPr>
              <w:jc w:val="right"/>
              <w:ind w:right="41"/>
              <w:spacing w:after="0"/>
              <w:rPr>
                <w:sz w:val="20"/>
                <w:szCs w:val="20"/>
                <w:color w:val="auto"/>
              </w:rPr>
            </w:pPr>
            <w:r>
              <w:rPr>
                <w:rFonts w:ascii="Arial" w:cs="Arial" w:eastAsia="Arial" w:hAnsi="Arial"/>
                <w:sz w:val="18"/>
                <w:szCs w:val="18"/>
                <w:color w:val="auto"/>
              </w:rPr>
              <w:t>(16,347)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(23,608)</w:t>
            </w: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Administrative expenses</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(15,933)</w:t>
            </w:r>
          </w:p>
        </w:tc>
        <w:tc>
          <w:tcPr>
            <w:tcW w:w="106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(21,222)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(15,909)</w:t>
            </w:r>
          </w:p>
        </w:tc>
        <w:tc>
          <w:tcPr>
            <w:tcW w:w="0" w:type="dxa"/>
            <w:vAlign w:val="bottom"/>
          </w:tcPr>
          <w:p>
            <w:pPr>
              <w:spacing w:after="0"/>
              <w:rPr>
                <w:sz w:val="1"/>
                <w:szCs w:val="1"/>
                <w:color w:val="auto"/>
              </w:rPr>
            </w:pPr>
          </w:p>
        </w:tc>
      </w:tr>
      <w:tr>
        <w:trPr>
          <w:trHeight w:val="223"/>
        </w:trPr>
        <w:tc>
          <w:tcPr>
            <w:tcW w:w="8220" w:type="dxa"/>
            <w:vAlign w:val="bottom"/>
          </w:tcPr>
          <w:p>
            <w:pPr>
              <w:spacing w:after="0"/>
              <w:rPr>
                <w:sz w:val="20"/>
                <w:szCs w:val="20"/>
                <w:color w:val="auto"/>
              </w:rPr>
            </w:pPr>
            <w:r>
              <w:rPr>
                <w:rFonts w:ascii="Arial" w:cs="Arial" w:eastAsia="Arial" w:hAnsi="Arial"/>
                <w:sz w:val="18"/>
                <w:szCs w:val="18"/>
                <w:b w:val="1"/>
                <w:bCs w:val="1"/>
                <w:color w:val="auto"/>
              </w:rPr>
              <w:t>Operating loss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0"/>
              </w:rPr>
              <w:t>(20,936)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(37,569)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0"/>
              </w:rPr>
              <w:t>(39,517)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recognized on acquisition of subsidiary</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16"/>
        </w:trPr>
        <w:tc>
          <w:tcPr>
            <w:tcW w:w="8320" w:type="dxa"/>
            <w:vAlign w:val="bottom"/>
            <w:gridSpan w:val="2"/>
          </w:tcPr>
          <w:p>
            <w:pPr>
              <w:spacing w:after="0"/>
              <w:rPr>
                <w:sz w:val="20"/>
                <w:szCs w:val="20"/>
                <w:color w:val="auto"/>
              </w:rPr>
            </w:pPr>
            <w:r>
              <w:rPr>
                <w:rFonts w:ascii="Arial" w:cs="Arial" w:eastAsia="Arial" w:hAnsi="Arial"/>
                <w:sz w:val="18"/>
                <w:szCs w:val="18"/>
                <w:color w:val="auto"/>
              </w:rPr>
              <w:t>Finance income</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060" w:type="dxa"/>
            <w:vAlign w:val="bottom"/>
            <w:gridSpan w:val="3"/>
          </w:tcPr>
          <w:p>
            <w:pPr>
              <w:jc w:val="right"/>
              <w:ind w:right="101"/>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costs</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(4,022)</w:t>
            </w:r>
          </w:p>
        </w:tc>
        <w:tc>
          <w:tcPr>
            <w:tcW w:w="106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(6,383)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(4,371)</w:t>
            </w:r>
          </w:p>
        </w:tc>
        <w:tc>
          <w:tcPr>
            <w:tcW w:w="0" w:type="dxa"/>
            <w:vAlign w:val="bottom"/>
          </w:tcPr>
          <w:p>
            <w:pPr>
              <w:spacing w:after="0"/>
              <w:rPr>
                <w:sz w:val="1"/>
                <w:szCs w:val="1"/>
                <w:color w:val="auto"/>
              </w:rPr>
            </w:pPr>
          </w:p>
        </w:tc>
      </w:tr>
      <w:tr>
        <w:trPr>
          <w:trHeight w:val="216"/>
        </w:trPr>
        <w:tc>
          <w:tcPr>
            <w:tcW w:w="8320" w:type="dxa"/>
            <w:vAlign w:val="bottom"/>
            <w:gridSpan w:val="2"/>
          </w:tcPr>
          <w:p>
            <w:pPr>
              <w:spacing w:after="0"/>
              <w:rPr>
                <w:sz w:val="20"/>
                <w:szCs w:val="20"/>
                <w:color w:val="auto"/>
              </w:rPr>
            </w:pPr>
            <w:r>
              <w:rPr>
                <w:rFonts w:ascii="Arial" w:cs="Arial" w:eastAsia="Arial" w:hAnsi="Arial"/>
                <w:sz w:val="18"/>
                <w:szCs w:val="18"/>
                <w:color w:val="auto"/>
              </w:rPr>
              <w:t>Changes in the fair value of financial instruments</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40,039</w:t>
            </w:r>
          </w:p>
        </w:tc>
        <w:tc>
          <w:tcPr>
            <w:tcW w:w="1060" w:type="dxa"/>
            <w:vAlign w:val="bottom"/>
            <w:gridSpan w:val="3"/>
          </w:tcPr>
          <w:p>
            <w:pPr>
              <w:jc w:val="right"/>
              <w:ind w:right="41"/>
              <w:spacing w:after="0"/>
              <w:rPr>
                <w:sz w:val="20"/>
                <w:szCs w:val="20"/>
                <w:color w:val="auto"/>
              </w:rPr>
            </w:pPr>
            <w:r>
              <w:rPr>
                <w:rFonts w:ascii="Arial" w:cs="Arial" w:eastAsia="Arial" w:hAnsi="Arial"/>
                <w:sz w:val="18"/>
                <w:szCs w:val="18"/>
                <w:color w:val="auto"/>
              </w:rPr>
              <w:t>(109,849)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Gain/(loss) on disposal of intangible assets</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w:t>
            </w:r>
          </w:p>
        </w:tc>
        <w:tc>
          <w:tcPr>
            <w:tcW w:w="106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color w:val="auto"/>
              </w:rPr>
              <w:t>(10,872)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Net foreign exchange loss</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(954)</w:t>
            </w:r>
          </w:p>
        </w:tc>
        <w:tc>
          <w:tcPr>
            <w:tcW w:w="1060" w:type="dxa"/>
            <w:vAlign w:val="bottom"/>
            <w:gridSpan w:val="3"/>
          </w:tcPr>
          <w:p>
            <w:pPr>
              <w:jc w:val="right"/>
              <w:ind w:right="41"/>
              <w:spacing w:after="0"/>
              <w:rPr>
                <w:sz w:val="20"/>
                <w:szCs w:val="20"/>
                <w:color w:val="auto"/>
              </w:rPr>
            </w:pPr>
            <w:r>
              <w:rPr>
                <w:rFonts w:ascii="Arial" w:cs="Arial" w:eastAsia="Arial" w:hAnsi="Arial"/>
                <w:sz w:val="18"/>
                <w:szCs w:val="18"/>
                <w:color w:val="auto"/>
              </w:rPr>
              <w:t>(1,821)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Profit/(loss) before tax</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14,241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(166,450)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9"/>
              </w:rPr>
              <w:t>(41,118)</w:t>
            </w:r>
          </w:p>
        </w:tc>
        <w:tc>
          <w:tcPr>
            <w:tcW w:w="0" w:type="dxa"/>
            <w:vAlign w:val="bottom"/>
          </w:tcPr>
          <w:p>
            <w:pPr>
              <w:spacing w:after="0"/>
              <w:rPr>
                <w:sz w:val="1"/>
                <w:szCs w:val="1"/>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Taxation</w:t>
            </w:r>
          </w:p>
        </w:tc>
        <w:tc>
          <w:tcPr>
            <w:tcW w:w="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(1,516)</w:t>
            </w:r>
          </w:p>
        </w:tc>
        <w:tc>
          <w:tcPr>
            <w:tcW w:w="1060" w:type="dxa"/>
            <w:vAlign w:val="bottom"/>
            <w:gridSpan w:val="3"/>
          </w:tcPr>
          <w:p>
            <w:pPr>
              <w:jc w:val="right"/>
              <w:ind w:right="101"/>
              <w:spacing w:after="0"/>
              <w:rPr>
                <w:sz w:val="20"/>
                <w:szCs w:val="20"/>
                <w:color w:val="auto"/>
              </w:rPr>
            </w:pPr>
            <w:r>
              <w:rPr>
                <w:rFonts w:ascii="Arial" w:cs="Arial" w:eastAsia="Arial" w:hAnsi="Arial"/>
                <w:sz w:val="18"/>
                <w:szCs w:val="18"/>
                <w:color w:val="auto"/>
              </w:rPr>
              <w:t>2,822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6,274</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Profit/(loss) for the year, attributable to equity holders of the parent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12,725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(163,628)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9"/>
              </w:rPr>
              <w:t>(34,844)</w:t>
            </w:r>
          </w:p>
        </w:tc>
        <w:tc>
          <w:tcPr>
            <w:tcW w:w="0" w:type="dxa"/>
            <w:vAlign w:val="bottom"/>
          </w:tcPr>
          <w:p>
            <w:pPr>
              <w:spacing w:after="0"/>
              <w:rPr>
                <w:sz w:val="1"/>
                <w:szCs w:val="1"/>
                <w:color w:val="auto"/>
              </w:rPr>
            </w:pPr>
          </w:p>
        </w:tc>
      </w:tr>
      <w:tr>
        <w:trPr>
          <w:trHeight w:val="216"/>
        </w:trPr>
        <w:tc>
          <w:tcPr>
            <w:tcW w:w="8320" w:type="dxa"/>
            <w:vAlign w:val="bottom"/>
            <w:gridSpan w:val="2"/>
          </w:tcPr>
          <w:p>
            <w:pPr>
              <w:spacing w:after="0"/>
              <w:rPr>
                <w:sz w:val="20"/>
                <w:szCs w:val="20"/>
                <w:color w:val="auto"/>
              </w:rPr>
            </w:pPr>
            <w:r>
              <w:rPr>
                <w:rFonts w:ascii="Arial" w:cs="Arial" w:eastAsia="Arial" w:hAnsi="Arial"/>
                <w:sz w:val="18"/>
                <w:szCs w:val="18"/>
                <w:i w:val="1"/>
                <w:iCs w:val="1"/>
                <w:color w:val="auto"/>
              </w:rPr>
              <w:t>Items that may be reclassified subsequently to profit or loss: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Currency translation of foreign operations</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w:t>
            </w:r>
          </w:p>
        </w:tc>
        <w:tc>
          <w:tcPr>
            <w:tcW w:w="1060" w:type="dxa"/>
            <w:vAlign w:val="bottom"/>
            <w:gridSpan w:val="3"/>
            <w:shd w:val="clear" w:color="auto" w:fill="CCEEFF"/>
          </w:tcPr>
          <w:p>
            <w:pPr>
              <w:jc w:val="right"/>
              <w:ind w:right="101"/>
              <w:spacing w:after="0"/>
              <w:rPr>
                <w:sz w:val="20"/>
                <w:szCs w:val="20"/>
                <w:color w:val="auto"/>
              </w:rPr>
            </w:pPr>
            <w:r>
              <w:rPr>
                <w:rFonts w:ascii="Arial" w:cs="Arial" w:eastAsia="Arial" w:hAnsi="Arial"/>
                <w:sz w:val="18"/>
                <w:szCs w:val="18"/>
                <w:color w:val="auto"/>
              </w:rPr>
              <w:t>349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30"/>
        </w:trPr>
        <w:tc>
          <w:tcPr>
            <w:tcW w:w="8220" w:type="dxa"/>
            <w:vAlign w:val="bottom"/>
          </w:tcPr>
          <w:p>
            <w:pPr>
              <w:spacing w:after="0"/>
              <w:rPr>
                <w:sz w:val="20"/>
                <w:szCs w:val="20"/>
                <w:color w:val="auto"/>
              </w:rPr>
            </w:pPr>
            <w:r>
              <w:rPr>
                <w:rFonts w:ascii="Arial" w:cs="Arial" w:eastAsia="Arial" w:hAnsi="Arial"/>
                <w:sz w:val="18"/>
                <w:szCs w:val="18"/>
                <w:b w:val="1"/>
                <w:bCs w:val="1"/>
                <w:color w:val="auto"/>
              </w:rPr>
              <w:t>Total comprehensive income/(loss) for the year, attributable to equity holders of the parent</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12,534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(163,279</w:t>
            </w:r>
          </w:p>
        </w:tc>
        <w:tc>
          <w:tcPr>
            <w:tcW w:w="180" w:type="dxa"/>
            <w:vAlign w:val="bottom"/>
          </w:tcPr>
          <w:p>
            <w:pPr>
              <w:jc w:val="right"/>
              <w:ind w:right="4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0"/>
              </w:rPr>
              <w:t>(35,343)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profit/(loss) per share for the year (in £)</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0.02</w:t>
            </w:r>
          </w:p>
        </w:tc>
        <w:tc>
          <w:tcPr>
            <w:tcW w:w="1060" w:type="dxa"/>
            <w:vAlign w:val="bottom"/>
            <w:gridSpan w:val="3"/>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(0.48)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(0.39)</w:t>
            </w:r>
          </w:p>
        </w:tc>
        <w:tc>
          <w:tcPr>
            <w:tcW w:w="0" w:type="dxa"/>
            <w:vAlign w:val="bottom"/>
          </w:tcPr>
          <w:p>
            <w:pPr>
              <w:spacing w:after="0"/>
              <w:rPr>
                <w:sz w:val="1"/>
                <w:szCs w:val="1"/>
                <w:color w:val="auto"/>
              </w:rPr>
            </w:pPr>
          </w:p>
        </w:tc>
      </w:tr>
      <w:tr>
        <w:trPr>
          <w:trHeight w:val="223"/>
        </w:trPr>
        <w:tc>
          <w:tcPr>
            <w:tcW w:w="8220" w:type="dxa"/>
            <w:vAlign w:val="bottom"/>
          </w:tcPr>
          <w:p>
            <w:pPr>
              <w:spacing w:after="0"/>
              <w:rPr>
                <w:sz w:val="20"/>
                <w:szCs w:val="20"/>
                <w:color w:val="auto"/>
              </w:rPr>
            </w:pPr>
            <w:r>
              <w:rPr>
                <w:rFonts w:ascii="Arial" w:cs="Arial" w:eastAsia="Arial" w:hAnsi="Arial"/>
                <w:sz w:val="18"/>
                <w:szCs w:val="18"/>
                <w:b w:val="1"/>
                <w:bCs w:val="1"/>
                <w:color w:val="auto"/>
              </w:rPr>
              <w:t>Diluted loss per share for the year (in £)</w:t>
            </w: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8220" w:type="dxa"/>
            <w:vAlign w:val="bottom"/>
          </w:tcPr>
          <w:p>
            <w:pPr>
              <w:ind w:left="54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Consolidated Balance Sheets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20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As at December 31,</w:t>
            </w:r>
          </w:p>
        </w:tc>
      </w:tr>
      <w:tr>
        <w:trPr>
          <w:trHeight w:val="171"/>
        </w:trPr>
        <w:tc>
          <w:tcPr>
            <w:tcW w:w="3840" w:type="dxa"/>
            <w:vAlign w:val="bottom"/>
          </w:tcPr>
          <w:p>
            <w:pPr>
              <w:spacing w:after="0"/>
              <w:rPr>
                <w:sz w:val="14"/>
                <w:szCs w:val="14"/>
                <w:color w:val="auto"/>
              </w:rPr>
            </w:pPr>
          </w:p>
        </w:tc>
        <w:tc>
          <w:tcPr>
            <w:tcW w:w="590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92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209"/>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5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‘000s</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   ‘000s</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5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6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2,530</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1,573</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Intangible assets</w:t>
            </w:r>
          </w:p>
        </w:tc>
        <w:tc>
          <w:tcPr>
            <w:tcW w:w="5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24,564</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31,648</w:t>
            </w:r>
          </w:p>
        </w:tc>
      </w:tr>
      <w:tr>
        <w:trPr>
          <w:trHeight w:val="27"/>
        </w:trPr>
        <w:tc>
          <w:tcPr>
            <w:tcW w:w="38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8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27,094</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33,221</w:t>
            </w:r>
          </w:p>
        </w:tc>
      </w:t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5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Prepayments</w:t>
            </w:r>
          </w:p>
        </w:tc>
        <w:tc>
          <w:tcPr>
            <w:tcW w:w="6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2,799</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1,619</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R&amp;D tax credits</w:t>
            </w:r>
          </w:p>
        </w:tc>
        <w:tc>
          <w:tcPr>
            <w:tcW w:w="51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2,818</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 taxes receivable</w:t>
            </w:r>
          </w:p>
        </w:tc>
        <w:tc>
          <w:tcPr>
            <w:tcW w:w="6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809</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804</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Other receivables</w:t>
            </w:r>
          </w:p>
        </w:tc>
        <w:tc>
          <w:tcPr>
            <w:tcW w:w="6140" w:type="dxa"/>
            <w:vAlign w:val="bottom"/>
            <w:gridSpan w:val="3"/>
          </w:tcPr>
          <w:p>
            <w:pPr>
              <w:jc w:val="right"/>
              <w:ind w:right="240"/>
              <w:spacing w:after="0"/>
              <w:rPr>
                <w:sz w:val="20"/>
                <w:szCs w:val="20"/>
                <w:color w:val="auto"/>
              </w:rPr>
            </w:pPr>
            <w:r>
              <w:rPr>
                <w:rFonts w:ascii="Arial" w:cs="Arial" w:eastAsia="Arial" w:hAnsi="Arial"/>
                <w:sz w:val="18"/>
                <w:szCs w:val="18"/>
                <w:color w:val="auto"/>
              </w:rPr>
              <w:t>1,419</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1,016</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Cash and short-term deposits</w:t>
            </w:r>
          </w:p>
        </w:tc>
        <w:tc>
          <w:tcPr>
            <w:tcW w:w="6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94,296</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23,469</w:t>
            </w:r>
          </w:p>
        </w:tc>
      </w:tr>
      <w:tr>
        <w:trPr>
          <w:trHeight w:val="230"/>
        </w:trPr>
        <w:tc>
          <w:tcPr>
            <w:tcW w:w="38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99,323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29,726</w:t>
            </w:r>
          </w:p>
        </w:tc>
        <w:tc>
          <w:tcPr>
            <w:tcW w:w="120" w:type="dxa"/>
            <w:vAlign w:val="bottom"/>
          </w:tcPr>
          <w:p>
            <w:pPr>
              <w:spacing w:after="0"/>
              <w:rPr>
                <w:sz w:val="20"/>
                <w:szCs w:val="20"/>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6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126,417</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62,947</w:t>
            </w:r>
          </w:p>
        </w:tc>
      </w:t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color w:val="auto"/>
              </w:rPr>
              <w:t>Equity and liabilities</w:t>
            </w:r>
          </w:p>
        </w:tc>
        <w:tc>
          <w:tcPr>
            <w:tcW w:w="5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5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Provisions</w:t>
            </w:r>
          </w:p>
        </w:tc>
        <w:tc>
          <w:tcPr>
            <w:tcW w:w="6140" w:type="dxa"/>
            <w:vAlign w:val="bottom"/>
            <w:gridSpan w:val="3"/>
          </w:tcPr>
          <w:p>
            <w:pPr>
              <w:jc w:val="right"/>
              <w:ind w:right="240"/>
              <w:spacing w:after="0"/>
              <w:rPr>
                <w:sz w:val="20"/>
                <w:szCs w:val="20"/>
                <w:color w:val="auto"/>
              </w:rPr>
            </w:pPr>
            <w:r>
              <w:rPr>
                <w:rFonts w:ascii="Arial" w:cs="Arial" w:eastAsia="Arial" w:hAnsi="Arial"/>
                <w:sz w:val="18"/>
                <w:szCs w:val="18"/>
                <w:color w:val="auto"/>
              </w:rPr>
              <w:t>1,320</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1,216</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Convertible loan notes</w:t>
            </w:r>
          </w:p>
        </w:tc>
        <w:tc>
          <w:tcPr>
            <w:tcW w:w="6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14,384</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16,142</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Warrant liability</w:t>
            </w:r>
          </w:p>
        </w:tc>
        <w:tc>
          <w:tcPr>
            <w:tcW w:w="6140" w:type="dxa"/>
            <w:vAlign w:val="bottom"/>
            <w:gridSpan w:val="3"/>
          </w:tcPr>
          <w:p>
            <w:pPr>
              <w:jc w:val="right"/>
              <w:ind w:right="240"/>
              <w:spacing w:after="0"/>
              <w:rPr>
                <w:sz w:val="20"/>
                <w:szCs w:val="20"/>
                <w:color w:val="auto"/>
              </w:rPr>
            </w:pPr>
            <w:r>
              <w:rPr>
                <w:rFonts w:ascii="Arial" w:cs="Arial" w:eastAsia="Arial" w:hAnsi="Arial"/>
                <w:sz w:val="18"/>
                <w:szCs w:val="18"/>
                <w:color w:val="auto"/>
              </w:rPr>
              <w:t>8,336</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50,775</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6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1,754</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1,158</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Other liabilities</w:t>
            </w:r>
          </w:p>
        </w:tc>
        <w:tc>
          <w:tcPr>
            <w:tcW w:w="5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80</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62</w:t>
            </w:r>
          </w:p>
        </w:tc>
      </w:tr>
      <w:tr>
        <w:trPr>
          <w:trHeight w:val="27"/>
        </w:trPr>
        <w:tc>
          <w:tcPr>
            <w:tcW w:w="38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8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25,874</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69,353</w:t>
            </w:r>
          </w:p>
        </w:tc>
      </w:tr>
      <w:tr>
        <w:trPr>
          <w:trHeight w:val="216"/>
        </w:trPr>
        <w:tc>
          <w:tcPr>
            <w:tcW w:w="38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5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6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2,499</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3,333</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Accruals</w:t>
            </w:r>
          </w:p>
        </w:tc>
        <w:tc>
          <w:tcPr>
            <w:tcW w:w="6140" w:type="dxa"/>
            <w:vAlign w:val="bottom"/>
            <w:gridSpan w:val="3"/>
          </w:tcPr>
          <w:p>
            <w:pPr>
              <w:jc w:val="right"/>
              <w:ind w:right="240"/>
              <w:spacing w:after="0"/>
              <w:rPr>
                <w:sz w:val="20"/>
                <w:szCs w:val="20"/>
                <w:color w:val="auto"/>
              </w:rPr>
            </w:pPr>
            <w:r>
              <w:rPr>
                <w:rFonts w:ascii="Arial" w:cs="Arial" w:eastAsia="Arial" w:hAnsi="Arial"/>
                <w:sz w:val="18"/>
                <w:szCs w:val="18"/>
                <w:color w:val="auto"/>
              </w:rPr>
              <w:t>3,826</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4,178</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Current tax liabilities</w:t>
            </w:r>
          </w:p>
        </w:tc>
        <w:tc>
          <w:tcPr>
            <w:tcW w:w="6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1,522</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Provisions</w:t>
            </w:r>
          </w:p>
        </w:tc>
        <w:tc>
          <w:tcPr>
            <w:tcW w:w="6140" w:type="dxa"/>
            <w:vAlign w:val="bottom"/>
            <w:gridSpan w:val="3"/>
          </w:tcPr>
          <w:p>
            <w:pPr>
              <w:jc w:val="right"/>
              <w:ind w:right="240"/>
              <w:spacing w:after="0"/>
              <w:rPr>
                <w:sz w:val="20"/>
                <w:szCs w:val="20"/>
                <w:color w:val="auto"/>
              </w:rPr>
            </w:pPr>
            <w:r>
              <w:rPr>
                <w:rFonts w:ascii="Arial" w:cs="Arial" w:eastAsia="Arial" w:hAnsi="Arial"/>
                <w:sz w:val="18"/>
                <w:szCs w:val="18"/>
                <w:color w:val="auto"/>
              </w:rPr>
              <w:t>2,803</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418</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6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622</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636</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Other liabilities</w:t>
            </w:r>
          </w:p>
        </w:tc>
        <w:tc>
          <w:tcPr>
            <w:tcW w:w="51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1,269</w:t>
            </w:r>
          </w:p>
        </w:tc>
        <w:tc>
          <w:tcPr>
            <w:tcW w:w="18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3840" w:type="dxa"/>
            <w:vAlign w:val="bottom"/>
          </w:tcPr>
          <w:p>
            <w:pPr>
              <w:spacing w:after="0"/>
              <w:rPr>
                <w:sz w:val="2"/>
                <w:szCs w:val="2"/>
                <w:color w:val="auto"/>
              </w:rPr>
            </w:pPr>
          </w:p>
        </w:tc>
        <w:tc>
          <w:tcPr>
            <w:tcW w:w="5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840" w:type="dxa"/>
            <w:vAlign w:val="bottom"/>
            <w:shd w:val="clear" w:color="auto" w:fill="CCEEFF"/>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12,541</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8,565</w:t>
            </w:r>
          </w:p>
        </w:tc>
      </w:tr>
      <w:tr>
        <w:trPr>
          <w:trHeight w:val="230"/>
        </w:trPr>
        <w:tc>
          <w:tcPr>
            <w:tcW w:w="384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516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38,415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77,918</w:t>
            </w:r>
          </w:p>
        </w:tc>
        <w:tc>
          <w:tcPr>
            <w:tcW w:w="120" w:type="dxa"/>
            <w:vAlign w:val="bottom"/>
          </w:tcPr>
          <w:p>
            <w:pPr>
              <w:spacing w:after="0"/>
              <w:rPr>
                <w:sz w:val="20"/>
                <w:szCs w:val="20"/>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assets/(liabilities)</w:t>
            </w:r>
          </w:p>
        </w:tc>
        <w:tc>
          <w:tcPr>
            <w:tcW w:w="6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88,002</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(14,971)</w:t>
            </w:r>
          </w:p>
        </w:tc>
      </w:tr>
      <w:tr>
        <w:trPr>
          <w:trHeight w:val="223"/>
        </w:trPr>
        <w:tc>
          <w:tcPr>
            <w:tcW w:w="384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51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Issued capital</w:t>
            </w:r>
          </w:p>
        </w:tc>
        <w:tc>
          <w:tcPr>
            <w:tcW w:w="6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1,755</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1,017</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Share premium</w:t>
            </w:r>
          </w:p>
        </w:tc>
        <w:tc>
          <w:tcPr>
            <w:tcW w:w="6140" w:type="dxa"/>
            <w:vAlign w:val="bottom"/>
            <w:gridSpan w:val="3"/>
          </w:tcPr>
          <w:p>
            <w:pPr>
              <w:jc w:val="right"/>
              <w:ind w:right="240"/>
              <w:spacing w:after="0"/>
              <w:rPr>
                <w:sz w:val="20"/>
                <w:szCs w:val="20"/>
                <w:color w:val="auto"/>
              </w:rPr>
            </w:pPr>
            <w:r>
              <w:rPr>
                <w:rFonts w:ascii="Arial" w:cs="Arial" w:eastAsia="Arial" w:hAnsi="Arial"/>
                <w:sz w:val="18"/>
                <w:szCs w:val="18"/>
                <w:color w:val="auto"/>
              </w:rPr>
              <w:t>247,460</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161,785</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 capital reserves</w:t>
            </w:r>
          </w:p>
        </w:tc>
        <w:tc>
          <w:tcPr>
            <w:tcW w:w="6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129,835</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128,374</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Employee Benefit Trust shares</w:t>
            </w:r>
          </w:p>
        </w:tc>
        <w:tc>
          <w:tcPr>
            <w:tcW w:w="6140" w:type="dxa"/>
            <w:vAlign w:val="bottom"/>
            <w:gridSpan w:val="3"/>
          </w:tcPr>
          <w:p>
            <w:pPr>
              <w:jc w:val="right"/>
              <w:ind w:right="180"/>
              <w:spacing w:after="0"/>
              <w:rPr>
                <w:sz w:val="20"/>
                <w:szCs w:val="20"/>
                <w:color w:val="auto"/>
              </w:rPr>
            </w:pPr>
            <w:r>
              <w:rPr>
                <w:rFonts w:ascii="Arial" w:cs="Arial" w:eastAsia="Arial" w:hAnsi="Arial"/>
                <w:sz w:val="18"/>
                <w:szCs w:val="18"/>
                <w:color w:val="auto"/>
              </w:rPr>
              <w:t>(1,140)</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(1,305)</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 reserves</w:t>
            </w:r>
          </w:p>
        </w:tc>
        <w:tc>
          <w:tcPr>
            <w:tcW w:w="6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7,401</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5,001</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Accumulated losses</w:t>
            </w:r>
          </w:p>
        </w:tc>
        <w:tc>
          <w:tcPr>
            <w:tcW w:w="6140" w:type="dxa"/>
            <w:vAlign w:val="bottom"/>
            <w:gridSpan w:val="3"/>
          </w:tcPr>
          <w:p>
            <w:pPr>
              <w:jc w:val="right"/>
              <w:ind w:right="180"/>
              <w:spacing w:after="0"/>
              <w:rPr>
                <w:sz w:val="20"/>
                <w:szCs w:val="20"/>
                <w:color w:val="auto"/>
              </w:rPr>
            </w:pPr>
            <w:r>
              <w:rPr>
                <w:rFonts w:ascii="Arial" w:cs="Arial" w:eastAsia="Arial" w:hAnsi="Arial"/>
                <w:sz w:val="18"/>
                <w:szCs w:val="18"/>
                <w:color w:val="auto"/>
              </w:rPr>
              <w:t>(296,968)</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(309,693)</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Translation reserve</w:t>
            </w:r>
          </w:p>
        </w:tc>
        <w:tc>
          <w:tcPr>
            <w:tcW w:w="6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(341)</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(150)</w:t>
            </w:r>
          </w:p>
        </w:tc>
      </w:tr>
      <w:tr>
        <w:trPr>
          <w:trHeight w:val="223"/>
        </w:trPr>
        <w:tc>
          <w:tcPr>
            <w:tcW w:w="3840" w:type="dxa"/>
            <w:vAlign w:val="bottom"/>
          </w:tcPr>
          <w:p>
            <w:pPr>
              <w:spacing w:after="0"/>
              <w:rPr>
                <w:sz w:val="20"/>
                <w:szCs w:val="20"/>
                <w:color w:val="auto"/>
              </w:rPr>
            </w:pPr>
            <w:r>
              <w:rPr>
                <w:rFonts w:ascii="Arial" w:cs="Arial" w:eastAsia="Arial" w:hAnsi="Arial"/>
                <w:sz w:val="18"/>
                <w:szCs w:val="18"/>
                <w:b w:val="1"/>
                <w:bCs w:val="1"/>
                <w:color w:val="auto"/>
              </w:rPr>
              <w:t>Total equity</w:t>
            </w:r>
          </w:p>
        </w:tc>
        <w:tc>
          <w:tcPr>
            <w:tcW w:w="51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88,002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(14,971)</w:t>
            </w:r>
          </w:p>
        </w:tc>
        <w:tc>
          <w:tcPr>
            <w:tcW w:w="120" w:type="dxa"/>
            <w:vAlign w:val="bottom"/>
          </w:tcPr>
          <w:p>
            <w:pPr>
              <w:spacing w:after="0"/>
              <w:rPr>
                <w:sz w:val="19"/>
                <w:szCs w:val="19"/>
                <w:color w:val="auto"/>
              </w:rPr>
            </w:pPr>
          </w:p>
        </w:tc>
      </w:tr>
      <w:tr>
        <w:trPr>
          <w:trHeight w:val="372"/>
        </w:trPr>
        <w:tc>
          <w:tcPr>
            <w:tcW w:w="3840" w:type="dxa"/>
            <w:vAlign w:val="bottom"/>
          </w:tcPr>
          <w:p>
            <w:pPr>
              <w:spacing w:after="0"/>
              <w:rPr>
                <w:sz w:val="24"/>
                <w:szCs w:val="24"/>
                <w:color w:val="auto"/>
              </w:rPr>
            </w:pPr>
          </w:p>
        </w:tc>
        <w:tc>
          <w:tcPr>
            <w:tcW w:w="5160" w:type="dxa"/>
            <w:vAlign w:val="bottom"/>
          </w:tcPr>
          <w:p>
            <w:pPr>
              <w:jc w:val="right"/>
              <w:ind w:right="3371"/>
              <w:spacing w:after="0"/>
              <w:rPr>
                <w:sz w:val="20"/>
                <w:szCs w:val="20"/>
                <w:color w:val="auto"/>
              </w:rPr>
            </w:pPr>
            <w:r>
              <w:rPr>
                <w:rFonts w:ascii="Arial" w:cs="Arial" w:eastAsia="Arial" w:hAnsi="Arial"/>
                <w:sz w:val="18"/>
                <w:szCs w:val="18"/>
                <w:color w:val="auto"/>
              </w:rPr>
              <w:t>5</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2022-03-31T16:06:30Z</dcterms:created>
  <dcterms:modified xsi:type="dcterms:W3CDTF">2022-03-31T16:06:30Z</dcterms:modified>
</cp:coreProperties>
</file>