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1"/>
          <w:szCs w:val="21"/>
          <w:b w:val="1"/>
          <w:bCs w:val="1"/>
          <w:color w:val="0000FF"/>
        </w:rPr>
        <w:t>Ordinary Shares, nominal value EURO0.003 per share, represented by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801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27,578,325.00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27,578,325.00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27,578,325.00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27,578,325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5,515,665 American Depositary Shares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27,578,325.00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27,578,325.00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line="62" w:lineRule="exact"/>
        <w:rPr>
          <w:sz w:val="20"/>
          <w:szCs w:val="20"/>
          <w:color w:val="auto"/>
        </w:rPr>
      </w:pPr>
    </w:p>
    <w:p>
      <w:pPr>
        <w:ind w:left="1160" w:right="428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27,578,325.00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27,578,325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5,515,665 American Depositary Shares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1"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27,578,325.00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27,578,325.00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27,578,325.00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ectPr>
          <w:pgSz w:w="11900" w:h="16901" w:orient="portrait"/>
          <w:cols w:equalWidth="0" w:num="2">
            <w:col w:w="1100" w:space="60"/>
            <w:col w:w="10060"/>
          </w:cols>
          <w:pgMar w:left="320" w:top="111" w:right="359" w:bottom="0" w:gutter="0" w:footer="0" w:header="0"/>
          <w:type w:val="continuous"/>
        </w:sectPr>
      </w:pPr>
    </w:p>
    <w:p>
      <w:pPr>
        <w:ind w:left="1160" w:hanging="1112"/>
        <w:spacing w:after="0"/>
        <w:tabs>
          <w:tab w:leader="none" w:pos="11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4"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OO</w:t>
      </w:r>
    </w:p>
    <w:p>
      <w:pPr>
        <w:sectPr>
          <w:pgSz w:w="11900" w:h="16901" w:orient="portrait"/>
          <w:cols w:equalWidth="0" w:num="1">
            <w:col w:w="11220"/>
          </w:cols>
          <w:pgMar w:left="320" w:top="111" w:right="359" w:bottom="0" w:gutter="0" w:footer="0" w:header="0"/>
          <w:type w:val="continuous"/>
        </w:sectPr>
      </w:pPr>
    </w:p>
    <w:bookmarkStart w:id="3" w:name="page4"/>
    <w:bookmarkEnd w:id="3"/>
    <w:p>
      <w:pPr>
        <w:spacing w:after="0" w:line="2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27,578,325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5,515,665 American Depositary Shares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4" w:orient="portrait"/>
          <w:cols w:equalWidth="0" w:num="1">
            <w:col w:w="11220"/>
          </w:cols>
          <w:pgMar w:left="320" w:top="39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7,509,280.00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4" w:orient="portrait"/>
          <w:cols w:equalWidth="0" w:num="2">
            <w:col w:w="1100" w:space="60"/>
            <w:col w:w="10060"/>
          </w:cols>
          <w:pgMar w:left="320" w:top="392" w:right="359" w:bottom="0" w:gutter="0" w:footer="0" w:header="0"/>
          <w:type w:val="continuous"/>
        </w:sectPr>
      </w:pPr>
    </w:p>
    <w:p>
      <w:pPr>
        <w:spacing w:after="0" w:line="7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7,509,280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1,501,856 American Depositary Shares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795,001,444 Ordinary Shares outstanding on March 25, 2025 as set forth in the Issuer's Annual Report on Form 10-K filed with the SEC on March 26, 2025.</w:t>
      </w:r>
    </w:p>
    <w:p>
      <w:pPr>
        <w:sectPr>
          <w:pgSz w:w="11900" w:h="16864" w:orient="portrait"/>
          <w:cols w:equalWidth="0" w:num="1">
            <w:col w:w="11220"/>
          </w:cols>
          <w:pgMar w:left="320" w:top="392"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64" w:orient="portrait"/>
          <w:cols w:equalWidth="0" w:num="1">
            <w:col w:w="11220"/>
          </w:cols>
          <w:pgMar w:left="320" w:top="392" w:right="3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89"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7,509,280.00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189" w:right="459" w:bottom="0" w:gutter="0" w:footer="0" w:header="0"/>
          <w:type w:val="continuous"/>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7,509,280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1,501,856 American Depositary Shares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120"/>
          </w:cols>
          <w:pgMar w:left="320" w:top="189" w:right="45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7,509,280.00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7,509,280.00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7,509,280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1,501,856 American Depositary Shares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1,590,155.00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11" w:right="45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1,590,155.00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1,590,155.00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1,590,155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318,031 American Depositary Shares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1,590,155.00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1,590,155.00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40"/>
          </w:cols>
          <w:pgMar w:left="320" w:top="111" w:right="47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1,590,155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318,031 American Depositary Shares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355"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1,590,155.00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1,590,155.00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40"/>
          </w:cols>
          <w:pgMar w:left="320" w:top="355" w:right="479" w:bottom="0" w:gutter="0" w:footer="0" w:header="0"/>
          <w:type w:val="continuous"/>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1,590,155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318,031 American Depositary Shares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795,001,444 Ordinary Shares outstanding on March 25, 2025 as set forth in the Issuer's Annual Report on Form 10-K filed with the SEC on March 26, 2025.</w:t>
      </w:r>
    </w:p>
    <w:p>
      <w:pPr>
        <w:sectPr>
          <w:pgSz w:w="11900" w:h="16838" w:orient="portrait"/>
          <w:cols w:equalWidth="0" w:num="1">
            <w:col w:w="11100"/>
          </w:cols>
          <w:pgMar w:left="320" w:top="355" w:right="479" w:bottom="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810"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3,671,555.00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810" w:right="35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3,671,555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734,311 American Depositary Shares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ectPr>
          <w:pgSz w:w="11900" w:h="16838" w:orient="portrait"/>
          <w:cols w:equalWidth="0" w:num="1">
            <w:col w:w="11220"/>
          </w:cols>
          <w:pgMar w:left="320" w:top="810" w:right="359" w:bottom="0" w:gutter="0" w:footer="0" w:header="0"/>
          <w:type w:val="continuous"/>
        </w:sectPr>
      </w:pPr>
    </w:p>
    <w:bookmarkStart w:id="9" w:name="page10"/>
    <w:bookmarkEnd w:id="9"/>
    <w:p>
      <w:pPr>
        <w:ind w:left="1160" w:hanging="1112"/>
        <w:spacing w:after="0"/>
        <w:tabs>
          <w:tab w:leader="none" w:pos="11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3,671,555.00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3,671,555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734,311 American Depositary Shares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1220"/>
          </w:cols>
          <w:pgMar w:left="320" w:top="111" w:right="359" w:bottom="0" w:gutter="0" w:footer="0" w:header="0"/>
          <w:type w:val="continuous"/>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3,671,555.00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3,671,555.00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3,671,555.00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3,671,555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734,311 American Depositary Shares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40,349,315.00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40,349,315.00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02" w:right="359" w:bottom="0" w:gutter="0" w:footer="0" w:header="0"/>
        </w:sectPr>
      </w:pPr>
    </w:p>
    <w:bookmarkStart w:id="11" w:name="page12"/>
    <w:bookmarkEnd w:id="11"/>
    <w:p>
      <w:pPr>
        <w:ind w:left="1160"/>
        <w:spacing w:after="0"/>
        <w:rPr>
          <w:sz w:val="20"/>
          <w:szCs w:val="20"/>
          <w:color w:val="auto"/>
        </w:rPr>
      </w:pPr>
      <w:r>
        <w:rPr>
          <w:rFonts w:ascii="Times New Roman" w:cs="Times New Roman" w:eastAsia="Times New Roman" w:hAnsi="Times New Roman"/>
          <w:sz w:val="22"/>
          <w:szCs w:val="22"/>
          <w:color w:val="auto"/>
        </w:rPr>
        <w:t>40,349,315.00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27,578,325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5,515,665 American Depositary Shares ("ADSs") held directly by Frazier Life Sciences Public Fund, L.P.,</w:t>
      </w:r>
    </w:p>
    <w:p>
      <w:pPr>
        <w:spacing w:after="0" w:line="1" w:lineRule="exact"/>
        <w:rPr>
          <w:sz w:val="20"/>
          <w:szCs w:val="20"/>
          <w:color w:val="auto"/>
        </w:rPr>
      </w:pPr>
    </w:p>
    <w:p>
      <w:pPr>
        <w:ind w:firstLine="8"/>
        <w:spacing w:after="0" w:line="242" w:lineRule="auto"/>
        <w:tabs>
          <w:tab w:leader="none" w:pos="31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7,509,280 Ordinary Shares of the Issuer, represented by 1,501,856 ADSs held directly by Frazier Life Sciences Public Overage Fund, L.P., (iii) 1,590,155 Ordinary Shares of the Issuer, represented by 318,031 ADSs held directly by Frazier Life Sciences X, L.P., and (iv) 3,671,555 Ordinary Shares of the Issuer, represented by 734,311 ADSs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40,349,315.00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40,349,315.00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40"/>
          </w:cols>
          <w:pgMar w:left="320" w:top="355" w:right="339" w:bottom="0" w:gutter="0" w:footer="0" w:header="0"/>
        </w:sectPr>
      </w:pPr>
    </w:p>
    <w:bookmarkStart w:id="12" w:name="page13"/>
    <w:bookmarkEnd w:id="12"/>
    <w:p>
      <w:pPr>
        <w:ind w:left="1160"/>
        <w:spacing w:after="0"/>
        <w:rPr>
          <w:sz w:val="20"/>
          <w:szCs w:val="20"/>
          <w:color w:val="auto"/>
        </w:rPr>
      </w:pPr>
      <w:r>
        <w:rPr>
          <w:rFonts w:ascii="Times New Roman" w:cs="Times New Roman" w:eastAsia="Times New Roman" w:hAnsi="Times New Roman"/>
          <w:sz w:val="22"/>
          <w:szCs w:val="22"/>
          <w:color w:val="auto"/>
        </w:rPr>
        <w:t>40,349,315.00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27,578,325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5,515,665 American Depositary Shares ("ADSs") held directly by Frazier Life Sciences Public Fund, L.P.,</w:t>
      </w:r>
    </w:p>
    <w:p>
      <w:pPr>
        <w:spacing w:after="0" w:line="1" w:lineRule="exact"/>
        <w:rPr>
          <w:sz w:val="20"/>
          <w:szCs w:val="20"/>
          <w:color w:val="auto"/>
        </w:rPr>
      </w:pPr>
    </w:p>
    <w:p>
      <w:pPr>
        <w:ind w:firstLine="8"/>
        <w:spacing w:after="0" w:line="242" w:lineRule="auto"/>
        <w:tabs>
          <w:tab w:leader="none" w:pos="31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7,509,280 Ordinary Shares of the Issuer, represented by 1,501,856 ADSs held directly by Frazier Life Sciences Public Overage Fund, L.P., (iii) 1,590,155 Ordinary Shares of the Issuer, represented by 318,031 ADSs held directly by Frazier Life Sciences X, L.P., and (iv) 3,671,555 Ordinary Shares of the Issuer, represented by 734,311 ADSs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Albert Cha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35,087,605.00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35,087,605.00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35,087,605.00</w:t>
      </w:r>
    </w:p>
    <w:p>
      <w:pPr>
        <w:sectPr>
          <w:pgSz w:w="11900" w:h="16838" w:orient="portrait"/>
          <w:cols w:equalWidth="0" w:num="1">
            <w:col w:w="11240"/>
          </w:cols>
          <w:pgMar w:left="320" w:top="112" w:right="339" w:bottom="0" w:gutter="0" w:footer="0" w:header="0"/>
        </w:sectPr>
      </w:pPr>
    </w:p>
    <w:bookmarkStart w:id="13" w:name="page14"/>
    <w:bookmarkEnd w:id="13"/>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27,578,325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5,515,665 American Depositary Shares ("ADSs") held directly by Frazier Life Sciences Public Fund, L.P., and (ii) 7,509,280 Ordinary Shares of the Issuer, represented by 1,501,856 ADSs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35,087,605.00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35,087,605.00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35,087,605.00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2" w:right="339" w:bottom="0" w:gutter="0" w:footer="0" w:header="0"/>
          <w:type w:val="continuous"/>
        </w:sectPr>
      </w:pPr>
    </w:p>
    <w:bookmarkStart w:id="14" w:name="page15"/>
    <w:bookmarkEnd w:id="14"/>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27,578,325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5,515,665 American Depositary Shares ("ADSs") held directly by Frazier Life Sciences Public Fund, L.P., and (ii) 7,509,280 Ordinary Shares of the Issuer, represented by 1,501,856 ADSs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795,001,444 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3,671,555.00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3,671,555.00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3,671,555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734,311 American Depositary Shares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795,001,444</w:t>
      </w:r>
    </w:p>
    <w:p>
      <w:pPr>
        <w:sectPr>
          <w:pgSz w:w="11900" w:h="16838" w:orient="portrait"/>
          <w:cols w:equalWidth="0" w:num="1">
            <w:col w:w="11240"/>
          </w:cols>
          <w:pgMar w:left="320" w:top="112" w:right="339" w:bottom="0" w:gutter="0" w:footer="0" w:header="0"/>
          <w:type w:val="continuous"/>
        </w:sectPr>
      </w:pPr>
    </w:p>
    <w:bookmarkStart w:id="15" w:name="page16"/>
    <w:bookmarkEnd w:id="15"/>
    <w:p>
      <w:pPr>
        <w:spacing w:after="0" w:line="11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2"/>
          <w:szCs w:val="22"/>
          <w:color w:val="auto"/>
        </w:rPr>
        <w:t>Ordinary Shares outstanding on March 25, 2025 as set forth in the Issuer's Annual Report on Form 10-K filed with the SEC on March 26,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w:t>
      </w:r>
    </w:p>
    <w:p>
      <w:pPr>
        <w:spacing w:after="0" w:line="26" w:lineRule="exact"/>
        <w:rPr>
          <w:sz w:val="20"/>
          <w:szCs w:val="20"/>
          <w:color w:val="auto"/>
        </w:rPr>
      </w:pPr>
    </w:p>
    <w:p>
      <w:pPr>
        <w:ind w:left="960" w:right="100" w:hanging="912"/>
        <w:spacing w:after="0" w:line="196" w:lineRule="auto"/>
        <w:tabs>
          <w:tab w:leader="none" w:pos="960" w:val="left"/>
        </w:tabs>
        <w:numPr>
          <w:ilvl w:val="0"/>
          <w:numId w:val="3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L.P. ("FLSPF") FHMLSP, L.P. FHMLSP, L.L.C. Frazier Life Sciences Public Overage Fund, L.P. ("FLSPOF") FHMLSP Overage, L.P. FHMLSP Overage, L.L.C. Frazier Life Sciences XI, L.P. ("FLS XI") FHMLS XI, L.P. FHMLS XI, L.L.C. Frazier Life Sciences X, L.P. ("FLS X") FHMLS X, L.P. FHMLS X, L.L.C. James N. Topper ("Topper") Patrick J. Heron ("Heron") Albert Cha ("Cha") James Brush ("Brush") Daniel Estes ("Estes" and together with Topper, Heron, Cha and Brush, the "Members")</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340" w:hanging="912"/>
        <w:spacing w:after="0" w:line="185" w:lineRule="auto"/>
        <w:tabs>
          <w:tab w:leader="none" w:pos="960" w:val="left"/>
        </w:tabs>
        <w:numPr>
          <w:ilvl w:val="0"/>
          <w:numId w:val="3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and principal business office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Entities: FLSPF - Delaware, U.S.A. FHMLSP, L.P. - Delaware, U.S.A. FHMLSP, L.L.C. - Delaware, U.S.A. FLSPOF</w:t>
      </w:r>
    </w:p>
    <w:p>
      <w:pPr>
        <w:spacing w:after="0" w:line="25" w:lineRule="exact"/>
        <w:rPr>
          <w:rFonts w:ascii="Times New Roman" w:cs="Times New Roman" w:eastAsia="Times New Roman" w:hAnsi="Times New Roman"/>
          <w:sz w:val="39"/>
          <w:szCs w:val="39"/>
          <w:color w:val="auto"/>
          <w:vertAlign w:val="superscript"/>
        </w:rPr>
      </w:pPr>
    </w:p>
    <w:p>
      <w:pPr>
        <w:ind w:left="960" w:hanging="912"/>
        <w:spacing w:after="0" w:line="196" w:lineRule="auto"/>
        <w:tabs>
          <w:tab w:leader="none" w:pos="960" w:val="left"/>
        </w:tabs>
        <w:numPr>
          <w:ilvl w:val="0"/>
          <w:numId w:val="3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 Delaware, U.S.A. FHMLSP Overage, L.P. - Delaware, U.S.A. FHMLSP, L.L.C. - Delaware, U.S.A. FLS XI - Delaware, U.S.A. FHMLS XI, L.P. - Delaware, U.S.A. FHMLS XI, L.L.C. - Delaware, U.S.A. FLS X - Delaware, U.S.A. FHMLS X, L.P. - Delaware, U.S.A. FHMLS X, L.L.C. - Delaware, U.S.A. Individuals: Topper - United States Citizen Heron - United States Citizen Cha - United States Citizen Brush - United States Citizen Estes - United States Citizen</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right="1560"/>
        <w:spacing w:after="0" w:line="256" w:lineRule="auto"/>
        <w:rPr>
          <w:sz w:val="20"/>
          <w:szCs w:val="20"/>
          <w:color w:val="auto"/>
        </w:rPr>
      </w:pPr>
      <w:r>
        <w:rPr>
          <w:rFonts w:ascii="Times New Roman" w:cs="Times New Roman" w:eastAsia="Times New Roman" w:hAnsi="Times New Roman"/>
          <w:sz w:val="22"/>
          <w:szCs w:val="22"/>
          <w:color w:val="auto"/>
        </w:rPr>
        <w:t>Ordinary Shares, nominal value EURO0.003 per share, represented by American Depository Shares CUSIP No.:</w:t>
      </w:r>
    </w:p>
    <w:p>
      <w:pPr>
        <w:ind w:left="40"/>
        <w:spacing w:after="0" w:line="230" w:lineRule="auto"/>
        <w:rPr>
          <w:sz w:val="20"/>
          <w:szCs w:val="20"/>
          <w:color w:val="auto"/>
        </w:rPr>
      </w:pPr>
      <w:r>
        <w:rPr>
          <w:rFonts w:ascii="Times New Roman" w:cs="Times New Roman" w:eastAsia="Times New Roman" w:hAnsi="Times New Roman"/>
          <w:sz w:val="22"/>
          <w:szCs w:val="22"/>
          <w:color w:val="auto"/>
        </w:rPr>
        <w:t>(e)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3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60" w:right="6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row 9 of each Reporting Person's cover page to this Schedule 13G (including the footnotes thereto) is incorporated by reference.</w:t>
      </w:r>
    </w:p>
    <w:p>
      <w:pPr>
        <w:sectPr>
          <w:pgSz w:w="11900" w:h="16948" w:orient="portrait"/>
          <w:cols w:equalWidth="0" w:num="1">
            <w:col w:w="11160"/>
          </w:cols>
          <w:pgMar w:left="320" w:top="112" w:right="419" w:bottom="0" w:gutter="0" w:footer="0" w:header="0"/>
        </w:sectPr>
      </w:pPr>
    </w:p>
    <w:bookmarkStart w:id="16" w:name="page17"/>
    <w:bookmarkEnd w:id="16"/>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60" w:hanging="912"/>
        <w:spacing w:after="0" w:line="185" w:lineRule="auto"/>
        <w:tabs>
          <w:tab w:leader="none" w:pos="920" w:val="left"/>
        </w:tabs>
        <w:numPr>
          <w:ilvl w:val="0"/>
          <w:numId w:val="3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6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ectPr>
          <w:pgSz w:w="11900" w:h="16838" w:orient="portrait"/>
          <w:cols w:equalWidth="0" w:num="1">
            <w:col w:w="11140"/>
          </w:cols>
          <w:pgMar w:left="360" w:top="166" w:right="399" w:bottom="0" w:gutter="0" w:footer="0" w:header="0"/>
          <w:type w:val="continuous"/>
        </w:sectPr>
      </w:pPr>
    </w:p>
    <w:bookmarkStart w:id="17" w:name="page18"/>
    <w:bookmarkEnd w:id="17"/>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CFO of FHMLSP Overage,</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5660"/>
        <w:spacing w:after="0"/>
        <w:rPr>
          <w:sz w:val="20"/>
          <w:szCs w:val="20"/>
          <w:color w:val="auto"/>
        </w:rPr>
      </w:pPr>
      <w:r>
        <w:rPr>
          <w:rFonts w:ascii="Times New Roman" w:cs="Times New Roman" w:eastAsia="Times New Roman" w:hAnsi="Times New Roman"/>
          <w:sz w:val="21"/>
          <w:szCs w:val="21"/>
          <w:color w:val="auto"/>
        </w:rPr>
        <w:t>Frazier Life Sciences Public Overage Fund, L.P.</w:t>
      </w:r>
    </w:p>
    <w:p>
      <w:pPr>
        <w:spacing w:after="0" w:line="3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CFO of FHMLS X, L.L.C.,</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ectPr>
          <w:pgSz w:w="11900" w:h="16838" w:orient="portrait"/>
          <w:cols w:equalWidth="0" w:num="1">
            <w:col w:w="9860"/>
          </w:cols>
          <w:pgMar w:left="1440" w:top="153" w:right="599" w:bottom="0" w:gutter="0" w:footer="0" w:header="0"/>
        </w:sectPr>
      </w:pPr>
    </w:p>
    <w:bookmarkStart w:id="18" w:name="page19"/>
    <w:bookmarkEnd w:id="18"/>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Attorney-in-Fact for James N.</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Topper, pursuant to a Power of Attorney, a copy</w:t>
      </w:r>
    </w:p>
    <w:p>
      <w:pPr>
        <w:ind w:left="6740"/>
        <w:spacing w:after="0"/>
        <w:rPr>
          <w:sz w:val="20"/>
          <w:szCs w:val="20"/>
          <w:color w:val="auto"/>
        </w:rPr>
      </w:pPr>
      <w:r>
        <w:rPr>
          <w:rFonts w:ascii="Times New Roman" w:cs="Times New Roman" w:eastAsia="Times New Roman" w:hAnsi="Times New Roman"/>
          <w:sz w:val="21"/>
          <w:szCs w:val="21"/>
          <w:color w:val="auto"/>
        </w:rPr>
        <w:t>of which was filed with the SEC on July 31, 2017</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Heron, pursuant to a Power of Attorney, a copy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July 31, 2017</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Cha, pursuant to a Power of Attorney, a copy of</w:t>
      </w:r>
    </w:p>
    <w:p>
      <w:pPr>
        <w:ind w:left="6740"/>
        <w:spacing w:after="0"/>
        <w:rPr>
          <w:sz w:val="20"/>
          <w:szCs w:val="20"/>
          <w:color w:val="auto"/>
        </w:rPr>
      </w:pPr>
      <w:r>
        <w:rPr>
          <w:rFonts w:ascii="Times New Roman" w:cs="Times New Roman" w:eastAsia="Times New Roman" w:hAnsi="Times New Roman"/>
          <w:sz w:val="21"/>
          <w:szCs w:val="21"/>
          <w:color w:val="auto"/>
        </w:rPr>
        <w:t>which was filed with the SEC on August 16, 2021</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color w:val="auto"/>
        </w:rPr>
        <w:t>Name/Title: Brush, pursuant to a Power of Attorney, a copy of</w:t>
      </w:r>
    </w:p>
    <w:p>
      <w:pPr>
        <w:jc w:val="right"/>
        <w:ind w:right="40"/>
        <w:spacing w:after="0"/>
        <w:rPr>
          <w:sz w:val="20"/>
          <w:szCs w:val="20"/>
          <w:color w:val="auto"/>
        </w:rPr>
      </w:pPr>
      <w:r>
        <w:rPr>
          <w:rFonts w:ascii="Times New Roman" w:cs="Times New Roman" w:eastAsia="Times New Roman" w:hAnsi="Times New Roman"/>
          <w:sz w:val="22"/>
          <w:szCs w:val="22"/>
          <w:color w:val="auto"/>
        </w:rPr>
        <w:t>which was filed with the SEC on August 16, 2021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Estes, pursuant to a Power of Attorney, a copy of</w:t>
      </w: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April 18, 2022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08" w:lineRule="exact"/>
        <w:rPr>
          <w:sz w:val="20"/>
          <w:szCs w:val="20"/>
          <w:color w:val="auto"/>
        </w:rPr>
      </w:pPr>
    </w:p>
    <w:p>
      <w:pPr>
        <w:jc w:val="center"/>
        <w:ind w:right="80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20"/>
          </w:cols>
          <w:pgMar w:left="360" w:top="112"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Ordinary Shares of Mereo BioPharma Group plc.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606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120" w:type="dxa"/>
            <w:vAlign w:val="bottom"/>
          </w:tcPr>
          <w:p>
            <w:pPr>
              <w:spacing w:after="0"/>
              <w:rPr>
                <w:sz w:val="21"/>
                <w:szCs w:val="21"/>
                <w:color w:val="auto"/>
              </w:rPr>
            </w:pPr>
          </w:p>
        </w:tc>
        <w:tc>
          <w:tcPr>
            <w:tcW w:w="6060" w:type="dxa"/>
            <w:vAlign w:val="bottom"/>
            <w:gridSpan w:val="3"/>
          </w:tcPr>
          <w:p>
            <w:pPr>
              <w:ind w:left="142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120" w:type="dxa"/>
            <w:vAlign w:val="bottom"/>
          </w:tcPr>
          <w:p>
            <w:pPr>
              <w:spacing w:after="0"/>
              <w:rPr>
                <w:sz w:val="24"/>
                <w:szCs w:val="24"/>
                <w:color w:val="auto"/>
              </w:rPr>
            </w:pPr>
          </w:p>
        </w:tc>
        <w:tc>
          <w:tcPr>
            <w:tcW w:w="606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20" w:type="dxa"/>
            <w:vAlign w:val="bottom"/>
          </w:tcPr>
          <w:p>
            <w:pPr>
              <w:spacing w:after="0"/>
              <w:rPr>
                <w:sz w:val="24"/>
                <w:szCs w:val="24"/>
                <w:color w:val="auto"/>
              </w:rPr>
            </w:pPr>
          </w:p>
        </w:tc>
        <w:tc>
          <w:tcPr>
            <w:tcW w:w="606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812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4"/>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812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FRAZIER LIFE SCIENCES PUBLIC OVERAGE FUND, L.P.</w:t>
            </w:r>
          </w:p>
        </w:tc>
      </w:tr>
      <w:tr>
        <w:trPr>
          <w:trHeight w:val="243"/>
        </w:trPr>
        <w:tc>
          <w:tcPr>
            <w:tcW w:w="3120" w:type="dxa"/>
            <w:vAlign w:val="bottom"/>
          </w:tcPr>
          <w:p>
            <w:pPr>
              <w:spacing w:after="0"/>
              <w:rPr>
                <w:sz w:val="21"/>
                <w:szCs w:val="21"/>
                <w:color w:val="auto"/>
              </w:rPr>
            </w:pPr>
          </w:p>
        </w:tc>
        <w:tc>
          <w:tcPr>
            <w:tcW w:w="8120" w:type="dxa"/>
            <w:vAlign w:val="bottom"/>
            <w:gridSpan w:val="3"/>
          </w:tcPr>
          <w:p>
            <w:pPr>
              <w:ind w:left="1420"/>
              <w:spacing w:after="0" w:line="243" w:lineRule="exact"/>
              <w:rPr>
                <w:sz w:val="20"/>
                <w:szCs w:val="20"/>
                <w:color w:val="auto"/>
              </w:rPr>
            </w:pPr>
            <w:r>
              <w:rPr>
                <w:rFonts w:ascii="Times New Roman" w:cs="Times New Roman" w:eastAsia="Times New Roman" w:hAnsi="Times New Roman"/>
                <w:sz w:val="22"/>
                <w:szCs w:val="22"/>
                <w:color w:val="auto"/>
              </w:rPr>
              <w:t>By: FHMLSP Overage, L.P., its General Partner</w:t>
            </w:r>
          </w:p>
        </w:tc>
      </w:tr>
      <w:tr>
        <w:trPr>
          <w:trHeight w:val="282"/>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812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FHMLSP OVERAGE, L.P.</w:t>
            </w:r>
          </w:p>
        </w:tc>
      </w:tr>
      <w:tr>
        <w:trPr>
          <w:trHeight w:val="282"/>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72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812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FHMLSP OVERAGE, L.L.C.</w:t>
            </w:r>
          </w:p>
        </w:tc>
      </w:tr>
      <w:tr>
        <w:trPr>
          <w:trHeight w:val="434"/>
        </w:trPr>
        <w:tc>
          <w:tcPr>
            <w:tcW w:w="3120" w:type="dxa"/>
            <w:vAlign w:val="bottom"/>
          </w:tcPr>
          <w:p>
            <w:pPr>
              <w:spacing w:after="0"/>
              <w:rPr>
                <w:sz w:val="24"/>
                <w:szCs w:val="24"/>
                <w:color w:val="auto"/>
              </w:rPr>
            </w:pPr>
          </w:p>
        </w:tc>
        <w:tc>
          <w:tcPr>
            <w:tcW w:w="81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1068"/>
        </w:trPr>
        <w:tc>
          <w:tcPr>
            <w:tcW w:w="3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49"/>
        </w:trPr>
        <w:tc>
          <w:tcPr>
            <w:tcW w:w="3120" w:type="dxa"/>
            <w:vAlign w:val="bottom"/>
            <w:shd w:val="clear" w:color="auto" w:fill="808080"/>
          </w:tcPr>
          <w:p>
            <w:pPr>
              <w:spacing w:after="0"/>
              <w:rPr>
                <w:sz w:val="12"/>
                <w:szCs w:val="12"/>
                <w:color w:val="auto"/>
              </w:rPr>
            </w:pPr>
          </w:p>
        </w:tc>
        <w:tc>
          <w:tcPr>
            <w:tcW w:w="1740" w:type="dxa"/>
            <w:vAlign w:val="bottom"/>
            <w:shd w:val="clear" w:color="auto" w:fill="808080"/>
          </w:tcPr>
          <w:p>
            <w:pPr>
              <w:spacing w:after="0"/>
              <w:rPr>
                <w:sz w:val="12"/>
                <w:szCs w:val="12"/>
                <w:color w:val="auto"/>
              </w:rPr>
            </w:pPr>
          </w:p>
        </w:tc>
        <w:tc>
          <w:tcPr>
            <w:tcW w:w="1660" w:type="dxa"/>
            <w:vAlign w:val="bottom"/>
            <w:shd w:val="clear" w:color="auto" w:fill="808080"/>
          </w:tcPr>
          <w:p>
            <w:pPr>
              <w:spacing w:after="0"/>
              <w:rPr>
                <w:sz w:val="12"/>
                <w:szCs w:val="12"/>
                <w:color w:val="auto"/>
              </w:rPr>
            </w:pPr>
          </w:p>
        </w:tc>
        <w:tc>
          <w:tcPr>
            <w:tcW w:w="472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120" w:type="dxa"/>
            <w:vAlign w:val="bottom"/>
          </w:tcPr>
          <w:p>
            <w:pPr>
              <w:spacing w:after="0"/>
              <w:rPr>
                <w:sz w:val="21"/>
                <w:szCs w:val="21"/>
                <w:color w:val="auto"/>
              </w:rPr>
            </w:pPr>
          </w:p>
        </w:tc>
        <w:tc>
          <w:tcPr>
            <w:tcW w:w="5200" w:type="dxa"/>
            <w:vAlign w:val="bottom"/>
            <w:gridSpan w:val="3"/>
          </w:tcPr>
          <w:p>
            <w:pPr>
              <w:ind w:left="142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20" w:type="dxa"/>
            <w:vAlign w:val="bottom"/>
          </w:tcPr>
          <w:p>
            <w:pPr>
              <w:spacing w:after="0"/>
              <w:rPr>
                <w:sz w:val="24"/>
                <w:szCs w:val="24"/>
                <w:color w:val="auto"/>
              </w:rPr>
            </w:pPr>
          </w:p>
        </w:tc>
        <w:tc>
          <w:tcPr>
            <w:tcW w:w="520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b w:val="1"/>
                <w:bCs w:val="1"/>
                <w:color w:val="auto"/>
              </w:rPr>
              <w:t>FHMLS XI, L.L.C.</w:t>
            </w:r>
          </w:p>
        </w:tc>
      </w:tr>
      <w:tr>
        <w:trPr>
          <w:trHeight w:val="433"/>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8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120" w:type="dxa"/>
            <w:vAlign w:val="bottom"/>
          </w:tcPr>
          <w:p>
            <w:pPr>
              <w:spacing w:after="0"/>
              <w:rPr>
                <w:sz w:val="21"/>
                <w:szCs w:val="21"/>
                <w:color w:val="auto"/>
              </w:rPr>
            </w:pPr>
          </w:p>
        </w:tc>
        <w:tc>
          <w:tcPr>
            <w:tcW w:w="5200" w:type="dxa"/>
            <w:vAlign w:val="bottom"/>
            <w:gridSpan w:val="7"/>
          </w:tcPr>
          <w:p>
            <w:pPr>
              <w:ind w:left="142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8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72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3"/>
        </w:trPr>
        <w:tc>
          <w:tcPr>
            <w:tcW w:w="3120" w:type="dxa"/>
            <w:vAlign w:val="bottom"/>
          </w:tcPr>
          <w:p>
            <w:pPr>
              <w:spacing w:after="0"/>
              <w:rPr>
                <w:sz w:val="24"/>
                <w:szCs w:val="24"/>
                <w:color w:val="auto"/>
              </w:rPr>
            </w:pPr>
          </w:p>
        </w:tc>
        <w:tc>
          <w:tcPr>
            <w:tcW w:w="5200" w:type="dxa"/>
            <w:vAlign w:val="bottom"/>
            <w:gridSpan w:val="7"/>
          </w:tcPr>
          <w:p>
            <w:pPr>
              <w:ind w:left="142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James N. Topper</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w:t>
            </w: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Patrick J. Heron</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Albert Cha</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James Brush</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Daniel Estes</w:t>
            </w:r>
          </w:p>
        </w:tc>
      </w:tr>
      <w:tr>
        <w:trPr>
          <w:trHeight w:val="676"/>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5200" w:type="dxa"/>
            <w:vAlign w:val="bottom"/>
            <w:gridSpan w:val="7"/>
          </w:tcPr>
          <w:p>
            <w:pPr>
              <w:ind w:left="14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76"/>
        </w:trPr>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Steve R. Bailey, as</w:t>
            </w: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Attorney-in-Fact</w:t>
            </w:r>
          </w:p>
        </w:tc>
      </w:tr>
    </w:tbl>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March 29, 2016.</w:t>
      </w:r>
    </w:p>
    <w:p>
      <w:pPr>
        <w:sectPr>
          <w:pgSz w:w="11900" w:h="16838" w:orient="portrait"/>
          <w:cols w:equalWidth="0" w:num="1">
            <w:col w:w="11240"/>
          </w:cols>
          <w:pgMar w:left="320" w:top="102" w:right="339" w:bottom="0" w:gutter="0" w:footer="0" w:header="0"/>
        </w:sectPr>
      </w:pPr>
    </w:p>
    <w:bookmarkStart w:id="21" w:name="page22"/>
    <w:bookmarkEnd w:id="21"/>
    <w:p>
      <w:pPr>
        <w:spacing w:after="0" w:line="259"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August 16, 2021.</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April 18, 2022.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2"/>
      <w:numFmt w:val="bullet"/>
      <w:start w:val="1"/>
    </w:lvl>
  </w:abstractNum>
  <w:abstractNum w:abstractNumId="1">
    <w:nsid w:val="7C83E458"/>
    <w:multiLevelType w:val="hybridMultilevel"/>
    <w:lvl w:ilvl="0">
      <w:lvlJc w:val="left"/>
      <w:lvlText w:val="3"/>
      <w:numFmt w:val="bullet"/>
      <w:start w:val="1"/>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3"/>
      <w:numFmt w:val="bullet"/>
      <w:start w:val="1"/>
    </w:lvl>
  </w:abstractNum>
  <w:abstractNum w:abstractNumId="4">
    <w:nsid w:val="436C6125"/>
    <w:multiLevelType w:val="hybridMultilevel"/>
    <w:lvl w:ilvl="0">
      <w:lvlJc w:val="left"/>
      <w:lvlText w:val="9"/>
      <w:numFmt w:val="bullet"/>
      <w:start w:val="1"/>
    </w:lvl>
  </w:abstractNum>
  <w:abstractNum w:abstractNumId="5">
    <w:nsid w:val="628C895D"/>
    <w:multiLevelType w:val="hybridMultilevel"/>
    <w:lvl w:ilvl="0">
      <w:lvlJc w:val="left"/>
      <w:lvlText w:val="2"/>
      <w:numFmt w:val="bullet"/>
      <w:start w:val="1"/>
    </w:lvl>
  </w:abstractNum>
  <w:abstractNum w:abstractNumId="6">
    <w:nsid w:val="333AB105"/>
    <w:multiLevelType w:val="hybridMultilevel"/>
    <w:lvl w:ilvl="0">
      <w:lvlJc w:val="left"/>
      <w:lvlText w:val="%1"/>
      <w:numFmt w:val="decimal"/>
      <w:start w:val="12"/>
    </w:lvl>
  </w:abstractNum>
  <w:abstractNum w:abstractNumId="7">
    <w:nsid w:val="721DA317"/>
    <w:multiLevelType w:val="hybridMultilevel"/>
    <w:lvl w:ilvl="0">
      <w:lvlJc w:val="left"/>
      <w:lvlText w:val="2"/>
      <w:numFmt w:val="bullet"/>
      <w:start w:val="1"/>
    </w:lvl>
  </w:abstractNum>
  <w:abstractNum w:abstractNumId="8">
    <w:nsid w:val="2443A858"/>
    <w:multiLevelType w:val="hybridMultilevel"/>
    <w:lvl w:ilvl="0">
      <w:lvlJc w:val="left"/>
      <w:lvlText w:val="2"/>
      <w:numFmt w:val="bullet"/>
      <w:start w:val="1"/>
    </w:lvl>
  </w:abstractNum>
  <w:abstractNum w:abstractNumId="9">
    <w:nsid w:val="2D1D5AE9"/>
    <w:multiLevelType w:val="hybridMultilevel"/>
    <w:lvl w:ilvl="0">
      <w:lvlJc w:val="left"/>
      <w:lvlText w:val="2"/>
      <w:numFmt w:val="bullet"/>
      <w:start w:val="1"/>
    </w:lvl>
  </w:abstractNum>
  <w:abstractNum w:abstractNumId="10">
    <w:nsid w:val="6763845E"/>
    <w:multiLevelType w:val="hybridMultilevel"/>
    <w:lvl w:ilvl="0">
      <w:lvlJc w:val="left"/>
      <w:lvlText w:val="3"/>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2"/>
      <w:numFmt w:val="bullet"/>
      <w:start w:val="1"/>
    </w:lvl>
  </w:abstractNum>
  <w:abstractNum w:abstractNumId="14">
    <w:nsid w:val="4353D0CD"/>
    <w:multiLevelType w:val="hybridMultilevel"/>
    <w:lvl w:ilvl="0">
      <w:lvlJc w:val="left"/>
      <w:lvlText w:val="2"/>
      <w:numFmt w:val="bullet"/>
      <w:start w:val="1"/>
    </w:lvl>
  </w:abstractNum>
  <w:abstractNum w:abstractNumId="15">
    <w:nsid w:val="B03E0C6"/>
    <w:multiLevelType w:val="hybridMultilevel"/>
    <w:lvl w:ilvl="0">
      <w:lvlJc w:val="left"/>
      <w:lvlText w:val="2"/>
      <w:numFmt w:val="bullet"/>
      <w:start w:val="1"/>
    </w:lvl>
  </w:abstractNum>
  <w:abstractNum w:abstractNumId="16">
    <w:nsid w:val="189A769B"/>
    <w:multiLevelType w:val="hybridMultilevel"/>
    <w:lvl w:ilvl="0">
      <w:lvlJc w:val="left"/>
      <w:lvlText w:val="2"/>
      <w:numFmt w:val="bullet"/>
      <w:start w:val="1"/>
    </w:lvl>
  </w:abstractNum>
  <w:abstractNum w:abstractNumId="17">
    <w:nsid w:val="54E49EB4"/>
    <w:multiLevelType w:val="hybridMultilevel"/>
    <w:lvl w:ilvl="0">
      <w:lvlJc w:val="left"/>
      <w:lvlText w:val="2"/>
      <w:numFmt w:val="bullet"/>
      <w:start w:val="1"/>
    </w:lvl>
  </w:abstractNum>
  <w:abstractNum w:abstractNumId="18">
    <w:nsid w:val="71F32454"/>
    <w:multiLevelType w:val="hybridMultilevel"/>
    <w:lvl w:ilvl="0">
      <w:lvlJc w:val="left"/>
      <w:lvlText w:val="3"/>
      <w:numFmt w:val="bullet"/>
      <w:start w:val="1"/>
    </w:lvl>
  </w:abstractNum>
  <w:abstractNum w:abstractNumId="19">
    <w:nsid w:val="2CA88611"/>
    <w:multiLevelType w:val="hybridMultilevel"/>
    <w:lvl w:ilvl="0">
      <w:lvlJc w:val="left"/>
      <w:lvlText w:val="2"/>
      <w:numFmt w:val="bullet"/>
      <w:start w:val="1"/>
    </w:lvl>
  </w:abstractNum>
  <w:abstractNum w:abstractNumId="20">
    <w:nsid w:val="836C40E"/>
    <w:multiLevelType w:val="hybridMultilevel"/>
    <w:lvl w:ilvl="0">
      <w:lvlJc w:val="left"/>
      <w:lvlText w:val="3"/>
      <w:numFmt w:val="bullet"/>
      <w:start w:val="1"/>
    </w:lvl>
  </w:abstractNum>
  <w:abstractNum w:abstractNumId="21">
    <w:nsid w:val="2901D82"/>
    <w:multiLevelType w:val="hybridMultilevel"/>
    <w:lvl w:ilvl="0">
      <w:lvlJc w:val="left"/>
      <w:lvlText w:val="9"/>
      <w:numFmt w:val="bullet"/>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2"/>
      <w:numFmt w:val="bullet"/>
      <w:start w:val="1"/>
    </w:lvl>
  </w:abstractNum>
  <w:abstractNum w:abstractNumId="24">
    <w:nsid w:val="1E7FF521"/>
    <w:multiLevelType w:val="hybridMultilevel"/>
    <w:lvl w:ilvl="0">
      <w:lvlJc w:val="left"/>
      <w:lvlText w:val="3"/>
      <w:numFmt w:val="bullet"/>
      <w:start w:val="1"/>
    </w:lvl>
  </w:abstractNum>
  <w:abstractNum w:abstractNumId="25">
    <w:nsid w:val="7C3DBD3D"/>
    <w:multiLevelType w:val="hybridMultilevel"/>
    <w:lvl w:ilvl="0">
      <w:lvlJc w:val="left"/>
      <w:lvlText w:val="9"/>
      <w:numFmt w:val="bullet"/>
      <w:start w:val="1"/>
    </w:lvl>
  </w:abstractNum>
  <w:abstractNum w:abstractNumId="26">
    <w:nsid w:val="737B8DDC"/>
    <w:multiLevelType w:val="hybridMultilevel"/>
    <w:lvl w:ilvl="0">
      <w:lvlJc w:val="left"/>
      <w:lvlText w:val="(%1)"/>
      <w:numFmt w:val="lowerRoman"/>
      <w:start w:val="2"/>
    </w:lvl>
  </w:abstractNum>
  <w:abstractNum w:abstractNumId="27">
    <w:nsid w:val="6CEAF087"/>
    <w:multiLevelType w:val="hybridMultilevel"/>
    <w:lvl w:ilvl="0">
      <w:lvlJc w:val="left"/>
      <w:lvlText w:val="2"/>
      <w:numFmt w:val="bullet"/>
      <w:start w:val="1"/>
    </w:lvl>
  </w:abstractNum>
  <w:abstractNum w:abstractNumId="28">
    <w:nsid w:val="22221A70"/>
    <w:multiLevelType w:val="hybridMultilevel"/>
    <w:lvl w:ilvl="0">
      <w:lvlJc w:val="left"/>
      <w:lvlText w:val="3"/>
      <w:numFmt w:val="bullet"/>
      <w:start w:val="1"/>
    </w:lvl>
  </w:abstractNum>
  <w:abstractNum w:abstractNumId="29">
    <w:nsid w:val="4516DDE9"/>
    <w:multiLevelType w:val="hybridMultilevel"/>
    <w:lvl w:ilvl="0">
      <w:lvlJc w:val="left"/>
      <w:lvlText w:val="2"/>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2025-04-04T11:41:23Z</dcterms:created>
  <dcterms:modified xsi:type="dcterms:W3CDTF">2025-04-04T11:41:23Z</dcterms:modified>
</cp:coreProperties>
</file>