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0" w:lineRule="exact"/>
        <w:rPr>
          <w:sz w:val="24"/>
          <w:szCs w:val="24"/>
          <w:color w:val="auto"/>
        </w:rPr>
      </w:pPr>
    </w:p>
    <w:p>
      <w:pPr>
        <w:spacing w:after="0" w:line="27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 PURSUANT</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TO RULE 13a-16 or 15d-16 UNDER THE</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month of June, 2019</w:t>
      </w:r>
    </w:p>
    <w:p>
      <w:pPr>
        <w:spacing w:after="0" w:line="22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001-38452</w:t>
      </w:r>
    </w:p>
    <w:p>
      <w:pPr>
        <w:spacing w:after="0" w:line="198"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MEREO BIOPHARMA GROUP PLC</w:t>
      </w:r>
    </w:p>
    <w:p>
      <w:pPr>
        <w:spacing w:after="0" w:line="40"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13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 One Cavendish Place,</w:t>
      </w:r>
    </w:p>
    <w:p>
      <w:pPr>
        <w:jc w:val="center"/>
        <w:ind w:right="-1160"/>
        <w:spacing w:after="0"/>
        <w:rPr>
          <w:sz w:val="20"/>
          <w:szCs w:val="20"/>
          <w:color w:val="auto"/>
        </w:rPr>
      </w:pPr>
      <w:r>
        <w:rPr>
          <w:rFonts w:ascii="Arial" w:cs="Arial" w:eastAsia="Arial" w:hAnsi="Arial"/>
          <w:sz w:val="18"/>
          <w:szCs w:val="18"/>
          <w:b w:val="1"/>
          <w:bCs w:val="1"/>
          <w:color w:val="auto"/>
        </w:rPr>
        <w:t>London, W1G 0QF, United Kingdom</w:t>
      </w:r>
    </w:p>
    <w:p>
      <w:pPr>
        <w:spacing w:after="0" w:line="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3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03"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Mereo BioPharma Group plc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(“Mereo” or the “Company” or the “Group”)</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Conversion of loan note and issue of equity</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London and Redwood City, Calif., June 21, 2019 </w:t>
      </w:r>
      <w:r>
        <w:rPr>
          <w:rFonts w:ascii="Arial" w:cs="Arial" w:eastAsia="Arial" w:hAnsi="Arial"/>
          <w:sz w:val="18"/>
          <w:szCs w:val="18"/>
          <w:color w:val="auto"/>
        </w:rPr>
        <w:t>- Mereo BioPharma Group plc (AIM: MPH, NASDAQ: MREO), a clinical stage</w:t>
      </w:r>
      <w:r>
        <w:rPr>
          <w:rFonts w:ascii="Arial" w:cs="Arial" w:eastAsia="Arial" w:hAnsi="Arial"/>
          <w:sz w:val="18"/>
          <w:szCs w:val="18"/>
          <w:b w:val="1"/>
          <w:bCs w:val="1"/>
          <w:color w:val="auto"/>
        </w:rPr>
        <w:t xml:space="preserve"> </w:t>
      </w:r>
      <w:r>
        <w:rPr>
          <w:rFonts w:ascii="Arial" w:cs="Arial" w:eastAsia="Arial" w:hAnsi="Arial"/>
          <w:sz w:val="18"/>
          <w:szCs w:val="18"/>
          <w:color w:val="auto"/>
        </w:rPr>
        <w:t>biopharmaceutical company focused on rare diseases, today announces the conversion by Novartis Pharma (AG) (“Novartis”) of the remaining balance of principal and interest of £2,367,003.64 due under a loan note dated 3 June 2016, as subsequently amended, (the “Loan Note”). The conversion into 1,071,042 ordinary shares in the Company ("Conversion Shares") is at the fixed conversion price of £ 2.21 per share. Under the terms of the Loan Note and as previously disclosed, Novartis will also receive 864,988 additional ordinary shares in the Company ("Bonus Shares") they are entitled to under the Loan Note.</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Application has been made for the Conversion Shares and Bonus Shares to be admitted to trading on AIM and dealings are expected to commence on or around 26 June 2019. These new ordinary shares will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existing ordinary shares.</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Following this conversion, Novartis will hold 15,703,871 ordinary shares in the Company representing 16.0% of the (enlarged) share capital and the Loan Note will be extinguished with no further interest.</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Following the issue of the Conversion Shares and Bonus Shares, the total number of shares in issue is 97,959,622 ordinary shares, each with voting rights. Therefore, the total number of voting rights in the Company is 97,959,622. This figure may be used by shareholders in the Company as the denominator for the calculations by which they will determine if they are required to notify their interest in, or a change to their interest under the Disclosure and Transparency Rules.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Mereo</w:t>
      </w:r>
    </w:p>
    <w:p>
      <w:pPr>
        <w:spacing w:after="0" w:line="220"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Mereo is a biopharmaceutical company focused on the development and commercialization of innovative therapeutics that aim to improve outcomes for patients with rare diseases. Mereo's strategy is to selectively acquire product candidates for rare diseases that have have already received significant investment from pharmaceutical and large biotechnology companies and that have substantial preclinical, clinical and manufacturing data packages. Mereo's existing portfolio consists of six clinical stage product candidates.</w:t>
      </w:r>
    </w:p>
    <w:p>
      <w:pPr>
        <w:spacing w:after="0" w:line="188" w:lineRule="exact"/>
        <w:rPr>
          <w:sz w:val="20"/>
          <w:szCs w:val="20"/>
          <w:color w:val="auto"/>
        </w:rPr>
      </w:pPr>
    </w:p>
    <w:p>
      <w:pPr>
        <w:jc w:val="both"/>
        <w:ind w:left="660" w:hanging="328"/>
        <w:spacing w:after="0" w:line="23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Setrusumab for osteogenesis imperfecta (OI). In October 2018, the Company announced completion of enrollment of 112 adult patients in a Phase 2b dose ranging study with initial positive 6-month open label data announced in May 2019 and top-line 12-month blinded dose ranging data expected in Q4 2019. A pediatric Phase 3 study design has also been approved by the EMA. Setrusumab has orphan designation in the U.S. and the EU and has been accepted into the PRIME and Adaptive Pathways in EU;</w:t>
      </w:r>
    </w:p>
    <w:p>
      <w:pPr>
        <w:spacing w:after="0" w:line="188"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Alvelestat for alpha-1 antitrypsin deficiency (AATD). The Company has initiated a Phase 2 proof-of-concept clinical trial in patients with severe AATD in the United States and the EU and expects to report top-line data from this trial at or about the end of 2019;</w:t>
      </w:r>
    </w:p>
    <w:p>
      <w:pPr>
        <w:spacing w:after="0" w:line="183" w:lineRule="exact"/>
        <w:rPr>
          <w:rFonts w:ascii="Arial" w:cs="Arial" w:eastAsia="Arial" w:hAnsi="Arial"/>
          <w:sz w:val="18"/>
          <w:szCs w:val="18"/>
          <w:color w:val="auto"/>
        </w:rPr>
      </w:pPr>
    </w:p>
    <w:p>
      <w:pPr>
        <w:jc w:val="both"/>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Acumapimod for severe exacerbations of COPD. The Company announced positive Phase 2 data in May 2018 and recently announced the outline of the pivotal Phase 3 study including the primary and key secondary endpoints following the successful end of Phase 2 Type B meeting with the FDA;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472440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 w:name="page3"/>
    <w:bookmarkEnd w:id="2"/>
    <w:p>
      <w:pPr>
        <w:ind w:left="660" w:hanging="328"/>
        <w:spacing w:after="0" w:line="24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Leflutrozole for hypogonadotropic hypogonadism (HH). The Company announced positive top-line Phase 2b data in March 2018 and positive results from the Phase 2b safety extension study in December 2018;</w:t>
      </w:r>
    </w:p>
    <w:p>
      <w:pPr>
        <w:spacing w:after="0" w:line="183" w:lineRule="exact"/>
        <w:rPr>
          <w:rFonts w:ascii="Arial" w:cs="Arial" w:eastAsia="Arial" w:hAnsi="Arial"/>
          <w:sz w:val="18"/>
          <w:szCs w:val="18"/>
          <w:color w:val="auto"/>
        </w:rPr>
      </w:pPr>
    </w:p>
    <w:p>
      <w:pPr>
        <w:jc w:val="both"/>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Navicixizumab has completed a Phase 1a single-agent clinical trial in patients with advanced solid tumors and is currently in a Phase 1b trial in combination with a standard paclitaxel regimen in patients with platinum-resistant ovarian cancer. This study recently completed enrolment; and</w:t>
      </w:r>
    </w:p>
    <w:p>
      <w:pPr>
        <w:spacing w:after="0" w:line="189"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Etigilimab has completed a single-agent Phase 1a trial in patients with advanced or metastatic solid tumors and the Phase 1b combination study with nivolumab has fully enrolled and is currently in the safety monitoring phase.</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80" w:type="dxa"/>
            <w:vAlign w:val="bottom"/>
          </w:tcPr>
          <w:p>
            <w:pPr>
              <w:spacing w:after="0"/>
              <w:rPr>
                <w:sz w:val="20"/>
                <w:szCs w:val="20"/>
                <w:color w:val="auto"/>
              </w:rPr>
            </w:pPr>
            <w:r>
              <w:rPr>
                <w:rFonts w:ascii="Arial" w:cs="Arial" w:eastAsia="Arial" w:hAnsi="Arial"/>
                <w:sz w:val="18"/>
                <w:szCs w:val="18"/>
                <w:b w:val="1"/>
                <w:bCs w:val="1"/>
                <w:color w:val="auto"/>
              </w:rPr>
              <w:t>Further Enquiries</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980" w:type="dxa"/>
            <w:vAlign w:val="bottom"/>
          </w:tcPr>
          <w:p>
            <w:pPr>
              <w:spacing w:after="0"/>
              <w:rPr>
                <w:sz w:val="20"/>
                <w:szCs w:val="20"/>
                <w:color w:val="auto"/>
              </w:rPr>
            </w:pPr>
            <w:r>
              <w:rPr>
                <w:rFonts w:ascii="Arial" w:cs="Arial" w:eastAsia="Arial" w:hAnsi="Arial"/>
                <w:sz w:val="18"/>
                <w:szCs w:val="18"/>
                <w:b w:val="1"/>
                <w:bCs w:val="1"/>
                <w:color w:val="auto"/>
              </w:rPr>
              <w:t>Mereo</w:t>
            </w: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+44 (0)333 023 7300</w:t>
            </w:r>
          </w:p>
        </w:tc>
        <w:tc>
          <w:tcPr>
            <w:tcW w:w="0" w:type="dxa"/>
            <w:vAlign w:val="bottom"/>
          </w:tcPr>
          <w:p>
            <w:pPr>
              <w:spacing w:after="0"/>
              <w:rPr>
                <w:sz w:val="1"/>
                <w:szCs w:val="1"/>
                <w:color w:val="auto"/>
              </w:rPr>
            </w:pP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auto"/>
              </w:rPr>
              <w:t>Denise Scots-Knight, Chief Executive Officer</w:t>
            </w: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980" w:type="dxa"/>
            <w:vAlign w:val="bottom"/>
          </w:tcPr>
          <w:p>
            <w:pPr>
              <w:spacing w:after="0"/>
              <w:rPr>
                <w:sz w:val="20"/>
                <w:szCs w:val="20"/>
                <w:color w:val="auto"/>
              </w:rPr>
            </w:pPr>
            <w:r>
              <w:rPr>
                <w:rFonts w:ascii="Arial" w:cs="Arial" w:eastAsia="Arial" w:hAnsi="Arial"/>
                <w:sz w:val="18"/>
                <w:szCs w:val="18"/>
                <w:color w:val="auto"/>
              </w:rPr>
              <w:t>Richard Jones, Chief Financial Officer</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7980" w:type="dxa"/>
            <w:vAlign w:val="bottom"/>
          </w:tcPr>
          <w:p>
            <w:pPr>
              <w:spacing w:after="0"/>
              <w:rPr>
                <w:sz w:val="20"/>
                <w:szCs w:val="20"/>
                <w:color w:val="auto"/>
              </w:rPr>
            </w:pPr>
            <w:r>
              <w:rPr>
                <w:rFonts w:ascii="Arial" w:cs="Arial" w:eastAsia="Arial" w:hAnsi="Arial"/>
                <w:sz w:val="18"/>
                <w:szCs w:val="18"/>
                <w:b w:val="1"/>
                <w:bCs w:val="1"/>
                <w:color w:val="auto"/>
              </w:rPr>
              <w:t>Cantor Fitzgerald Europe (Nominated Adviser and Joint Broker to Mereo)</w:t>
            </w: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+44 (0)20 7894 7000</w:t>
            </w:r>
          </w:p>
        </w:tc>
        <w:tc>
          <w:tcPr>
            <w:tcW w:w="0" w:type="dxa"/>
            <w:vAlign w:val="bottom"/>
          </w:tcPr>
          <w:p>
            <w:pPr>
              <w:spacing w:after="0"/>
              <w:rPr>
                <w:sz w:val="1"/>
                <w:szCs w:val="1"/>
                <w:color w:val="auto"/>
              </w:rPr>
            </w:pP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auto"/>
              </w:rPr>
              <w:t>Phil Davies</w:t>
            </w: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980" w:type="dxa"/>
            <w:vAlign w:val="bottom"/>
          </w:tcPr>
          <w:p>
            <w:pPr>
              <w:spacing w:after="0"/>
              <w:rPr>
                <w:sz w:val="20"/>
                <w:szCs w:val="20"/>
                <w:color w:val="auto"/>
              </w:rPr>
            </w:pPr>
            <w:r>
              <w:rPr>
                <w:rFonts w:ascii="Arial" w:cs="Arial" w:eastAsia="Arial" w:hAnsi="Arial"/>
                <w:sz w:val="18"/>
                <w:szCs w:val="18"/>
                <w:color w:val="auto"/>
              </w:rPr>
              <w:t>Will Goode</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7980" w:type="dxa"/>
            <w:vAlign w:val="bottom"/>
          </w:tcPr>
          <w:p>
            <w:pPr>
              <w:spacing w:after="0"/>
              <w:rPr>
                <w:sz w:val="20"/>
                <w:szCs w:val="20"/>
                <w:color w:val="auto"/>
              </w:rPr>
            </w:pPr>
            <w:r>
              <w:rPr>
                <w:rFonts w:ascii="Arial" w:cs="Arial" w:eastAsia="Arial" w:hAnsi="Arial"/>
                <w:sz w:val="18"/>
                <w:szCs w:val="18"/>
                <w:b w:val="1"/>
                <w:bCs w:val="1"/>
                <w:color w:val="auto"/>
              </w:rPr>
              <w:t>RBC Capital Markets (Joint Broker to Mereo)</w:t>
            </w: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+44 (0)20 7653 4000</w:t>
            </w:r>
          </w:p>
        </w:tc>
        <w:tc>
          <w:tcPr>
            <w:tcW w:w="0" w:type="dxa"/>
            <w:vAlign w:val="bottom"/>
          </w:tcPr>
          <w:p>
            <w:pPr>
              <w:spacing w:after="0"/>
              <w:rPr>
                <w:sz w:val="1"/>
                <w:szCs w:val="1"/>
                <w:color w:val="auto"/>
              </w:rPr>
            </w:pP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auto"/>
              </w:rPr>
              <w:t>Rupert Walford</w:t>
            </w: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980" w:type="dxa"/>
            <w:vAlign w:val="bottom"/>
          </w:tcPr>
          <w:p>
            <w:pPr>
              <w:spacing w:after="0"/>
              <w:rPr>
                <w:sz w:val="20"/>
                <w:szCs w:val="20"/>
                <w:color w:val="auto"/>
              </w:rPr>
            </w:pPr>
            <w:r>
              <w:rPr>
                <w:rFonts w:ascii="Arial" w:cs="Arial" w:eastAsia="Arial" w:hAnsi="Arial"/>
                <w:sz w:val="18"/>
                <w:szCs w:val="18"/>
                <w:color w:val="auto"/>
              </w:rPr>
              <w:t>Jamil Miah</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7980" w:type="dxa"/>
            <w:vAlign w:val="bottom"/>
          </w:tcPr>
          <w:p>
            <w:pPr>
              <w:spacing w:after="0"/>
              <w:rPr>
                <w:sz w:val="20"/>
                <w:szCs w:val="20"/>
                <w:color w:val="auto"/>
              </w:rPr>
            </w:pPr>
            <w:r>
              <w:rPr>
                <w:rFonts w:ascii="Arial" w:cs="Arial" w:eastAsia="Arial" w:hAnsi="Arial"/>
                <w:sz w:val="18"/>
                <w:szCs w:val="18"/>
                <w:b w:val="1"/>
                <w:bCs w:val="1"/>
                <w:color w:val="auto"/>
              </w:rPr>
              <w:t>FTI Consulting (Public Relations Adviser to Mereo)</w:t>
            </w:r>
          </w:p>
        </w:tc>
        <w:tc>
          <w:tcPr>
            <w:tcW w:w="3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+44 (0)20 3727 1000</w:t>
            </w:r>
          </w:p>
        </w:tc>
        <w:tc>
          <w:tcPr>
            <w:tcW w:w="0" w:type="dxa"/>
            <w:vAlign w:val="bottom"/>
          </w:tcPr>
          <w:p>
            <w:pPr>
              <w:spacing w:after="0"/>
              <w:rPr>
                <w:sz w:val="1"/>
                <w:szCs w:val="1"/>
                <w:color w:val="auto"/>
              </w:rPr>
            </w:pP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auto"/>
              </w:rPr>
              <w:t>Simon Conway</w:t>
            </w:r>
          </w:p>
        </w:tc>
        <w:tc>
          <w:tcPr>
            <w:tcW w:w="3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auto"/>
              </w:rPr>
              <w:t>Brett Pollard</w:t>
            </w: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980" w:type="dxa"/>
            <w:vAlign w:val="bottom"/>
          </w:tcPr>
          <w:p>
            <w:pPr>
              <w:spacing w:after="0"/>
              <w:rPr>
                <w:sz w:val="20"/>
                <w:szCs w:val="20"/>
                <w:color w:val="auto"/>
              </w:rPr>
            </w:pPr>
            <w:r>
              <w:rPr>
                <w:rFonts w:ascii="Arial" w:cs="Arial" w:eastAsia="Arial" w:hAnsi="Arial"/>
                <w:sz w:val="18"/>
                <w:szCs w:val="18"/>
                <w:color w:val="auto"/>
              </w:rPr>
              <w:t>Ciara Martin</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7980" w:type="dxa"/>
            <w:vAlign w:val="bottom"/>
          </w:tcPr>
          <w:p>
            <w:pPr>
              <w:spacing w:after="0"/>
              <w:rPr>
                <w:sz w:val="20"/>
                <w:szCs w:val="20"/>
                <w:color w:val="auto"/>
              </w:rPr>
            </w:pPr>
            <w:r>
              <w:rPr>
                <w:rFonts w:ascii="Arial" w:cs="Arial" w:eastAsia="Arial" w:hAnsi="Arial"/>
                <w:sz w:val="18"/>
                <w:szCs w:val="18"/>
                <w:b w:val="1"/>
                <w:bCs w:val="1"/>
                <w:color w:val="auto"/>
              </w:rPr>
              <w:t>Burns McClellan (US Public Relations Adviser to Mereo)</w:t>
            </w: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+01 (0) 212 213 0006</w:t>
            </w:r>
          </w:p>
        </w:tc>
        <w:tc>
          <w:tcPr>
            <w:tcW w:w="0" w:type="dxa"/>
            <w:vAlign w:val="bottom"/>
          </w:tcPr>
          <w:p>
            <w:pPr>
              <w:spacing w:after="0"/>
              <w:rPr>
                <w:sz w:val="1"/>
                <w:szCs w:val="1"/>
                <w:color w:val="auto"/>
              </w:rPr>
            </w:pP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auto"/>
              </w:rPr>
              <w:t>Lisa Burns</w:t>
            </w: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980" w:type="dxa"/>
            <w:vAlign w:val="bottom"/>
          </w:tcPr>
          <w:p>
            <w:pPr>
              <w:spacing w:after="0"/>
              <w:rPr>
                <w:sz w:val="20"/>
                <w:szCs w:val="20"/>
                <w:color w:val="auto"/>
              </w:rPr>
            </w:pPr>
            <w:r>
              <w:rPr>
                <w:rFonts w:ascii="Arial" w:cs="Arial" w:eastAsia="Arial" w:hAnsi="Arial"/>
                <w:sz w:val="18"/>
                <w:szCs w:val="18"/>
                <w:color w:val="auto"/>
              </w:rPr>
              <w:t>Steve Klass</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1"/>
        </w:trPr>
        <w:tc>
          <w:tcPr>
            <w:tcW w:w="79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1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21, 2019</w:t>
      </w:r>
    </w:p>
    <w:p>
      <w:pPr>
        <w:spacing w:after="0" w:line="22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MEREO BIOPHARMA GROUP PLC</w:t>
      </w:r>
    </w:p>
    <w:p>
      <w:pPr>
        <w:spacing w:after="0" w:line="200" w:lineRule="exact"/>
        <w:rPr>
          <w:sz w:val="20"/>
          <w:szCs w:val="20"/>
          <w:color w:val="auto"/>
        </w:rPr>
      </w:pPr>
    </w:p>
    <w:p>
      <w:pPr>
        <w:spacing w:after="0" w:line="218" w:lineRule="exact"/>
        <w:rPr>
          <w:sz w:val="20"/>
          <w:szCs w:val="20"/>
          <w:color w:val="auto"/>
        </w:rPr>
      </w:pPr>
    </w:p>
    <w:p>
      <w:pPr>
        <w:ind w:left="7440"/>
        <w:spacing w:after="0"/>
        <w:tabs>
          <w:tab w:leader="none" w:pos="7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Charles Sermon</w:t>
      </w:r>
    </w:p>
    <w:p>
      <w:pPr>
        <w:spacing w:after="0" w:line="23" w:lineRule="exact"/>
        <w:rPr>
          <w:sz w:val="20"/>
          <w:szCs w:val="20"/>
          <w:color w:val="auto"/>
        </w:rPr>
      </w:pPr>
    </w:p>
    <w:p>
      <w:pPr>
        <w:ind w:left="8000"/>
        <w:spacing w:after="0"/>
        <w:tabs>
          <w:tab w:leader="none" w:pos="8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-130810</wp:posOffset>
            </wp:positionV>
            <wp:extent cx="216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8000"/>
        <w:spacing w:after="0"/>
        <w:tabs>
          <w:tab w:leader="none" w:pos="8600" w:val="left"/>
        </w:tabs>
        <w:rPr>
          <w:sz w:val="20"/>
          <w:szCs w:val="20"/>
          <w:color w:val="auto"/>
        </w:rPr>
      </w:pPr>
      <w:r>
        <w:rPr>
          <w:rFonts w:ascii="Arial" w:cs="Arial" w:eastAsia="Arial" w:hAnsi="Arial"/>
          <w:sz w:val="18"/>
          <w:szCs w:val="18"/>
          <w:color w:val="auto"/>
        </w:rPr>
        <w:t>Title:</w:t>
        <w:tab/>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2019-12-01T13:13:41Z</dcterms:created>
  <dcterms:modified xsi:type="dcterms:W3CDTF">2019-12-01T13:13:41Z</dcterms:modified>
</cp:coreProperties>
</file>