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April,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20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Mereo BioPharma Group plc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(“Mereo” or the “Company” or the “Group”)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Publication of Annual Report and Accounts for the year ended December 31, 2018</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London, 30 April 2019 </w:t>
      </w:r>
      <w:r>
        <w:rPr>
          <w:rFonts w:ascii="Arial" w:cs="Arial" w:eastAsia="Arial" w:hAnsi="Arial"/>
          <w:sz w:val="18"/>
          <w:szCs w:val="18"/>
          <w:color w:val="auto"/>
        </w:rPr>
        <w:t>– Mereo BioPharma Group plc (AIM: MPH), a clinical stage, UK-based, biopharmaceutical company focused on rare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diseases, today confirms that its Annual Report and Accounts for the year ended December 31, 2018 have been published on the Company’s website at www.mereobiopharma.com and will shortly be posted to those shareholders who have not elected to receive electronic communication.</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Mereo also announces that it has today filed its Annual Report the Form 20-F for the year ended December 31, 2018 with the US Securities and Exchange Commission (the “SEC”). The filing is available free of charge on the SEC’s website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w:t>
      </w:r>
    </w:p>
    <w:p>
      <w:pPr>
        <w:spacing w:after="0" w:line="22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that have substantial preclinical, clinical and manufacturing data packages. Mereo's four product candidates have previously generated positive clinical data for Mereo's target indications or in related indications. Mereo has commenced randomized Phase 2 clinical trials for all four of the product candidates. In connection with the merger with OncoMed, Mereo added two candidates to its pipeline, Navicixizumab and Etigilimab.</w:t>
      </w:r>
    </w:p>
    <w:p>
      <w:pPr>
        <w:spacing w:after="0" w:line="203" w:lineRule="exact"/>
        <w:rPr>
          <w:sz w:val="20"/>
          <w:szCs w:val="20"/>
          <w:color w:val="auto"/>
        </w:rPr>
      </w:pPr>
    </w:p>
    <w:p>
      <w:pPr>
        <w:ind w:left="660" w:right="2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BPS-804 for osteogenesis imperfecta (OI). In October 2018, the Company announced completion of enrollment of 112 adult patients in a Phase 2b dose ranging study with initial data expected in Q2 2019 and top-line dose ranging data in late 2019. A pediatric Phase 3 study design has also been approved by the EMA. BPS-804 has orphan designation in the U.S. and the EU and has been accepted into the PRIME and Adaptive Pathways in EU;</w:t>
      </w:r>
    </w:p>
    <w:p>
      <w:pPr>
        <w:spacing w:after="0" w:line="188" w:lineRule="exact"/>
        <w:rPr>
          <w:rFonts w:ascii="Arial" w:cs="Arial" w:eastAsia="Arial" w:hAnsi="Arial"/>
          <w:sz w:val="18"/>
          <w:szCs w:val="18"/>
          <w:color w:val="auto"/>
        </w:rPr>
      </w:pPr>
    </w:p>
    <w:p>
      <w:pPr>
        <w:ind w:left="660" w:right="38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MPH-966 for alpha-1 antitrypsin deficiency (AATD). The Company recently announced dosing of the first patient in a Phase 2 dose ranging study in the U.S. with data expected around the end of 2019;</w:t>
      </w:r>
    </w:p>
    <w:p>
      <w:pPr>
        <w:spacing w:after="0" w:line="183" w:lineRule="exact"/>
        <w:rPr>
          <w:rFonts w:ascii="Arial" w:cs="Arial" w:eastAsia="Arial" w:hAnsi="Arial"/>
          <w:sz w:val="18"/>
          <w:szCs w:val="18"/>
          <w:color w:val="auto"/>
        </w:rPr>
      </w:pPr>
    </w:p>
    <w:p>
      <w:pPr>
        <w:jc w:val="both"/>
        <w:ind w:left="660" w:right="2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BCT-197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189" w:lineRule="exact"/>
        <w:rPr>
          <w:rFonts w:ascii="Arial" w:cs="Arial" w:eastAsia="Arial" w:hAnsi="Arial"/>
          <w:sz w:val="18"/>
          <w:szCs w:val="18"/>
          <w:color w:val="auto"/>
        </w:rPr>
      </w:pPr>
    </w:p>
    <w:p>
      <w:pPr>
        <w:ind w:left="660" w:right="40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BGS-649 for hypogonadotropic hypogonadism (HH). The Company announced positive top-line Phase 2b data in March 2018 and positive results from the Phase 2b safety extension study in December 2018;</w:t>
      </w:r>
    </w:p>
    <w:p>
      <w:pPr>
        <w:spacing w:after="0" w:line="183" w:lineRule="exact"/>
        <w:rPr>
          <w:rFonts w:ascii="Arial" w:cs="Arial" w:eastAsia="Arial" w:hAnsi="Arial"/>
          <w:sz w:val="18"/>
          <w:szCs w:val="18"/>
          <w:color w:val="auto"/>
        </w:rPr>
      </w:pPr>
    </w:p>
    <w:p>
      <w:pPr>
        <w:ind w:left="660" w:right="20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189" w:lineRule="exact"/>
        <w:rPr>
          <w:rFonts w:ascii="Arial" w:cs="Arial" w:eastAsia="Arial" w:hAnsi="Arial"/>
          <w:sz w:val="18"/>
          <w:szCs w:val="18"/>
          <w:color w:val="auto"/>
        </w:rPr>
      </w:pPr>
    </w:p>
    <w:p>
      <w:pPr>
        <w:ind w:left="660" w:right="8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is currently in a Phase 1b combination study with nivolumab. Etigilimab is part of OncoMed's prior collaboration with Celgene. Celgene has the option to obtain an exclusive licence to develop and commercialize the product. If Celgene exercises such option, OncoMed (now a wholly-owned indirect subsidiary of Mereo) will be eligible to receive a $35 million opt in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r>
              <w:rPr>
                <w:rFonts w:ascii="Arial" w:cs="Arial" w:eastAsia="Arial" w:hAnsi="Arial"/>
                <w:sz w:val="18"/>
                <w:szCs w:val="18"/>
                <w:b w:val="1"/>
                <w:bCs w:val="1"/>
                <w:color w:val="auto"/>
              </w:rPr>
              <w:t>Further Enquiries</w:t>
            </w:r>
          </w:p>
        </w:tc>
        <w:tc>
          <w:tcPr>
            <w:tcW w:w="1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40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Denise Scots-Knight, Chief Executive Officer</w:t>
            </w:r>
          </w:p>
        </w:tc>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1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(0)20 7894 7000</w:t>
            </w: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Phil Davies</w:t>
            </w:r>
          </w:p>
        </w:tc>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Will Goode</w:t>
            </w:r>
          </w:p>
        </w:tc>
        <w:tc>
          <w:tcPr>
            <w:tcW w:w="1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spacing w:after="0"/>
              <w:rPr>
                <w:sz w:val="20"/>
                <w:szCs w:val="20"/>
                <w:color w:val="auto"/>
              </w:rPr>
            </w:pPr>
            <w:r>
              <w:rPr>
                <w:rFonts w:ascii="Arial" w:cs="Arial" w:eastAsia="Arial" w:hAnsi="Arial"/>
                <w:sz w:val="18"/>
                <w:szCs w:val="18"/>
                <w:b w:val="1"/>
                <w:bCs w:val="1"/>
                <w:color w:val="auto"/>
              </w:rPr>
              <w:t>RBC Capital Markets (Joint Broker to Mereo)</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(0)20 7653 4000</w:t>
            </w: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Rupert Walford</w:t>
            </w:r>
          </w:p>
        </w:tc>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Jamil Miah</w:t>
            </w:r>
          </w:p>
        </w:tc>
        <w:tc>
          <w:tcPr>
            <w:tcW w:w="1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2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(0)20 3727 1000</w:t>
            </w: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Simon Conway</w:t>
            </w:r>
          </w:p>
        </w:tc>
        <w:tc>
          <w:tcPr>
            <w:tcW w:w="1500" w:type="dxa"/>
            <w:vAlign w:val="bottom"/>
            <w:vMerge w:val="continue"/>
          </w:tcPr>
          <w:p>
            <w:pPr>
              <w:spacing w:after="0"/>
              <w:rPr>
                <w:sz w:val="17"/>
                <w:szCs w:val="17"/>
                <w:color w:val="auto"/>
              </w:rPr>
            </w:pPr>
          </w:p>
        </w:tc>
        <w:tc>
          <w:tcPr>
            <w:tcW w:w="2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Brett Pollard</w:t>
            </w:r>
          </w:p>
        </w:tc>
        <w:tc>
          <w:tcPr>
            <w:tcW w:w="1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(0) 212 213 0006</w:t>
            </w: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Lisa Burns</w:t>
            </w:r>
          </w:p>
        </w:tc>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Jill Steier</w:t>
            </w:r>
          </w:p>
        </w:tc>
        <w:tc>
          <w:tcPr>
            <w:tcW w:w="1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7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8"/>
          <w:szCs w:val="18"/>
          <w:color w:val="auto"/>
        </w:rPr>
        <w:t>By:</w:t>
        <w:tab/>
        <w:t>/s/ Charles Sermon</w:t>
      </w:r>
    </w:p>
    <w:p>
      <w:pPr>
        <w:spacing w:after="0" w:line="23"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2466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2019-12-03T00:54:21Z</dcterms:created>
  <dcterms:modified xsi:type="dcterms:W3CDTF">2019-12-03T00:54:21Z</dcterms:modified>
</cp:coreProperties>
</file>