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342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843280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8, 2024</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440" w:right="1099" w:bottom="1440" w:gutter="0" w:footer="0" w:header="0"/>
        </w:sectPr>
      </w:pPr>
    </w:p>
    <w:p>
      <w:pPr>
        <w:spacing w:after="0" w:line="18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001-38452</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52" w:lineRule="exact"/>
        <w:rPr>
          <w:sz w:val="24"/>
          <w:szCs w:val="24"/>
          <w:color w:val="auto"/>
        </w:rPr>
      </w:pPr>
    </w:p>
    <w:p>
      <w:pPr>
        <w:sectPr>
          <w:pgSz w:w="11900" w:h="16838" w:orient="portrait"/>
          <w:cols w:equalWidth="0" w:num="3">
            <w:col w:w="3760" w:space="720"/>
            <w:col w:w="2400" w:space="720"/>
            <w:col w:w="2120"/>
          </w:cols>
          <w:pgMar w:left="1080" w:top="1440" w:right="109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 w:lineRule="exact"/>
        <w:rPr>
          <w:sz w:val="24"/>
          <w:szCs w:val="24"/>
          <w:color w:val="auto"/>
        </w:rPr>
      </w:pPr>
    </w:p>
    <w:p>
      <w:pPr>
        <w:sectPr>
          <w:pgSz w:w="11900" w:h="16838" w:orient="portrait"/>
          <w:cols w:equalWidth="0" w:num="3">
            <w:col w:w="3160" w:space="720"/>
            <w:col w:w="2340" w:space="720"/>
            <w:col w:w="2780"/>
          </w:cols>
          <w:pgMar w:left="1080" w:top="1440"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440" w:right="1099" w:bottom="1440" w:gutter="0" w:footer="0" w:header="0"/>
          <w:type w:val="continuous"/>
        </w:sectPr>
      </w:pP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87"/>
        </w:trPr>
        <w:tc>
          <w:tcPr>
            <w:tcW w:w="3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05"/>
        </w:trPr>
        <w:tc>
          <w:tcPr>
            <w:tcW w:w="370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7"/>
                <w:szCs w:val="17"/>
                <w:color w:val="auto"/>
              </w:rPr>
            </w:pPr>
          </w:p>
        </w:tc>
        <w:tc>
          <w:tcPr>
            <w:tcW w:w="30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7"/>
                <w:szCs w:val="17"/>
                <w:color w:val="auto"/>
              </w:rPr>
            </w:pPr>
          </w:p>
        </w:tc>
        <w:tc>
          <w:tcPr>
            <w:tcW w:w="28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212529"/>
        </w:rPr>
        <w:t>☒</w:t>
      </w:r>
    </w:p>
    <w:p>
      <w:pPr>
        <w:spacing w:after="0" w:line="198"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342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660" w:right="660" w:firstLine="648"/>
        <w:spacing w:after="0" w:line="254" w:lineRule="auto"/>
        <w:rPr>
          <w:sz w:val="20"/>
          <w:szCs w:val="20"/>
          <w:color w:val="auto"/>
        </w:rPr>
      </w:pPr>
      <w:r>
        <w:rPr>
          <w:rFonts w:ascii="Times New Roman" w:cs="Times New Roman" w:eastAsia="Times New Roman" w:hAnsi="Times New Roman"/>
          <w:sz w:val="18"/>
          <w:szCs w:val="18"/>
          <w:color w:val="auto"/>
        </w:rPr>
        <w:t>On November 8, 2024, Mereo BioPharma Group plc (the "Company") entered into an Amendment and Restatement Agreement related to an Exclusive License and Option Agreement (the “Amended AstraZeneca License Agreement”) and a Deed of Amendment and Restatement related to an Amended and Restated Subscription Deed (the “Amended AstraZeneca Subscription Deed” together "the Amended AstraZeneca Agreements") with AstraZeneca AB ("AstraZeneca") that amend the terms of the original agreements signed between the parties on October 28, 2017. These agreements granted the Company an exclusive worldwide, sub-licensable license under AstraZeneca’s intellectual property rights relating to certain product candidates containing a neutrophil elastase (NE) inhibitor, including the product candidate alvelestat, with an option to acquire such intellectual property rights following commencement of a pivotal trial and payment of related milestone payments, together with the acquisition of certain related assets.</w:t>
      </w:r>
    </w:p>
    <w:p>
      <w:pPr>
        <w:spacing w:after="0" w:line="205" w:lineRule="exact"/>
        <w:rPr>
          <w:sz w:val="20"/>
          <w:szCs w:val="20"/>
          <w:color w:val="auto"/>
        </w:rPr>
      </w:pPr>
    </w:p>
    <w:p>
      <w:pPr>
        <w:jc w:val="both"/>
        <w:ind w:left="660" w:right="700" w:firstLine="648"/>
        <w:spacing w:after="0" w:line="261" w:lineRule="auto"/>
        <w:rPr>
          <w:sz w:val="20"/>
          <w:szCs w:val="20"/>
          <w:color w:val="auto"/>
        </w:rPr>
      </w:pPr>
      <w:r>
        <w:rPr>
          <w:rFonts w:ascii="Times New Roman" w:cs="Times New Roman" w:eastAsia="Times New Roman" w:hAnsi="Times New Roman"/>
          <w:sz w:val="18"/>
          <w:szCs w:val="18"/>
          <w:color w:val="auto"/>
        </w:rPr>
        <w:t>The Amended AstraZeneca License Agreement modified the amount of certain existing development milestones and added new development milestones, with the Company agreeing to make potential future payments both in cash and through the issuance of a variable number of additional American Depositary Shares ("ADSs") to AstraZeneca worth up to $114.3 million in the aggregate for products covered by the Amended AstraZeneca License Agreement.</w:t>
      </w:r>
    </w:p>
    <w:p>
      <w:pPr>
        <w:spacing w:after="0" w:line="193" w:lineRule="exact"/>
        <w:rPr>
          <w:sz w:val="20"/>
          <w:szCs w:val="20"/>
          <w:color w:val="auto"/>
        </w:rPr>
      </w:pPr>
    </w:p>
    <w:p>
      <w:pPr>
        <w:ind w:left="660" w:right="700" w:firstLine="648"/>
        <w:spacing w:after="0" w:line="261" w:lineRule="auto"/>
        <w:rPr>
          <w:sz w:val="20"/>
          <w:szCs w:val="20"/>
          <w:color w:val="auto"/>
        </w:rPr>
      </w:pPr>
      <w:r>
        <w:rPr>
          <w:rFonts w:ascii="Times New Roman" w:cs="Times New Roman" w:eastAsia="Times New Roman" w:hAnsi="Times New Roman"/>
          <w:sz w:val="18"/>
          <w:szCs w:val="18"/>
          <w:color w:val="auto"/>
        </w:rPr>
        <w:t>The Amended AstraZeneca Agreements also clarify that the Subscription Price is the price per ordinary share, calculated by dividing the volume weighted average price per ADS during the thirty (30) trading day period immediately preceding the applicable milestone trigger event day by the number of ordinary shares represented by each ADS on the last trading day of such period, rounded to the nearest $0.001.</w:t>
      </w:r>
    </w:p>
    <w:p>
      <w:pPr>
        <w:spacing w:after="0" w:line="193" w:lineRule="exact"/>
        <w:rPr>
          <w:sz w:val="20"/>
          <w:szCs w:val="20"/>
          <w:color w:val="auto"/>
        </w:rPr>
      </w:pPr>
    </w:p>
    <w:p>
      <w:pPr>
        <w:ind w:left="660" w:right="840" w:firstLine="648"/>
        <w:spacing w:after="0" w:line="282" w:lineRule="auto"/>
        <w:rPr>
          <w:sz w:val="20"/>
          <w:szCs w:val="20"/>
          <w:color w:val="auto"/>
        </w:rPr>
      </w:pPr>
      <w:r>
        <w:rPr>
          <w:rFonts w:ascii="Times New Roman" w:cs="Times New Roman" w:eastAsia="Times New Roman" w:hAnsi="Times New Roman"/>
          <w:sz w:val="18"/>
          <w:szCs w:val="18"/>
          <w:color w:val="auto"/>
        </w:rPr>
        <w:t>Upon execution of the Amended AstraZeneca Agreements, the Company committed to issue 2,044,392 ordinary shares and pay $0.5 million to AstraZeneca in connection with an agreed milestone.</w:t>
      </w:r>
    </w:p>
    <w:p>
      <w:pPr>
        <w:spacing w:after="0" w:line="162" w:lineRule="exact"/>
        <w:rPr>
          <w:sz w:val="20"/>
          <w:szCs w:val="20"/>
          <w:color w:val="auto"/>
        </w:rPr>
      </w:pPr>
    </w:p>
    <w:p>
      <w:pPr>
        <w:ind w:left="660" w:right="7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AstraZeneca Agreements does not purport to be complete and is qualified entirely by reference to the complete text of such documents, copies of which will be filed as exhibits to the Company’s Annual Report on Form 10-K for the year ended December 31,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left="660" w:right="860"/>
        <w:spacing w:after="0" w:line="266" w:lineRule="auto"/>
        <w:rPr>
          <w:sz w:val="20"/>
          <w:szCs w:val="20"/>
          <w:color w:val="auto"/>
        </w:rPr>
      </w:pPr>
      <w:r>
        <w:rPr>
          <w:rFonts w:ascii="Times New Roman" w:cs="Times New Roman" w:eastAsia="Times New Roman" w:hAnsi="Times New Roman"/>
          <w:sz w:val="18"/>
          <w:szCs w:val="18"/>
          <w:color w:val="auto"/>
        </w:rPr>
        <w:t>On November 12, 2024, the Company announced its financial results for the third quarter ended September 30, 2024 and provided a corporate update. The full text of the press release issued in connection with the announcement is furnished as Exhibit 99.1 to this Current Report on Form 8-K.</w:t>
      </w:r>
    </w:p>
    <w:p>
      <w:pPr>
        <w:spacing w:after="0" w:line="176" w:lineRule="exact"/>
        <w:rPr>
          <w:sz w:val="20"/>
          <w:szCs w:val="20"/>
          <w:color w:val="auto"/>
        </w:rPr>
      </w:pPr>
    </w:p>
    <w:p>
      <w:pPr>
        <w:ind w:left="660" w:right="78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30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331"/>
        </w:trPr>
        <w:tc>
          <w:tcPr>
            <w:tcW w:w="16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99.1</w:t>
            </w:r>
          </w:p>
        </w:tc>
        <w:tc>
          <w:tcPr>
            <w:tcW w:w="1300" w:type="dxa"/>
            <w:vAlign w:val="bottom"/>
          </w:tcPr>
          <w:p>
            <w:pPr>
              <w:spacing w:after="0"/>
              <w:rPr>
                <w:sz w:val="24"/>
                <w:szCs w:val="24"/>
                <w:color w:val="auto"/>
              </w:rPr>
            </w:pPr>
          </w:p>
        </w:tc>
        <w:tc>
          <w:tcPr>
            <w:tcW w:w="3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12, 2024.</w:t>
            </w:r>
          </w:p>
        </w:tc>
        <w:tc>
          <w:tcPr>
            <w:tcW w:w="5040" w:type="dxa"/>
            <w:vAlign w:val="bottom"/>
          </w:tcPr>
          <w:p>
            <w:pPr>
              <w:spacing w:after="0"/>
              <w:rPr>
                <w:sz w:val="24"/>
                <w:szCs w:val="24"/>
                <w:color w:val="auto"/>
              </w:rPr>
            </w:pPr>
          </w:p>
        </w:tc>
      </w:tr>
      <w:tr>
        <w:trPr>
          <w:trHeight w:val="480"/>
        </w:trPr>
        <w:tc>
          <w:tcPr>
            <w:tcW w:w="16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Pr>
          <w:p>
            <w:pPr>
              <w:spacing w:after="0"/>
              <w:rPr>
                <w:sz w:val="24"/>
                <w:szCs w:val="24"/>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288"/>
        </w:trPr>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19"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660" w:right="84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180" w:type="dxa"/>
            <w:vAlign w:val="bottom"/>
          </w:tcPr>
          <w:p>
            <w:pPr>
              <w:spacing w:after="0"/>
              <w:rPr>
                <w:sz w:val="22"/>
                <w:szCs w:val="22"/>
                <w:color w:val="auto"/>
              </w:rPr>
            </w:pPr>
          </w:p>
        </w:tc>
        <w:tc>
          <w:tcPr>
            <w:tcW w:w="6200" w:type="dxa"/>
            <w:vAlign w:val="bottom"/>
            <w:gridSpan w:val="3"/>
          </w:tcPr>
          <w:p>
            <w:pPr>
              <w:ind w:left="1460"/>
              <w:spacing w:after="0"/>
              <w:rPr>
                <w:sz w:val="20"/>
                <w:szCs w:val="20"/>
                <w:color w:val="auto"/>
              </w:rPr>
            </w:pPr>
            <w:r>
              <w:rPr>
                <w:rFonts w:ascii="Times New Roman" w:cs="Times New Roman" w:eastAsia="Times New Roman" w:hAnsi="Times New Roman"/>
                <w:sz w:val="20"/>
                <w:szCs w:val="20"/>
                <w:color w:val="auto"/>
              </w:rPr>
              <w:t>MEREO BIOPHARMA GROUP PLC</w:t>
            </w:r>
          </w:p>
        </w:tc>
        <w:tc>
          <w:tcPr>
            <w:tcW w:w="660" w:type="dxa"/>
            <w:vAlign w:val="bottom"/>
          </w:tcPr>
          <w:p>
            <w:pPr>
              <w:spacing w:after="0"/>
              <w:rPr>
                <w:sz w:val="22"/>
                <w:szCs w:val="22"/>
                <w:color w:val="auto"/>
              </w:rPr>
            </w:pPr>
          </w:p>
        </w:tc>
      </w:tr>
      <w:tr>
        <w:trPr>
          <w:trHeight w:val="517"/>
        </w:trPr>
        <w:tc>
          <w:tcPr>
            <w:tcW w:w="41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Date: November 12, 2024</w:t>
            </w:r>
          </w:p>
        </w:tc>
        <w:tc>
          <w:tcPr>
            <w:tcW w:w="6200" w:type="dxa"/>
            <w:vAlign w:val="bottom"/>
            <w:gridSpan w:val="3"/>
          </w:tcPr>
          <w:p>
            <w:pPr>
              <w:ind w:left="1460"/>
              <w:spacing w:after="0"/>
              <w:rPr>
                <w:sz w:val="20"/>
                <w:szCs w:val="20"/>
                <w:color w:val="auto"/>
              </w:rPr>
            </w:pPr>
            <w:r>
              <w:rPr>
                <w:rFonts w:ascii="Times New Roman" w:cs="Times New Roman" w:eastAsia="Times New Roman" w:hAnsi="Times New Roman"/>
                <w:sz w:val="20"/>
                <w:szCs w:val="20"/>
                <w:color w:val="auto"/>
              </w:rPr>
              <w:t>By: /s/ Christine Fox</w:t>
            </w:r>
          </w:p>
        </w:tc>
        <w:tc>
          <w:tcPr>
            <w:tcW w:w="660" w:type="dxa"/>
            <w:vAlign w:val="bottom"/>
          </w:tcPr>
          <w:p>
            <w:pPr>
              <w:spacing w:after="0"/>
              <w:rPr>
                <w:sz w:val="24"/>
                <w:szCs w:val="24"/>
                <w:color w:val="auto"/>
              </w:rPr>
            </w:pPr>
          </w:p>
        </w:tc>
      </w:tr>
      <w:tr>
        <w:trPr>
          <w:trHeight w:val="244"/>
        </w:trPr>
        <w:tc>
          <w:tcPr>
            <w:tcW w:w="4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5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Christine Fox</w:t>
            </w:r>
          </w:p>
        </w:tc>
        <w:tc>
          <w:tcPr>
            <w:tcW w:w="660" w:type="dxa"/>
            <w:vAlign w:val="bottom"/>
          </w:tcPr>
          <w:p>
            <w:pPr>
              <w:spacing w:after="0"/>
              <w:rPr>
                <w:sz w:val="21"/>
                <w:szCs w:val="21"/>
                <w:color w:val="auto"/>
              </w:rPr>
            </w:pPr>
          </w:p>
        </w:tc>
      </w:tr>
      <w:tr>
        <w:trPr>
          <w:trHeight w:val="258"/>
        </w:trPr>
        <w:tc>
          <w:tcPr>
            <w:tcW w:w="41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Chief Financial Officer</w:t>
            </w:r>
          </w:p>
        </w:tc>
        <w:tc>
          <w:tcPr>
            <w:tcW w:w="660" w:type="dxa"/>
            <w:vAlign w:val="bottom"/>
          </w:tcPr>
          <w:p>
            <w:pPr>
              <w:spacing w:after="0"/>
              <w:rPr>
                <w:sz w:val="22"/>
                <w:szCs w:val="22"/>
                <w:color w:val="auto"/>
              </w:rPr>
            </w:pPr>
          </w:p>
        </w:tc>
      </w:tr>
      <w:tr>
        <w:trPr>
          <w:trHeight w:val="1310"/>
        </w:trPr>
        <w:tc>
          <w:tcPr>
            <w:tcW w:w="41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3" w:name="page4"/>
    <w:bookmarkEnd w:id="3"/>
    <w:p>
      <w:pPr>
        <w:spacing w:after="0" w:line="1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Mereo BioPharma Reports Third Quarter 2024 Financial Results and</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Provides Corporate Update</w:t>
      </w:r>
    </w:p>
    <w:p>
      <w:pPr>
        <w:spacing w:after="0" w:line="2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Setrusumab receives Breakthrough Therapy designation from the FDA</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Cash of $80.5 million as of September 30, 2024, expected to fund operations into 2027</w:t>
      </w:r>
    </w:p>
    <w:p>
      <w:pPr>
        <w:spacing w:after="0" w:line="223" w:lineRule="exact"/>
        <w:rPr>
          <w:sz w:val="20"/>
          <w:szCs w:val="20"/>
          <w:color w:val="auto"/>
        </w:rPr>
      </w:pPr>
    </w:p>
    <w:p>
      <w:pPr>
        <w:jc w:val="both"/>
        <w:ind w:left="160" w:right="5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London, November 12, 2024 </w:t>
      </w:r>
      <w:r>
        <w:rPr>
          <w:rFonts w:ascii="Times New Roman" w:cs="Times New Roman" w:eastAsia="Times New Roman" w:hAnsi="Times New Roman"/>
          <w:sz w:val="18"/>
          <w:szCs w:val="18"/>
          <w:color w:val="auto"/>
        </w:rPr>
        <w:t>- Mereo BioPharma Group plc (NASDAQ: MREO) (“Mereo” or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clinical-stage biopharmaceutical company focused on rare diseases, today announced its financial results for the third quarter ended September 30, 2024, and provided an update on recent corporate highlights. The Company reported cash and cash equivalents of $80.5 million as of September 30, 2024, which the Company believes will provide runway into 2027, through multiple key inflection points.</w:t>
      </w:r>
    </w:p>
    <w:p>
      <w:pPr>
        <w:spacing w:after="0" w:line="183" w:lineRule="exact"/>
        <w:rPr>
          <w:sz w:val="20"/>
          <w:szCs w:val="20"/>
          <w:color w:val="auto"/>
        </w:rPr>
      </w:pPr>
    </w:p>
    <w:p>
      <w:pPr>
        <w:jc w:val="both"/>
        <w:ind w:left="160" w:right="559"/>
        <w:spacing w:after="0" w:line="253" w:lineRule="auto"/>
        <w:rPr>
          <w:sz w:val="20"/>
          <w:szCs w:val="20"/>
          <w:color w:val="auto"/>
        </w:rPr>
      </w:pPr>
      <w:r>
        <w:rPr>
          <w:rFonts w:ascii="Times New Roman" w:cs="Times New Roman" w:eastAsia="Times New Roman" w:hAnsi="Times New Roman"/>
          <w:sz w:val="18"/>
          <w:szCs w:val="18"/>
          <w:color w:val="auto"/>
        </w:rPr>
        <w:t>“The Phase 3 program for setrusumab, led by our partners at Ultragenyx, continues to progress according to plan and we look forward to reporting the topline data during 2025,” said Dr. Denise Scots-Knight, Chief Executive Officer of Mereo. “The recent receipt of Breakthrough Therapy designation from the U.S. FDA follows on from the PRIME designation we obtained in Europe. This reinforces the high unmet medical need for treatments for individuals affected by osteogenesis imperfecta (OI) who currently have no approved therapies, and the potential of setrusumab. Our pre-commercial efforts in our key European markets are progressing well, including the discussions with the HTAs and payors through EUNetHA and scientific advice in the individual countries. We continue to engage in discussions with multiple potential partners regarding the development and commercialization of alvelestat for AATD lung disease. We remain on track for alvelestat to be Phase 3-ready around the end of the year, further solidifying our commitment to bringing innovative treatments to individuals with rare diseases.”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Third Quarter 2024 Highlights, Recent Developments and Anticipated Milestones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121" w:lineRule="exact"/>
        <w:rPr>
          <w:sz w:val="20"/>
          <w:szCs w:val="20"/>
          <w:color w:val="auto"/>
        </w:rPr>
      </w:pPr>
    </w:p>
    <w:p>
      <w:pPr>
        <w:ind w:left="1040" w:right="699" w:hanging="314"/>
        <w:spacing w:after="0" w:line="261"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 Ultragenyx Pharmaceutical Inc., received Breakthrough Therapy Designation from the U.S. Food and Drug Administration (FDA) for setrusumab (UX143) as a treatment to reduce the risk of fracture associated with osteogenesis imperfecta (OI) Type I, III, or IV in patients 2 years of age and older.</w:t>
      </w:r>
    </w:p>
    <w:p>
      <w:pPr>
        <w:spacing w:after="0" w:line="72" w:lineRule="exact"/>
        <w:rPr>
          <w:sz w:val="20"/>
          <w:szCs w:val="20"/>
          <w:color w:val="auto"/>
        </w:rPr>
      </w:pPr>
    </w:p>
    <w:p>
      <w:pPr>
        <w:ind w:left="1460" w:right="619" w:hanging="319"/>
        <w:spacing w:after="0" w:line="261" w:lineRule="auto"/>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decision was based on preliminary clinical evidence including the positive 14-month results from the Phase 2 portion of the Orbit study, which demonstrated a rapid and clinically meaningful decrease in fracture rate in patients, and from the completed Phase 2b ASTEROID study.</w:t>
      </w:r>
    </w:p>
    <w:p>
      <w:pPr>
        <w:spacing w:after="0" w:line="71" w:lineRule="exact"/>
        <w:rPr>
          <w:rFonts w:ascii="Times New Roman" w:cs="Times New Roman" w:eastAsia="Times New Roman" w:hAnsi="Times New Roman"/>
          <w:sz w:val="18"/>
          <w:szCs w:val="18"/>
          <w:color w:val="auto"/>
        </w:rPr>
      </w:pPr>
    </w:p>
    <w:p>
      <w:pPr>
        <w:ind w:left="1040" w:right="859" w:hanging="314"/>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by Ultragenyx, the Companies are actively advancing the Phase 3 Orbit and Cosmic studies of setrusumab in OI.</w:t>
      </w:r>
    </w:p>
    <w:p>
      <w:pPr>
        <w:spacing w:after="0" w:line="53" w:lineRule="exact"/>
        <w:rPr>
          <w:rFonts w:ascii="Times New Roman" w:cs="Times New Roman" w:eastAsia="Times New Roman" w:hAnsi="Times New Roman"/>
          <w:sz w:val="18"/>
          <w:szCs w:val="18"/>
          <w:color w:val="auto"/>
        </w:rPr>
      </w:pPr>
    </w:p>
    <w:p>
      <w:pPr>
        <w:ind w:left="1040" w:right="839" w:hanging="314"/>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14-month data from the Phase 2/3 Orbit study were presented by Ultragenyx in a late-breaking oral presentation at the American Society for Bone and Mineral Research (ASBMR) 2024 Annual Meeting.</w:t>
      </w:r>
    </w:p>
    <w:p>
      <w:pPr>
        <w:spacing w:after="0" w:line="67" w:lineRule="exact"/>
        <w:rPr>
          <w:rFonts w:ascii="Times New Roman" w:cs="Times New Roman" w:eastAsia="Times New Roman" w:hAnsi="Times New Roman"/>
          <w:sz w:val="18"/>
          <w:szCs w:val="18"/>
          <w:color w:val="auto"/>
        </w:rPr>
      </w:pPr>
    </w:p>
    <w:p>
      <w:pPr>
        <w:ind w:left="1040" w:right="559" w:hanging="314"/>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paper from SATURN (Systematic Accumulation of Treatment practices and Utilization, Real world evidence, and Natural history data for OI), has been published. This is part of the Company’s pre-launch activities designed to generate additional evidence to support coverage, pricing and reimbursement decisions across Europe.</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337" w:lineRule="exact"/>
        <w:rPr>
          <w:sz w:val="20"/>
          <w:szCs w:val="20"/>
          <w:color w:val="auto"/>
        </w:rPr>
      </w:pPr>
    </w:p>
    <w:p>
      <w:pPr>
        <w:jc w:val="both"/>
        <w:ind w:left="1040" w:right="839" w:hanging="314"/>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FDA feedback on the detailed Phase 3 package, including the study protocol and the initial validation work on SGRQ in AATD, the Company continues to expect that alvelestat will be Phase 3 ready around the end of 2024.</w:t>
      </w:r>
    </w:p>
    <w:p>
      <w:pPr>
        <w:spacing w:after="0" w:line="67" w:lineRule="exact"/>
        <w:rPr>
          <w:rFonts w:ascii="Times New Roman" w:cs="Times New Roman" w:eastAsia="Times New Roman" w:hAnsi="Times New Roman"/>
          <w:sz w:val="18"/>
          <w:szCs w:val="18"/>
          <w:color w:val="auto"/>
        </w:rPr>
      </w:pPr>
    </w:p>
    <w:p>
      <w:pPr>
        <w:ind w:left="1040" w:right="779" w:hanging="314"/>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in discussions with several potential partners regarding the development and commercialization of alvelestat for AATD.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1018540</wp:posOffset>
            </wp:positionV>
            <wp:extent cx="684911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160"/>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229" w:lineRule="exact"/>
        <w:rPr>
          <w:sz w:val="20"/>
          <w:szCs w:val="20"/>
          <w:color w:val="auto"/>
        </w:rPr>
      </w:pPr>
    </w:p>
    <w:p>
      <w:pPr>
        <w:jc w:val="both"/>
        <w:ind w:left="160" w:right="559"/>
        <w:spacing w:after="0" w:line="253" w:lineRule="auto"/>
        <w:rPr>
          <w:sz w:val="20"/>
          <w:szCs w:val="20"/>
          <w:color w:val="auto"/>
        </w:rPr>
      </w:pPr>
      <w:r>
        <w:rPr>
          <w:rFonts w:ascii="Times New Roman" w:cs="Times New Roman" w:eastAsia="Times New Roman" w:hAnsi="Times New Roman"/>
          <w:sz w:val="18"/>
          <w:szCs w:val="18"/>
          <w:color w:val="auto"/>
        </w:rPr>
        <w:t>Total research and development (R&amp;D) expenses decreased by $0.4 million, or 12%, from $3.6 million in the third quarter of 2023 to $3.2 million in the third quarter of 2024. The decrease was primarily due to reductions in R&amp;D expenses of $0.6 million and $0.4 million for etigilimab and alvelestat, respectively, partially offset by an increase of $0.4 million for setrusumab. The reduction in program expenses for etigilimab was primarily due to the winding down and completion during 2023 of the open label Phase 1b/2 basket study in combination with an anti-PD-1 in a range of tumor types. The reduction in the program expenses for alvelestat primarily relates to lower levels of preparatory activity undertaken in respect of the Phase 3 study in the three months ended September 30, 2024 compared to 2023, particularly including manufacturing and drug formulation activities and regulatory interactions. The increase in program expenses for setrusumab was driven by additional activities in Europe and resources for input into development, regulatory and manufacturing plans with our partner, Ultragenyx, as the global development program is funded by Ultragenyx pursuant to our license and collaboration agreement.</w:t>
      </w:r>
    </w:p>
    <w:p>
      <w:pPr>
        <w:spacing w:after="0" w:line="192" w:lineRule="exact"/>
        <w:rPr>
          <w:sz w:val="20"/>
          <w:szCs w:val="20"/>
          <w:color w:val="auto"/>
        </w:rPr>
      </w:pPr>
    </w:p>
    <w:p>
      <w:pPr>
        <w:jc w:val="both"/>
        <w:ind w:left="160" w:right="559"/>
        <w:spacing w:after="0" w:line="258" w:lineRule="auto"/>
        <w:rPr>
          <w:sz w:val="20"/>
          <w:szCs w:val="20"/>
          <w:color w:val="auto"/>
        </w:rPr>
      </w:pPr>
      <w:r>
        <w:rPr>
          <w:rFonts w:ascii="Times New Roman" w:cs="Times New Roman" w:eastAsia="Times New Roman" w:hAnsi="Times New Roman"/>
          <w:sz w:val="18"/>
          <w:szCs w:val="18"/>
          <w:color w:val="auto"/>
        </w:rPr>
        <w:t>General and administrative (G&amp;A) expenses increased by $0.5 million, or 9%, from $5.7 million in the third quarter of 2023 to $6.2 million in the third quarter of 2024. The increase primarily reflects $0.2 million higher pre-commercial activities to lay the foundation for the commercial launch of setrusumab in Europe, including activities to support pricing and reimbursement by HTA authorities and payor decision-makers in Europe. The remaining increase represents increases in various corporate expenses.</w:t>
      </w:r>
    </w:p>
    <w:p>
      <w:pPr>
        <w:spacing w:after="0" w:line="183" w:lineRule="exact"/>
        <w:rPr>
          <w:sz w:val="20"/>
          <w:szCs w:val="20"/>
          <w:color w:val="auto"/>
        </w:rPr>
      </w:pPr>
    </w:p>
    <w:p>
      <w:pPr>
        <w:jc w:val="both"/>
        <w:ind w:left="160" w:right="559"/>
        <w:spacing w:after="0" w:line="258" w:lineRule="auto"/>
        <w:rPr>
          <w:sz w:val="20"/>
          <w:szCs w:val="20"/>
          <w:color w:val="auto"/>
        </w:rPr>
      </w:pPr>
      <w:r>
        <w:rPr>
          <w:rFonts w:ascii="Times New Roman" w:cs="Times New Roman" w:eastAsia="Times New Roman" w:hAnsi="Times New Roman"/>
          <w:sz w:val="18"/>
          <w:szCs w:val="18"/>
          <w:color w:val="auto"/>
        </w:rPr>
        <w:t>Net loss for the third quarter of 2024 was $15.0 million, compared to $6.5 million during the third quarter of 2023. The $9.2 million increase in net loss was driven primarily by a net foreign exchange loss of $6.4 million for the third quarter of 2024, compared to a gain of $2.5 million for the third quarter of 2023. This change primarily reflects a weakening of the U.S. dollar when translating U.S. dollar balances into our functional currency of pound sterling in the third quarter of 2024 and higher U.S. dollar balances.</w:t>
      </w:r>
    </w:p>
    <w:p>
      <w:pPr>
        <w:spacing w:after="0" w:line="183" w:lineRule="exact"/>
        <w:rPr>
          <w:sz w:val="20"/>
          <w:szCs w:val="20"/>
          <w:color w:val="auto"/>
        </w:rPr>
      </w:pPr>
    </w:p>
    <w:p>
      <w:pPr>
        <w:jc w:val="both"/>
        <w:ind w:left="160" w:right="559"/>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cash and cash equivalents of $80.5 million, compared to $57.4 million as of December 31, 2023. This includes net proceeds of the $50 million underwritten registered direct offering priced at-the-market on June 14, 2024. The Company expects, based on current operational plans, that its existing cash and cash equivalents balance will enable it to fund its currently committed clinical trials, operating expenses including pre-commercial activities for setrusumab, and capital expenditure requirements into 2027. This guidance does not include any potential upfront payments associated with a partnership for alvelestat or business development activity around any of the Company’s non-core programs.</w:t>
      </w:r>
    </w:p>
    <w:p>
      <w:pPr>
        <w:spacing w:after="0" w:line="189" w:lineRule="exact"/>
        <w:rPr>
          <w:sz w:val="20"/>
          <w:szCs w:val="20"/>
          <w:color w:val="auto"/>
        </w:rPr>
      </w:pPr>
    </w:p>
    <w:p>
      <w:pPr>
        <w:jc w:val="both"/>
        <w:ind w:left="160" w:right="559"/>
        <w:spacing w:after="0" w:line="282" w:lineRule="auto"/>
        <w:rPr>
          <w:sz w:val="20"/>
          <w:szCs w:val="20"/>
          <w:color w:val="auto"/>
        </w:rPr>
      </w:pPr>
      <w:r>
        <w:rPr>
          <w:rFonts w:ascii="Times New Roman" w:cs="Times New Roman" w:eastAsia="Times New Roman" w:hAnsi="Times New Roman"/>
          <w:sz w:val="18"/>
          <w:szCs w:val="18"/>
          <w:color w:val="auto"/>
        </w:rPr>
        <w:t>Total ordinary shares issued as of September 30, 2024, were 773,672,299. Total ADS equivalents as of September 30, 2024, were 154,734,459, with each ADS representing five ordinary shares of the Company.</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jc w:val="both"/>
        <w:ind w:left="160" w:right="559"/>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 antitrypsin deficiency-associated lung disease (AATD-LD). The Company’s partner, Ultragenyx Pharmaceutical, Inc., has completed enrollment in the Phase 3 portion of a pivotal Phase 2/3 pediatric study in young adults (5 to 25 years old) for setrusumab in OI and in the Phase 3 study in pediatric patients (2 to &lt;7 years old) in the first half of 2024.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Breakthrough Therapy designation and pediatric disease designation from the FDA. Alvelestat has received U.S. Orphan Drug Designation for the treatment of AATD and Fast Track designation from the FDA.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in clinical development. Etigilimab (anti-TIGIT) has completed a Phase 1b/2 basket study evaluating its safety and efficacy in combination with an anti-PD-1 in a range of tumor types and is an ongoing Phase 1b/2 investigator led study at the MD Anderson Cancer Center in clear cell ovarian cancer; Navicixizumab, for the treatment of late line ovarian cancer, has completed a Phase 1 study and has been partnered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702945</wp:posOffset>
            </wp:positionV>
            <wp:extent cx="684911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5" w:name="page6"/>
    <w:bookmarkEnd w:id="5"/>
    <w:p>
      <w:pPr>
        <w:jc w:val="both"/>
        <w:ind w:left="1020" w:right="1420"/>
        <w:spacing w:after="0" w:line="258" w:lineRule="auto"/>
        <w:rPr>
          <w:sz w:val="20"/>
          <w:szCs w:val="20"/>
          <w:color w:val="auto"/>
        </w:rPr>
      </w:pPr>
      <w:r>
        <w:rPr>
          <w:rFonts w:ascii="Times New Roman" w:cs="Times New Roman" w:eastAsia="Times New Roman" w:hAnsi="Times New Roman"/>
          <w:sz w:val="18"/>
          <w:szCs w:val="18"/>
          <w:color w:val="auto"/>
        </w:rPr>
        <w:t>with Feng Biosciences Inc. in a global licensing agreement that includes milestone payments and royalties. Mereo has entered into an exclusive global license agreement with ReproNovo SA for the development and commercialization of leflutrozole, a non-steroidal aromatase inhibitor. Under the terms of the agreement, ReproNovo, a reproductive medicine company, is responsible for all future development and commercialization of leflutrozole.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1020" w:right="14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2" w:lineRule="exact"/>
        <w:rPr>
          <w:sz w:val="20"/>
          <w:szCs w:val="20"/>
          <w:color w:val="auto"/>
        </w:rPr>
      </w:pPr>
    </w:p>
    <w:p>
      <w:pPr>
        <w:jc w:val="both"/>
        <w:ind w:left="1020" w:right="1420"/>
        <w:spacing w:after="0" w:line="251"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0"/>
        </w:trPr>
        <w:tc>
          <w:tcPr>
            <w:tcW w:w="58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2060" w:type="dxa"/>
            <w:vAlign w:val="bottom"/>
          </w:tcPr>
          <w:p>
            <w:pPr>
              <w:spacing w:after="0"/>
              <w:rPr>
                <w:sz w:val="19"/>
                <w:szCs w:val="19"/>
                <w:color w:val="auto"/>
              </w:rPr>
            </w:pPr>
          </w:p>
        </w:tc>
      </w:tr>
      <w:tr>
        <w:trPr>
          <w:trHeight w:val="216"/>
        </w:trPr>
        <w:tc>
          <w:tcPr>
            <w:tcW w:w="5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5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4"/>
        </w:trPr>
        <w:tc>
          <w:tcPr>
            <w:tcW w:w="58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2060" w:type="dxa"/>
            <w:vAlign w:val="bottom"/>
          </w:tcPr>
          <w:p>
            <w:pPr>
              <w:spacing w:after="0"/>
              <w:rPr>
                <w:sz w:val="24"/>
                <w:szCs w:val="24"/>
                <w:color w:val="auto"/>
              </w:rPr>
            </w:pPr>
          </w:p>
        </w:tc>
      </w:tr>
      <w:tr>
        <w:trPr>
          <w:trHeight w:val="212"/>
        </w:trPr>
        <w:tc>
          <w:tcPr>
            <w:tcW w:w="5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Lee Roth</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98"/>
        </w:trPr>
        <w:tc>
          <w:tcPr>
            <w:tcW w:w="5800" w:type="dxa"/>
            <w:vAlign w:val="bottom"/>
          </w:tcPr>
          <w:p>
            <w:pPr>
              <w:ind w:left="1040"/>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4940" w:type="dxa"/>
            <w:vAlign w:val="bottom"/>
            <w:gridSpan w:val="4"/>
          </w:tcPr>
          <w:p>
            <w:pPr>
              <w:ind w:left="480"/>
              <w:spacing w:after="0" w:line="198" w:lineRule="exact"/>
              <w:rPr>
                <w:sz w:val="20"/>
                <w:szCs w:val="20"/>
                <w:color w:val="auto"/>
              </w:rPr>
            </w:pPr>
            <w:r>
              <w:rPr>
                <w:rFonts w:ascii="Times New Roman" w:cs="Times New Roman" w:eastAsia="Times New Roman" w:hAnsi="Times New Roman"/>
                <w:sz w:val="18"/>
                <w:szCs w:val="18"/>
                <w:color w:val="0432FF"/>
              </w:rPr>
              <w:t>investors@mereobiopharma.com</w:t>
            </w:r>
          </w:p>
        </w:tc>
      </w:tr>
      <w:tr>
        <w:trPr>
          <w:trHeight w:val="1378"/>
        </w:trPr>
        <w:tc>
          <w:tcPr>
            <w:tcW w:w="5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top w:val="single" w:sz="8" w:color="0432FF"/>
              <w:bottom w:val="single" w:sz="8" w:color="9A9A9A"/>
            </w:tcBorders>
          </w:tcPr>
          <w:p>
            <w:pPr>
              <w:spacing w:after="0"/>
              <w:rPr>
                <w:sz w:val="24"/>
                <w:szCs w:val="24"/>
                <w:color w:val="auto"/>
              </w:rPr>
            </w:pPr>
          </w:p>
        </w:tc>
        <w:tc>
          <w:tcPr>
            <w:tcW w:w="2100" w:type="dxa"/>
            <w:vAlign w:val="bottom"/>
            <w:tcBorders>
              <w:top w:val="single" w:sz="8" w:color="0432FF"/>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242" w:right="579" w:bottom="1440" w:gutter="0" w:footer="0" w:header="0"/>
        </w:sectPr>
      </w:pPr>
    </w:p>
    <w:bookmarkStart w:id="6" w:name="page7"/>
    <w:bookmarkEnd w:id="6"/>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4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80,522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57,421</w:t>
            </w:r>
          </w:p>
        </w:tc>
        <w:tc>
          <w:tcPr>
            <w:tcW w:w="80" w:type="dxa"/>
            <w:vAlign w:val="bottom"/>
            <w:shd w:val="clear" w:color="auto" w:fill="CFF0FC"/>
          </w:tcPr>
          <w:p>
            <w:pPr>
              <w:spacing w:after="0"/>
              <w:rPr>
                <w:sz w:val="21"/>
                <w:szCs w:val="21"/>
                <w:color w:val="auto"/>
              </w:rPr>
            </w:pPr>
          </w:p>
        </w:tc>
      </w:tr>
      <w:tr>
        <w:trPr>
          <w:trHeight w:val="23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tcPr>
          <w:p>
            <w:pPr>
              <w:spacing w:after="0"/>
              <w:rPr>
                <w:sz w:val="20"/>
                <w:szCs w:val="20"/>
                <w:color w:val="auto"/>
              </w:rPr>
            </w:pPr>
          </w:p>
        </w:tc>
      </w:tr>
      <w:tr>
        <w:trPr>
          <w:trHeight w:val="243"/>
        </w:trPr>
        <w:tc>
          <w:tcPr>
            <w:tcW w:w="4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1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FF0FC"/>
          </w:tcPr>
          <w:p>
            <w:pPr>
              <w:spacing w:after="0"/>
              <w:rPr>
                <w:sz w:val="21"/>
                <w:szCs w:val="21"/>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20"/>
                <w:szCs w:val="20"/>
                <w:color w:val="auto"/>
              </w:rPr>
            </w:pPr>
          </w:p>
        </w:tc>
      </w:tr>
      <w:tr>
        <w:trPr>
          <w:trHeight w:val="243"/>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9"/>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88,746</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66,499</w:t>
            </w:r>
          </w:p>
        </w:tc>
        <w:tc>
          <w:tcPr>
            <w:tcW w:w="8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shd w:val="clear" w:color="auto" w:fill="CFF0FC"/>
          </w:tcPr>
          <w:p>
            <w:pPr>
              <w:spacing w:after="0"/>
              <w:rPr>
                <w:sz w:val="21"/>
                <w:szCs w:val="21"/>
                <w:color w:val="auto"/>
              </w:rPr>
            </w:pPr>
          </w:p>
        </w:tc>
      </w:tr>
      <w:tr>
        <w:trPr>
          <w:trHeight w:val="23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20"/>
                <w:szCs w:val="20"/>
                <w:color w:val="auto"/>
              </w:rPr>
            </w:pPr>
          </w:p>
        </w:tc>
      </w:tr>
      <w:tr>
        <w:trPr>
          <w:trHeight w:val="243"/>
        </w:trPr>
        <w:tc>
          <w:tcPr>
            <w:tcW w:w="4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Convertible loan notes – non-current</w:t>
            </w:r>
          </w:p>
        </w:tc>
        <w:tc>
          <w:tcPr>
            <w:tcW w:w="1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80" w:type="dxa"/>
            <w:vAlign w:val="bottom"/>
            <w:shd w:val="clear" w:color="auto" w:fill="CFF0FC"/>
          </w:tcPr>
          <w:p>
            <w:pPr>
              <w:spacing w:after="0"/>
              <w:rPr>
                <w:sz w:val="21"/>
                <w:szCs w:val="21"/>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FF0FC"/>
          </w:tcPr>
          <w:p>
            <w:pPr>
              <w:spacing w:after="0"/>
              <w:rPr>
                <w:sz w:val="21"/>
                <w:szCs w:val="21"/>
                <w:color w:val="auto"/>
              </w:rPr>
            </w:pPr>
          </w:p>
        </w:tc>
      </w:tr>
      <w:tr>
        <w:trPr>
          <w:trHeight w:val="23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0"/>
                <w:szCs w:val="20"/>
                <w:color w:val="auto"/>
              </w:rPr>
            </w:pPr>
          </w:p>
        </w:tc>
      </w:tr>
      <w:tr>
        <w:trPr>
          <w:trHeight w:val="278"/>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16,210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15,962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par value £0.003 per share; 773,672,299</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at September 30, 2024 (December 31, 2023:</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701,217,089).</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20"/>
                <w:szCs w:val="20"/>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(1,230 )</w:t>
            </w:r>
          </w:p>
        </w:tc>
      </w:tr>
      <w:tr>
        <w:trPr>
          <w:trHeight w:val="23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486,107</w:t>
            </w: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(455,837 )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(419,630 )</w:t>
            </w:r>
          </w:p>
        </w:tc>
      </w:tr>
      <w:tr>
        <w:trPr>
          <w:trHeight w:val="23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(11,104 )</w:t>
            </w:r>
          </w:p>
        </w:tc>
        <w:tc>
          <w:tcPr>
            <w:tcW w:w="1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(17,485 )</w:t>
            </w:r>
          </w:p>
        </w:tc>
      </w:tr>
      <w:tr>
        <w:trPr>
          <w:trHeight w:val="23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88,746</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66,499</w:t>
            </w:r>
          </w:p>
        </w:tc>
        <w:tc>
          <w:tcPr>
            <w:tcW w:w="8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-4876800</wp:posOffset>
            </wp:positionV>
            <wp:extent cx="51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-4876800</wp:posOffset>
            </wp:positionV>
            <wp:extent cx="51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-4251325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-4251325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-2828290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-2828290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-1885315</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-1868170</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-1885315</wp:posOffset>
            </wp:positionV>
            <wp:extent cx="51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-1868170</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2430145</wp:posOffset>
            </wp:positionV>
            <wp:extent cx="684911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7" w:name="page8"/>
    <w:bookmarkEnd w:id="7"/>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ind w:left="3060" w:right="1580" w:hanging="1874"/>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 thousands, except share and per share amounts)</w:t>
      </w:r>
    </w:p>
    <w:p>
      <w:pPr>
        <w:spacing w:after="0" w:line="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0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0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shd w:val="clear" w:color="auto" w:fill="CFF0FC"/>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40" w:type="dxa"/>
            <w:vAlign w:val="bottom"/>
          </w:tcPr>
          <w:p>
            <w:pPr>
              <w:spacing w:after="0"/>
              <w:rPr>
                <w:sz w:val="21"/>
                <w:szCs w:val="21"/>
                <w:color w:val="auto"/>
              </w:rPr>
            </w:pP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(2,847 )</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(3,170 )</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(3,594 )</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(12,109 )</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(12,614 )</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(6,203 )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(5,708 )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(19,980 )</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(14,827 )</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(9,373 )</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(9,067 )</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(32,089 )</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(21,288 )</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4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(995 )</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(2,528 )</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(576 )</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(loss)/gain, net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(6,425 )</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(5,780 )</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FF0FC"/>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Borders>
              <w:bottom w:val="single" w:sz="8" w:color="CFF0FC"/>
            </w:tcBorders>
            <w:shd w:val="clear" w:color="auto" w:fill="CFF0FC"/>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(15,001 )</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(6,531 )</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(36,207 )</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(36,207 )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0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3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770,146,58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684,974,19</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727,808,86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645,997,20</w:t>
            </w:r>
          </w:p>
        </w:tc>
        <w:tc>
          <w:tcPr>
            <w:tcW w:w="80" w:type="dxa"/>
            <w:vAlign w:val="bottom"/>
            <w:tcBorders>
              <w:top w:val="single" w:sz="8" w:color="CFF0FC"/>
            </w:tcBorders>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(6,531 )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(36,207 )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 Foreign</w:t>
            </w: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(3,579 )</w:t>
            </w:r>
          </w:p>
        </w:tc>
        <w:tc>
          <w:tcPr>
            <w:tcW w:w="1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 net of tax</w:t>
            </w: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040" w:type="dxa"/>
            <w:vAlign w:val="bottom"/>
          </w:tcPr>
          <w:p>
            <w:pPr>
              <w:spacing w:after="0"/>
              <w:rPr>
                <w:sz w:val="23"/>
                <w:szCs w:val="23"/>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(7,827 )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(10,110 )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(29,826 )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(20,258 )</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2"/>
        </w:trPr>
        <w:tc>
          <w:tcPr>
            <w:tcW w:w="1040" w:type="dxa"/>
            <w:vAlign w:val="bottom"/>
            <w:tcBorders>
              <w:bottom w:val="single" w:sz="8" w:color="9A9A9A"/>
            </w:tcBorders>
          </w:tcPr>
          <w:p>
            <w:pPr>
              <w:spacing w:after="0"/>
              <w:rPr>
                <w:sz w:val="24"/>
                <w:szCs w:val="24"/>
                <w:color w:val="auto"/>
              </w:rPr>
            </w:pPr>
          </w:p>
        </w:tc>
        <w:tc>
          <w:tcPr>
            <w:tcW w:w="37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-5168265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-5168265</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-5168265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-5168265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-3925570</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-3925570</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-3925570</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-3925570</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-3608070</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-3608070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-3608070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-3608070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-3110865</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-3110865</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-3110865</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-3110865</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-2030730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-2014220</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-2030730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-2014220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-2030730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-2014220</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-2030730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-2014220</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238" w:right="57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2024-11-12T09:01:53Z</dcterms:created>
  <dcterms:modified xsi:type="dcterms:W3CDTF">2024-11-12T09:01:53Z</dcterms:modified>
</cp:coreProperties>
</file>