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September,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4th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Events</w:t>
      </w:r>
    </w:p>
    <w:p>
      <w:pPr>
        <w:spacing w:after="0" w:line="121"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On September 7, 2023, Mereo BioPharma Group plc (the “Company”) released its unaudited condensed consolidated financial statements as of June 30, 2023 and Management’s Discussion and Analysis of Financial Condition and Results of Operations. The Company’s unaudited condensed consolidated financial statements as of June 30, 2023 are attached as Exhibit 99.1 and are incorporated by reference herein. The Company’s Management’s Discussion and Analysis of Financial Condition and Results of Operations is attached hereto as Exhibit 99.2, and is incorporated by reference herein.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2023, the Company had cash and short-term deposits of £42.1 million ($53.1 million). Net cash burn during the second quarter of</w:t>
      </w:r>
    </w:p>
    <w:p>
      <w:pPr>
        <w:spacing w:after="0" w:line="46"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2023 amounted to £6.1 million ($7.7 million). The Company expects its existing cash and short-term deposits will enable it to fund its currently committed clinical trials, operating expenses and capital expenditure requirements into 2026.</w:t>
      </w:r>
    </w:p>
    <w:p>
      <w:pPr>
        <w:spacing w:after="0" w:line="185" w:lineRule="exact"/>
        <w:rPr>
          <w:sz w:val="20"/>
          <w:szCs w:val="20"/>
          <w:color w:val="auto"/>
        </w:rPr>
      </w:pPr>
    </w:p>
    <w:p>
      <w:pPr>
        <w:ind w:right="520" w:firstLine="440"/>
        <w:spacing w:after="0" w:line="291" w:lineRule="auto"/>
        <w:rPr>
          <w:sz w:val="20"/>
          <w:szCs w:val="20"/>
          <w:color w:val="auto"/>
        </w:rPr>
      </w:pPr>
      <w:r>
        <w:rPr>
          <w:rFonts w:ascii="Arial" w:cs="Arial" w:eastAsia="Arial" w:hAnsi="Arial"/>
          <w:sz w:val="16"/>
          <w:szCs w:val="16"/>
          <w:color w:val="auto"/>
        </w:rPr>
        <w:t>The contents of this Report on Form 6-K and the information in the attached Exhibits 99.1 and 99.2 shall be deemed to be incorporated by reference into the registration statements on Form F-3 (File Numbers 333-239708 and 333-258495) and Form S-8 (File Numbers 333-231636,</w:t>
      </w:r>
    </w:p>
    <w:p>
      <w:pPr>
        <w:spacing w:after="0" w:line="255" w:lineRule="auto"/>
        <w:rPr>
          <w:sz w:val="20"/>
          <w:szCs w:val="20"/>
          <w:color w:val="auto"/>
        </w:rPr>
      </w:pPr>
      <w:r>
        <w:rPr>
          <w:rFonts w:ascii="Arial" w:cs="Arial" w:eastAsia="Arial" w:hAnsi="Arial"/>
          <w:sz w:val="18"/>
          <w:szCs w:val="18"/>
          <w:color w:val="auto"/>
        </w:rPr>
        <w:t>333-236498, 333-252147 333-262151 and 333-269388) and related prospectuses, as such registration statements and prospectuses may be amended from time to time, and to be a part thereof from the date on which this report is filed, to the extent not superseded by documents or reports subsequently filed or furnished.</w:t>
      </w:r>
    </w:p>
    <w:p>
      <w:pPr>
        <w:sectPr>
          <w:pgSz w:w="11900" w:h="16838" w:orient="portrait"/>
          <w:cols w:equalWidth="0" w:num="1">
            <w:col w:w="10920"/>
          </w:cols>
          <w:pgMar w:left="440" w:top="297"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Exhibit Index</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Exhibits</w:t>
            </w:r>
          </w:p>
        </w:tc>
        <w:tc>
          <w:tcPr>
            <w:tcW w:w="27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77"/>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0000EE"/>
                <w:w w:val="99"/>
              </w:rPr>
              <w:t>Mereo BioPharma Group plc Unaudited Condensed Consolidated Financial Statements as of June 30, 2023.</w:t>
            </w: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50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600" w:type="dxa"/>
            <w:vAlign w:val="bottom"/>
          </w:tcPr>
          <w:p>
            <w:pPr>
              <w:spacing w:after="0"/>
              <w:rPr>
                <w:sz w:val="24"/>
                <w:szCs w:val="24"/>
                <w:color w:val="auto"/>
              </w:rPr>
            </w:pPr>
          </w:p>
        </w:tc>
        <w:tc>
          <w:tcPr>
            <w:tcW w:w="86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Mereo BioPharma Group plc Management’s Discussion and Analysis of Financial Condition and Results of Operations.</w:t>
            </w: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99.3</w:t>
            </w:r>
          </w:p>
        </w:tc>
        <w:tc>
          <w:tcPr>
            <w:tcW w:w="600" w:type="dxa"/>
            <w:vAlign w:val="bottom"/>
          </w:tcPr>
          <w:p>
            <w:pPr>
              <w:spacing w:after="0"/>
              <w:rPr>
                <w:sz w:val="24"/>
                <w:szCs w:val="24"/>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0000EE"/>
              </w:rPr>
              <w:t>Press release dated September 7, 2023</w:t>
            </w:r>
          </w:p>
        </w:tc>
      </w:tr>
      <w:tr>
        <w:trPr>
          <w:trHeight w:val="344"/>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7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5880" w:type="dxa"/>
            <w:vAlign w:val="bottom"/>
            <w:gridSpan w:val="2"/>
          </w:tcPr>
          <w:p>
            <w:pPr>
              <w:spacing w:after="0"/>
              <w:rPr>
                <w:sz w:val="24"/>
                <w:szCs w:val="24"/>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64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64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64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640" w:type="dxa"/>
            <w:vAlign w:val="bottom"/>
            <w:gridSpan w:val="3"/>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64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019"/>
          </w:cols>
          <w:pgMar w:left="440" w:top="297" w:right="1440"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2023</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Christine Fox</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700"/>
          </w:cols>
          <w:pgMar w:left="440" w:top="297" w:right="7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630"/>
        </w:trPr>
        <w:tc>
          <w:tcPr>
            <w:tcW w:w="7300" w:type="dxa"/>
            <w:vAlign w:val="bottom"/>
          </w:tcPr>
          <w:p>
            <w:pPr>
              <w:ind w:left="4020"/>
              <w:spacing w:after="0"/>
              <w:rPr>
                <w:sz w:val="20"/>
                <w:szCs w:val="20"/>
                <w:color w:val="auto"/>
              </w:rPr>
            </w:pPr>
            <w:r>
              <w:rPr>
                <w:rFonts w:ascii="Arial" w:cs="Arial" w:eastAsia="Arial" w:hAnsi="Arial"/>
                <w:sz w:val="18"/>
                <w:szCs w:val="18"/>
                <w:b w:val="1"/>
                <w:bCs w:val="1"/>
                <w:color w:val="auto"/>
              </w:rPr>
              <w:t>MEREO BIOPHARMA GROUP PLC</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80" w:type="dxa"/>
            <w:vAlign w:val="bottom"/>
            <w:gridSpan w:val="3"/>
          </w:tcPr>
          <w:p>
            <w:pPr>
              <w:ind w:left="3180"/>
              <w:spacing w:after="0"/>
              <w:rPr>
                <w:sz w:val="20"/>
                <w:szCs w:val="20"/>
                <w:color w:val="auto"/>
              </w:rPr>
            </w:pPr>
            <w:r>
              <w:rPr>
                <w:rFonts w:ascii="Arial" w:cs="Arial" w:eastAsia="Arial" w:hAnsi="Arial"/>
                <w:sz w:val="18"/>
                <w:szCs w:val="18"/>
                <w:b w:val="1"/>
                <w:bCs w:val="1"/>
                <w:color w:val="auto"/>
                <w:w w:val="94"/>
              </w:rPr>
              <w:t>Condensed Consolidated Statements of Comprehensive Loss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00" w:type="dxa"/>
            <w:vAlign w:val="bottom"/>
          </w:tcPr>
          <w:p>
            <w:pPr>
              <w:ind w:left="5040"/>
              <w:spacing w:after="0"/>
              <w:rPr>
                <w:sz w:val="20"/>
                <w:szCs w:val="20"/>
                <w:color w:val="auto"/>
              </w:rPr>
            </w:pPr>
            <w:r>
              <w:rPr>
                <w:rFonts w:ascii="Arial" w:cs="Arial" w:eastAsia="Arial" w:hAnsi="Arial"/>
                <w:sz w:val="18"/>
                <w:szCs w:val="18"/>
                <w:b w:val="1"/>
                <w:bCs w:val="1"/>
                <w:color w:val="auto"/>
              </w:rPr>
              <w:t>(unaudited)</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40" w:type="dxa"/>
            <w:vAlign w:val="bottom"/>
            <w:gridSpan w:val="3"/>
          </w:tcPr>
          <w:p>
            <w:pPr>
              <w:jc w:val="right"/>
              <w:ind w:right="521"/>
              <w:spacing w:after="0"/>
              <w:rPr>
                <w:sz w:val="20"/>
                <w:szCs w:val="20"/>
                <w:color w:val="auto"/>
              </w:rPr>
            </w:pPr>
            <w:r>
              <w:rPr>
                <w:rFonts w:ascii="Arial" w:cs="Arial" w:eastAsia="Arial" w:hAnsi="Arial"/>
                <w:sz w:val="14"/>
                <w:szCs w:val="14"/>
                <w:b w:val="1"/>
                <w:bCs w:val="1"/>
                <w:color w:val="auto"/>
                <w:w w:val="87"/>
              </w:rPr>
              <w:t>Six months ended</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gridSpan w:val="3"/>
          </w:tcPr>
          <w:p>
            <w:pPr>
              <w:jc w:val="right"/>
              <w:ind w:right="801"/>
              <w:spacing w:after="0" w:line="149" w:lineRule="exact"/>
              <w:rPr>
                <w:sz w:val="20"/>
                <w:szCs w:val="20"/>
                <w:color w:val="auto"/>
              </w:rPr>
            </w:pPr>
            <w:r>
              <w:rPr>
                <w:rFonts w:ascii="Arial" w:cs="Arial" w:eastAsia="Arial" w:hAnsi="Arial"/>
                <w:sz w:val="14"/>
                <w:szCs w:val="14"/>
                <w:b w:val="1"/>
                <w:bCs w:val="1"/>
                <w:color w:val="auto"/>
              </w:rPr>
              <w:t>June 30,</w:t>
            </w: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8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2"/>
              </w:rPr>
              <w:t>Notes</w:t>
            </w:r>
          </w:p>
        </w:tc>
        <w:tc>
          <w:tcPr>
            <w:tcW w:w="110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ind w:right="313"/>
              <w:spacing w:after="0" w:line="149"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40" w:type="dxa"/>
            <w:vAlign w:val="bottom"/>
            <w:gridSpan w:val="3"/>
          </w:tcPr>
          <w:p>
            <w:pPr>
              <w:jc w:val="center"/>
              <w:ind w:right="501"/>
              <w:spacing w:after="0"/>
              <w:rPr>
                <w:sz w:val="20"/>
                <w:szCs w:val="20"/>
                <w:color w:val="auto"/>
              </w:rPr>
            </w:pPr>
            <w:r>
              <w:rPr>
                <w:rFonts w:ascii="Arial" w:cs="Arial" w:eastAsia="Arial" w:hAnsi="Arial"/>
                <w:sz w:val="14"/>
                <w:szCs w:val="14"/>
                <w:b w:val="1"/>
                <w:bCs w:val="1"/>
                <w:color w:val="auto"/>
                <w:w w:val="96"/>
              </w:rPr>
              <w:t>£’000</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209"/>
        </w:trPr>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Cost of revenue</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1640" w:type="dxa"/>
            <w:vAlign w:val="bottom"/>
            <w:gridSpan w:val="3"/>
          </w:tcPr>
          <w:p>
            <w:pPr>
              <w:jc w:val="right"/>
              <w:ind w:right="441"/>
              <w:spacing w:after="0"/>
              <w:rPr>
                <w:sz w:val="20"/>
                <w:szCs w:val="20"/>
                <w:color w:val="auto"/>
              </w:rPr>
            </w:pPr>
            <w:r>
              <w:rPr>
                <w:rFonts w:ascii="Arial" w:cs="Arial" w:eastAsia="Arial" w:hAnsi="Arial"/>
                <w:sz w:val="18"/>
                <w:szCs w:val="18"/>
                <w:color w:val="auto"/>
              </w:rPr>
              <w:t>(2,455)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41"/>
              <w:spacing w:after="0"/>
              <w:rPr>
                <w:sz w:val="20"/>
                <w:szCs w:val="20"/>
                <w:color w:val="auto"/>
              </w:rPr>
            </w:pPr>
            <w:r>
              <w:rPr>
                <w:rFonts w:ascii="Arial" w:cs="Arial" w:eastAsia="Arial" w:hAnsi="Arial"/>
                <w:sz w:val="18"/>
                <w:szCs w:val="18"/>
                <w:color w:val="auto"/>
              </w:rPr>
              <w:t>(7,898)</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(13,322)</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gridSpan w:val="3"/>
          </w:tcPr>
          <w:p>
            <w:pPr>
              <w:jc w:val="right"/>
              <w:ind w:right="441"/>
              <w:spacing w:after="0"/>
              <w:rPr>
                <w:sz w:val="20"/>
                <w:szCs w:val="20"/>
                <w:color w:val="auto"/>
              </w:rPr>
            </w:pPr>
            <w:r>
              <w:rPr>
                <w:rFonts w:ascii="Arial" w:cs="Arial" w:eastAsia="Arial" w:hAnsi="Arial"/>
                <w:sz w:val="18"/>
                <w:szCs w:val="18"/>
                <w:color w:val="auto"/>
              </w:rPr>
              <w:t>(9,548)</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(9,909</w:t>
            </w:r>
          </w:p>
        </w:tc>
        <w:tc>
          <w:tcPr>
            <w:tcW w:w="540" w:type="dxa"/>
            <w:vAlign w:val="bottom"/>
            <w:gridSpan w:val="2"/>
          </w:tcPr>
          <w:p>
            <w:pPr>
              <w:jc w:val="right"/>
              <w:ind w:right="441"/>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(21,810)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5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Finance costs</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1640" w:type="dxa"/>
            <w:vAlign w:val="bottom"/>
            <w:gridSpan w:val="3"/>
          </w:tcPr>
          <w:p>
            <w:pPr>
              <w:jc w:val="right"/>
              <w:ind w:right="441"/>
              <w:spacing w:after="0"/>
              <w:rPr>
                <w:sz w:val="20"/>
                <w:szCs w:val="20"/>
                <w:color w:val="auto"/>
              </w:rPr>
            </w:pPr>
            <w:r>
              <w:rPr>
                <w:rFonts w:ascii="Arial" w:cs="Arial" w:eastAsia="Arial" w:hAnsi="Arial"/>
                <w:sz w:val="18"/>
                <w:szCs w:val="18"/>
                <w:color w:val="auto"/>
              </w:rPr>
              <w:t>(1,498)</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Changes in the fair value of financial instruments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Net foreign exchange (loss)/gain</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gridSpan w:val="3"/>
          </w:tcPr>
          <w:p>
            <w:pPr>
              <w:jc w:val="right"/>
              <w:ind w:right="441"/>
              <w:spacing w:after="0"/>
              <w:rPr>
                <w:sz w:val="20"/>
                <w:szCs w:val="20"/>
                <w:color w:val="auto"/>
              </w:rPr>
            </w:pPr>
            <w:r>
              <w:rPr>
                <w:rFonts w:ascii="Arial" w:cs="Arial" w:eastAsia="Arial" w:hAnsi="Arial"/>
                <w:sz w:val="18"/>
                <w:szCs w:val="18"/>
                <w:color w:val="auto"/>
              </w:rPr>
              <w:t>(1,445)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8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(11,937</w:t>
            </w:r>
          </w:p>
        </w:tc>
        <w:tc>
          <w:tcPr>
            <w:tcW w:w="540" w:type="dxa"/>
            <w:vAlign w:val="bottom"/>
            <w:gridSpan w:val="2"/>
          </w:tcPr>
          <w:p>
            <w:pPr>
              <w:jc w:val="right"/>
              <w:ind w:right="441"/>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(19,893)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5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b w:val="1"/>
                <w:bCs w:val="1"/>
                <w:color w:val="auto"/>
              </w:rPr>
              <w:t>Loss for the period, attributable to equity holders of the parent</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(11,030</w:t>
            </w:r>
          </w:p>
        </w:tc>
        <w:tc>
          <w:tcPr>
            <w:tcW w:w="540" w:type="dxa"/>
            <w:vAlign w:val="bottom"/>
            <w:gridSpan w:val="2"/>
          </w:tcPr>
          <w:p>
            <w:pPr>
              <w:jc w:val="right"/>
              <w:ind w:right="441"/>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Items that may be reclassified subsequently to profit or loss:</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Currency translation of foreign operations</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1,493</w:t>
            </w:r>
          </w:p>
        </w:tc>
        <w:tc>
          <w:tcPr>
            <w:tcW w:w="5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 attributable to equity holders of the parent</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(9,537</w:t>
            </w: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jc w:val="right"/>
              <w:ind w:right="441"/>
              <w:spacing w:after="0"/>
              <w:rPr>
                <w:sz w:val="20"/>
                <w:szCs w:val="20"/>
                <w:color w:val="auto"/>
              </w:rPr>
            </w:pPr>
            <w:r>
              <w:rPr>
                <w:rFonts w:ascii="Arial" w:cs="Arial" w:eastAsia="Arial" w:hAnsi="Arial"/>
                <w:sz w:val="8"/>
                <w:szCs w:val="8"/>
                <w:color w:val="auto"/>
                <w:w w:val="7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Basic loss per share for the period (in £)</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(0.02)</w:t>
            </w:r>
          </w:p>
        </w:tc>
        <w:tc>
          <w:tcPr>
            <w:tcW w:w="540" w:type="dxa"/>
            <w:vAlign w:val="bottom"/>
            <w:gridSpan w:val="2"/>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 for the period (in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41"/>
              <w:spacing w:after="0"/>
              <w:rPr>
                <w:sz w:val="20"/>
                <w:szCs w:val="20"/>
                <w:color w:val="auto"/>
              </w:rPr>
            </w:pPr>
            <w:r>
              <w:rPr>
                <w:rFonts w:ascii="Arial" w:cs="Arial" w:eastAsia="Arial" w:hAnsi="Arial"/>
                <w:sz w:val="18"/>
                <w:szCs w:val="18"/>
                <w:color w:val="auto"/>
              </w:rPr>
              <w:t>(0.02)</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form an integral part of these unaudited condensed consolidated financial statements.</w:t>
      </w:r>
    </w:p>
    <w:p>
      <w:pPr>
        <w:sectPr>
          <w:pgSz w:w="11900" w:h="16838" w:orient="portrait"/>
          <w:cols w:equalWidth="0" w:num="1">
            <w:col w:w="11020"/>
          </w:cols>
          <w:pgMar w:left="440" w:top="125"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June 30,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December</w:t>
            </w:r>
          </w:p>
        </w:tc>
        <w:tc>
          <w:tcPr>
            <w:tcW w:w="0" w:type="dxa"/>
            <w:vAlign w:val="bottom"/>
          </w:tcPr>
          <w:p>
            <w:pPr>
              <w:spacing w:after="0"/>
              <w:rPr>
                <w:sz w:val="1"/>
                <w:szCs w:val="1"/>
                <w:color w:val="auto"/>
              </w:rPr>
            </w:pPr>
          </w:p>
        </w:tc>
      </w:tr>
      <w:tr>
        <w:trPr>
          <w:trHeight w:val="148"/>
        </w:trPr>
        <w:tc>
          <w:tcPr>
            <w:tcW w:w="882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2"/>
              </w:rPr>
              <w:t>Notes</w:t>
            </w:r>
          </w:p>
        </w:tc>
        <w:tc>
          <w:tcPr>
            <w:tcW w:w="700" w:type="dxa"/>
            <w:vAlign w:val="bottom"/>
          </w:tcPr>
          <w:p>
            <w:pPr>
              <w:jc w:val="right"/>
              <w:ind w:right="111"/>
              <w:spacing w:after="0" w:line="149"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1"/>
              <w:spacing w:after="0" w:line="149" w:lineRule="exact"/>
              <w:rPr>
                <w:sz w:val="20"/>
                <w:szCs w:val="20"/>
                <w:color w:val="auto"/>
              </w:rPr>
            </w:pPr>
            <w:r>
              <w:rPr>
                <w:rFonts w:ascii="Arial" w:cs="Arial" w:eastAsia="Arial" w:hAnsi="Arial"/>
                <w:sz w:val="14"/>
                <w:szCs w:val="14"/>
                <w:b w:val="1"/>
                <w:bCs w:val="1"/>
                <w:color w:val="auto"/>
              </w:rPr>
              <w:t>31, 2022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£’000</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196"/>
        </w:trPr>
        <w:tc>
          <w:tcPr>
            <w:tcW w:w="8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Intangible assets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24,845</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24,116</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26,410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25,947</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R&amp;D tax credits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2,203</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taxes receivable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7,893</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deposits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42,113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56,334</w:t>
            </w:r>
          </w:p>
        </w:tc>
        <w:tc>
          <w:tcPr>
            <w:tcW w:w="0" w:type="dxa"/>
            <w:vAlign w:val="bottom"/>
          </w:tcPr>
          <w:p>
            <w:pPr>
              <w:spacing w:after="0"/>
              <w:rPr>
                <w:sz w:val="1"/>
                <w:szCs w:val="1"/>
                <w:color w:val="auto"/>
              </w:rPr>
            </w:pPr>
          </w:p>
        </w:tc>
      </w:tr>
      <w:tr>
        <w:trPr>
          <w:trHeight w:val="217"/>
        </w:trPr>
        <w:tc>
          <w:tcPr>
            <w:tcW w:w="8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54,228</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80,638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88,078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Equity and liabilities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Provisions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notes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Warrant liability</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5,435</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3,078</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Accruals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4,786</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Convertible loan notes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4,186</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Lease liability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17,458</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22,893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57,745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Issued capital</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1,930</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257,343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254,303</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Other capital reserves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134,999</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132,680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Trust shares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Other reserves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7,401</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7,401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(342,194)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(331,164)</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Translation reserve</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(676)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57,745</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unaudited condensed consolidated financial statements.</w:t>
      </w:r>
    </w:p>
    <w:p>
      <w:pPr>
        <w:sectPr>
          <w:pgSz w:w="11900" w:h="16838" w:orient="portrait"/>
          <w:cols w:equalWidth="0" w:num="1">
            <w:col w:w="11140"/>
          </w:cols>
          <w:pgMar w:left="320" w:top="486"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7"/>
              </w:rPr>
              <w:t>Six months ended</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48"/>
        </w:trPr>
        <w:tc>
          <w:tcPr>
            <w:tcW w:w="7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rPr>
              <w:t>June 30,</w:t>
            </w: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74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108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5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6"/>
              </w:rPr>
              <w:t>£’000</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196"/>
        </w:trPr>
        <w:tc>
          <w:tcPr>
            <w:tcW w:w="7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3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Loss before tax</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(11,937)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(19,893)</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(loss)/profit to net cash flows:</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Depreciation and impairment of property, plant and equipment</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4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Share-based payment expense</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1,931</w:t>
            </w:r>
          </w:p>
        </w:tc>
        <w:tc>
          <w:tcPr>
            <w:tcW w:w="4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loss/(gain)</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Increase in provisions and other liabilities</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10,3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1,130</w:t>
            </w:r>
          </w:p>
        </w:tc>
        <w:tc>
          <w:tcPr>
            <w:tcW w:w="4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(550)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Finance costs</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1,084</w:t>
            </w:r>
          </w:p>
        </w:tc>
        <w:tc>
          <w:tcPr>
            <w:tcW w:w="4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Fair value remeasurement on warrants</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Other income and expenses</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5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non-cash movements</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Working capital adjustments</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receivables and prepayments</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(5,521)</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(Decrease)/increase in trade and other payables and accruals</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(846)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(13,262</w:t>
            </w:r>
          </w:p>
        </w:tc>
        <w:tc>
          <w:tcPr>
            <w:tcW w:w="500" w:type="dxa"/>
            <w:vAlign w:val="bottom"/>
            <w:gridSpan w:val="2"/>
          </w:tcPr>
          <w:p>
            <w:pPr>
              <w:jc w:val="right"/>
              <w:ind w:right="440"/>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15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intangible asset (net of transaction costs)</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Payments to CVR holders</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5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Payments to acquire intangible assets</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(337)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investing activities</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4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ordinary shares</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Interest paid</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(771)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Payment of lease liabilities</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(226)</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Proceeds from TAP agreement</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4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financing activities</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(916)</w:t>
            </w:r>
          </w:p>
        </w:tc>
        <w:tc>
          <w:tcPr>
            <w:tcW w:w="4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(14,047)</w:t>
            </w:r>
          </w:p>
        </w:tc>
        <w:tc>
          <w:tcPr>
            <w:tcW w:w="500" w:type="dxa"/>
            <w:vAlign w:val="bottom"/>
            <w:gridSpan w:val="2"/>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(18,124)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56,334</w:t>
            </w:r>
          </w:p>
        </w:tc>
        <w:tc>
          <w:tcPr>
            <w:tcW w:w="4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(174)</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42,113</w:t>
            </w: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unaudited condensed consolidated financial statements.</w:t>
      </w:r>
    </w:p>
    <w:p>
      <w:pPr>
        <w:sectPr>
          <w:pgSz w:w="11900" w:h="16838" w:orient="portrait"/>
          <w:cols w:equalWidth="0" w:num="1">
            <w:col w:w="11140"/>
          </w:cols>
          <w:pgMar w:left="320" w:top="486"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Issued</w:t>
            </w: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8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Employee</w:t>
            </w: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9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Translation</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capital</w:t>
            </w:r>
          </w:p>
        </w:tc>
        <w:tc>
          <w:tcPr>
            <w:tcW w:w="8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Benefit</w:t>
            </w:r>
          </w:p>
        </w:tc>
        <w:tc>
          <w:tcPr>
            <w:tcW w:w="68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6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Notes</w:t>
            </w: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capital</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premium</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reserves</w:t>
            </w: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Trust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reserves</w:t>
            </w:r>
          </w:p>
        </w:tc>
        <w:tc>
          <w:tcPr>
            <w:tcW w:w="102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rPr>
              <w:t>losses</w:t>
            </w: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reserve</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£’000</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£’000</w:t>
            </w:r>
          </w:p>
        </w:tc>
        <w:tc>
          <w:tcPr>
            <w:tcW w:w="2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£’000</w:t>
            </w:r>
          </w:p>
        </w:tc>
        <w:tc>
          <w:tcPr>
            <w:tcW w:w="200" w:type="dxa"/>
            <w:vAlign w:val="bottom"/>
            <w:gridSpan w:val="2"/>
          </w:tcPr>
          <w:p>
            <w:pPr>
              <w:spacing w:after="0"/>
              <w:rPr>
                <w:sz w:val="14"/>
                <w:szCs w:val="14"/>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£’000</w:t>
            </w:r>
          </w:p>
        </w:tc>
        <w:tc>
          <w:tcPr>
            <w:tcW w:w="160" w:type="dxa"/>
            <w:vAlign w:val="bottom"/>
          </w:tcPr>
          <w:p>
            <w:pPr>
              <w:spacing w:after="0"/>
              <w:rPr>
                <w:sz w:val="14"/>
                <w:szCs w:val="14"/>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£’000</w:t>
            </w:r>
          </w:p>
        </w:tc>
        <w:tc>
          <w:tcPr>
            <w:tcW w:w="200" w:type="dxa"/>
            <w:vAlign w:val="bottom"/>
            <w:gridSpan w:val="2"/>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£’000</w:t>
            </w:r>
          </w:p>
        </w:tc>
        <w:tc>
          <w:tcPr>
            <w:tcW w:w="200" w:type="dxa"/>
            <w:vAlign w:val="bottom"/>
            <w:gridSpan w:val="2"/>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2021</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1,755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247,460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129,835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(1,140)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(296,968)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88,002</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Loss for the period</w:t>
            </w:r>
          </w:p>
        </w:tc>
        <w:tc>
          <w:tcPr>
            <w:tcW w:w="620" w:type="dxa"/>
            <w:vAlign w:val="bottom"/>
          </w:tcPr>
          <w:p>
            <w:pPr>
              <w:spacing w:after="0"/>
              <w:rPr>
                <w:sz w:val="19"/>
                <w:szCs w:val="19"/>
                <w:color w:val="auto"/>
              </w:rPr>
            </w:pPr>
          </w:p>
        </w:tc>
        <w:tc>
          <w:tcPr>
            <w:tcW w:w="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62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(19,158)</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(1,775)</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8"/>
              </w:rPr>
              <w:t>(20,933)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2,446</w:t>
            </w: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62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At June 30, 2022</w:t>
            </w:r>
          </w:p>
        </w:tc>
        <w:tc>
          <w:tcPr>
            <w:tcW w:w="6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1,755</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247,460</w:t>
            </w: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132,269</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7,401</w:t>
            </w:r>
          </w:p>
        </w:tc>
        <w:tc>
          <w:tcPr>
            <w:tcW w:w="1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(316,126)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2022</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1,875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254,303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132,680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(331,164)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(2,169)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61,868</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Loss for the period</w:t>
            </w:r>
          </w:p>
        </w:tc>
        <w:tc>
          <w:tcPr>
            <w:tcW w:w="620" w:type="dxa"/>
            <w:vAlign w:val="bottom"/>
          </w:tcPr>
          <w:p>
            <w:pPr>
              <w:spacing w:after="0"/>
              <w:rPr>
                <w:sz w:val="19"/>
                <w:szCs w:val="19"/>
                <w:color w:val="auto"/>
              </w:rPr>
            </w:pPr>
          </w:p>
        </w:tc>
        <w:tc>
          <w:tcPr>
            <w:tcW w:w="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620" w:type="dxa"/>
            <w:vAlign w:val="bottom"/>
          </w:tcPr>
          <w:p>
            <w:pPr>
              <w:spacing w:after="0"/>
              <w:rPr>
                <w:sz w:val="18"/>
                <w:szCs w:val="18"/>
                <w:color w:val="auto"/>
              </w:rPr>
            </w:pPr>
          </w:p>
        </w:tc>
        <w:tc>
          <w:tcPr>
            <w:tcW w:w="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spacing w:after="0"/>
              <w:rPr>
                <w:sz w:val="18"/>
                <w:szCs w:val="18"/>
                <w:color w:val="auto"/>
              </w:rPr>
            </w:pPr>
          </w:p>
        </w:tc>
        <w:tc>
          <w:tcPr>
            <w:tcW w:w="5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1,931</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175"/>
        </w:trPr>
        <w:tc>
          <w:tcPr>
            <w:tcW w:w="3960" w:type="dxa"/>
            <w:vAlign w:val="bottom"/>
          </w:tcPr>
          <w:p>
            <w:pPr>
              <w:spacing w:after="0" w:line="176" w:lineRule="exact"/>
              <w:rPr>
                <w:sz w:val="20"/>
                <w:szCs w:val="20"/>
                <w:color w:val="auto"/>
              </w:rPr>
            </w:pPr>
            <w:r>
              <w:rPr>
                <w:rFonts w:ascii="Arial" w:cs="Arial" w:eastAsia="Arial" w:hAnsi="Arial"/>
                <w:sz w:val="18"/>
                <w:szCs w:val="18"/>
                <w:color w:val="auto"/>
              </w:rPr>
              <w:t>Exercise of share options</w:t>
            </w:r>
          </w:p>
        </w:tc>
        <w:tc>
          <w:tcPr>
            <w:tcW w:w="620" w:type="dxa"/>
            <w:vAlign w:val="bottom"/>
          </w:tcPr>
          <w:p>
            <w:pPr>
              <w:spacing w:after="0"/>
              <w:rPr>
                <w:sz w:val="15"/>
                <w:szCs w:val="15"/>
                <w:color w:val="auto"/>
              </w:rPr>
            </w:pPr>
          </w:p>
        </w:tc>
        <w:tc>
          <w:tcPr>
            <w:tcW w:w="62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2</w:t>
            </w:r>
          </w:p>
        </w:tc>
        <w:tc>
          <w:tcPr>
            <w:tcW w:w="80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020" w:type="dxa"/>
            <w:vAlign w:val="bottom"/>
            <w:gridSpan w:val="3"/>
          </w:tcPr>
          <w:p>
            <w:pPr>
              <w:ind w:left="560"/>
              <w:spacing w:after="0" w:line="176"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Issuance of shares</w:t>
            </w:r>
          </w:p>
        </w:tc>
        <w:tc>
          <w:tcPr>
            <w:tcW w:w="620" w:type="dxa"/>
            <w:vAlign w:val="bottom"/>
            <w:shd w:val="clear" w:color="auto" w:fill="CCEEFF"/>
          </w:tcPr>
          <w:p>
            <w:pPr>
              <w:jc w:val="right"/>
              <w:ind w:right="75"/>
              <w:spacing w:after="0" w:line="176" w:lineRule="exact"/>
              <w:rPr>
                <w:sz w:val="20"/>
                <w:szCs w:val="20"/>
                <w:color w:val="auto"/>
              </w:rPr>
            </w:pPr>
            <w:r>
              <w:rPr>
                <w:rFonts w:ascii="Arial" w:cs="Arial" w:eastAsia="Arial" w:hAnsi="Arial"/>
                <w:sz w:val="18"/>
                <w:szCs w:val="18"/>
                <w:color w:val="auto"/>
              </w:rPr>
              <w:t>9</w:t>
            </w:r>
          </w:p>
        </w:tc>
        <w:tc>
          <w:tcPr>
            <w:tcW w:w="6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53</w:t>
            </w:r>
          </w:p>
        </w:tc>
        <w:tc>
          <w:tcPr>
            <w:tcW w:w="8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3,040</w:t>
            </w:r>
          </w:p>
        </w:tc>
        <w:tc>
          <w:tcPr>
            <w:tcW w:w="86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347</w:t>
            </w:r>
          </w:p>
        </w:tc>
        <w:tc>
          <w:tcPr>
            <w:tcW w:w="800" w:type="dxa"/>
            <w:vAlign w:val="bottom"/>
            <w:gridSpan w:val="3"/>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560"/>
              <w:spacing w:after="0" w:line="176" w:lineRule="exact"/>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Issuance of warrants</w:t>
            </w:r>
          </w:p>
        </w:tc>
        <w:tc>
          <w:tcPr>
            <w:tcW w:w="62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June 30, 2023</w:t>
            </w:r>
          </w:p>
        </w:tc>
        <w:tc>
          <w:tcPr>
            <w:tcW w:w="6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1,930</w:t>
            </w:r>
          </w:p>
        </w:tc>
        <w:tc>
          <w:tcPr>
            <w:tcW w:w="1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shd w:val="clear" w:color="auto" w:fill="CCEEFF"/>
              </w:rPr>
              <w:t>257,343</w:t>
            </w:r>
          </w:p>
        </w:tc>
        <w:tc>
          <w:tcPr>
            <w:tcW w:w="1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shd w:val="clear" w:color="auto" w:fill="CCEEFF"/>
              </w:rPr>
              <w:t>134,999</w:t>
            </w:r>
          </w:p>
        </w:tc>
        <w:tc>
          <w:tcPr>
            <w:tcW w:w="2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shd w:val="clear" w:color="auto" w:fill="CCEEFF"/>
              </w:rPr>
              <w:t>)</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7,401</w:t>
            </w:r>
          </w:p>
        </w:tc>
        <w:tc>
          <w:tcPr>
            <w:tcW w:w="1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(342,194</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shd w:val="clear" w:color="auto" w:fill="CCEEFF"/>
              </w:rPr>
              <w:t>)</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shd w:val="clear" w:color="auto" w:fill="CCEEFF"/>
              </w:rPr>
              <w:t>)</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57,745</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unaudited condensed consolidated financial statements.</w:t>
      </w:r>
    </w:p>
    <w:p>
      <w:pPr>
        <w:sectPr>
          <w:pgSz w:w="11900" w:h="16838" w:orient="portrait"/>
          <w:cols w:equalWidth="0" w:num="1">
            <w:col w:w="11140"/>
          </w:cols>
          <w:pgMar w:left="320" w:top="486"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Corporate information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Mereo BioPharma Group plc (the “Company” or “Mereo”) is a clinical-stage, United Kingdom (“UK”) based biopharmaceutical company focused on rare diseases and oncology.</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is a public limited company incorporated and domiciled in the UK, and registered in England, with shares publicly traded on the Nasdaq Capital Market via American Depositary Shares (“ADSs”) under the ticker symbol MREO. The Company’s registered office is located at Fourth Floor, 1 Cavendish Place, London, W1G 0QF, United Kingdom.</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These financial statements are the unaudited condensed consolidated financial statements of Mereo BioPharma Group plc and its subsidiaries for the six months ended June 30, 2023. The principal activities of the Company are the development and commercialization of innovative therapeutic pharmaceutical products for rare diseases.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unaudited condensed consolidated financial statements for the six months ended June 30, 2023 have been prepared in accordance with International Accounting Standards (IAS) 34, Interim Financial Reporting. These unaudited condensed consolidated financial statements do not include all information and disclosures required in the annual financial statements in accordance with International Financial Reporting Standards (IFRS) and should be read in conjunction with the Company’s annual consolidated financial statements for the year ended December 31, 2022 filed with the Securities and Exchange Commission (“SEC”) on March 28, 2023.</w:t>
      </w:r>
    </w:p>
    <w:p>
      <w:pPr>
        <w:spacing w:after="0" w:line="188"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financial information is presented in pound sterling (“£”), which is the presentational currency of the Company. The functional currencies of consolidated subsidiaries are pound sterling and US dollars (“$”). All amounts disclosed in the condensed consolidated financial statements and notes have been rounded to the nearest thousand, unless otherwise stated.</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financial information for the year ended December 31, 2022 has been extracted from the Company’s audited financial statements for that year, filed with the SEC on March 28, 2023.</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These condensed consolidated financial statements are unaudited and do not constitute statutory accounts of the Company as defined in section 434 of the Companies Act 2006. A copy of the statutory accounts for financial year ended December 31, 2022 has been delivered to the Registrar of Companies. The auditors reported on those accounts and their report was unqualified, did not draw attention to any matters by way of emphasis and did not contain a statement under section 498(2) or (3) of the Companies Act 2006.</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Segmental information</w:t>
      </w:r>
    </w:p>
    <w:p>
      <w:pPr>
        <w:spacing w:after="0" w:line="11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The Company has one operating segment. The Chief Operating Decision Maker (“CODM”) is the Chief Executive Officer. The Company has a single portfolio of product candidates, with only direct research and development expenses monitored by product candidate. The CODM makes decisions over resource allocation at an overall portfolio level and the Company’s financing is managed and monitored on a consolidated basis.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left="120" w:right="40" w:firstLine="440"/>
        <w:spacing w:after="0" w:line="381" w:lineRule="auto"/>
        <w:rPr>
          <w:sz w:val="20"/>
          <w:szCs w:val="20"/>
          <w:color w:val="auto"/>
        </w:rPr>
      </w:pPr>
      <w:r>
        <w:rPr>
          <w:rFonts w:ascii="Arial" w:cs="Arial" w:eastAsia="Arial" w:hAnsi="Arial"/>
          <w:sz w:val="15"/>
          <w:szCs w:val="15"/>
          <w:color w:val="auto"/>
        </w:rPr>
        <w:t>The going concern basis has been applied in these condensed consolidated financial statements as the Company has adequate resources to meet its liabilities as they fall due for the foreseeable future and at least 12 months from the issuance date of these condensed consolidated financial statements.</w:t>
      </w:r>
    </w:p>
    <w:p>
      <w:pPr>
        <w:spacing w:after="0" w:line="100"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 Company expects to incur significant operating losses for the foreseeable future as it continues its research and development efforts, seeks to obtain regulatory approval of its product candidates and pursues any future product candidates the Company may develop.</w:t>
      </w:r>
    </w:p>
    <w:p>
      <w:pPr>
        <w:spacing w:after="0" w:line="14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Until such time as the Company can generate significant revenue from product sales, or other commercial revenues, if ever, or through licensing and/or collaboration agreements for its rare disease or oncology product candidates, the Company will seek to finance its operations through a combination of public or private equity or debt financings or other non-dilutive sources.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accounting policies adopted in the preparation of the condensed consolidated financial statements are consistent with those followed in the preparation of the Company’s consolidated financial statements for the year ended December 31,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accounting estimates and judgments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preparation of these condensed consolidated financial statements requires the management of the Company to make estimates and judgments that affect the reported amounts of assets, liabilities, revenues and expenses. The Company bases its estimates and judgments on historical experience and on various other assumptions that it considers to be reasonable. Actual results may differ from these estimates under different assumptions or conditions.</w:t>
      </w:r>
    </w:p>
    <w:p>
      <w:pPr>
        <w:spacing w:after="0" w:line="79"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The significant accounting estimates and judgments adopted in the preparation of the condensed consolidated financial statements are consistent with those followed in the preparation of the Company’s consolidated financial statements for the year ended December 31, 2022.</w:t>
      </w:r>
    </w:p>
    <w:p>
      <w:pPr>
        <w:sectPr>
          <w:pgSz w:w="11900" w:h="16838" w:orient="portrait"/>
          <w:cols w:equalWidth="0" w:num="1">
            <w:col w:w="11120"/>
          </w:cols>
          <w:pgMar w:left="320" w:top="486" w:right="459" w:bottom="189"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 Cost of revenue and Other operating income</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Company recognized milestone proceeds of $9 million (£7.1 million) as revenue under the collaboration and license agreement with Ultragenyx for setrusumab following achievement of a development milestone in the six months ended June 30, 2023. The milestone proceeds were received in July 2023. The variable consideration relating to future milestones and sales royalties will be recognized in the statement of comprehensive income when the milestones are achieved or the underlying commercial sales are made, in the event regulatory approval is obtained.</w:t>
      </w:r>
    </w:p>
    <w:p>
      <w:pPr>
        <w:spacing w:after="0" w:line="15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As a consequence of the milestone proceeds paid to the Company under the collaboration and license agreement with Ultragenyx and in accordance with the terms of the 2015 asset purchase agreement with Novartis, the Company also accrued for a payment to Novartis of £1.7 million. The payment included a deduction for costs of £1.4 million which was deferred to be recognized in the statement of comprehensive loss when the associated costs are incurred.</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the six month period ended June 30, 2023, £0.6 million (six months ended June 30, 2022: £0.4 million) of these deductions were recognized in the condensed consolidated statement of comprehensive loss. As of June 30, 2023, the remaining balance to be recognized of £1.1 million (December 31, 2022: £0.3 million) is included within “Other liabilities” in the condensed consolidated balance sheets.</w:t>
      </w:r>
    </w:p>
    <w:p>
      <w:pPr>
        <w:spacing w:after="0" w:line="16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June 2023, the Company received a payment of £2.9 million from its depositary for reimbursement of certain expenses incurred by the Company in respect of its ADR program in the current and prior years pursuant to the agreement between both parties. The Company recognizes such amounts as “Other operating income” when it becomes entitled to them.</w:t>
      </w:r>
    </w:p>
    <w:p>
      <w:pPr>
        <w:spacing w:after="0" w:line="288" w:lineRule="exact"/>
        <w:rPr>
          <w:sz w:val="20"/>
          <w:szCs w:val="20"/>
          <w:color w:val="auto"/>
        </w:rPr>
      </w:pPr>
    </w:p>
    <w:p>
      <w:pPr>
        <w:ind w:left="120" w:right="4340"/>
        <w:spacing w:after="0" w:line="407" w:lineRule="auto"/>
        <w:rPr>
          <w:sz w:val="20"/>
          <w:szCs w:val="20"/>
          <w:color w:val="auto"/>
        </w:rPr>
      </w:pPr>
      <w:r>
        <w:rPr>
          <w:rFonts w:ascii="Arial" w:cs="Arial" w:eastAsia="Arial" w:hAnsi="Arial"/>
          <w:sz w:val="18"/>
          <w:szCs w:val="18"/>
          <w:b w:val="1"/>
          <w:bCs w:val="1"/>
          <w:color w:val="auto"/>
        </w:rPr>
        <w:t xml:space="preserve">4. Finance income, finance costs and changes in the fair value of financial instruments </w:t>
      </w:r>
      <w:r>
        <w:rPr>
          <w:rFonts w:ascii="Arial" w:cs="Arial" w:eastAsia="Arial" w:hAnsi="Arial"/>
          <w:sz w:val="18"/>
          <w:szCs w:val="18"/>
          <w:b w:val="1"/>
          <w:bCs w:val="1"/>
          <w:i w:val="1"/>
          <w:iCs w:val="1"/>
          <w:color w:val="auto"/>
        </w:rPr>
        <w:t>Finance income</w:t>
      </w:r>
    </w:p>
    <w:p>
      <w:pPr>
        <w:spacing w:after="0" w:line="6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7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Six months</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Six months</w:t>
            </w:r>
          </w:p>
        </w:tc>
      </w:tr>
      <w:tr>
        <w:trPr>
          <w:trHeight w:val="148"/>
        </w:trPr>
        <w:tc>
          <w:tcPr>
            <w:tcW w:w="5680" w:type="dxa"/>
            <w:vAlign w:val="bottom"/>
          </w:tcPr>
          <w:p>
            <w:pPr>
              <w:spacing w:after="0"/>
              <w:rPr>
                <w:sz w:val="12"/>
                <w:szCs w:val="12"/>
                <w:color w:val="auto"/>
              </w:rPr>
            </w:pPr>
          </w:p>
        </w:tc>
        <w:tc>
          <w:tcPr>
            <w:tcW w:w="172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8"/>
              </w:rPr>
              <w:t>ended June 30,</w:t>
            </w: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ended June 30,</w:t>
            </w:r>
          </w:p>
        </w:tc>
      </w:tr>
      <w:tr>
        <w:trPr>
          <w:trHeight w:val="148"/>
        </w:trPr>
        <w:tc>
          <w:tcPr>
            <w:tcW w:w="5680" w:type="dxa"/>
            <w:vAlign w:val="bottom"/>
          </w:tcPr>
          <w:p>
            <w:pPr>
              <w:spacing w:after="0"/>
              <w:rPr>
                <w:sz w:val="12"/>
                <w:szCs w:val="12"/>
                <w:color w:val="auto"/>
              </w:rPr>
            </w:pPr>
          </w:p>
        </w:tc>
        <w:tc>
          <w:tcPr>
            <w:tcW w:w="920" w:type="dxa"/>
            <w:vAlign w:val="bottom"/>
          </w:tcPr>
          <w:p>
            <w:pPr>
              <w:jc w:val="right"/>
              <w:ind w:right="240"/>
              <w:spacing w:after="0" w:line="149" w:lineRule="exact"/>
              <w:rPr>
                <w:sz w:val="20"/>
                <w:szCs w:val="20"/>
                <w:color w:val="auto"/>
              </w:rPr>
            </w:pPr>
            <w:r>
              <w:rPr>
                <w:rFonts w:ascii="Arial" w:cs="Arial" w:eastAsia="Arial" w:hAnsi="Arial"/>
                <w:sz w:val="14"/>
                <w:szCs w:val="14"/>
                <w:b w:val="1"/>
                <w:bCs w:val="1"/>
                <w:color w:val="auto"/>
              </w:rPr>
              <w:t>2023</w:t>
            </w:r>
          </w:p>
        </w:tc>
        <w:tc>
          <w:tcPr>
            <w:tcW w:w="800" w:type="dxa"/>
            <w:vAlign w:val="bottom"/>
          </w:tcPr>
          <w:p>
            <w:pPr>
              <w:spacing w:after="0"/>
              <w:rPr>
                <w:sz w:val="12"/>
                <w:szCs w:val="12"/>
                <w:color w:val="auto"/>
              </w:rPr>
            </w:pPr>
          </w:p>
        </w:tc>
        <w:tc>
          <w:tcPr>
            <w:tcW w:w="920" w:type="dxa"/>
            <w:vAlign w:val="bottom"/>
          </w:tcPr>
          <w:p>
            <w:pPr>
              <w:jc w:val="right"/>
              <w:ind w:right="240"/>
              <w:spacing w:after="0" w:line="149"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171"/>
        </w:trPr>
        <w:tc>
          <w:tcPr>
            <w:tcW w:w="56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w:t>
            </w:r>
          </w:p>
        </w:tc>
        <w:tc>
          <w:tcPr>
            <w:tcW w:w="8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£’000</w:t>
            </w:r>
          </w:p>
        </w:tc>
        <w:tc>
          <w:tcPr>
            <w:tcW w:w="40" w:type="dxa"/>
            <w:vAlign w:val="bottom"/>
          </w:tcPr>
          <w:p>
            <w:pPr>
              <w:spacing w:after="0"/>
              <w:rPr>
                <w:sz w:val="14"/>
                <w:szCs w:val="14"/>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short-term deposits</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468</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173</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Modification of convertible loan notes</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82</w:t>
            </w: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550</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w w:val="99"/>
              </w:rPr>
              <w:t>173</w:t>
            </w:r>
          </w:p>
        </w:tc>
      </w:tr>
      <w:tr>
        <w:trPr>
          <w:trHeight w:val="20"/>
        </w:trPr>
        <w:tc>
          <w:tcPr>
            <w:tcW w:w="5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Finance income includes a £0.1 million (2022: £nil) gain recognized on the modification of the Private Placement Loan Notes (see Note 11).</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costs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Six months</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Six months</w:t>
            </w:r>
          </w:p>
        </w:tc>
      </w:tr>
      <w:tr>
        <w:trPr>
          <w:trHeight w:val="148"/>
        </w:trPr>
        <w:tc>
          <w:tcPr>
            <w:tcW w:w="5680" w:type="dxa"/>
            <w:vAlign w:val="bottom"/>
          </w:tcPr>
          <w:p>
            <w:pPr>
              <w:spacing w:after="0"/>
              <w:rPr>
                <w:sz w:val="12"/>
                <w:szCs w:val="12"/>
                <w:color w:val="auto"/>
              </w:rPr>
            </w:pPr>
          </w:p>
        </w:tc>
        <w:tc>
          <w:tcPr>
            <w:tcW w:w="16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8"/>
              </w:rPr>
              <w:t>ended June 30,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ended June 30,</w:t>
            </w:r>
          </w:p>
        </w:tc>
      </w:tr>
      <w:tr>
        <w:trPr>
          <w:trHeight w:val="148"/>
        </w:trPr>
        <w:tc>
          <w:tcPr>
            <w:tcW w:w="5680" w:type="dxa"/>
            <w:vAlign w:val="bottom"/>
          </w:tcPr>
          <w:p>
            <w:pPr>
              <w:spacing w:after="0"/>
              <w:rPr>
                <w:sz w:val="12"/>
                <w:szCs w:val="12"/>
                <w:color w:val="auto"/>
              </w:rPr>
            </w:pPr>
          </w:p>
        </w:tc>
        <w:tc>
          <w:tcPr>
            <w:tcW w:w="92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2023</w:t>
            </w:r>
          </w:p>
        </w:tc>
        <w:tc>
          <w:tcPr>
            <w:tcW w:w="740" w:type="dxa"/>
            <w:vAlign w:val="bottom"/>
          </w:tcPr>
          <w:p>
            <w:pPr>
              <w:spacing w:after="0"/>
              <w:rPr>
                <w:sz w:val="12"/>
                <w:szCs w:val="12"/>
                <w:color w:val="auto"/>
              </w:rPr>
            </w:pPr>
          </w:p>
        </w:tc>
        <w:tc>
          <w:tcPr>
            <w:tcW w:w="92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r>
      <w:tr>
        <w:trPr>
          <w:trHeight w:val="171"/>
        </w:trPr>
        <w:tc>
          <w:tcPr>
            <w:tcW w:w="56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w:t>
            </w:r>
          </w:p>
        </w:tc>
        <w:tc>
          <w:tcPr>
            <w:tcW w:w="7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w:t>
            </w:r>
          </w:p>
        </w:tc>
        <w:tc>
          <w:tcPr>
            <w:tcW w:w="100" w:type="dxa"/>
            <w:vAlign w:val="bottom"/>
          </w:tcPr>
          <w:p>
            <w:pPr>
              <w:spacing w:after="0"/>
              <w:rPr>
                <w:sz w:val="14"/>
                <w:szCs w:val="14"/>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loan notes</w:t>
            </w: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(1,567)</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(79)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Discounting of provisions for deferred contingent cash consideration</w:t>
            </w: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(20)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7"/>
        </w:trPr>
        <w:tc>
          <w:tcPr>
            <w:tcW w:w="56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(1,498</w:t>
            </w: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(1,859)</w:t>
            </w:r>
          </w:p>
        </w:tc>
      </w:tr>
      <w:tr>
        <w:trPr>
          <w:trHeight w:val="20"/>
        </w:trPr>
        <w:tc>
          <w:tcPr>
            <w:tcW w:w="5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Interest on convertible loan notes includes £0.7 million of accrued interest paid as part of the amendment of the Novartis convertible loan note (see Note 11).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the fair value of financial instruments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6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Six months</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Six months</w:t>
            </w:r>
          </w:p>
        </w:tc>
      </w:tr>
      <w:tr>
        <w:trPr>
          <w:trHeight w:val="149"/>
        </w:trPr>
        <w:tc>
          <w:tcPr>
            <w:tcW w:w="5720" w:type="dxa"/>
            <w:vAlign w:val="bottom"/>
          </w:tcPr>
          <w:p>
            <w:pPr>
              <w:spacing w:after="0"/>
              <w:rPr>
                <w:sz w:val="12"/>
                <w:szCs w:val="12"/>
                <w:color w:val="auto"/>
              </w:rPr>
            </w:pPr>
          </w:p>
        </w:tc>
        <w:tc>
          <w:tcPr>
            <w:tcW w:w="16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8"/>
              </w:rPr>
              <w:t>ended June 30,</w:t>
            </w: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ended June 30,</w:t>
            </w:r>
          </w:p>
        </w:tc>
      </w:tr>
      <w:tr>
        <w:trPr>
          <w:trHeight w:val="149"/>
        </w:trPr>
        <w:tc>
          <w:tcPr>
            <w:tcW w:w="5720" w:type="dxa"/>
            <w:vAlign w:val="bottom"/>
          </w:tcPr>
          <w:p>
            <w:pPr>
              <w:spacing w:after="0"/>
              <w:rPr>
                <w:sz w:val="12"/>
                <w:szCs w:val="12"/>
                <w:color w:val="auto"/>
              </w:rPr>
            </w:pPr>
          </w:p>
        </w:tc>
        <w:tc>
          <w:tcPr>
            <w:tcW w:w="920" w:type="dxa"/>
            <w:vAlign w:val="bottom"/>
          </w:tcPr>
          <w:p>
            <w:pPr>
              <w:jc w:val="right"/>
              <w:ind w:right="240"/>
              <w:spacing w:after="0" w:line="149" w:lineRule="exact"/>
              <w:rPr>
                <w:sz w:val="20"/>
                <w:szCs w:val="20"/>
                <w:color w:val="auto"/>
              </w:rPr>
            </w:pPr>
            <w:r>
              <w:rPr>
                <w:rFonts w:ascii="Arial" w:cs="Arial" w:eastAsia="Arial" w:hAnsi="Arial"/>
                <w:sz w:val="14"/>
                <w:szCs w:val="14"/>
                <w:b w:val="1"/>
                <w:bCs w:val="1"/>
                <w:color w:val="auto"/>
              </w:rPr>
              <w:t>2023</w:t>
            </w:r>
          </w:p>
        </w:tc>
        <w:tc>
          <w:tcPr>
            <w:tcW w:w="760" w:type="dxa"/>
            <w:vAlign w:val="bottom"/>
          </w:tcPr>
          <w:p>
            <w:pPr>
              <w:spacing w:after="0"/>
              <w:rPr>
                <w:sz w:val="12"/>
                <w:szCs w:val="12"/>
                <w:color w:val="auto"/>
              </w:rPr>
            </w:pPr>
          </w:p>
        </w:tc>
        <w:tc>
          <w:tcPr>
            <w:tcW w:w="920" w:type="dxa"/>
            <w:vAlign w:val="bottom"/>
          </w:tcPr>
          <w:p>
            <w:pPr>
              <w:jc w:val="right"/>
              <w:ind w:right="240"/>
              <w:spacing w:after="0" w:line="149"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171"/>
        </w:trPr>
        <w:tc>
          <w:tcPr>
            <w:tcW w:w="57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w:t>
            </w:r>
          </w:p>
        </w:tc>
        <w:tc>
          <w:tcPr>
            <w:tcW w:w="7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£’000</w:t>
            </w:r>
          </w:p>
        </w:tc>
        <w:tc>
          <w:tcPr>
            <w:tcW w:w="40" w:type="dxa"/>
            <w:vAlign w:val="bottom"/>
          </w:tcPr>
          <w:p>
            <w:pPr>
              <w:spacing w:after="0"/>
              <w:rPr>
                <w:sz w:val="14"/>
                <w:szCs w:val="14"/>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Changes in the fair value of warrants – private placement</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402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Changes in the fair value of warrants – bank loan</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(37)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r>
      <w:tr>
        <w:trPr>
          <w:trHeight w:val="27"/>
        </w:trPr>
        <w:tc>
          <w:tcPr>
            <w:tcW w:w="57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365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1,210</w:t>
            </w:r>
          </w:p>
        </w:tc>
      </w:tr>
      <w:tr>
        <w:trPr>
          <w:trHeight w:val="20"/>
        </w:trPr>
        <w:tc>
          <w:tcPr>
            <w:tcW w:w="5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486" w:right="559" w:bottom="1440" w:gutter="0" w:footer="0" w:header="0"/>
        </w:sectPr>
      </w:pPr>
    </w:p>
    <w:p>
      <w:pPr>
        <w:spacing w:after="0" w:line="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See Note 12 for additional information on the warrant liability.</w:t>
      </w:r>
    </w:p>
    <w:p>
      <w:pPr>
        <w:sectPr>
          <w:pgSz w:w="11900" w:h="16838" w:orient="portrait"/>
          <w:cols w:equalWidth="0" w:num="1">
            <w:col w:w="11020"/>
          </w:cols>
          <w:pgMar w:left="320" w:top="486" w:right="5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Other income and expenses</w:t>
      </w:r>
    </w:p>
    <w:p>
      <w:pPr>
        <w:spacing w:after="0" w:line="121"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In February 2022, the Company received a milestone payment of $2.0 million (£1.5 million) under the Navi License Agreement with OncXerna. An associated payment was made to the former shareholders of Mereo BioPharma 5, Inc. under the Contingent Value Rights Agreement (“CVR”) of a total of $0.9 million (£0.7 million), after deductions of costs, charges and expenditures, which resulted in other income, net of £0.8 million.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Loss per share</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Basic loss per share is calculated by dividing the loss attributable for the period to ordinary equity holders of the parent by the weighted average number of ordinary shares outstanding during the period. Diluted loss per share is based on dividing the loss attributable for the period, adjusted for the effect of dilutive ordinary shares, by ordinary share equivalents, which includes the weighted average number of ordinary shares outstanding and the effect of dilutive ordinary share equivalents.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Six months</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Six months</w:t>
            </w:r>
          </w:p>
        </w:tc>
      </w:tr>
      <w:tr>
        <w:trPr>
          <w:trHeight w:val="149"/>
        </w:trPr>
        <w:tc>
          <w:tcPr>
            <w:tcW w:w="6040" w:type="dxa"/>
            <w:vAlign w:val="bottom"/>
          </w:tcPr>
          <w:p>
            <w:pPr>
              <w:spacing w:after="0"/>
              <w:rPr>
                <w:sz w:val="12"/>
                <w:szCs w:val="12"/>
                <w:color w:val="auto"/>
              </w:rPr>
            </w:pP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ended June 30,</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ended June 30,</w:t>
            </w:r>
          </w:p>
        </w:tc>
      </w:tr>
      <w:tr>
        <w:trPr>
          <w:trHeight w:val="148"/>
        </w:trPr>
        <w:tc>
          <w:tcPr>
            <w:tcW w:w="6040" w:type="dxa"/>
            <w:vAlign w:val="bottom"/>
          </w:tcPr>
          <w:p>
            <w:pPr>
              <w:spacing w:after="0"/>
              <w:rPr>
                <w:sz w:val="12"/>
                <w:szCs w:val="12"/>
                <w:color w:val="auto"/>
              </w:rPr>
            </w:pPr>
          </w:p>
        </w:tc>
        <w:tc>
          <w:tcPr>
            <w:tcW w:w="960" w:type="dxa"/>
            <w:vAlign w:val="bottom"/>
          </w:tcPr>
          <w:p>
            <w:pPr>
              <w:jc w:val="right"/>
              <w:ind w:right="255"/>
              <w:spacing w:after="0" w:line="149" w:lineRule="exact"/>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2"/>
                <w:szCs w:val="12"/>
                <w:color w:val="auto"/>
              </w:rPr>
            </w:pPr>
          </w:p>
        </w:tc>
        <w:tc>
          <w:tcPr>
            <w:tcW w:w="960" w:type="dxa"/>
            <w:vAlign w:val="bottom"/>
          </w:tcPr>
          <w:p>
            <w:pPr>
              <w:jc w:val="right"/>
              <w:ind w:right="255"/>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r>
      <w:tr>
        <w:trPr>
          <w:trHeight w:val="171"/>
        </w:trPr>
        <w:tc>
          <w:tcPr>
            <w:tcW w:w="60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£’000</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£’000</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 – Basic loss per share (£’000)</w:t>
            </w: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Loss attributable to equity holders of the parent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(11,030)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(19,158)</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 – Basic loss per share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Weighted average number of ordinary shares</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627,087,752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583,892,445</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 basic (£)</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Numerator – Diluted loss per share (£’000):</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equity holders of the parent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(11,030)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(19,158)</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Effect of dilutive ordinary shares</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Numerator – Diluted loss per share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(11,030)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(19,158)</w:t>
            </w: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Denominator – Diluted loss per share: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Number of ordinary shares used for basic loss per share</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627,087,752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583,892,445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Weighted average effect of dilutive ordinary shares</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diluted ordinary shares outstanding</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627,087,752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583,892,445</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Loss per share – diluted (£)</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r>
    </w:tbl>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For both periods, share options, convertible loan notes and warrants were considered to be anti-dilutive as they would have decreased the loss per share and were therefore excluded from the calculation of diluted loss per share. Therefore, the weighted average shares outstanding used to calculate both the basic and diluted loss per share was the same.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Property, plant and equipment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Right-of-use</w:t>
            </w: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Leasehold</w:t>
            </w: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Office</w:t>
            </w: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IT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asset</w:t>
            </w:r>
          </w:p>
        </w:tc>
        <w:tc>
          <w:tcPr>
            <w:tcW w:w="12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40" w:type="dxa"/>
            <w:vAlign w:val="bottom"/>
            <w:gridSpan w:val="2"/>
            <w:vMerge w:val="restart"/>
          </w:tcPr>
          <w:p>
            <w:pPr>
              <w:jc w:val="right"/>
              <w:ind w:right="1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(building)</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improvements</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Equipment</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Equipment</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(£’000)</w:t>
            </w:r>
          </w:p>
        </w:tc>
        <w:tc>
          <w:tcPr>
            <w:tcW w:w="360" w:type="dxa"/>
            <w:vAlign w:val="bottom"/>
            <w:gridSpan w:val="2"/>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(£’000)</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(£’000)</w:t>
            </w:r>
          </w:p>
        </w:tc>
        <w:tc>
          <w:tcPr>
            <w:tcW w:w="3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(£’000)</w:t>
            </w:r>
          </w:p>
        </w:tc>
        <w:tc>
          <w:tcPr>
            <w:tcW w:w="38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or valuation at January 1, 2023 and June 30, 2023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2,465</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557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164</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173</w:t>
            </w: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3,359</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Depreciation and impairment</w:t>
            </w: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2023</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(1,088)</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(219)</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(76)</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(1,528)</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Depreciation for the period</w:t>
            </w: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80" w:type="dxa"/>
            <w:vAlign w:val="bottom"/>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w:t>
            </w:r>
          </w:p>
        </w:tc>
        <w:tc>
          <w:tcPr>
            <w:tcW w:w="2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vMerge w:val="continue"/>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52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3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3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38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(1,794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2023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1,377</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At June 30, 2023</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3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Intangible assets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At January 1, 2023</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2"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At June 30, 2023</w:t>
      </w:r>
    </w:p>
    <w:p>
      <w:pPr>
        <w:spacing w:after="0" w:line="36" w:lineRule="exact"/>
        <w:rPr>
          <w:sz w:val="20"/>
          <w:szCs w:val="20"/>
          <w:color w:val="auto"/>
        </w:rPr>
      </w:pPr>
    </w:p>
    <w:p>
      <w:pPr>
        <w:jc w:val="right"/>
        <w:ind w:right="2760"/>
        <w:spacing w:after="0"/>
        <w:rPr>
          <w:sz w:val="20"/>
          <w:szCs w:val="20"/>
          <w:color w:val="auto"/>
        </w:rPr>
      </w:pPr>
      <w:r>
        <w:rPr>
          <w:rFonts w:ascii="Arial" w:cs="Arial" w:eastAsia="Arial" w:hAnsi="Arial"/>
          <w:sz w:val="18"/>
          <w:szCs w:val="18"/>
          <w:b w:val="1"/>
          <w:bCs w:val="1"/>
          <w:color w:val="auto"/>
        </w:rPr>
        <w:t>Accumulated revision to estimated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Revision to estimated value</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At June 30, 2023</w:t>
      </w:r>
    </w:p>
    <w:p>
      <w:pPr>
        <w:spacing w:after="0" w:line="36"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Amortization for the period</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At June 30, 2023</w:t>
      </w:r>
    </w:p>
    <w:p>
      <w:pPr>
        <w:spacing w:after="0" w:line="36"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Net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 January 1, 2023</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At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880"/>
        <w:spacing w:after="0"/>
        <w:rPr>
          <w:sz w:val="20"/>
          <w:szCs w:val="20"/>
          <w:color w:val="auto"/>
        </w:rPr>
      </w:pPr>
      <w:r>
        <w:rPr>
          <w:rFonts w:ascii="Arial" w:cs="Arial" w:eastAsia="Arial" w:hAnsi="Arial"/>
          <w:sz w:val="14"/>
          <w:szCs w:val="14"/>
          <w:b w:val="1"/>
          <w:bCs w:val="1"/>
          <w:color w:val="auto"/>
        </w:rPr>
        <w:t>Acquired</w:t>
      </w:r>
    </w:p>
    <w:p>
      <w:pPr>
        <w:spacing w:after="0" w:line="4" w:lineRule="exact"/>
        <w:rPr>
          <w:sz w:val="20"/>
          <w:szCs w:val="20"/>
          <w:color w:val="auto"/>
        </w:rPr>
      </w:pPr>
    </w:p>
    <w:p>
      <w:pPr>
        <w:jc w:val="center"/>
        <w:ind w:right="1880"/>
        <w:spacing w:after="0"/>
        <w:rPr>
          <w:sz w:val="20"/>
          <w:szCs w:val="20"/>
          <w:color w:val="auto"/>
        </w:rPr>
      </w:pPr>
      <w:r>
        <w:rPr>
          <w:rFonts w:ascii="Arial" w:cs="Arial" w:eastAsia="Arial" w:hAnsi="Arial"/>
          <w:sz w:val="12"/>
          <w:szCs w:val="12"/>
          <w:b w:val="1"/>
          <w:bCs w:val="1"/>
          <w:color w:val="auto"/>
        </w:rPr>
        <w:t>development</w:t>
      </w:r>
    </w:p>
    <w:p>
      <w:pPr>
        <w:spacing w:after="0" w:line="11" w:lineRule="exact"/>
        <w:rPr>
          <w:sz w:val="20"/>
          <w:szCs w:val="20"/>
          <w:color w:val="auto"/>
        </w:rPr>
      </w:pPr>
    </w:p>
    <w:p>
      <w:pPr>
        <w:jc w:val="center"/>
        <w:ind w:right="1880"/>
        <w:spacing w:after="0"/>
        <w:rPr>
          <w:sz w:val="20"/>
          <w:szCs w:val="20"/>
          <w:color w:val="auto"/>
        </w:rPr>
      </w:pPr>
      <w:r>
        <w:rPr>
          <w:rFonts w:ascii="Arial" w:cs="Arial" w:eastAsia="Arial" w:hAnsi="Arial"/>
          <w:sz w:val="14"/>
          <w:szCs w:val="14"/>
          <w:b w:val="1"/>
          <w:bCs w:val="1"/>
          <w:color w:val="auto"/>
        </w:rPr>
        <w:t>programs</w:t>
      </w:r>
    </w:p>
    <w:p>
      <w:pPr>
        <w:spacing w:after="0" w:line="192" w:lineRule="exact"/>
        <w:rPr>
          <w:sz w:val="20"/>
          <w:szCs w:val="20"/>
          <w:color w:val="auto"/>
        </w:rPr>
      </w:pPr>
    </w:p>
    <w:p>
      <w:pPr>
        <w:jc w:val="right"/>
        <w:ind w:right="1860"/>
        <w:spacing w:after="0"/>
        <w:rPr>
          <w:sz w:val="20"/>
          <w:szCs w:val="20"/>
          <w:color w:val="auto"/>
        </w:rPr>
      </w:pPr>
      <w:r>
        <w:rPr>
          <w:rFonts w:ascii="Arial" w:cs="Arial" w:eastAsia="Arial" w:hAnsi="Arial"/>
          <w:sz w:val="18"/>
          <w:szCs w:val="18"/>
          <w:b w:val="1"/>
          <w:bCs w:val="1"/>
          <w:color w:val="auto"/>
        </w:rPr>
        <w:t>33,005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5054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0"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054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12" w:lineRule="exact"/>
        <w:rPr>
          <w:sz w:val="20"/>
          <w:szCs w:val="20"/>
          <w:color w:val="auto"/>
        </w:rPr>
      </w:pPr>
    </w:p>
    <w:p>
      <w:pPr>
        <w:jc w:val="right"/>
        <w:ind w:right="1860"/>
        <w:spacing w:after="0"/>
        <w:rPr>
          <w:sz w:val="20"/>
          <w:szCs w:val="20"/>
          <w:color w:val="auto"/>
        </w:rPr>
      </w:pPr>
      <w:r>
        <w:rPr>
          <w:rFonts w:ascii="Arial" w:cs="Arial" w:eastAsia="Arial" w:hAnsi="Arial"/>
          <w:sz w:val="18"/>
          <w:szCs w:val="18"/>
          <w:b w:val="1"/>
          <w:bCs w:val="1"/>
          <w:color w:val="auto"/>
        </w:rPr>
        <w:t>34,172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5054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36"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(8,889)</w:t>
      </w:r>
    </w:p>
    <w:p>
      <w:pPr>
        <w:spacing w:after="0" w:line="23"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054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(9,189)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054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054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054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24,116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054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24,845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5054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40" w:space="720"/>
            <w:col w:w="2660"/>
          </w:cols>
          <w:pgMar w:left="320" w:top="486" w:right="459" w:bottom="1440" w:gutter="0" w:footer="0" w:header="0"/>
        </w:sectPr>
      </w:pPr>
    </w:p>
    <w:p>
      <w:pPr>
        <w:spacing w:after="0" w:line="56"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On February 3, 2023, the Company’s wholly-owned subsidiary Mereo BioPharma 3 Limited, Ultragenyx, UCB Pharma SA (“UCB”) and Amgen Inc. (“Amgen”) entered into a non-exclusive worldwide, royalty-free license (the “UCB/Amgen License”) to research, develop, and commercialize setrusumab in osteogenesis imperfecta (“OI”) under certain UCB/Amgen-owned patent rights related to anti-sclerostin compounds and their uses. An intangible asset of £1.2 million was recognized in the period reflecting payments under the agreement that are not contingent. A corresponding liability of £0.6 million and a provision of £0.6 million for contingent consideration payable was also recognized (see Note 10). The license is amortized on a straight-line basis over its useful economic life. During the six months ended June 30, 2023, amortization expense of £0.1 million (2022: £nil) has been recorded within “Administrative expenses” in the condensed consolidated statement of comprehensive (loss)/income.</w:t>
      </w:r>
    </w:p>
    <w:p>
      <w:pPr>
        <w:spacing w:after="0" w:line="16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present value of the provision for deferred contingent cash consideration relating to the agreement with AstraZeneca was reviewed as of June 30, 2023 (see Note 10). The decrease in the present value due to changes in timelines or probability of contractual milestones being achieved was £0.3 million (2022: £0.4 million) and was recognized as a reduction of the intangible asset.</w:t>
      </w:r>
    </w:p>
    <w:p>
      <w:pPr>
        <w:spacing w:after="0" w:line="184"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During the period the Company did not revise the value of any other intangible assets (2022: £nil). With the exception of the UCB/Amgen License which is amortized, the intangible assets remain under development and no amortization charge has been recognized.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Issued capital and reserves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gridSpan w:val="2"/>
          </w:tcPr>
          <w:p>
            <w:pPr>
              <w:jc w:val="center"/>
              <w:ind w:left="336"/>
              <w:spacing w:after="0"/>
              <w:rPr>
                <w:sz w:val="20"/>
                <w:szCs w:val="20"/>
                <w:color w:val="auto"/>
              </w:rPr>
            </w:pPr>
            <w:r>
              <w:rPr>
                <w:rFonts w:ascii="Arial" w:cs="Arial" w:eastAsia="Arial" w:hAnsi="Arial"/>
                <w:sz w:val="14"/>
                <w:szCs w:val="14"/>
                <w:b w:val="1"/>
                <w:bCs w:val="1"/>
                <w:color w:val="auto"/>
                <w:w w:val="99"/>
              </w:rPr>
              <w:t>Ordinary</w:t>
            </w:r>
          </w:p>
        </w:tc>
        <w:tc>
          <w:tcPr>
            <w:tcW w:w="420" w:type="dxa"/>
            <w:vAlign w:val="bottom"/>
          </w:tcPr>
          <w:p>
            <w:pPr>
              <w:spacing w:after="0"/>
              <w:rPr>
                <w:sz w:val="14"/>
                <w:szCs w:val="14"/>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 ordinary</w:t>
            </w: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4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42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Premium</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jc w:val="right"/>
              <w:ind w:right="356"/>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£’000</w:t>
            </w:r>
          </w:p>
        </w:tc>
        <w:tc>
          <w:tcPr>
            <w:tcW w:w="42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January 1, 2022 and June 30, 2022</w:t>
            </w:r>
          </w:p>
        </w:tc>
        <w:tc>
          <w:tcPr>
            <w:tcW w:w="16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584,908,239</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247,460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At January 1, 2023</w:t>
            </w:r>
          </w:p>
        </w:tc>
        <w:tc>
          <w:tcPr>
            <w:tcW w:w="2840" w:type="dxa"/>
            <w:vAlign w:val="bottom"/>
            <w:gridSpan w:val="2"/>
          </w:tcPr>
          <w:p>
            <w:pPr>
              <w:jc w:val="right"/>
              <w:spacing w:after="0"/>
              <w:rPr>
                <w:sz w:val="20"/>
                <w:szCs w:val="20"/>
                <w:color w:val="auto"/>
              </w:rPr>
            </w:pPr>
            <w:r>
              <w:rPr>
                <w:rFonts w:ascii="Arial" w:cs="Arial" w:eastAsia="Arial" w:hAnsi="Arial"/>
                <w:sz w:val="18"/>
                <w:szCs w:val="18"/>
                <w:b w:val="1"/>
                <w:bCs w:val="1"/>
                <w:color w:val="auto"/>
              </w:rPr>
              <w:t>624,928,519</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1,875</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254,303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Issued during the period</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18,276,275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At June 30, 2023</w:t>
            </w:r>
          </w:p>
        </w:tc>
        <w:tc>
          <w:tcPr>
            <w:tcW w:w="16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643,204,794</w:t>
            </w: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257,343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During the six months ended June 30, 2023, Private Placement Loan Notes with a carrying value of £3.1 million were converted into 17,774,895 ordinary shares at a conversion price of £0.174 per ordinary share (see Note 11) and 501,380 ordinary shares were issued upon the vesting of equity awards.</w:t>
      </w:r>
    </w:p>
    <w:p>
      <w:pPr>
        <w:sectPr>
          <w:pgSz w:w="11900" w:h="16838" w:orient="portrait"/>
          <w:cols w:equalWidth="0" w:num="1">
            <w:col w:w="11120"/>
          </w:cols>
          <w:pgMar w:left="320" w:top="486" w:right="4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capital reserves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Other</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0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8"/>
              </w:rPr>
              <w:t>Share-based</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component of</w:t>
            </w:r>
          </w:p>
        </w:tc>
        <w:tc>
          <w:tcPr>
            <w:tcW w:w="820" w:type="dxa"/>
            <w:vAlign w:val="bottom"/>
            <w:gridSpan w:val="2"/>
            <w:vMerge w:val="continue"/>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Merger</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warrants</w:t>
            </w:r>
          </w:p>
        </w:tc>
        <w:tc>
          <w:tcPr>
            <w:tcW w:w="80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Other reserve</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0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payments</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loan</w:t>
            </w: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9"/>
              </w:rPr>
              <w:t>issued</w:t>
            </w: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reserve</w:t>
            </w:r>
          </w:p>
        </w:tc>
        <w:tc>
          <w:tcPr>
            <w:tcW w:w="11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£’000</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£’000</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£’000</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£’000</w:t>
            </w: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£’000</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23,026</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32,843</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40,818</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33,104</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129,835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Share-based payments expense during the period</w:t>
            </w:r>
          </w:p>
        </w:tc>
        <w:tc>
          <w:tcPr>
            <w:tcW w:w="780" w:type="dxa"/>
            <w:vAlign w:val="bottom"/>
          </w:tcPr>
          <w:p>
            <w:pPr>
              <w:jc w:val="right"/>
              <w:spacing w:after="0"/>
              <w:rPr>
                <w:sz w:val="20"/>
                <w:szCs w:val="20"/>
                <w:color w:val="auto"/>
              </w:rPr>
            </w:pPr>
            <w:r>
              <w:rPr>
                <w:rFonts w:ascii="Arial" w:cs="Arial" w:eastAsia="Arial" w:hAnsi="Arial"/>
                <w:sz w:val="18"/>
                <w:szCs w:val="18"/>
                <w:color w:val="auto"/>
              </w:rPr>
              <w:t>2,446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Share option exercise</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Issuance of warrants</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25,390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32,843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114</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40,818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33,104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132,269</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b w:val="1"/>
                <w:bCs w:val="1"/>
                <w:color w:val="auto"/>
              </w:rPr>
              <w:t>At January 1, 2023</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26,806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31,838</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40,818</w:t>
            </w:r>
          </w:p>
        </w:tc>
        <w:tc>
          <w:tcPr>
            <w:tcW w:w="2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33,104</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132,680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 expense during the period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Extinguishment and issuance of Novartis Loan Note</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347</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Issue of warrants</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b w:val="1"/>
                <w:bCs w:val="1"/>
                <w:color w:val="auto"/>
              </w:rPr>
              <w:t>At June 30, 2023</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28,737</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32,185</w:t>
            </w:r>
          </w:p>
        </w:tc>
        <w:tc>
          <w:tcPr>
            <w:tcW w:w="2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26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40,818</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33,104</w:t>
            </w:r>
          </w:p>
        </w:tc>
        <w:tc>
          <w:tcPr>
            <w:tcW w:w="2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134,999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component of convertible loan</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amendment of the Novartis Loan Note was treated as the extinguishment of the original instrument and the issuance of a new instrument (see Note 11). Accordingly, £0.3 million was allocated to the equity components of the new Novartis Loan Note, representing the embedded conversion option and the new warrants.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warrants issued</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Other warrants issued also relate to funding arrangements with The Alpha-1 Project which are a compound instrument consisting of a liability and an equity component. In 2023, the Company issued 408,730 warrants over ordinary shares and received funding of £0.1 million, of which less than £0.1 million was allocated to the equity component. The total value of the equity component (consideration received for the warrants) as of June 30, 2023 is £0.2 million (2022: £ 0.1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Company has two principal share-based incentive schemes under which options at market value to subscribe for the Company’s shares, restricted stock units (“RSUs”) and performance share units (“PSUs”) have been granted to certain executives, non-executive directors (“NEDs”) and employees. The share-based payment reserve is used to recognize the value of equity settled share-based payments provided to employees, including key management personnel, as part of their remuneration.</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total charge for the six months ended June 30, 2023 in respect of all share-based incentive schemes was £1.9 million (June 30, 2022:</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£2.4 million).</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awards were granted during the six months ended June 30, 2023:</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3380" w:type="dxa"/>
            <w:vAlign w:val="bottom"/>
            <w:gridSpan w:val="6"/>
          </w:tcPr>
          <w:p>
            <w:pPr>
              <w:ind w:left="480"/>
              <w:spacing w:after="0"/>
              <w:rPr>
                <w:sz w:val="20"/>
                <w:szCs w:val="20"/>
                <w:color w:val="auto"/>
              </w:rPr>
            </w:pPr>
            <w:r>
              <w:rPr>
                <w:rFonts w:ascii="Arial" w:cs="Arial" w:eastAsia="Arial" w:hAnsi="Arial"/>
                <w:sz w:val="14"/>
                <w:szCs w:val="14"/>
                <w:b w:val="1"/>
                <w:bCs w:val="1"/>
                <w:color w:val="auto"/>
              </w:rPr>
              <w:t>Mereo 2019 Equity Incentive Plan</w:t>
            </w:r>
          </w:p>
        </w:tc>
        <w:tc>
          <w:tcPr>
            <w:tcW w:w="2980" w:type="dxa"/>
            <w:vAlign w:val="bottom"/>
            <w:gridSpan w:val="6"/>
          </w:tcPr>
          <w:p>
            <w:pPr>
              <w:ind w:left="240"/>
              <w:spacing w:after="0"/>
              <w:rPr>
                <w:sz w:val="20"/>
                <w:szCs w:val="20"/>
                <w:color w:val="auto"/>
              </w:rPr>
            </w:pPr>
            <w:r>
              <w:rPr>
                <w:rFonts w:ascii="Arial" w:cs="Arial" w:eastAsia="Arial" w:hAnsi="Arial"/>
                <w:sz w:val="14"/>
                <w:szCs w:val="14"/>
                <w:b w:val="1"/>
                <w:bCs w:val="1"/>
                <w:color w:val="auto"/>
              </w:rPr>
              <w:t>Mereo 2019 NED Equity Incentive Plan</w:t>
            </w: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Weighted</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3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Weighted</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Awards</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Awards</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value</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980" w:type="dxa"/>
            <w:vAlign w:val="bottom"/>
            <w:gridSpan w:val="2"/>
            <w:vMerge w:val="continue"/>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value</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(ADS)</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per share</w:t>
            </w: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per share</w:t>
            </w: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(ADS)</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 per share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 per share</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4,617,000</w:t>
            </w: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440,000</w:t>
            </w: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RSU’s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617,750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479,813</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0.94</w:t>
            </w: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PSU’s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1,543,150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0.61</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Mereo 2019 Equity Incentive Plan</w:t>
      </w:r>
    </w:p>
    <w:p>
      <w:pPr>
        <w:spacing w:after="0" w:line="131" w:lineRule="exact"/>
        <w:rPr>
          <w:sz w:val="20"/>
          <w:szCs w:val="20"/>
          <w:color w:val="auto"/>
        </w:rPr>
      </w:pPr>
    </w:p>
    <w:p>
      <w:pPr>
        <w:jc w:val="both"/>
        <w:ind w:left="1080" w:right="30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Options over ADSs granted during the six months ended June 30, 2023, were valued using the Black-Scholes model with the following weighted average inputs: expected volatility of 98.06%; risk free interest rate of 3.43%; expected life of 10 years; and market price per ADS of $1.01.</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RSUs over ADSs granted during the six months ended June 30, 2023 vest over three years with one third of the awards vesting after twelve months and the remainder vesting equally every six months thereafter. These awards were valued by reference to the value of the shares awarded.</w:t>
      </w:r>
    </w:p>
    <w:p>
      <w:pPr>
        <w:sectPr>
          <w:pgSz w:w="11900" w:h="16838" w:orient="portrait"/>
          <w:cols w:equalWidth="0" w:num="1">
            <w:col w:w="11140"/>
          </w:cols>
          <w:pgMar w:left="320" w:top="486"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86"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PSUs over ADSs granted during the six months ended June 30, 2023 will only vest upon achievement of specified stretching share price performance targets. These awards were valued using a Monte Carlo model with the following key inputs: expected volatility of 105.6%; expected life of between 0.9 and 1.1 years; risk free interest rate of 4.14% and market price per ADS of $1.01.</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Mereo 2019 NED Equity Incentive Plan</w:t>
      </w:r>
    </w:p>
    <w:p>
      <w:pPr>
        <w:spacing w:after="0" w:line="131" w:lineRule="exact"/>
        <w:rPr>
          <w:sz w:val="20"/>
          <w:szCs w:val="20"/>
          <w:color w:val="auto"/>
        </w:rPr>
      </w:pPr>
    </w:p>
    <w:p>
      <w:pPr>
        <w:ind w:left="1080" w:hanging="424"/>
        <w:spacing w:after="0" w:line="263"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Options over ADSs granted under the Mereo 2019 NED Equity Incentive Plan to certain non-executive directors during the six months ended June 30, 2023 were valued using the Black-Scholes model with the following inputs: expected volatility of 97.94%; risk free interest rate of 3.36%; expected life of 10 years; and market price per ADS of $0.94.</w:t>
      </w:r>
    </w:p>
    <w:p>
      <w:pPr>
        <w:spacing w:after="0" w:line="89"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Deferred RSU’s over ADSs were granted during the six months ended June 30, 2023 under the Mereo 2019 NED Equity Incentive Plan to certain non-executive directors who elected to receive restricted stock units in lieu of their cash fees for the year commencing February 1, 2023. These awards were valued by reference to the value of the shares awarded.</w:t>
      </w:r>
    </w:p>
    <w:p>
      <w:pPr>
        <w:spacing w:after="0" w:line="287" w:lineRule="exact"/>
        <w:rPr>
          <w:rFonts w:ascii="Arial" w:cs="Arial" w:eastAsia="Arial" w:hAnsi="Arial"/>
          <w:sz w:val="18"/>
          <w:szCs w:val="18"/>
          <w:color w:val="auto"/>
        </w:rPr>
      </w:pPr>
    </w:p>
    <w:p>
      <w:pPr>
        <w:ind w:left="380" w:hanging="264"/>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 2023</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860" w:type="dxa"/>
            <w:vAlign w:val="bottom"/>
          </w:tcPr>
          <w:p>
            <w:pPr>
              <w:jc w:val="right"/>
              <w:ind w:right="196"/>
              <w:spacing w:after="0" w:line="149"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£’000</w:t>
            </w:r>
          </w:p>
        </w:tc>
        <w:tc>
          <w:tcPr>
            <w:tcW w:w="7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Social security contribution on vested share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Provisions for deferred contingent cash consideration</w:t>
            </w:r>
          </w:p>
        </w:tc>
        <w:tc>
          <w:tcPr>
            <w:tcW w:w="820" w:type="dxa"/>
            <w:vAlign w:val="bottom"/>
          </w:tcPr>
          <w:p>
            <w:pPr>
              <w:jc w:val="right"/>
              <w:spacing w:after="0"/>
              <w:rPr>
                <w:sz w:val="20"/>
                <w:szCs w:val="20"/>
                <w:color w:val="auto"/>
              </w:rPr>
            </w:pPr>
            <w:r>
              <w:rPr>
                <w:rFonts w:ascii="Arial" w:cs="Arial" w:eastAsia="Arial" w:hAnsi="Arial"/>
                <w:sz w:val="18"/>
                <w:szCs w:val="18"/>
                <w:color w:val="auto"/>
              </w:rPr>
              <w:t>5,056</w:t>
            </w:r>
          </w:p>
        </w:tc>
        <w:tc>
          <w:tcPr>
            <w:tcW w:w="7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5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5,112</w:t>
            </w:r>
          </w:p>
        </w:tc>
        <w:tc>
          <w:tcPr>
            <w:tcW w:w="76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4,822</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7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Non-Current</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w:t>
            </w:r>
          </w:p>
        </w:tc>
        <w:tc>
          <w:tcPr>
            <w:tcW w:w="760" w:type="dxa"/>
            <w:vAlign w:val="bottom"/>
          </w:tcPr>
          <w:p>
            <w:pPr>
              <w:spacing w:after="0"/>
              <w:rPr>
                <w:sz w:val="21"/>
                <w:szCs w:val="21"/>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Provisions for deferred contingent cash consideration is the estimate of the quantifiable but not certain future cash payment obligations due to AstraZeneca for the acquisition of certain intangible assets and to UCB/Amgen for the UCB/Amgen License.</w:t>
      </w:r>
    </w:p>
    <w:p>
      <w:pPr>
        <w:spacing w:after="0" w:line="170"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provision for amounts payable to AstraZeneca is calculated as the risk adjusted net present value of future cash payments to be made by the Company. The payments are dependent on reaching certain milestones based on the commencement and outcome of clinical trials. The likelihood of achieving such milestones is reviewed at the balance sheet date and increased or decreased as appropriate (see Note 13).</w:t>
      </w:r>
    </w:p>
    <w:p>
      <w:pPr>
        <w:spacing w:after="0" w:line="14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provision for deferred contingent cash consideration under the UCB/Amgen License is calculated as the present value of fees expected to be paid under the license which are dependent on the expected expiry date of certain intellectual property owned by UCB/Amgen and the outcome of clinical trials and regulatory consideration.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Convertible Notes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49"/>
        </w:trPr>
        <w:tc>
          <w:tcPr>
            <w:tcW w:w="6500" w:type="dxa"/>
            <w:vAlign w:val="bottom"/>
          </w:tcPr>
          <w:p>
            <w:pPr>
              <w:spacing w:after="0"/>
              <w:rPr>
                <w:sz w:val="12"/>
                <w:szCs w:val="12"/>
                <w:color w:val="auto"/>
              </w:rPr>
            </w:pPr>
          </w:p>
        </w:tc>
        <w:tc>
          <w:tcPr>
            <w:tcW w:w="5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2"/>
                <w:szCs w:val="12"/>
                <w:color w:val="auto"/>
              </w:rPr>
            </w:pPr>
          </w:p>
        </w:tc>
        <w:tc>
          <w:tcPr>
            <w:tcW w:w="86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171"/>
        </w:trPr>
        <w:tc>
          <w:tcPr>
            <w:tcW w:w="65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£’000</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£’000</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Novartis Loan Note</w:t>
            </w:r>
          </w:p>
        </w:tc>
        <w:tc>
          <w:tcPr>
            <w:tcW w:w="5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3,665</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Loan Notes – Private Placement</w:t>
            </w: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4,186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6,636</w:t>
            </w:r>
          </w:p>
        </w:tc>
      </w:tr>
      <w:tr>
        <w:trPr>
          <w:trHeight w:val="27"/>
        </w:trPr>
        <w:tc>
          <w:tcPr>
            <w:tcW w:w="6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7,851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11,085</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Current</w:t>
            </w:r>
          </w:p>
        </w:tc>
        <w:tc>
          <w:tcPr>
            <w:tcW w:w="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4"/>
              </w:rPr>
              <w:t>4,186</w:t>
            </w:r>
          </w:p>
        </w:tc>
        <w:tc>
          <w:tcPr>
            <w:tcW w:w="4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11,085</w:t>
            </w:r>
          </w:p>
        </w:tc>
        <w:tc>
          <w:tcPr>
            <w:tcW w:w="4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3,665</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 Loan Note</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Novartis Loan Note is convertible at a fixed price of £0.265 per ordinary share and originally bore interest at a rate of 6% per annum with a maturity date of February 2023. Effective 10 February 2023, the maturity date of the Novartis Loan Note was extended to February 10, 2025 and the interest rate amended to 9%. Interest accrued to the amendment date of £0.7 million was paid in cash, and warrants to purchase 2,000,000 ordinary shares were issued (see Note 9).</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amendments to the Novartis Loan Note have been treated as the extinguishment of the original instrument and the issuance of a new</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instrument. Accordingly, on the extinguishment date, the carrying value of £4.5 million was derecognized. At the same time, a new liability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£3.5 million was recognized which represents the fair value of the liability component of the new Novartis Loan Notes, net of fees. The remaining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 was allocated between the £0.7 million of interest paid in cash (see Note 4) and the residual £0.3 million which was recorded in equity to reflect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warrants and the conversion option embedded in the new Novartis Loan Notes. No extinguishment gain or loss was recognized in the condensed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consolidated statement of comprehensive loss.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Loan Notes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Loan Notes from the June 2020 private placement are convertible at a fixed price of £0.174 per ordinary share and bears interest at a rate of 6% per annum with an original maturity date of June 3, 2023. On May 31, 2023, the maturity date of the Loan Notes was extended to August 3, 2023, with all other terms remaining unchanged. The maturity date extension was treated as a modification with a modification gain of £0.1 million recognized within finance income (see Note 4).</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During the six months ended June 30, 2023, the Company issued and allotted 17,774,895 ordinary shares (2022: nil) at a price of £0.174 per share on conversion of the Loan Notes.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further conversion and subsequent redemption of the remaining Loan Notes took place in July and August 2023, respectively (see Note 15).</w:t>
      </w:r>
    </w:p>
    <w:p>
      <w:pPr>
        <w:sectPr>
          <w:pgSz w:w="11900" w:h="16838" w:orient="portrait"/>
          <w:cols w:equalWidth="0" w:num="1">
            <w:col w:w="11120"/>
          </w:cols>
          <w:pgMar w:left="320" w:top="486" w:right="459" w:bottom="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Warrant liability</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June 30,</w:t>
            </w:r>
          </w:p>
        </w:tc>
      </w:tr>
      <w:tr>
        <w:trPr>
          <w:trHeight w:val="148"/>
        </w:trPr>
        <w:tc>
          <w:tcPr>
            <w:tcW w:w="6380" w:type="dxa"/>
            <w:vAlign w:val="bottom"/>
          </w:tcPr>
          <w:p>
            <w:pPr>
              <w:spacing w:after="0"/>
              <w:rPr>
                <w:sz w:val="12"/>
                <w:szCs w:val="12"/>
                <w:color w:val="auto"/>
              </w:rPr>
            </w:pPr>
          </w:p>
        </w:tc>
        <w:tc>
          <w:tcPr>
            <w:tcW w:w="1040" w:type="dxa"/>
            <w:vAlign w:val="bottom"/>
            <w:gridSpan w:val="3"/>
          </w:tcPr>
          <w:p>
            <w:pPr>
              <w:jc w:val="right"/>
              <w:ind w:right="17"/>
              <w:spacing w:after="0" w:line="149" w:lineRule="exact"/>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2"/>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r>
      <w:tr>
        <w:trPr>
          <w:trHeight w:val="171"/>
        </w:trPr>
        <w:tc>
          <w:tcPr>
            <w:tcW w:w="6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£’000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£’000</w:t>
            </w: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January 1</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8,336</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Fair Value changes during the period</w:t>
            </w:r>
          </w:p>
        </w:tc>
        <w:tc>
          <w:tcPr>
            <w:tcW w:w="540" w:type="dxa"/>
            <w:vAlign w:val="bottom"/>
            <w:gridSpan w:val="2"/>
          </w:tcPr>
          <w:p>
            <w:pPr>
              <w:spacing w:after="0"/>
              <w:rPr>
                <w:sz w:val="18"/>
                <w:szCs w:val="18"/>
                <w:color w:val="auto"/>
              </w:rPr>
            </w:pPr>
          </w:p>
        </w:tc>
        <w:tc>
          <w:tcPr>
            <w:tcW w:w="680" w:type="dxa"/>
            <w:vAlign w:val="bottom"/>
            <w:gridSpan w:val="3"/>
          </w:tcPr>
          <w:p>
            <w:pPr>
              <w:jc w:val="right"/>
              <w:ind w:right="48"/>
              <w:spacing w:after="0"/>
              <w:rPr>
                <w:sz w:val="20"/>
                <w:szCs w:val="20"/>
                <w:color w:val="auto"/>
              </w:rPr>
            </w:pPr>
            <w:r>
              <w:rPr>
                <w:rFonts w:ascii="Arial" w:cs="Arial" w:eastAsia="Arial" w:hAnsi="Arial"/>
                <w:sz w:val="18"/>
                <w:szCs w:val="18"/>
                <w:color w:val="auto"/>
              </w:rPr>
              <w:t>(365)</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(1,210)</w:t>
            </w:r>
          </w:p>
        </w:tc>
      </w:tr>
      <w:tr>
        <w:trPr>
          <w:trHeight w:val="27"/>
        </w:trPr>
        <w:tc>
          <w:tcPr>
            <w:tcW w:w="6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At June 30</w:t>
            </w:r>
          </w:p>
        </w:tc>
        <w:tc>
          <w:tcPr>
            <w:tcW w:w="540" w:type="dxa"/>
            <w:vAlign w:val="bottom"/>
            <w:gridSpan w:val="2"/>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7,126</w:t>
            </w:r>
          </w:p>
        </w:tc>
        <w:tc>
          <w:tcPr>
            <w:tcW w:w="100" w:type="dxa"/>
            <w:vAlign w:val="bottom"/>
            <w:tcBorders>
              <w:left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6"/>
        </w:trPr>
        <w:tc>
          <w:tcPr>
            <w:tcW w:w="638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0"/>
              </w:rPr>
              <w:t>December 31,</w:t>
            </w:r>
          </w:p>
        </w:tc>
      </w:tr>
      <w:tr>
        <w:trPr>
          <w:trHeight w:val="148"/>
        </w:trPr>
        <w:tc>
          <w:tcPr>
            <w:tcW w:w="6380" w:type="dxa"/>
            <w:vAlign w:val="bottom"/>
          </w:tcPr>
          <w:p>
            <w:pPr>
              <w:spacing w:after="0"/>
              <w:rPr>
                <w:sz w:val="12"/>
                <w:szCs w:val="12"/>
                <w:color w:val="auto"/>
              </w:rPr>
            </w:pPr>
          </w:p>
        </w:tc>
        <w:tc>
          <w:tcPr>
            <w:tcW w:w="50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42"/>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r>
      <w:tr>
        <w:trPr>
          <w:trHeight w:val="171"/>
        </w:trPr>
        <w:tc>
          <w:tcPr>
            <w:tcW w:w="6380" w:type="dxa"/>
            <w:vAlign w:val="bottom"/>
          </w:tcPr>
          <w:p>
            <w:pPr>
              <w:spacing w:after="0"/>
              <w:rPr>
                <w:sz w:val="14"/>
                <w:szCs w:val="14"/>
                <w:color w:val="auto"/>
              </w:rPr>
            </w:pPr>
          </w:p>
        </w:tc>
        <w:tc>
          <w:tcPr>
            <w:tcW w:w="108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6"/>
              </w:rPr>
              <w:t>£’000</w:t>
            </w:r>
          </w:p>
        </w:tc>
        <w:tc>
          <w:tcPr>
            <w:tcW w:w="140" w:type="dxa"/>
            <w:vAlign w:val="bottom"/>
          </w:tcPr>
          <w:p>
            <w:pPr>
              <w:spacing w:after="0"/>
              <w:rPr>
                <w:sz w:val="14"/>
                <w:szCs w:val="1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£’000</w:t>
            </w: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3"/>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Non-current</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w w:val="93"/>
              </w:rPr>
              <w:t>166</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129</w:t>
            </w:r>
          </w:p>
        </w:tc>
      </w:tr>
      <w:tr>
        <w:trPr>
          <w:trHeight w:val="27"/>
        </w:trPr>
        <w:tc>
          <w:tcPr>
            <w:tcW w:w="6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3"/>
              </w:rPr>
              <w:t>166</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531</w:t>
            </w:r>
          </w:p>
        </w:tc>
      </w:tr>
      <w:tr>
        <w:trPr>
          <w:trHeight w:val="20"/>
        </w:trPr>
        <w:tc>
          <w:tcPr>
            <w:tcW w:w="6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change in fair value of the warrant liability represents an unrealized gain for the six months ended June 30, 2023 and for the six months ended June 30,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 - private placement</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As a part of the private placement transaction on June 3, 2020, the participating investors received conditional warrants entitling them to subscribe for an aggregate of 161,048,366 ordinary shares in the Company. The warrants were conditional on certain resolutions being passed at the Company’s general meeting on June 30, 2020. On the passing of the resolutions, the warrants entitled the investors to subscribe for ordinary shares at an exercise price of £0.348 per warrant and were exercisable until June 2023 when they expired. The warrants were classified as liabilities as the Company did not have an unconditional right to avoid redeeming the instruments for cash. As the warrants expired during the period, the fair value of the warrant liability was £nil as of June 30, 2023 (£0.4 million as of December 31, 2022). The change in the fair value of £0.4 million was recognized as a gain in the condensed consolidated statement of comprehensive loss. In the six months ended June 30, 2023, no warrants were exercised.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 – bank loan</w:t>
      </w:r>
    </w:p>
    <w:p>
      <w:pPr>
        <w:spacing w:after="0" w:line="11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As of June 30, 2023 and December 31, 2022, the former lenders to the Company have warrants outstanding to purchase a total of 1,243,908 ordinary shares at an exercise price of £2.95 per share exercisable until August 2027 and a total of 1,243,908 ordinary shares at an exercise price of $0.4144 per share exercisable until October 2028.</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June 30, 2023, the fair value of these warrants were £0.2 million (December 31, 2022: £0.1 million. There were no warrants exercised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six months ended June 30, 2023 (2022: nil).</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outstanding warrants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As of June 30, 2023, a total of 2,487,816 liability-classified warrants are outstanding. The warrants outstanding are equivalent to 0.4% of the ordinary share capital of the Company.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lists the weighted average inputs to the models used for the fair value of warrants: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49"/>
        </w:trPr>
        <w:tc>
          <w:tcPr>
            <w:tcW w:w="5840" w:type="dxa"/>
            <w:vAlign w:val="bottom"/>
          </w:tcPr>
          <w:p>
            <w:pPr>
              <w:spacing w:after="0"/>
              <w:rPr>
                <w:sz w:val="12"/>
                <w:szCs w:val="12"/>
                <w:color w:val="auto"/>
              </w:rPr>
            </w:pPr>
          </w:p>
        </w:tc>
        <w:tc>
          <w:tcPr>
            <w:tcW w:w="1120" w:type="dxa"/>
            <w:vAlign w:val="bottom"/>
          </w:tcPr>
          <w:p>
            <w:pPr>
              <w:jc w:val="right"/>
              <w:ind w:right="337"/>
              <w:spacing w:after="0" w:line="149"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1120" w:type="dxa"/>
            <w:vAlign w:val="bottom"/>
          </w:tcPr>
          <w:p>
            <w:pPr>
              <w:jc w:val="right"/>
              <w:ind w:right="337"/>
              <w:spacing w:after="0" w:line="149"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r>
      <w:tr>
        <w:trPr>
          <w:trHeight w:val="171"/>
        </w:trPr>
        <w:tc>
          <w:tcPr>
            <w:tcW w:w="584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£’000</w:t>
            </w: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£’000</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3.99</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warrants (years)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Market price of ADS($)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0.75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Model used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Black-Scholes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Black-Scholes</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Volatility was estimated by reference to the one-year historical volatility of the share price of the Company.</w:t>
      </w:r>
    </w:p>
    <w:p>
      <w:pPr>
        <w:sectPr>
          <w:pgSz w:w="11900" w:h="16838" w:orient="portrait"/>
          <w:cols w:equalWidth="0" w:num="1">
            <w:col w:w="11100"/>
          </w:cols>
          <w:pgMar w:left="320" w:top="486"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Financial instruments fair value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held the following financial instruments at fair value as of June 30, 2023. There are no non-recurring fair value measurements.</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Fair value</w:t>
            </w:r>
          </w:p>
        </w:tc>
        <w:tc>
          <w:tcPr>
            <w:tcW w:w="7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Fair value</w:t>
            </w:r>
          </w:p>
        </w:tc>
        <w:tc>
          <w:tcPr>
            <w:tcW w:w="76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Fair value</w:t>
            </w:r>
          </w:p>
        </w:tc>
      </w:tr>
      <w:tr>
        <w:trPr>
          <w:trHeight w:val="148"/>
        </w:trPr>
        <w:tc>
          <w:tcPr>
            <w:tcW w:w="4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measured</w:t>
            </w:r>
          </w:p>
        </w:tc>
        <w:tc>
          <w:tcPr>
            <w:tcW w:w="7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measured</w:t>
            </w:r>
          </w:p>
        </w:tc>
        <w:tc>
          <w:tcPr>
            <w:tcW w:w="76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measured</w:t>
            </w:r>
          </w:p>
        </w:tc>
      </w:tr>
      <w:tr>
        <w:trPr>
          <w:trHeight w:val="148"/>
        </w:trPr>
        <w:tc>
          <w:tcPr>
            <w:tcW w:w="4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20" w:type="dxa"/>
            <w:vAlign w:val="bottom"/>
            <w:gridSpan w:val="2"/>
          </w:tcPr>
          <w:p>
            <w:pPr>
              <w:jc w:val="center"/>
              <w:ind w:left="268"/>
              <w:spacing w:after="0" w:line="149" w:lineRule="exact"/>
              <w:rPr>
                <w:sz w:val="20"/>
                <w:szCs w:val="20"/>
                <w:color w:val="auto"/>
              </w:rPr>
            </w:pPr>
            <w:r>
              <w:rPr>
                <w:rFonts w:ascii="Arial" w:cs="Arial" w:eastAsia="Arial" w:hAnsi="Arial"/>
                <w:sz w:val="14"/>
                <w:szCs w:val="14"/>
                <w:b w:val="1"/>
                <w:bCs w:val="1"/>
                <w:color w:val="auto"/>
                <w:w w:val="89"/>
              </w:rPr>
              <w:t>using unadjusted</w:t>
            </w:r>
          </w:p>
        </w:tc>
        <w:tc>
          <w:tcPr>
            <w:tcW w:w="1780" w:type="dxa"/>
            <w:vAlign w:val="bottom"/>
            <w:gridSpan w:val="2"/>
          </w:tcPr>
          <w:p>
            <w:pPr>
              <w:jc w:val="center"/>
              <w:ind w:left="659"/>
              <w:spacing w:after="0" w:line="149" w:lineRule="exact"/>
              <w:rPr>
                <w:sz w:val="20"/>
                <w:szCs w:val="20"/>
                <w:color w:val="auto"/>
              </w:rPr>
            </w:pPr>
            <w:r>
              <w:rPr>
                <w:rFonts w:ascii="Arial" w:cs="Arial" w:eastAsia="Arial" w:hAnsi="Arial"/>
                <w:sz w:val="14"/>
                <w:szCs w:val="14"/>
                <w:b w:val="1"/>
                <w:bCs w:val="1"/>
                <w:color w:val="auto"/>
                <w:w w:val="89"/>
              </w:rPr>
              <w:t>using significant</w:t>
            </w:r>
          </w:p>
        </w:tc>
        <w:tc>
          <w:tcPr>
            <w:tcW w:w="1840" w:type="dxa"/>
            <w:vAlign w:val="bottom"/>
            <w:gridSpan w:val="3"/>
          </w:tcPr>
          <w:p>
            <w:pPr>
              <w:jc w:val="center"/>
              <w:ind w:left="599"/>
              <w:spacing w:after="0" w:line="149" w:lineRule="exact"/>
              <w:rPr>
                <w:sz w:val="20"/>
                <w:szCs w:val="20"/>
                <w:color w:val="auto"/>
              </w:rPr>
            </w:pPr>
            <w:r>
              <w:rPr>
                <w:rFonts w:ascii="Arial" w:cs="Arial" w:eastAsia="Arial" w:hAnsi="Arial"/>
                <w:sz w:val="14"/>
                <w:szCs w:val="14"/>
                <w:b w:val="1"/>
                <w:bCs w:val="1"/>
                <w:color w:val="auto"/>
                <w:w w:val="89"/>
              </w:rPr>
              <w:t>using significant</w:t>
            </w:r>
          </w:p>
        </w:tc>
      </w:tr>
      <w:tr>
        <w:trPr>
          <w:trHeight w:val="149"/>
        </w:trPr>
        <w:tc>
          <w:tcPr>
            <w:tcW w:w="4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quoted prices</w:t>
            </w:r>
          </w:p>
        </w:tc>
        <w:tc>
          <w:tcPr>
            <w:tcW w:w="7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76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unobservable</w:t>
            </w:r>
          </w:p>
        </w:tc>
      </w:tr>
      <w:tr>
        <w:trPr>
          <w:trHeight w:val="171"/>
        </w:trPr>
        <w:tc>
          <w:tcPr>
            <w:tcW w:w="4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7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inputs (Level 2)</w:t>
            </w:r>
          </w:p>
        </w:tc>
        <w:tc>
          <w:tcPr>
            <w:tcW w:w="76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inputs (Level 3)</w:t>
            </w:r>
          </w:p>
        </w:tc>
      </w:tr>
      <w:tr>
        <w:trPr>
          <w:trHeight w:val="209"/>
        </w:trPr>
        <w:tc>
          <w:tcPr>
            <w:tcW w:w="44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3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6"/>
              </w:rPr>
              <w:t>166</w:t>
            </w:r>
          </w:p>
        </w:tc>
        <w:tc>
          <w:tcPr>
            <w:tcW w:w="7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9"/>
              </w:rPr>
              <w:t>Provisions for deferred contingent cash consideration</w:t>
            </w:r>
          </w:p>
        </w:tc>
        <w:tc>
          <w:tcPr>
            <w:tcW w:w="360" w:type="dxa"/>
            <w:vAlign w:val="bottom"/>
          </w:tcPr>
          <w:p>
            <w:pPr>
              <w:spacing w:after="0"/>
              <w:rPr>
                <w:sz w:val="19"/>
                <w:szCs w:val="19"/>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w:t>
            </w:r>
          </w:p>
        </w:tc>
        <w:tc>
          <w:tcPr>
            <w:tcW w:w="6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w w:val="86"/>
              </w:rPr>
              <w:t>166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60" w:type="dxa"/>
            <w:vAlign w:val="bottom"/>
            <w:shd w:val="clear" w:color="auto" w:fill="CCEEFF"/>
          </w:tcPr>
          <w:p>
            <w:pPr>
              <w:spacing w:after="0"/>
              <w:rPr>
                <w:sz w:val="18"/>
                <w:szCs w:val="18"/>
                <w:color w:val="auto"/>
              </w:rPr>
            </w:pPr>
          </w:p>
        </w:tc>
      </w:tr>
      <w:tr>
        <w:trPr>
          <w:trHeight w:val="331"/>
        </w:trPr>
        <w:tc>
          <w:tcPr>
            <w:tcW w:w="4660" w:type="dxa"/>
            <w:vAlign w:val="bottom"/>
            <w:gridSpan w:val="2"/>
          </w:tcPr>
          <w:p>
            <w:pPr>
              <w:spacing w:after="0"/>
              <w:rPr>
                <w:sz w:val="20"/>
                <w:szCs w:val="20"/>
                <w:color w:val="auto"/>
              </w:rPr>
            </w:pPr>
            <w:r>
              <w:rPr>
                <w:rFonts w:ascii="Arial" w:cs="Arial" w:eastAsia="Arial" w:hAnsi="Arial"/>
                <w:sz w:val="18"/>
                <w:szCs w:val="18"/>
                <w:color w:val="auto"/>
              </w:rPr>
              <w:t>There were no transfers between any level during 2023.</w:t>
            </w:r>
          </w:p>
        </w:tc>
        <w:tc>
          <w:tcPr>
            <w:tcW w:w="3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9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management of the Company assessed that the fair values of cash and short-term deposits, other receivables, trade payables, and other current liabilities approximate their carrying amounts largely due to the short-term maturities of these instruments.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movements for level 3 instruments during the period are detailed in the table below:</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Provisions</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4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for deferred</w:t>
            </w:r>
          </w:p>
        </w:tc>
        <w:tc>
          <w:tcPr>
            <w:tcW w:w="6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4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contingent cash</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4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liability</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£’000</w:t>
            </w:r>
          </w:p>
        </w:tc>
        <w:tc>
          <w:tcPr>
            <w:tcW w:w="5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2023</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4,634</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99"/>
              </w:rPr>
              <w:t>402</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520" w:type="dxa"/>
            <w:vAlign w:val="bottom"/>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Revisions to estimate</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(300)</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Movement during the period</w:t>
            </w:r>
          </w:p>
        </w:tc>
        <w:tc>
          <w:tcPr>
            <w:tcW w:w="960" w:type="dxa"/>
            <w:vAlign w:val="bottom"/>
          </w:tcPr>
          <w:p>
            <w:pPr>
              <w:jc w:val="right"/>
              <w:spacing w:after="0"/>
              <w:rPr>
                <w:sz w:val="20"/>
                <w:szCs w:val="20"/>
                <w:color w:val="auto"/>
              </w:rPr>
            </w:pPr>
            <w:r>
              <w:rPr>
                <w:rFonts w:ascii="Arial" w:cs="Arial" w:eastAsia="Arial" w:hAnsi="Arial"/>
                <w:sz w:val="18"/>
                <w:szCs w:val="18"/>
                <w:color w:val="auto"/>
              </w:rPr>
              <w:t>161</w:t>
            </w:r>
          </w:p>
        </w:tc>
        <w:tc>
          <w:tcPr>
            <w:tcW w:w="520" w:type="dxa"/>
            <w:vAlign w:val="bottom"/>
          </w:tcPr>
          <w:p>
            <w:pPr>
              <w:spacing w:after="0"/>
              <w:rPr>
                <w:sz w:val="19"/>
                <w:szCs w:val="19"/>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w w:val="85"/>
              </w:rPr>
              <w:t>(402)</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At June 30, 2023</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5,056</w:t>
            </w:r>
          </w:p>
        </w:tc>
        <w:tc>
          <w:tcPr>
            <w:tcW w:w="52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warrant liability is estimated using a Black Scholes model, taking into account appropriate amendments to inputs in respect of volatility, remaining expected life of the warrants and rates of interest at each reporting date.</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fair value of the provision for the AstraZeneca deferred contingent cash consideration is estimated by discounting future cash flows using rates currently available for debt on similar terms and credit risk. In addition to being sensitive to a reasonably possible change in the forecast cash flows or the discount rate, the fair value of the deferred contingent cash consideration is also sensitive to a reasonably possible change in the probability of reaching certain milestones. The valuation requires management to use unobservable inputs in the model, of which the significant unobservable inputs are disclosed in the tables below. Management regularly assesses a range of reasonably possible alternatives for those significant unobservable inputs and determines their impact on the total fair value.</w:t>
      </w:r>
    </w:p>
    <w:p>
      <w:pPr>
        <w:spacing w:after="0" w:line="192"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fair value of the provision for the deferred contingent cash consideration under the UCB/Amgen License is estimated by discounting future cash flows using the Company’s Weighted Average Cost of Capital (“WACC”). In addition to being dependent on the discount rate, the fair value of the deferred contingent cash consideration is also sensitive to a reasonably possible change in the expectation of the timing of the outcome of clinical trials and regulatory approvals. A 10% change in either of these assumptions would not result in a material change in the provision amount.</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0"/>
              </w:rPr>
              <w:t>Valuation technique</w:t>
            </w:r>
          </w:p>
        </w:tc>
        <w:tc>
          <w:tcPr>
            <w:tcW w:w="136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unobservable</w:t>
            </w:r>
          </w:p>
        </w:tc>
        <w:tc>
          <w:tcPr>
            <w:tcW w:w="18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Input range</w:t>
            </w:r>
          </w:p>
        </w:tc>
        <w:tc>
          <w:tcPr>
            <w:tcW w:w="32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Sensitivity of the input to fair value</w:t>
            </w:r>
          </w:p>
        </w:tc>
        <w:tc>
          <w:tcPr>
            <w:tcW w:w="0" w:type="dxa"/>
            <w:vAlign w:val="bottom"/>
          </w:tcPr>
          <w:p>
            <w:pPr>
              <w:spacing w:after="0"/>
              <w:rPr>
                <w:sz w:val="1"/>
                <w:szCs w:val="1"/>
                <w:color w:val="auto"/>
              </w:rPr>
            </w:pPr>
          </w:p>
        </w:tc>
      </w:tr>
      <w:tr>
        <w:trPr>
          <w:trHeight w:val="171"/>
        </w:trPr>
        <w:tc>
          <w:tcPr>
            <w:tcW w:w="2960" w:type="dxa"/>
            <w:vAlign w:val="bottom"/>
            <w:vMerge w:val="restart"/>
          </w:tcPr>
          <w:p>
            <w:pPr>
              <w:spacing w:after="0"/>
              <w:rPr>
                <w:sz w:val="20"/>
                <w:szCs w:val="20"/>
                <w:color w:val="auto"/>
              </w:rPr>
            </w:pPr>
            <w:r>
              <w:rPr>
                <w:rFonts w:ascii="Arial" w:cs="Arial" w:eastAsia="Arial" w:hAnsi="Arial"/>
                <w:sz w:val="18"/>
                <w:szCs w:val="18"/>
                <w:color w:val="auto"/>
              </w:rPr>
              <w:t>Provision for AstraZeneca deferred</w:t>
            </w:r>
          </w:p>
        </w:tc>
        <w:tc>
          <w:tcPr>
            <w:tcW w:w="4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inputs</w:t>
            </w:r>
          </w:p>
        </w:tc>
        <w:tc>
          <w:tcPr>
            <w:tcW w:w="1820" w:type="dxa"/>
            <w:vAlign w:val="bottom"/>
            <w:gridSpan w:val="2"/>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Discounted</w:t>
            </w:r>
          </w:p>
        </w:tc>
        <w:tc>
          <w:tcPr>
            <w:tcW w:w="280" w:type="dxa"/>
            <w:vAlign w:val="bottom"/>
          </w:tcPr>
          <w:p>
            <w:pPr>
              <w:spacing w:after="0"/>
              <w:rPr>
                <w:sz w:val="15"/>
                <w:szCs w:val="15"/>
                <w:color w:val="auto"/>
              </w:rPr>
            </w:pPr>
          </w:p>
        </w:tc>
        <w:tc>
          <w:tcPr>
            <w:tcW w:w="8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WACC</w:t>
            </w:r>
          </w:p>
        </w:tc>
        <w:tc>
          <w:tcPr>
            <w:tcW w:w="260" w:type="dxa"/>
            <w:vAlign w:val="bottom"/>
          </w:tcPr>
          <w:p>
            <w:pPr>
              <w:spacing w:after="0"/>
              <w:rPr>
                <w:sz w:val="15"/>
                <w:szCs w:val="15"/>
                <w:color w:val="auto"/>
              </w:rPr>
            </w:pPr>
          </w:p>
        </w:tc>
        <w:tc>
          <w:tcPr>
            <w:tcW w:w="15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2023: 15%</w:t>
            </w:r>
          </w:p>
        </w:tc>
        <w:tc>
          <w:tcPr>
            <w:tcW w:w="280" w:type="dxa"/>
            <w:vAlign w:val="bottom"/>
          </w:tcPr>
          <w:p>
            <w:pPr>
              <w:spacing w:after="0"/>
              <w:rPr>
                <w:sz w:val="15"/>
                <w:szCs w:val="15"/>
                <w:color w:val="auto"/>
              </w:rPr>
            </w:pPr>
          </w:p>
        </w:tc>
        <w:tc>
          <w:tcPr>
            <w:tcW w:w="32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1% increase/decrease would result in a</w:t>
            </w:r>
          </w:p>
        </w:tc>
        <w:tc>
          <w:tcPr>
            <w:tcW w:w="0" w:type="dxa"/>
            <w:vAlign w:val="bottom"/>
          </w:tcPr>
          <w:p>
            <w:pPr>
              <w:spacing w:after="0"/>
              <w:rPr>
                <w:sz w:val="1"/>
                <w:szCs w:val="1"/>
                <w:color w:val="auto"/>
              </w:rPr>
            </w:pPr>
          </w:p>
        </w:tc>
      </w:tr>
      <w:tr>
        <w:trPr>
          <w:trHeight w:val="244"/>
        </w:trPr>
        <w:tc>
          <w:tcPr>
            <w:tcW w:w="2960" w:type="dxa"/>
            <w:vAlign w:val="bottom"/>
          </w:tcPr>
          <w:p>
            <w:pPr>
              <w:spacing w:after="0"/>
              <w:rPr>
                <w:sz w:val="20"/>
                <w:szCs w:val="20"/>
                <w:color w:val="auto"/>
              </w:rPr>
            </w:pPr>
            <w:r>
              <w:rPr>
                <w:rFonts w:ascii="Arial" w:cs="Arial" w:eastAsia="Arial" w:hAnsi="Arial"/>
                <w:sz w:val="18"/>
                <w:szCs w:val="18"/>
                <w:color w:val="auto"/>
              </w:rPr>
              <w:t>contingent cash consideration</w:t>
            </w:r>
          </w:p>
        </w:tc>
        <w:tc>
          <w:tcPr>
            <w:tcW w:w="1660" w:type="dxa"/>
            <w:vAlign w:val="bottom"/>
            <w:gridSpan w:val="2"/>
          </w:tcPr>
          <w:p>
            <w:pPr>
              <w:ind w:left="420"/>
              <w:spacing w:after="0"/>
              <w:rPr>
                <w:sz w:val="20"/>
                <w:szCs w:val="20"/>
                <w:color w:val="auto"/>
              </w:rPr>
            </w:pPr>
            <w:r>
              <w:rPr>
                <w:rFonts w:ascii="Arial" w:cs="Arial" w:eastAsia="Arial" w:hAnsi="Arial"/>
                <w:sz w:val="18"/>
                <w:szCs w:val="18"/>
                <w:color w:val="auto"/>
              </w:rPr>
              <w:t>cash flow</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20" w:type="dxa"/>
            <w:vAlign w:val="bottom"/>
          </w:tcPr>
          <w:p>
            <w:pPr>
              <w:spacing w:after="0"/>
              <w:rPr>
                <w:sz w:val="20"/>
                <w:szCs w:val="20"/>
                <w:color w:val="auto"/>
              </w:rPr>
            </w:pPr>
            <w:r>
              <w:rPr>
                <w:rFonts w:ascii="Arial" w:cs="Arial" w:eastAsia="Arial" w:hAnsi="Arial"/>
                <w:sz w:val="18"/>
                <w:szCs w:val="18"/>
                <w:color w:val="auto"/>
                <w:w w:val="93"/>
              </w:rPr>
              <w:t>decrease/increase in fair value by £21,000.</w:t>
            </w:r>
          </w:p>
        </w:tc>
        <w:tc>
          <w:tcPr>
            <w:tcW w:w="0" w:type="dxa"/>
            <w:vAlign w:val="bottom"/>
          </w:tcPr>
          <w:p>
            <w:pPr>
              <w:spacing w:after="0"/>
              <w:rPr>
                <w:sz w:val="1"/>
                <w:szCs w:val="1"/>
                <w:color w:val="auto"/>
              </w:rPr>
            </w:pPr>
          </w:p>
        </w:tc>
      </w:tr>
      <w:tr>
        <w:trPr>
          <w:trHeight w:val="310"/>
        </w:trPr>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gridSpan w:val="3"/>
          </w:tcPr>
          <w:p>
            <w:pPr>
              <w:ind w:left="280"/>
              <w:spacing w:after="0"/>
              <w:rPr>
                <w:sz w:val="20"/>
                <w:szCs w:val="20"/>
                <w:color w:val="auto"/>
              </w:rPr>
            </w:pPr>
            <w:r>
              <w:rPr>
                <w:rFonts w:ascii="Arial" w:cs="Arial" w:eastAsia="Arial" w:hAnsi="Arial"/>
                <w:sz w:val="18"/>
                <w:szCs w:val="18"/>
                <w:color w:val="auto"/>
              </w:rPr>
              <w:t>WACC</w:t>
            </w:r>
          </w:p>
        </w:tc>
        <w:tc>
          <w:tcPr>
            <w:tcW w:w="1540" w:type="dxa"/>
            <w:vAlign w:val="bottom"/>
          </w:tcPr>
          <w:p>
            <w:pPr>
              <w:ind w:left="20"/>
              <w:spacing w:after="0"/>
              <w:rPr>
                <w:sz w:val="20"/>
                <w:szCs w:val="20"/>
                <w:color w:val="auto"/>
              </w:rPr>
            </w:pPr>
            <w:r>
              <w:rPr>
                <w:rFonts w:ascii="Arial" w:cs="Arial" w:eastAsia="Arial" w:hAnsi="Arial"/>
                <w:sz w:val="18"/>
                <w:szCs w:val="18"/>
                <w:color w:val="auto"/>
              </w:rPr>
              <w:t>2022: 15%</w:t>
            </w:r>
          </w:p>
        </w:tc>
        <w:tc>
          <w:tcPr>
            <w:tcW w:w="28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1% increase/decrease would result in a</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w w:val="93"/>
              </w:rPr>
              <w:t>decrease/increase in fair value by £31,000.</w:t>
            </w:r>
          </w:p>
        </w:tc>
        <w:tc>
          <w:tcPr>
            <w:tcW w:w="0" w:type="dxa"/>
            <w:vAlign w:val="bottom"/>
          </w:tcPr>
          <w:p>
            <w:pPr>
              <w:spacing w:after="0"/>
              <w:rPr>
                <w:sz w:val="1"/>
                <w:szCs w:val="1"/>
                <w:color w:val="auto"/>
              </w:rPr>
            </w:pPr>
          </w:p>
        </w:tc>
      </w:tr>
      <w:tr>
        <w:trPr>
          <w:trHeight w:val="310"/>
        </w:trPr>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gridSpan w:val="3"/>
          </w:tcPr>
          <w:p>
            <w:pPr>
              <w:ind w:left="280"/>
              <w:spacing w:after="0"/>
              <w:rPr>
                <w:sz w:val="20"/>
                <w:szCs w:val="20"/>
                <w:color w:val="auto"/>
              </w:rPr>
            </w:pPr>
            <w:r>
              <w:rPr>
                <w:rFonts w:ascii="Arial" w:cs="Arial" w:eastAsia="Arial" w:hAnsi="Arial"/>
                <w:sz w:val="18"/>
                <w:szCs w:val="18"/>
                <w:color w:val="auto"/>
              </w:rPr>
              <w:t>Probability</w:t>
            </w:r>
          </w:p>
        </w:tc>
        <w:tc>
          <w:tcPr>
            <w:tcW w:w="1540" w:type="dxa"/>
            <w:vAlign w:val="bottom"/>
          </w:tcPr>
          <w:p>
            <w:pPr>
              <w:ind w:left="20"/>
              <w:spacing w:after="0"/>
              <w:rPr>
                <w:sz w:val="20"/>
                <w:szCs w:val="20"/>
                <w:color w:val="auto"/>
              </w:rPr>
            </w:pPr>
            <w:r>
              <w:rPr>
                <w:rFonts w:ascii="Arial" w:cs="Arial" w:eastAsia="Arial" w:hAnsi="Arial"/>
                <w:sz w:val="18"/>
                <w:szCs w:val="18"/>
                <w:color w:val="auto"/>
                <w:w w:val="89"/>
              </w:rPr>
              <w:t>2023: 40.6% - 81.2%</w:t>
            </w:r>
          </w:p>
        </w:tc>
        <w:tc>
          <w:tcPr>
            <w:tcW w:w="28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8"/>
                <w:szCs w:val="18"/>
                <w:color w:val="auto"/>
                <w:w w:val="96"/>
              </w:rPr>
              <w:t>10% increase/decrease would result in an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gridSpan w:val="3"/>
          </w:tcPr>
          <w:p>
            <w:pPr>
              <w:ind w:left="280"/>
              <w:spacing w:after="0"/>
              <w:rPr>
                <w:sz w:val="20"/>
                <w:szCs w:val="20"/>
                <w:color w:val="auto"/>
              </w:rPr>
            </w:pPr>
            <w:r>
              <w:rPr>
                <w:rFonts w:ascii="Arial" w:cs="Arial" w:eastAsia="Arial" w:hAnsi="Arial"/>
                <w:sz w:val="18"/>
                <w:szCs w:val="18"/>
                <w:color w:val="auto"/>
              </w:rPr>
              <w:t>of success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increase/decrease in fair value by</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£0.5 million.</w:t>
            </w:r>
          </w:p>
        </w:tc>
        <w:tc>
          <w:tcPr>
            <w:tcW w:w="0" w:type="dxa"/>
            <w:vAlign w:val="bottom"/>
          </w:tcPr>
          <w:p>
            <w:pPr>
              <w:spacing w:after="0"/>
              <w:rPr>
                <w:sz w:val="1"/>
                <w:szCs w:val="1"/>
                <w:color w:val="auto"/>
              </w:rPr>
            </w:pPr>
          </w:p>
        </w:tc>
      </w:tr>
      <w:tr>
        <w:trPr>
          <w:trHeight w:val="310"/>
        </w:trPr>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gridSpan w:val="3"/>
          </w:tcPr>
          <w:p>
            <w:pPr>
              <w:ind w:left="280"/>
              <w:spacing w:after="0"/>
              <w:rPr>
                <w:sz w:val="20"/>
                <w:szCs w:val="20"/>
                <w:color w:val="auto"/>
              </w:rPr>
            </w:pPr>
            <w:r>
              <w:rPr>
                <w:rFonts w:ascii="Arial" w:cs="Arial" w:eastAsia="Arial" w:hAnsi="Arial"/>
                <w:sz w:val="18"/>
                <w:szCs w:val="18"/>
                <w:color w:val="auto"/>
              </w:rPr>
              <w:t>Probability</w:t>
            </w:r>
          </w:p>
        </w:tc>
        <w:tc>
          <w:tcPr>
            <w:tcW w:w="1540" w:type="dxa"/>
            <w:vAlign w:val="bottom"/>
          </w:tcPr>
          <w:p>
            <w:pPr>
              <w:ind w:left="20"/>
              <w:spacing w:after="0"/>
              <w:rPr>
                <w:sz w:val="20"/>
                <w:szCs w:val="20"/>
                <w:color w:val="auto"/>
              </w:rPr>
            </w:pPr>
            <w:r>
              <w:rPr>
                <w:rFonts w:ascii="Arial" w:cs="Arial" w:eastAsia="Arial" w:hAnsi="Arial"/>
                <w:sz w:val="18"/>
                <w:szCs w:val="18"/>
                <w:color w:val="auto"/>
                <w:w w:val="89"/>
              </w:rPr>
              <w:t>2022: 40.6% - 81.2%</w:t>
            </w:r>
          </w:p>
        </w:tc>
        <w:tc>
          <w:tcPr>
            <w:tcW w:w="28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8"/>
                <w:szCs w:val="18"/>
                <w:color w:val="auto"/>
                <w:w w:val="96"/>
              </w:rPr>
              <w:t>10% increase/decrease would result in an</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gridSpan w:val="3"/>
          </w:tcPr>
          <w:p>
            <w:pPr>
              <w:ind w:left="280"/>
              <w:spacing w:after="0"/>
              <w:rPr>
                <w:sz w:val="20"/>
                <w:szCs w:val="20"/>
                <w:color w:val="auto"/>
              </w:rPr>
            </w:pPr>
            <w:r>
              <w:rPr>
                <w:rFonts w:ascii="Arial" w:cs="Arial" w:eastAsia="Arial" w:hAnsi="Arial"/>
                <w:sz w:val="18"/>
                <w:szCs w:val="18"/>
                <w:color w:val="auto"/>
              </w:rPr>
              <w:t>of success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increase/decrease in fair value by</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£0.5 million.</w:t>
            </w: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Related party disclosures</w:t>
      </w:r>
    </w:p>
    <w:p>
      <w:pPr>
        <w:spacing w:after="0" w:line="121"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Transactions between the parent and its subsidiaries, which are related parties, have been eliminated on consolidation and are not disclosed in this note.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 benefit trust</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2016 the Company set up an Employee Benefit Trust (“EBT”). The EBT holds ADS’s to satisfy the exercise of options by employees under the Company’s share-based incentive schemes.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funding was loaned to the EBT by the Company during the six months ended June 30, 2023 (June 30, 2022: nil).</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EBT did not purchase any ordinary shares during the six months ended June 30, 2023 (2022: nil). No ordinary shares owned by the EBT were used to satisfy exercise of options by employees under the Company’s share-based incentive schemes during the six months ended June 30, 2023 (June 30, 2022: 78,225). As of June 30, 2023, a cash balance of £17,241 was held by the EBT. As of December 31, 2022, a cash balance of £17,741 was held by the EBT.</w:t>
      </w:r>
    </w:p>
    <w:p>
      <w:pPr>
        <w:spacing w:after="0" w:line="291" w:lineRule="exact"/>
        <w:rPr>
          <w:sz w:val="20"/>
          <w:szCs w:val="20"/>
          <w:color w:val="auto"/>
        </w:rPr>
      </w:pPr>
    </w:p>
    <w:p>
      <w:pPr>
        <w:ind w:left="560" w:right="8480" w:hanging="444"/>
        <w:spacing w:after="0" w:line="488" w:lineRule="auto"/>
        <w:tabs>
          <w:tab w:leader="none" w:pos="38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Events after reporting period </w:t>
      </w:r>
      <w:r>
        <w:rPr>
          <w:rFonts w:ascii="Arial" w:cs="Arial" w:eastAsia="Arial" w:hAnsi="Arial"/>
          <w:sz w:val="16"/>
          <w:szCs w:val="16"/>
          <w:i w:val="1"/>
          <w:iCs w:val="1"/>
          <w:color w:val="auto"/>
        </w:rPr>
        <w:t>Issuance of ordinary shares</w:t>
      </w:r>
    </w:p>
    <w:p>
      <w:pPr>
        <w:spacing w:after="0" w:line="1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In July 2023, the Company issued and allotted 9,645,200 ordinary shares of £0.003 in nominal value in the capital of the Company, equivalent to 1,929,040 ADSs, at an exercise price of £0.174 per ordinary share on conversion of convertible loan notes with a principal amount of £1,025,641 issued as part of the June 2020 private placement transaction.</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July 2023, 9,673,419 ADSs representing 48,367,095 ordinary shares were issued for aggregate gross proceeds of $12.0 million (£9.3 million) through an “at-the-market” offering pursuant to an Open Market Sale Agreement with Jefferies LLC.</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Settlement of convertible loan notes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the maturity date in August 2023, the Company paid £2.6 million to settle the outstanding principal and accrued interest balance on convertible loan notes issued as part of the June 2020 private placement transaction.</w:t>
      </w:r>
    </w:p>
    <w:p>
      <w:pPr>
        <w:sectPr>
          <w:pgSz w:w="11900" w:h="16838" w:orient="portrait"/>
          <w:cols w:equalWidth="0" w:num="1">
            <w:col w:w="11120"/>
          </w:cols>
          <w:pgMar w:left="320" w:top="486" w:right="45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99.2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520" w:firstLine="440"/>
        <w:spacing w:after="0" w:line="257"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unaudited condensed consolidated financial statements and related notes included as Exhibit 99.1 to this Report on Form 6-K furnished to the Securities and Exchange Commission, or the SEC, on September 7, 2023 together with our audited consolidated financial statements and the notes thereto, and the section entitled “Risk Factors”, each of which appear in our annual report on Form 20-F for the year ended December 31, 2022 filed with the SEC on March 28, 2023 (the “Annual Report”).</w:t>
      </w:r>
    </w:p>
    <w:p>
      <w:pPr>
        <w:spacing w:after="0" w:line="188"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i w:val="1"/>
          <w:iCs w:val="1"/>
          <w:color w:val="auto"/>
        </w:rPr>
        <w:t>The following discussion is based on our financial information prepared in accordance with International Accounting Standard 34, “Interim Financial Reporting” or IAS 34, which may differ in material respects from generally accepted accounting principles in other jurisdictions, including generally accepted accounting principles in the United States.</w:t>
      </w:r>
    </w:p>
    <w:p>
      <w:pPr>
        <w:spacing w:after="0" w:line="184" w:lineRule="exact"/>
        <w:rPr>
          <w:sz w:val="20"/>
          <w:szCs w:val="20"/>
          <w:color w:val="auto"/>
        </w:rPr>
      </w:pPr>
    </w:p>
    <w:p>
      <w:pPr>
        <w:jc w:val="both"/>
        <w:ind w:right="360" w:firstLine="44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all references to “Mereo,” the “Company,” the “Group,” “we,” “our,” “ours,” “us” or similar terms refer to Mereo BioPharma Group plc, and its consolidated subsidiaries.</w:t>
      </w:r>
    </w:p>
    <w:p>
      <w:pPr>
        <w:spacing w:after="0" w:line="170"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i w:val="1"/>
          <w:iCs w:val="1"/>
          <w:color w:val="auto"/>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and elsewhere in our Annual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We are a biopharmaceutical company focused on the development of innovative therapeutics for rare diseases. We have developed a robust portfolio of clinical stage product candidates. Our two rare disease product candidates are setrusumab for the treatment of osteogenesis imperfecta (OI) and alvelestat primarily for the treatment of severe alpha-1-anti-trypsin deficiency (AATD-LD).</w:t>
      </w:r>
    </w:p>
    <w:p>
      <w:pPr>
        <w:spacing w:after="0" w:line="184"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Our partner, Ultragenyx, announced successful completion of the Phase 2 portion of the pivotal Phase 2/3 ORBIT study in 24 pediatric and young adult patients (5 to &lt;26 years old) for setrusumab in OI in June 2023 which compared two different doses of setrusumab. Across all patients evaluated at both doses, these data showed statistically significant increases in levels of serum P1NP, a sensitive marker of bone formation, and substantial and significant improvement in bone mineral density (“BMD”) by three months. An increase in lumbar spine BMD from baseline of 9.4% at 20 mg/kg was observed, which represents a substantial mean change in the Z-score of +0.65. There was no significant difference between the two doses tested. The changes observed in BMD in these younger patients at 3 months are equivalent to the changes following 12 months treatment with setrusumab in adult patients reported from the Phase 2 ASTEROID study. Following selection of the dose from this Phase 2 portion of the ORBIT study, in July 2023 Ultragenyx announced that the first patients have been dosed (“FPI”) in the Phase 3 portion of the pivotal study (5 to &lt;26 years old) and also in the Phase 3 study in younger children (2 to &lt;7 years old). The FPI event in the ORBIT study resulted in a one-time milestone payment of $9 million from Ultragenyx. The 24 patients from the Phase 2 portion of the ORBIT study will continue to receive setrusumab treatment in an open-label extension study.</w:t>
      </w:r>
    </w:p>
    <w:p>
      <w:pPr>
        <w:spacing w:after="0" w:line="182" w:lineRule="exact"/>
        <w:rPr>
          <w:sz w:val="20"/>
          <w:szCs w:val="20"/>
          <w:color w:val="auto"/>
        </w:rPr>
      </w:pPr>
    </w:p>
    <w:p>
      <w:pPr>
        <w:ind w:right="140" w:firstLine="440"/>
        <w:spacing w:after="0" w:line="253" w:lineRule="auto"/>
        <w:rPr>
          <w:sz w:val="20"/>
          <w:szCs w:val="20"/>
          <w:color w:val="auto"/>
        </w:rPr>
      </w:pPr>
      <w:r>
        <w:rPr>
          <w:rFonts w:ascii="Arial" w:cs="Arial" w:eastAsia="Arial" w:hAnsi="Arial"/>
          <w:sz w:val="18"/>
          <w:szCs w:val="18"/>
          <w:color w:val="auto"/>
        </w:rPr>
        <w:t>We announced successful completion of a Phase 2 study for alvelestat in AATD-LD in May 2022 which demonstrated statistically significant changes in biomarkers of lung function at different time points up to 12 weeks. In October 2022, we also announced that Fast Track designation has been granted by the U.S. Food and Drug Administration (FDA) for alvelestat in AATD, along with additional program updates. In March 2023, we announced the outcome of the end-of-Phase 2 discussions with the FDA and the EMA (Scientific Advice) and based on clear recommendations from both Regulatory Agencies, we are designing a single, global, Phase 3 study evaluating the 240 mg dose of alvelestat versus placebo in patients with AATD-LD to support applications for full marketing approvals in both the U.S. and EU. Alvelestat is also in an ongoing Phase 2 investigator-led study in AATD, including in patients who are on augmentation therapy, with data expected in the third quarter of 2023. Following successful completion of a Phase 1b investigator-led study in BOS patients following allogenic stem cell transplant, an investigator-led Phase 2 study was initiated in the second half of 2022.</w:t>
      </w:r>
    </w:p>
    <w:p>
      <w:pPr>
        <w:spacing w:after="0" w:line="196"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Our lead oncology product candidate, etigilimab (an anti-TIGIT antibody), has completed a Phase 1a dose escalation clinical trial in patients with advanced solid tumors and has been evaluated in a Phase 1b study in combination with nivolumab in select tumor types. We have completed the Phase 1b portion of an open label Phase1b/2 basket study (the ACTIVATE study) evaluating etigilimab in combination with nivolumab in three rare tumors, sarcoma, uveal melanoma and germ cell cancer, three gynecological carcinomas, cervical, ovarian and endometrial carcinomas, and tumors with high mutation burden. Enrollment is continuing in an investigator led Phase 1b/2 study in clear cell ovarian cancer at The University of Texas MD Anderson Cancer Center, financed by Cancer Focus Fund.</w:t>
      </w:r>
    </w:p>
    <w:p>
      <w:pPr>
        <w:spacing w:after="0" w:line="192"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We plan to develop our product candidates through the next key clinical milestone and then partner where it makes sense to do so strategically but also in select cases for our rare disease candidates, to develop through regulatory approval and potentially commercialization.</w:t>
      </w:r>
    </w:p>
    <w:p>
      <w:pPr>
        <w:sectPr>
          <w:pgSz w:w="11900" w:h="16838" w:orient="portrait"/>
          <w:cols w:equalWidth="0" w:num="1">
            <w:col w:w="11020"/>
          </w:cols>
          <w:pgMar w:left="440" w:top="125" w:right="439" w:bottom="1440" w:gutter="0" w:footer="0" w:header="0"/>
        </w:sectPr>
      </w:pPr>
    </w:p>
    <w:bookmarkStart w:id="18" w:name="page19"/>
    <w:bookmarkEnd w:id="18"/>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second oncology product, navicixizumab for the treatment of late line ovarian cancer has completed a Phase 1b study and was partnered in January 2020 for further development with OncXerna Inc. (“OncXerna”) on a global basis. In February 2022, we received a milestone payment of $2.0 million (£1.5 million) under the license agreement with OncXerna. An associated payment was made to the former shareholders of Mereo BioPharma 5, Inc. under the Contingent Value Rights Agreement (“CVR”) of a total of $0.9 million (£0.7 million), after deductions of costs, charges and expenditures. The milestone received and the associated CVR payment were recorded within “Other income and expense.”</w:t>
      </w:r>
    </w:p>
    <w:p>
      <w:pPr>
        <w:spacing w:after="0" w:line="17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We plan to partner or sell our other two product candidates, acumapimod for the treatment of acute exacerbation of chronic obstructive pulmonary disease (“AECOPD”) and leflutrozole for the treatment of infertility and hypogonadotropic hypogonadism (“HH”) in obese men, recognizing the need for greater resources to take these product candidates to market.</w:t>
      </w:r>
    </w:p>
    <w:p>
      <w:pPr>
        <w:spacing w:after="0" w:line="18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In 2022, we conducted a comprehensive strategic review of our portfolio and capital allocation strategy. This review included a detailed evaluation of current market conditions, the status of our ongoing programs, an analysis of emerging clinical data, our overall cost base and contractual commitments, consideration of obligations in our existing partnership agreements, and feedback from potential new partners and shareholders. The resulting changes in our operating plan included a targeted reduction in the employee base of up to 40% and a significant reduction in other costs. Our operating plan maintains the ability to progress our core programs, deliver on multiple near-term milestones and optimize value for shareholders. We retained the core capabilities and key personnel needed to advance our two core rare disease programs, setrusumab and alvelestat, and to generate value from our assets. Our cash runway continues to be into 2026.</w:t>
      </w:r>
    </w:p>
    <w:p>
      <w:pPr>
        <w:spacing w:after="0" w:line="17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We do not have any approved product candidates and, as a result, have not generated any revenue from product sales. Our ability to generate revenue sufficient to achieve profitability will depend on successful development and eventual commercialization of our product candidates either directly or with partners, if approved. Since our inception, we have incurred significant operating losses. We expect to continue to incur significant expenses and operating losses for the foreseeable future as we advance the clinical and manufacturing development of our product candidates and seek regulatory approval. If approved, we also expect to incur significant commercialization expenses related to product manufacturing, marketing, sales, and distribution.</w:t>
      </w:r>
    </w:p>
    <w:p>
      <w:pPr>
        <w:spacing w:after="0" w:line="192"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We also expect to incur expenses in connection with the in-license or acquisition of additional rare disease product candidates and the potential clinical development of any such product candidates.</w:t>
      </w:r>
    </w:p>
    <w:p>
      <w:pPr>
        <w:spacing w:after="0" w:line="170"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Additionally, we will transition from foreign private issuer to U.S. domestic filer status beginning in 2024 and expect to incur increased costs associated with being a U.S. domestic filer, including expenses related to more frequent financial reporting, preparation of financial statements in accordance with US GAAP, compliance with U.S. federal proxy rules, and additional resources and services we will require in order to comply with Nasdaq and SEC rules and requirements applicable to U.S. domestic filers.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are organized into a single operating segment following management’s view of the business as a single portfolio of product candidates.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are monitored at a product level; however, decisions over resource allocation are made at an overall portfolio level.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financing is managed and monitored on a consolidated basis.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On May 3, 2023, the Company transferred the listing of its American Depositary Shares (“ADSs”) from the Nasdaq Global Market to the Nasdaq Capital Market. On May 8, 2023, the Company received notification from the Nasdaq Listings Qualifications Department that the ADSs had, for the last 10 consecutive business days, a closing bid price at $1.00 per share or greater, and accordingly had regained compliance with Nasdaq Listing Rules.</w:t>
      </w:r>
    </w:p>
    <w:p>
      <w:pPr>
        <w:spacing w:after="0" w:line="14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In July 2023, we issued 1,929,040 ADSs representing 9,645,200 ordinary shares on conversion of convertible loan notes issued as part of a private placement transaction in June 2020. The convertible loan notes matured on August 3, 2023, and on the maturity date we paid £2.6 million to settle the outstanding principal and accrued interest due to the maturity date. In July 2023 we also issued 9,673,419 ADSs representing 48,367,095 ordinary shares for aggregate gross proceeds of $12.0 million (£9.3 million) through an “at-the-market” offering pursuant to an Open Market Sale Agreement with Jefferies LLC which we entered into on August 5,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Risks and Uncertainties</w:t>
      </w:r>
    </w:p>
    <w:p>
      <w:pPr>
        <w:spacing w:after="0" w:line="121"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As a biopharmaceutical company, the Company faces a number of risks and uncertainties. These are common for the industry and relate to operations, intellectual property, research and development, commercial and financial activities. For further information about risks and uncertainties, which the Company faces, refer to the Annual Report. There have been no significant changes to the Company’s overall risk profile since the publication of the Annual Report.</w:t>
      </w:r>
    </w:p>
    <w:p>
      <w:pPr>
        <w:sectPr>
          <w:pgSz w:w="11900" w:h="16838" w:orient="portrait"/>
          <w:cols w:equalWidth="0" w:num="1">
            <w:col w:w="11020"/>
          </w:cols>
          <w:pgMar w:left="440" w:top="274"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color w:val="auto"/>
        </w:rPr>
        <w:t>The Company’s ordinary business activities are the development of product candidates to key clinical milestones and either strategically partnering them or further developing such product candidates through regulatory approval and potentially commercialization. The Company may enter into a range of different agreements with third parties, including, but not limited to: (i) licensing agreements where the global rights to a product candidate are licensed to a partner; and (ii) 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 development, regulatory, commercial or other similar milestones, and royalties on commercial sales, should regulatory approval be obtained for the product candidates. Where the Company has performed significant development activities for its product candidates, income from agreements with third parties are considered to be proceeds derived from the Company’s ordinary activities and therefore represent revenue.</w:t>
      </w:r>
    </w:p>
    <w:p>
      <w:pPr>
        <w:spacing w:after="0" w:line="166"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Revenue includes income from licensing and collaboration agreements. Consideration received up front is recognized at the point in time in which the right to use an intangible asset is transferred. Income from development, regulatory, commercial or similar milestones is recognized when considered highly probable that a significant reversal will not occur.</w:t>
      </w:r>
    </w:p>
    <w:p>
      <w:pPr>
        <w:spacing w:after="0" w:line="1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Intangible assets out-licensed under a license or collaboration agreement are recorded within “Cost of revenue” in the Company’s consolidated statement of comprehensive loss based on an allocation of cost or value of the rights that have been out-licensed. Payments to third parties arising as a direct consequence of the income recognized are also recorded within “Cost of revenue” in the Company’s consolidated statement of comprehensive loss. We do not currently have any approved product candidates. Accordingly, we have not generated any commercial sales revenue during the period. In the future, we expect to be able to generate revenues if we are able to obtain regulatory approval and commercialize one or more of our product candidates or through the recognition of milestones and other potential revenues from out-licensing or partnering arrangements for any of our product candidates.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 expenses include:</w:t>
      </w:r>
    </w:p>
    <w:p>
      <w:pPr>
        <w:spacing w:after="0" w:line="131" w:lineRule="exact"/>
        <w:rPr>
          <w:sz w:val="20"/>
          <w:szCs w:val="20"/>
          <w:color w:val="auto"/>
        </w:rPr>
      </w:pPr>
    </w:p>
    <w:p>
      <w:pPr>
        <w:ind w:left="960" w:right="68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and other benefits, for Mereo’s research and development personnel;</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for production of drug substance and drug product and development of Mereo’s manufacturing processes by CMOs;</w:t>
      </w:r>
    </w:p>
    <w:p>
      <w:pPr>
        <w:spacing w:after="0" w:line="130" w:lineRule="exact"/>
        <w:rPr>
          <w:rFonts w:ascii="Arial" w:cs="Arial" w:eastAsia="Arial" w:hAnsi="Arial"/>
          <w:sz w:val="18"/>
          <w:szCs w:val="18"/>
          <w:color w:val="auto"/>
        </w:rPr>
      </w:pPr>
    </w:p>
    <w:p>
      <w:pPr>
        <w:ind w:left="960" w:right="284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fees and other costs paid to CROs, consultants, and other suppliers to conduct Mereo’s clinical trials and pre-clinical and non-clinical studies;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costs of facilities, materials, and equipment related to drug production and Mereo’s clinical trials and pre-clinical and non-clinical studies.</w:t>
      </w:r>
    </w:p>
    <w:p>
      <w:pPr>
        <w:spacing w:after="0" w:line="248" w:lineRule="exact"/>
        <w:rPr>
          <w:sz w:val="20"/>
          <w:szCs w:val="20"/>
          <w:color w:val="auto"/>
        </w:rPr>
      </w:pPr>
    </w:p>
    <w:p>
      <w:pPr>
        <w:ind w:right="620" w:firstLine="440"/>
        <w:spacing w:after="0" w:line="308" w:lineRule="auto"/>
        <w:rPr>
          <w:sz w:val="20"/>
          <w:szCs w:val="20"/>
          <w:color w:val="auto"/>
        </w:rPr>
      </w:pPr>
      <w:r>
        <w:rPr>
          <w:rFonts w:ascii="Arial" w:cs="Arial" w:eastAsia="Arial" w:hAnsi="Arial"/>
          <w:sz w:val="17"/>
          <w:szCs w:val="17"/>
          <w:color w:val="auto"/>
        </w:rPr>
        <w:t>Our direct research and development expenses are allocated on a product-by-product basis. We allocate employee-related expenses for our research and development personnel and other related expenses to specific product candidate development programs.</w:t>
      </w:r>
    </w:p>
    <w:p>
      <w:pPr>
        <w:spacing w:after="0" w:line="146"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Product candidates in a later stage of clinical development generally have higher development costs than those in earlier stages of clinical development, primarily due to the increased size and duration of later stage clinical trials as well as preparation for potential specific post-authorization evidence generation that might be demanded by regulatory authorities. As we advance the clinical development of our product candidates, we expect that our research and development expense will continue to include costs associated with laying the groundwork for price reimbursement and manufacturing in Europe, and input into development and regulatory plans with our partner, Ultragenyx, for setrusumab; activities associated with preparation of alvelestat for the Phase 3 study, including CMC and drug formulation, activities associated with validation of the patient reported outcome (PRO) and additional required FDA regulatory interactions; and the close-out of the Phase 1b portion of the Phase1b/2 basket study for etigilimab.</w:t>
      </w:r>
    </w:p>
    <w:p>
      <w:pPr>
        <w:spacing w:after="0" w:line="192"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 Our future expenditure on developing our product candidates is therefore highly uncertain. This is due to numerous risks and uncertainties associated with developing our product candidates, including the uncertainty of:</w:t>
      </w:r>
    </w:p>
    <w:p>
      <w:pPr>
        <w:spacing w:after="0" w:line="63" w:lineRule="exact"/>
        <w:rPr>
          <w:sz w:val="20"/>
          <w:szCs w:val="20"/>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rate of progress, and expense of our research and development activities;</w:t>
      </w:r>
    </w:p>
    <w:p>
      <w:pPr>
        <w:sectPr>
          <w:pgSz w:w="11900" w:h="16838" w:orient="portrait"/>
          <w:cols w:equalWidth="0" w:num="1">
            <w:col w:w="11020"/>
          </w:cols>
          <w:pgMar w:left="440" w:top="270" w:right="439" w:bottom="1440" w:gutter="0" w:footer="0" w:header="0"/>
        </w:sectPr>
      </w:pPr>
    </w:p>
    <w:bookmarkStart w:id="20" w:name="page21"/>
    <w:bookmarkEnd w:id="20"/>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progress and results of our clinical trials and our pre-clinical and non-clinical studies;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timing of regulatory approvals, if any;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establishment of arrangements with our third-party manufacturers to obtain manufacturing supply;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protection of our rights our intellectual property portfolio;</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launch of commercial sales of any of our product candidates, if approved, whether alone or in collaboration with others;</w:t>
      </w:r>
    </w:p>
    <w:p>
      <w:pPr>
        <w:spacing w:after="0" w:line="130"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third party strategic relationships for clinical development and/or commercialization of our non-core product candidates and performance of our strategic partners under these arrangements;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sale, if any, of one or more of our non-core disease product candidates;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acceptance of any of our product candidates, if approved, by patients, the medical community and payors at our desired pricing levels;</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with other therapies;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acceptable safety profile of any of our product candidates following approval.</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Any of these variables with respect to the development of our product candidates or any other future candidate that we may develop could result in a significant change in the costs and timing associated with their development. For example, if the FDA, the EMA, or another regulatory authority were to require us to conduct pre-clinical studies and clinical trials beyond those that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Our administrative expenses principally consist of salaries and related benefits, including share-based compensation, for personnel in our executive, finance and other administrative functions. Other general and administrative costs include facility-related costs and professional services fees for auditing, tax and general legal services, our requirements of being a public company listed on Nasdaq, and costs incurred relating to the issue of equity to the extent not capitalized.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11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Other operating income includes amounts received from our depositary for reimbursement of certain expenses incurred by us in respect of our ADR program in the current and prior years pursuant to the agreement between both parties.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Finance income principally consist of interest earned on short-term cash deposits.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Costs</w:t>
      </w:r>
    </w:p>
    <w:p>
      <w:pPr>
        <w:spacing w:after="0" w:line="117" w:lineRule="exact"/>
        <w:rPr>
          <w:sz w:val="20"/>
          <w:szCs w:val="20"/>
          <w:color w:val="auto"/>
        </w:rPr>
      </w:pPr>
    </w:p>
    <w:p>
      <w:pPr>
        <w:ind w:right="780" w:firstLine="440"/>
        <w:spacing w:after="0" w:line="263" w:lineRule="auto"/>
        <w:rPr>
          <w:sz w:val="20"/>
          <w:szCs w:val="20"/>
          <w:color w:val="auto"/>
        </w:rPr>
      </w:pPr>
      <w:r>
        <w:rPr>
          <w:rFonts w:ascii="Arial" w:cs="Arial" w:eastAsia="Arial" w:hAnsi="Arial"/>
          <w:sz w:val="18"/>
          <w:szCs w:val="18"/>
          <w:color w:val="auto"/>
        </w:rPr>
        <w:t>Finance costs comprise interest on convertible loan notes, finance charges on lease liabilities and discounting on provisions for deferred contingent cash consideration. For further information on the terms of our convertible loan notes see “—Liquidity and Capital Resources— Indebtedness” which appear in our Annual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 of Financial Instruments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changes in financial instruments are recognized in the statement of comprehensive loss.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Foreign Exchange Gain/(Loss)</w:t>
      </w:r>
    </w:p>
    <w:p>
      <w:pPr>
        <w:spacing w:after="0" w:line="117"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Our condensed consolidated financial statements are presented in pound sterling. We initially record transactions in foreign currencies at the rate prevailing on the date the transaction first qualifies for recognition. Net foreign exchange gain/(loss) consists of the difference arising on settlement or translation of transactions denominated in foreign currencies, which are primarily held in U.S. dollars.</w:t>
      </w:r>
    </w:p>
    <w:p>
      <w:pPr>
        <w:sectPr>
          <w:pgSz w:w="11900" w:h="16838" w:orient="portrait"/>
          <w:cols w:equalWidth="0" w:num="1">
            <w:col w:w="11000"/>
          </w:cols>
          <w:pgMar w:left="440" w:top="274" w:right="45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Taxation</w:t>
      </w:r>
    </w:p>
    <w:p>
      <w:pPr>
        <w:spacing w:after="0" w:line="117"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As a U.K. resident trading entity, we are subject to U.K. corporate taxation. Due to the nature of our business, we have generated operating losses since formation. Our cumulative carry-forward tax losses are expected to increase throughout 2023. Subject to any relevant restrictions, we expect these to be available to carry forward and offset against future operating profits. As a company that carries out extensive research and development activities, we benefit from the U.K. R&amp;D small or medium-sized enterprise tax credit regime and are able to surrender some of our trading losses that arise from our research and development activities for a cash rebate. To date, a cash rebate of up to 33.35% of eligible R&amp;D expenditure has been available, but the cash rebate has reduced to a maximum of 27% for R&amp;D intensive companies where at least 40% of their total expenditure is on qualifying R&amp;D, or 18.6% of eligible R&amp;D expenditure for other companies with effect from April 1, 2023 pursuant to changes made by the Finance Act 2023. Certain subcontracted qualifying research expenditures are eligible for a cash rebate, though the rate of the cash rebate has reduced with effect from April 1, 2023 from up to 21.67% of the subcontracted expenditures to 17.53% for R&amp;D intensive companies or 12.09% for other companies. Qualifying expenditures largely comprise employment costs for research staff, subcontracted CRO and CMO costs, consumables and certain internal overhead cost incurred as part of research projects. We may not be able to continue to claim payable R&amp;D tax credits in the future because we may no longer qualify as a small or medium-sized company.</w:t>
      </w:r>
    </w:p>
    <w:p>
      <w:pPr>
        <w:spacing w:after="0" w:line="179"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In the event we generate revenues in the future, we may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such advantageous tax legislation, or we are unable to use net operating loss and tax credit carryforwards and certain built-in losses to reduce future tax payments, our business, results of operations, and financial condition may be adversely affected.</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Critical Accounting Judgments and Estimates</w:t>
      </w:r>
    </w:p>
    <w:p>
      <w:pPr>
        <w:spacing w:after="0" w:line="117"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The preparation of our unaudited condensed consolidated financial statements requires us to make estimates and assumptions that affect the reported amounts of assets and liabilities, disclosure of contingent assets and liabilities, and the revenues and expenses incurred during the reported periods. We base our estimates on historical experience and on various other factors that we believe are relevant under the circumstances, the results of which form the basis for making judgments about the carrying value of assets and liabilities that are not apparent from other sources. Actual results may differ from these estimates under different assumptions or conditions. The accounting policies considered to be critical to the judgments and estimates used in the preparation of our financial statements are disclosed in the Operating And Financial Review And Prospects included in our Annual Report.</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In connection with the preparation of our unaudited interim condensed consolidated financial statements as of and for the six-month period ended June 30, 2023, a material weakness in our internal control over financial reporting was identified. The material weakness related to the operating effectiveness of a control over determining the presentation of a significant or non-routine transaction in the unaudited condensed consolidated statement of comprehensive loss in accordance with IFRS. Management is in the process of remediating the material weakness set forth above and the transaction has been presented appropriately in the unaudited condensed consolidated financial statements for the six-month period ended June 30, 2023.</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sets forth Mereo’s results of operations for the six months ended June 30, 2023 and 2022.</w:t>
      </w:r>
    </w:p>
    <w:p>
      <w:pPr>
        <w:spacing w:after="0" w:line="244"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0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1"/>
              </w:rPr>
              <w:t>Six months ended June 30,</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2"/>
                <w:szCs w:val="12"/>
                <w:color w:val="auto"/>
              </w:rPr>
            </w:pPr>
          </w:p>
        </w:tc>
        <w:tc>
          <w:tcPr>
            <w:tcW w:w="860" w:type="dxa"/>
            <w:vAlign w:val="bottom"/>
            <w:tcBorders>
              <w:top w:val="single" w:sz="8" w:color="auto"/>
              <w:bottom w:val="single" w:sz="8" w:color="auto"/>
            </w:tcBorders>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£’000</w:t>
            </w:r>
          </w:p>
        </w:tc>
        <w:tc>
          <w:tcPr>
            <w:tcW w:w="2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£’000</w:t>
            </w:r>
          </w:p>
        </w:tc>
        <w:tc>
          <w:tcPr>
            <w:tcW w:w="32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£’000</w:t>
            </w:r>
          </w:p>
        </w:tc>
        <w:tc>
          <w:tcPr>
            <w:tcW w:w="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Cost of revenue</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(2,455)</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352</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(2,807)</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(7,898)</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(13,322)</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5,424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(9,548)</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(8,840)</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708</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2,864</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2,864</w:t>
            </w:r>
          </w:p>
        </w:tc>
        <w:tc>
          <w:tcPr>
            <w:tcW w:w="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(9,909)</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(21,810)</w:t>
            </w:r>
          </w:p>
        </w:tc>
        <w:tc>
          <w:tcPr>
            <w:tcW w:w="3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11,901</w:t>
            </w:r>
          </w:p>
        </w:tc>
        <w:tc>
          <w:tcPr>
            <w:tcW w:w="3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(55</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w:t>
            </w:r>
          </w:p>
        </w:tc>
        <w:tc>
          <w:tcPr>
            <w:tcW w:w="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Finance costs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(1,498)</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(1,859)</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361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financial instruments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foreign exchange (loss)/gain</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(1,445)</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1,582</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(3,027)</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(811)</w:t>
            </w:r>
          </w:p>
        </w:tc>
        <w:tc>
          <w:tcPr>
            <w:tcW w:w="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Loss before tax</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(11,937)</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(19,893)</w:t>
            </w:r>
          </w:p>
        </w:tc>
        <w:tc>
          <w:tcPr>
            <w:tcW w:w="3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7,956</w:t>
            </w:r>
          </w:p>
        </w:tc>
        <w:tc>
          <w:tcPr>
            <w:tcW w:w="3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907</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735</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Loss attributable to equity holders of the parent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(11,030)</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(19,158)</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8,128</w:t>
            </w: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(42</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04"/>
          </w:cols>
          <w:pgMar w:left="436" w:top="274" w:right="459" w:bottom="1440" w:gutter="0" w:footer="0" w:header="0"/>
        </w:sectPr>
      </w:pPr>
    </w:p>
    <w:p>
      <w:pPr>
        <w:spacing w:after="0" w:line="42" w:lineRule="exact"/>
        <w:rPr>
          <w:sz w:val="20"/>
          <w:szCs w:val="20"/>
          <w:color w:val="auto"/>
        </w:rPr>
      </w:pPr>
    </w:p>
    <w:p>
      <w:pPr>
        <w:ind w:left="224" w:hanging="224"/>
        <w:spacing w:after="0"/>
        <w:tabs>
          <w:tab w:leader="none" w:pos="224"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Percentage change not meaningful</w:t>
      </w:r>
    </w:p>
    <w:p>
      <w:pPr>
        <w:sectPr>
          <w:pgSz w:w="11900" w:h="16838" w:orient="portrait"/>
          <w:cols w:equalWidth="0" w:num="1">
            <w:col w:w="11004"/>
          </w:cols>
          <w:pgMar w:left="436" w:top="274" w:right="459" w:bottom="1440" w:gutter="0" w:footer="0" w:header="0"/>
          <w:type w:val="continuous"/>
        </w:sectPr>
      </w:pPr>
    </w:p>
    <w:bookmarkStart w:id="22" w:name="page23"/>
    <w:bookmarkEnd w:id="22"/>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Comparison of the six months ended June 30, 2023 and 2022</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Revenue was £7.1 million for the six months ended June 30, 2023 compared to nil for the six months ended June 30, 2022.</w:t>
      </w:r>
    </w:p>
    <w:p>
      <w:pPr>
        <w:spacing w:after="0" w:line="225"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In June 2023, the first patients were dosed in both of the Phase 3 clinical trials evaluating setrusumab in pediatric and young adult patients with osteogenesis imperfecta (“OI”). Upon dosing of the first patient in the Phase 3 portion of the ORBIT study in patients aged five to under 26, the Company became eligible to receive a one-time milestone payment of $9 million (£7.1 million) from Ultragenyx under the collaboration and license agreement between the two parties. This payment was received in July 2023.</w:t>
      </w:r>
    </w:p>
    <w:p>
      <w:pPr>
        <w:spacing w:after="0" w:line="29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Cost of revenue for the six months ended June 30, 2023 was £2.5 million of expense compared to a credit of £0.4 million for the six months ended June 30, 2022.</w:t>
      </w:r>
    </w:p>
    <w:p>
      <w:pPr>
        <w:spacing w:after="0" w:line="170"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Cost of revenue for the six months ended June 30, 2023 principally comprised an accrued payment of £1.7 million in relation to our 2015 agreement with Novartis, under which the Company pays a percentage of proceeds, subject to certain exceptions, and deductions for cost of £1.4 million which was deferred to be recognized in the statement of comprehensive loss when the associated costs are incurred. In the six-month period ended June 30, 2023, £0.6 million of these deductions were recognized in cost of revenue compared to £0.4 million in the six month period ended June 30, 2022.</w:t>
      </w:r>
    </w:p>
    <w:p>
      <w:pPr>
        <w:spacing w:after="0" w:line="296"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Research and development (“R&amp;D”) Expenses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following table sets forth our R&amp;D expenses by product development program for the six months ended June 30, 2023 and 2022.</w:t>
      </w:r>
    </w:p>
    <w:p>
      <w:pPr>
        <w:spacing w:after="0" w:line="255"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Six months ended June 30,</w:t>
            </w:r>
          </w:p>
        </w:tc>
        <w:tc>
          <w:tcPr>
            <w:tcW w:w="30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6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2023</w:t>
            </w:r>
          </w:p>
        </w:tc>
        <w:tc>
          <w:tcPr>
            <w:tcW w:w="1120" w:type="dxa"/>
            <w:vAlign w:val="bottom"/>
            <w:gridSpan w:val="2"/>
          </w:tcPr>
          <w:p>
            <w:pPr>
              <w:jc w:val="right"/>
              <w:ind w:right="176"/>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2"/>
                <w:szCs w:val="12"/>
                <w:color w:val="auto"/>
              </w:rPr>
            </w:pPr>
          </w:p>
        </w:tc>
        <w:tc>
          <w:tcPr>
            <w:tcW w:w="54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£’000</w:t>
            </w:r>
          </w:p>
        </w:tc>
        <w:tc>
          <w:tcPr>
            <w:tcW w:w="260" w:type="dxa"/>
            <w:vAlign w:val="bottom"/>
            <w:vMerge w:val="restart"/>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3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£’000</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Setrusumab (BPS-804)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Alvelestat (MPH-966)</w:t>
            </w:r>
          </w:p>
        </w:tc>
        <w:tc>
          <w:tcPr>
            <w:tcW w:w="620" w:type="dxa"/>
            <w:vAlign w:val="bottom"/>
          </w:tcPr>
          <w:p>
            <w:pPr>
              <w:jc w:val="right"/>
              <w:spacing w:after="0"/>
              <w:rPr>
                <w:sz w:val="20"/>
                <w:szCs w:val="20"/>
                <w:color w:val="auto"/>
              </w:rPr>
            </w:pPr>
            <w:r>
              <w:rPr>
                <w:rFonts w:ascii="Arial" w:cs="Arial" w:eastAsia="Arial" w:hAnsi="Arial"/>
                <w:sz w:val="18"/>
                <w:szCs w:val="18"/>
                <w:color w:val="auto"/>
              </w:rPr>
              <w:t>2,700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3,561</w:t>
            </w:r>
          </w:p>
        </w:tc>
        <w:tc>
          <w:tcPr>
            <w:tcW w:w="1100" w:type="dxa"/>
            <w:vAlign w:val="bottom"/>
            <w:gridSpan w:val="3"/>
          </w:tcPr>
          <w:p>
            <w:pPr>
              <w:jc w:val="right"/>
              <w:ind w:right="181"/>
              <w:spacing w:after="0"/>
              <w:rPr>
                <w:sz w:val="20"/>
                <w:szCs w:val="20"/>
                <w:color w:val="auto"/>
              </w:rPr>
            </w:pPr>
            <w:r>
              <w:rPr>
                <w:rFonts w:ascii="Arial" w:cs="Arial" w:eastAsia="Arial" w:hAnsi="Arial"/>
                <w:sz w:val="18"/>
                <w:szCs w:val="18"/>
                <w:color w:val="auto"/>
              </w:rPr>
              <w:t>(861)</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Etigilimab</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110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(4,405)</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Leflutrozole (BGS-649)</w:t>
            </w: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Acumapimod (BCT-197)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10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Unallocated costs</w:t>
            </w:r>
          </w:p>
        </w:tc>
        <w:tc>
          <w:tcPr>
            <w:tcW w:w="620" w:type="dxa"/>
            <w:vAlign w:val="bottom"/>
          </w:tcPr>
          <w:p>
            <w:pPr>
              <w:jc w:val="right"/>
              <w:spacing w:after="0"/>
              <w:rPr>
                <w:sz w:val="20"/>
                <w:szCs w:val="20"/>
                <w:color w:val="auto"/>
              </w:rPr>
            </w:pPr>
            <w:r>
              <w:rPr>
                <w:rFonts w:ascii="Arial" w:cs="Arial" w:eastAsia="Arial" w:hAnsi="Arial"/>
                <w:sz w:val="18"/>
                <w:szCs w:val="18"/>
                <w:color w:val="auto"/>
              </w:rPr>
              <w:t>386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b w:val="1"/>
                <w:bCs w:val="1"/>
                <w:color w:val="auto"/>
              </w:rPr>
              <w:t>Total R&amp;D expenses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7,898</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13,322</w:t>
            </w: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(5,424</w:t>
            </w:r>
          </w:p>
        </w:tc>
        <w:tc>
          <w:tcPr>
            <w:tcW w:w="260" w:type="dxa"/>
            <w:vAlign w:val="bottom"/>
          </w:tcPr>
          <w:p>
            <w:pPr>
              <w:jc w:val="right"/>
              <w:ind w:right="181"/>
              <w:spacing w:after="0"/>
              <w:rPr>
                <w:sz w:val="20"/>
                <w:szCs w:val="20"/>
                <w:color w:val="auto"/>
              </w:rPr>
            </w:pPr>
            <w:r>
              <w:rPr>
                <w:rFonts w:ascii="Arial" w:cs="Arial" w:eastAsia="Arial" w:hAnsi="Arial"/>
                <w:sz w:val="8"/>
                <w:szCs w:val="8"/>
                <w:b w:val="1"/>
                <w:bCs w:val="1"/>
                <w:color w:val="auto"/>
                <w:w w:val="73"/>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24" w:hanging="224"/>
        <w:spacing w:after="0"/>
        <w:tabs>
          <w:tab w:leader="none" w:pos="224"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Percentage change not meaningful</w:t>
      </w:r>
    </w:p>
    <w:p>
      <w:pPr>
        <w:spacing w:after="0" w:line="225"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Total R&amp;D expenses decreased by £5.4 million, or 41%, from £13.3 million for the six months ended June 30, 2022 to £7.9 million for the six months ended June 30, 2023.</w:t>
      </w:r>
    </w:p>
    <w:p>
      <w:pPr>
        <w:spacing w:after="0" w:line="170"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R&amp;D expenses relating to etigilimab decreased by £4.4 million. The decrease was primarily due to the winding down of the open label Phase 1b/2 basket study in combination with an anti-PD-1 in a range of tumor types. R&amp;D expenses relating to alvelestat decreased by £0.9 million. R&amp;D expenses for the six-month periods ended June 30, 2023 and 2022 were primarily related to activities associated with the preparation for the Phase 3 study of alvelestat, including CMC and drug formulation activities, and costs associated with the completion of the Phase 2 proof-of-concept study in AATD-LD, respectively. R&amp;D expenses relating to setrusumab decreased by £0.4 million due to timing of activities.</w:t>
      </w:r>
    </w:p>
    <w:p>
      <w:pPr>
        <w:spacing w:after="0" w:line="284"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Administrative expenses</w:t>
      </w:r>
    </w:p>
    <w:p>
      <w:pPr>
        <w:spacing w:after="0" w:line="117" w:lineRule="exact"/>
        <w:rPr>
          <w:sz w:val="20"/>
          <w:szCs w:val="20"/>
          <w:color w:val="auto"/>
        </w:rPr>
      </w:pPr>
    </w:p>
    <w:p>
      <w:pPr>
        <w:ind w:left="4" w:right="260" w:firstLine="440"/>
        <w:spacing w:after="0" w:line="342" w:lineRule="auto"/>
        <w:rPr>
          <w:sz w:val="20"/>
          <w:szCs w:val="20"/>
          <w:color w:val="auto"/>
        </w:rPr>
      </w:pPr>
      <w:r>
        <w:rPr>
          <w:rFonts w:ascii="Arial" w:cs="Arial" w:eastAsia="Arial" w:hAnsi="Arial"/>
          <w:sz w:val="16"/>
          <w:szCs w:val="16"/>
          <w:color w:val="auto"/>
        </w:rPr>
        <w:t>Administrative expenses increased by £0.7 million, or 8%, from £8.8 million for the six months ended June 30, 2022 to £9.5 million for the six months ended June 30, 2023. This increase was principally due to professional fees associated with various corporate transactions in the period.</w:t>
      </w:r>
    </w:p>
    <w:p>
      <w:pPr>
        <w:spacing w:after="0" w:line="232"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Other operating income</w:t>
      </w:r>
    </w:p>
    <w:p>
      <w:pPr>
        <w:spacing w:after="0" w:line="117" w:lineRule="exact"/>
        <w:rPr>
          <w:sz w:val="20"/>
          <w:szCs w:val="20"/>
          <w:color w:val="auto"/>
        </w:rPr>
      </w:pPr>
    </w:p>
    <w:p>
      <w:pPr>
        <w:jc w:val="both"/>
        <w:ind w:left="4" w:right="640" w:firstLine="440"/>
        <w:spacing w:after="0" w:line="342" w:lineRule="auto"/>
        <w:rPr>
          <w:sz w:val="20"/>
          <w:szCs w:val="20"/>
          <w:color w:val="auto"/>
        </w:rPr>
      </w:pPr>
      <w:r>
        <w:rPr>
          <w:rFonts w:ascii="Arial" w:cs="Arial" w:eastAsia="Arial" w:hAnsi="Arial"/>
          <w:sz w:val="16"/>
          <w:szCs w:val="16"/>
          <w:color w:val="auto"/>
        </w:rPr>
        <w:t>In the six months ended June 30, 2023, the Company received a payment of £2.9 million from its depositary for reimbursement of certain expenses incurred by the Company in respect of its ADR program in the current and prior years pursuant to the agreement between both parties.</w:t>
      </w:r>
    </w:p>
    <w:p>
      <w:pPr>
        <w:spacing w:after="0" w:line="232"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Finance income and costs</w:t>
      </w:r>
    </w:p>
    <w:p>
      <w:pPr>
        <w:spacing w:after="0" w:line="11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Total finance costs decreased by £0.4 million, or 20%, from £1.9 million for the six months ended June 30, 2022 to £1.5 million for the six months ended June 30, 2023. This decrease was principally due to the lower balance in the period of the loan notes issued as part of the June 2020 private placement transaction as a result of the conversion of a portion of these notes in July 2022.</w:t>
      </w:r>
    </w:p>
    <w:p>
      <w:pPr>
        <w:spacing w:after="0" w:line="184"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Finance income increased by £0.4 million from £0.2 million for the six months ended June 30, 2022 to £0.6 million for the six months ended June 30, 2023. This increase was principally due to higher interest rates on short-term deposits.</w:t>
      </w:r>
    </w:p>
    <w:p>
      <w:pPr>
        <w:sectPr>
          <w:pgSz w:w="11900" w:h="16838" w:orient="portrait"/>
          <w:cols w:equalWidth="0" w:num="1">
            <w:col w:w="11004"/>
          </w:cols>
          <w:pgMar w:left="436" w:top="274" w:right="45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Changes in fair value of financial instruments</w:t>
      </w:r>
    </w:p>
    <w:p>
      <w:pPr>
        <w:spacing w:after="0" w:line="117"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The total change in fair value of financial instruments for the six months ended June 30, 2023 was an unrealized gain of £0.4 million, a decrease of £0.8 million, or 70%, compared to a gain of £1.2 million for the six months ended June 30, 2022. The unrealized gain in both periods was primarily related to the June 2020 Private Placement warrants, which expired on June 30, 2023.</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foreign exchange (loss)/gain</w:t>
      </w:r>
    </w:p>
    <w:p>
      <w:pPr>
        <w:spacing w:after="0" w:line="117"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The net foreign exchange amount for the six months ended June 30, 2023 was a loss of £1.4 million, a decrease of £3.0 million from a gain of £1.6 million for the six months ended June 30, 2022, primarily reflecting the impact of the strengthening of the pound sterling when translating non-functional currency balances, primarily denominated in U.S. dollars.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Taxation</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The income tax benefit for the six months ended June 30, 2023 was £0.9 million, an increase of £0.2 million, or 23%, from £0.7 million for the six months ended June 30, 2022. The income tax benefit represents qualifying cash rebates receivable from the tax authorities in the jurisdictions within which we operate for eligible types of research and development activities and associated expenditure (the “R&amp;D tax credit”).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Under the current business plan and cash flow forecasts, and in consideration of our ongoing research and development efforts and our general corporate funding requirements, we anticipate that our current on-hand cash resources will extend into 2026. However, we will need additional external funding to complete our development plans and potentially commercialize selected rare disease products. We plan to fund our operations through cash on hand and a combination of non-dilutive funding sources, public or private equity or debt financings or other sources.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do not currently have any approved product candidates and have never generated any revenue from product sales. As a result, to date, we have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financed our operations primarily through the issuances of our equity securities, convertible debt and warrants. Through these offerings, we raised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$183 million (£137.9 million). We also received an upfront payment of $50 million under the license and collaboration agreement with Ultragenyx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setrusumab in 2021 and a further milestone payment of $9 million from Ultragenyx in July 2023. Additionally in July 2023, we raised a further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$12 million through an “at-the-market” offering pursuant to our Open Market Sale Agreement with Jefferies LLC.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11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table below summarizes our cash flows (used in)/from operating, investing and financing activities for the six months ended June 30, 2023 and June 30, 2022.</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7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9"/>
              </w:rPr>
              <w:t>Six months ended June 30,</w:t>
            </w:r>
          </w:p>
        </w:tc>
      </w:tr>
      <w:tr>
        <w:trPr>
          <w:trHeight w:val="148"/>
        </w:trPr>
        <w:tc>
          <w:tcPr>
            <w:tcW w:w="6620" w:type="dxa"/>
            <w:vAlign w:val="bottom"/>
          </w:tcPr>
          <w:p>
            <w:pPr>
              <w:spacing w:after="0"/>
              <w:rPr>
                <w:sz w:val="12"/>
                <w:szCs w:val="12"/>
                <w:color w:val="auto"/>
              </w:rPr>
            </w:pPr>
          </w:p>
        </w:tc>
        <w:tc>
          <w:tcPr>
            <w:tcW w:w="70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72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r>
      <w:tr>
        <w:trPr>
          <w:trHeight w:val="171"/>
        </w:trPr>
        <w:tc>
          <w:tcPr>
            <w:tcW w:w="66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£’000</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£’000</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w:t>
            </w:r>
          </w:p>
        </w:tc>
      </w:tr>
      <w:tr>
        <w:trPr>
          <w:trHeight w:val="223"/>
        </w:trPr>
        <w:tc>
          <w:tcPr>
            <w:tcW w:w="662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(14,047)</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(18,124)</w:t>
            </w:r>
          </w:p>
        </w:tc>
        <w:tc>
          <w:tcPr>
            <w:tcW w:w="100" w:type="dxa"/>
            <w:vAlign w:val="bottom"/>
          </w:tcPr>
          <w:p>
            <w:pPr>
              <w:spacing w:after="0"/>
              <w:rPr>
                <w:sz w:val="19"/>
                <w:szCs w:val="19"/>
                <w:color w:val="auto"/>
              </w:rPr>
            </w:pP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0" w:firstLine="440"/>
        <w:spacing w:after="0" w:line="342" w:lineRule="auto"/>
        <w:rPr>
          <w:sz w:val="20"/>
          <w:szCs w:val="20"/>
          <w:color w:val="auto"/>
        </w:rPr>
      </w:pPr>
      <w:r>
        <w:rPr>
          <w:rFonts w:ascii="Arial" w:cs="Arial" w:eastAsia="Arial" w:hAnsi="Arial"/>
          <w:sz w:val="16"/>
          <w:szCs w:val="16"/>
          <w:color w:val="auto"/>
        </w:rPr>
        <w:t>Net cash used in operating activities for the six months ended June 30, 2023 was £13.3 million, a decrease of £5.5 million compared to £18.8 million in 2022. This difference is principally due to expenses in the six months ended June 30, 2023 net of movements in working capital.</w:t>
      </w:r>
    </w:p>
    <w:p>
      <w:pPr>
        <w:sectPr>
          <w:pgSz w:w="11900" w:h="16838" w:orient="portrait"/>
          <w:cols w:equalWidth="0" w:num="1">
            <w:col w:w="11000"/>
          </w:cols>
          <w:pgMar w:left="440" w:top="274" w:right="45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Investing Activities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Net cash from investing activities for the six months ended June 30, 2023 was £0.1 million, a decrease of £0.8 million compared to £1.0 million in 2022. The decrease was due to the non-recurrence in 2023 of milestone payments from OncXerna following the global licensing arrangement for navicixizumab and associated payments to CVR holders in 2022, which more than offset an increase in interest earned on cash and short-term deposits, net of payments to acquire intangible assets.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cash used in financing activities for the six months ended June 30, 2023 was £0.9 million, an increase of £0.6 million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£0.3 million in 2022. The increase was principally due to the payment of £0.7 million of accrued interest on the Novartis Convertible Loan Notes.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117" w:lineRule="exact"/>
        <w:rPr>
          <w:sz w:val="20"/>
          <w:szCs w:val="20"/>
          <w:color w:val="auto"/>
        </w:rPr>
      </w:pPr>
    </w:p>
    <w:p>
      <w:pPr>
        <w:ind w:right="420" w:firstLine="440"/>
        <w:spacing w:after="0" w:line="286" w:lineRule="auto"/>
        <w:rPr>
          <w:sz w:val="20"/>
          <w:szCs w:val="20"/>
          <w:color w:val="auto"/>
        </w:rPr>
      </w:pPr>
      <w:r>
        <w:rPr>
          <w:rFonts w:ascii="Arial" w:cs="Arial" w:eastAsia="Arial" w:hAnsi="Arial"/>
          <w:sz w:val="17"/>
          <w:szCs w:val="17"/>
          <w:color w:val="auto"/>
        </w:rPr>
        <w:t>As of June 30, 2023, we had an accumulated loss of £342.2 million. We expect to continue to report significant operating losses for the foreseeable future as we continue our research and development efforts and potentially seek regulatory approval of our product candidates and any future product we develop. See also “Risk Factors—Risks Related to Our Business and Industry” in our Annual Report.</w:t>
      </w:r>
    </w:p>
    <w:p>
      <w:pPr>
        <w:spacing w:after="0" w:line="165" w:lineRule="exact"/>
        <w:rPr>
          <w:sz w:val="20"/>
          <w:szCs w:val="20"/>
          <w:color w:val="auto"/>
        </w:rPr>
      </w:pPr>
    </w:p>
    <w:p>
      <w:pPr>
        <w:ind w:right="540" w:firstLine="440"/>
        <w:spacing w:after="0" w:line="311" w:lineRule="auto"/>
        <w:rPr>
          <w:sz w:val="20"/>
          <w:szCs w:val="20"/>
          <w:color w:val="auto"/>
        </w:rPr>
      </w:pPr>
      <w:r>
        <w:rPr>
          <w:rFonts w:ascii="Arial" w:cs="Arial" w:eastAsia="Arial" w:hAnsi="Arial"/>
          <w:sz w:val="16"/>
          <w:szCs w:val="16"/>
          <w:color w:val="auto"/>
        </w:rPr>
        <w:t>We expect to continue to incur our expenses in connection with our ongoing development activities related to our product candidates, our outsourced manufacturing activities and other associated costs including the management of our intellectual property portfolio. We also expect to continue to incur costs associated with operating as a U.S. public company listed on Nasdaq. These costs will increase further if or when we:</w:t>
      </w:r>
    </w:p>
    <w:p>
      <w:pPr>
        <w:spacing w:after="0" w:line="54"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develop additional product candidates;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completes clinical trials;</w:t>
      </w:r>
    </w:p>
    <w:p>
      <w:pPr>
        <w:spacing w:after="0" w:line="130" w:lineRule="exact"/>
        <w:rPr>
          <w:rFonts w:ascii="Arial" w:cs="Arial" w:eastAsia="Arial" w:hAnsi="Arial"/>
          <w:sz w:val="18"/>
          <w:szCs w:val="18"/>
          <w:color w:val="auto"/>
        </w:rPr>
      </w:pPr>
    </w:p>
    <w:p>
      <w:pPr>
        <w:ind w:left="960" w:right="600" w:hanging="532"/>
        <w:spacing w:after="0" w:line="342"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potentially establish a sales, marketing, and distribution infrastructure and scale-up manufacturing capabilities to commercialize or co-commercialize any product candidates for which we may obtain regulatory approval and chose to commercialize directly;</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intellectual property portfolio;</w:t>
      </w:r>
    </w:p>
    <w:p>
      <w:pPr>
        <w:spacing w:after="0" w:line="130"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further central clinical, scientific, operational, financial and management information systems, and personnel, including personnel to support our development and to support our operations as a U.S. public company listed on Nasdaq;</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lose our foreign private issuer status in the future; or</w:t>
      </w:r>
    </w:p>
    <w:p>
      <w:pPr>
        <w:spacing w:after="0" w:line="130" w:lineRule="exact"/>
        <w:rPr>
          <w:rFonts w:ascii="Arial" w:cs="Arial" w:eastAsia="Arial" w:hAnsi="Arial"/>
          <w:sz w:val="18"/>
          <w:szCs w:val="18"/>
          <w:color w:val="auto"/>
        </w:rPr>
      </w:pPr>
    </w:p>
    <w:p>
      <w:pPr>
        <w:ind w:left="960" w:right="260" w:hanging="53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170"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We expect that our existing cash and short-term deposits will enable us to fund our currently committed clinical trials, operating expenses and capital expenditure requirements into 2026.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70" w:lineRule="exact"/>
        <w:rPr>
          <w:sz w:val="20"/>
          <w:szCs w:val="20"/>
          <w:color w:val="auto"/>
        </w:rPr>
      </w:pPr>
    </w:p>
    <w:p>
      <w:pPr>
        <w:ind w:left="960" w:right="26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for our activities related to our ongoing collaboration with Ultragenyx for setrusumab for the treatment of adults and children with OI; and potential future clinical trials for alvelestat in AATD and other potential indications;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manufacturing clinical supplies of our product candidates;</w:t>
      </w:r>
    </w:p>
    <w:p>
      <w:pPr>
        <w:spacing w:after="0" w:line="130"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75"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amount of revenue, if any, received from commercial sales of our product candidates;</w:t>
      </w:r>
    </w:p>
    <w:p>
      <w:pPr>
        <w:sectPr>
          <w:pgSz w:w="11900" w:h="16838" w:orient="portrait"/>
          <w:cols w:equalWidth="0" w:num="1">
            <w:col w:w="10980"/>
          </w:cols>
          <w:pgMar w:left="440" w:top="274" w:right="479" w:bottom="1440" w:gutter="0" w:footer="0" w:header="0"/>
        </w:sectPr>
      </w:pPr>
    </w:p>
    <w:bookmarkStart w:id="25" w:name="page26"/>
    <w:bookmarkEnd w:id="25"/>
    <w:p>
      <w:pPr>
        <w:jc w:val="both"/>
        <w:ind w:left="960" w:right="180" w:hanging="532"/>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sales price and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competitors and market developments;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of our collaborators and partners under the existing agreements on setrusumab and navicixizumab;</w:t>
      </w:r>
    </w:p>
    <w:p>
      <w:pPr>
        <w:spacing w:after="0" w:line="130" w:lineRule="exact"/>
        <w:rPr>
          <w:rFonts w:ascii="Arial" w:cs="Arial" w:eastAsia="Arial" w:hAnsi="Arial"/>
          <w:sz w:val="18"/>
          <w:szCs w:val="18"/>
          <w:color w:val="auto"/>
        </w:rPr>
      </w:pPr>
    </w:p>
    <w:p>
      <w:pPr>
        <w:ind w:left="960" w:right="260" w:hanging="532"/>
        <w:spacing w:after="0" w:line="308"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51" w:lineRule="exact"/>
        <w:rPr>
          <w:rFonts w:ascii="Arial" w:cs="Arial" w:eastAsia="Arial" w:hAnsi="Arial"/>
          <w:sz w:val="17"/>
          <w:szCs w:val="17"/>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milestone and deferred payments under Mereo’s license and option agreement with AstraZeneca;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liabilities or other assessments and our ability to claim R&amp;D tax credits or other reliefs.</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Our revenues, if any, will be derived from development, regulatory or other milestones, or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184"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Adequate additional funds may not be available to us on acceptable terms, or at all. 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w:t>
      </w:r>
    </w:p>
    <w:p>
      <w:pPr>
        <w:spacing w:after="0" w:line="165"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may be diluted, and the terms of these securities may include liquidation or other preferences that adversely affect your rights as a shareholder. If we are unable to raise additional funds through partnerships, debt or equity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ectPr>
          <w:pgSz w:w="11900" w:h="16838" w:orient="portrait"/>
          <w:cols w:equalWidth="0" w:num="1">
            <w:col w:w="10920"/>
          </w:cols>
          <w:pgMar w:left="440" w:top="274" w:right="539" w:bottom="1440" w:gutter="0" w:footer="0" w:header="0"/>
        </w:sectPr>
      </w:pPr>
    </w:p>
    <w:bookmarkStart w:id="26" w:name="page27"/>
    <w:bookmarkEnd w:id="26"/>
    <w:p>
      <w:pPr>
        <w:ind w:left="10080"/>
        <w:spacing w:after="0"/>
        <w:rPr>
          <w:sz w:val="20"/>
          <w:szCs w:val="20"/>
          <w:color w:val="auto"/>
        </w:rPr>
      </w:pPr>
      <w:r>
        <w:rPr>
          <w:rFonts w:ascii="Arial" w:cs="Arial" w:eastAsia="Arial" w:hAnsi="Arial"/>
          <w:sz w:val="16"/>
          <w:szCs w:val="16"/>
          <w:b w:val="1"/>
          <w:bCs w:val="1"/>
          <w:color w:val="auto"/>
        </w:rPr>
        <w:t>Exhibit 99.3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Reports Interim Financial Results for the Six Months Ended June 30, 2023 and Provides Corporate Update</w:t>
      </w:r>
    </w:p>
    <w:p>
      <w:pPr>
        <w:spacing w:after="0" w:line="225"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b w:val="1"/>
          <w:bCs w:val="1"/>
          <w:color w:val="auto"/>
        </w:rPr>
        <w:t xml:space="preserve">London, September 7, 2023 </w:t>
      </w:r>
      <w:r>
        <w:rPr>
          <w:rFonts w:ascii="Arial" w:cs="Arial" w:eastAsia="Arial" w:hAnsi="Arial"/>
          <w:sz w:val="18"/>
          <w:szCs w:val="18"/>
          <w:color w:val="auto"/>
        </w:rPr>
        <w:t>- Mereo BioPharma Group plc (NASDAQ: MREO) (“Mereo” or the “Company”), a clinical-stage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rare diseases, today announced its unaudited interim financial results for the six months ended June 30, 2023 and provided an update on recent corporate highlights.</w:t>
      </w:r>
    </w:p>
    <w:p>
      <w:pPr>
        <w:spacing w:after="0" w:line="18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first half of 2023 was highlighted by significant updates on each of our lead rare disease programs, as we announced, alongside our partner Ultragenyx, positive data from the dose-selection Phase 2 portion of the Phase 2/3 Orbit study of setrusumab in osteogenesis imperfecta (OI), and we received regulatory guidance around the pivotal study design for alvelestat in Alpha-1 Antitrypsin Deficiency-Associated Lung Disease (AATD-LD),” said Dr. Denise Scots-Knight, Chief Executive Officer of Mereo. “With the two Phase 3 setrusumab studies underway, which triggered a $9 million milestone payment from Ultragenyx, and with continued progress being made on the alvelestat program, we believe we are well positioned with several important potentially value creating inflection points expected in the coming quarters. With cash and short-term deposits of $53.1 million (£42.1 million) as of June 30, 2023, and with the subsequent milestone payment from our partner Ultragenyx, plus the sale of common stock under our at-the-market offering program, we continue to expect that we have sufficient runway to fund operations into 2026.”</w:t>
      </w:r>
    </w:p>
    <w:p>
      <w:pPr>
        <w:spacing w:after="0" w:line="269" w:lineRule="exact"/>
        <w:rPr>
          <w:sz w:val="20"/>
          <w:szCs w:val="20"/>
          <w:color w:val="auto"/>
        </w:rPr>
      </w:pPr>
    </w:p>
    <w:p>
      <w:pPr>
        <w:ind w:right="5140"/>
        <w:spacing w:after="0" w:line="385" w:lineRule="auto"/>
        <w:rPr>
          <w:sz w:val="20"/>
          <w:szCs w:val="20"/>
          <w:color w:val="auto"/>
        </w:rPr>
      </w:pPr>
      <w:r>
        <w:rPr>
          <w:rFonts w:ascii="Arial" w:cs="Arial" w:eastAsia="Arial" w:hAnsi="Arial"/>
          <w:sz w:val="18"/>
          <w:szCs w:val="18"/>
          <w:b w:val="1"/>
          <w:bCs w:val="1"/>
          <w:color w:val="auto"/>
        </w:rPr>
        <w:t>First Half 2023 Highlights, Recent Developments and Anticipated Milestones Setrusumab (UX143)</w:t>
      </w:r>
    </w:p>
    <w:p>
      <w:pPr>
        <w:spacing w:after="0" w:line="1" w:lineRule="exact"/>
        <w:rPr>
          <w:sz w:val="20"/>
          <w:szCs w:val="20"/>
          <w:color w:val="auto"/>
        </w:rPr>
      </w:pPr>
    </w:p>
    <w:p>
      <w:pPr>
        <w:ind w:left="960" w:right="20" w:hanging="424"/>
        <w:spacing w:after="0" w:line="25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our partner Ultragenyx, we reported positive data from the Phase 2 portion of the Phase 2/3 Orbit study of setrusumab in OI patients aged five to &lt;26 years old. Setrusumab demonstrated statistically significant increases in levels of serum P1NP, a sensitive marker of bone formation, and a substantial and significant improvement in bone mineral density (BMD) by 3 months in these pediatric patients. All 24 patients are now enrolled in a Phase 2 open-label extension study, with additional data expected to be shared by Ultragenyx in mid-October 2023.</w:t>
      </w:r>
    </w:p>
    <w:p>
      <w:pPr>
        <w:spacing w:after="0" w:line="93" w:lineRule="exact"/>
        <w:rPr>
          <w:rFonts w:ascii="Arial" w:cs="Arial" w:eastAsia="Arial" w:hAnsi="Arial"/>
          <w:sz w:val="18"/>
          <w:szCs w:val="18"/>
          <w:color w:val="auto"/>
        </w:rPr>
      </w:pPr>
    </w:p>
    <w:p>
      <w:pPr>
        <w:ind w:left="960" w:right="300" w:hanging="424"/>
        <w:spacing w:after="0" w:line="342"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Ultragenyx dosed the first patients in both registrational trials evaluating setrusumab in pediatric and young adult patients with OI – the Phase 3 portion of the Orbit study in patients aged 5 to &lt;26 years old and the Phase 3 Cosmic study in patients aged 2 to &lt;7 years old.</w:t>
      </w:r>
    </w:p>
    <w:p>
      <w:pPr>
        <w:spacing w:after="0" w:line="29" w:lineRule="exact"/>
        <w:rPr>
          <w:rFonts w:ascii="Arial" w:cs="Arial" w:eastAsia="Arial" w:hAnsi="Arial"/>
          <w:sz w:val="16"/>
          <w:szCs w:val="16"/>
          <w:color w:val="auto"/>
        </w:rPr>
      </w:pPr>
    </w:p>
    <w:p>
      <w:pPr>
        <w:ind w:left="960" w:right="40" w:hanging="424"/>
        <w:spacing w:after="0" w:line="26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Survey, a research initiative led by the Osteogenesis Imperfecta Federation Europe (OIFE), the OI Foundation and Mereo exploring the impact of OI on people’s lives, will publish additional data over the next several months. The survey was designed to capture data supporting the availability of potential future treatments for OI.</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Alvelestat (MPH-966)</w:t>
      </w:r>
    </w:p>
    <w:p>
      <w:pPr>
        <w:spacing w:after="0" w:line="135" w:lineRule="exact"/>
        <w:rPr>
          <w:sz w:val="20"/>
          <w:szCs w:val="20"/>
          <w:color w:val="auto"/>
        </w:rPr>
      </w:pPr>
    </w:p>
    <w:p>
      <w:pPr>
        <w:ind w:left="960" w:right="300" w:hanging="424"/>
        <w:spacing w:after="0" w:line="286"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received clear guidance from the U.S. Food and Drug Administration (FDA) and European Medicines Agency (EMA) that a single, global, 12-18 month placebo-controlled Phase 3 study in approximately 200 patients, if successful, could be sufficient to support full marketing approvals of alvelestat for AATD-LD in both the United States (U.S.) and European Union (EU).</w:t>
      </w:r>
    </w:p>
    <w:p>
      <w:pPr>
        <w:spacing w:after="0" w:line="70" w:lineRule="exact"/>
        <w:rPr>
          <w:rFonts w:ascii="Arial" w:cs="Arial" w:eastAsia="Arial" w:hAnsi="Arial"/>
          <w:sz w:val="17"/>
          <w:szCs w:val="17"/>
          <w:color w:val="auto"/>
        </w:rPr>
      </w:pPr>
    </w:p>
    <w:p>
      <w:pPr>
        <w:jc w:val="both"/>
        <w:ind w:left="960" w:right="140" w:hanging="424"/>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independent primary endpoints of the proposed Phase 3 study are the change in a Patient-Reported Outcome (PRO) as guided by the FDA, which is proposed to be the St. George’s Respiratory Questionnaire (SGRQ) Activity domain, and change in lung density measured by CT scan, as guided by the EMA.</w:t>
      </w:r>
    </w:p>
    <w:p>
      <w:pPr>
        <w:spacing w:after="0" w:line="89" w:lineRule="exact"/>
        <w:rPr>
          <w:rFonts w:ascii="Arial" w:cs="Arial" w:eastAsia="Arial" w:hAnsi="Arial"/>
          <w:sz w:val="18"/>
          <w:szCs w:val="18"/>
          <w:color w:val="auto"/>
        </w:rPr>
      </w:pPr>
    </w:p>
    <w:p>
      <w:pPr>
        <w:ind w:left="960" w:right="40" w:hanging="424"/>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Two abstracts were presented in an oral and a poster session, respectively, at the American Thoracic Society (ATS) 2023 annual meeting in May 2023.</w:t>
      </w:r>
    </w:p>
    <w:p>
      <w:pPr>
        <w:sectPr>
          <w:pgSz w:w="11900" w:h="16838" w:orient="portrait"/>
          <w:cols w:equalWidth="0" w:num="1">
            <w:col w:w="11020"/>
          </w:cols>
          <w:pgMar w:left="440" w:top="121" w:right="439" w:bottom="1440" w:gutter="0" w:footer="0" w:header="0"/>
        </w:sectPr>
      </w:pPr>
    </w:p>
    <w:bookmarkStart w:id="27" w:name="page28"/>
    <w:bookmarkEnd w:id="27"/>
    <w:p>
      <w:pPr>
        <w:ind w:left="960" w:right="660" w:hanging="424"/>
        <w:spacing w:after="0" w:line="308"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Data from the ongoing placebo-controlled Phase 2 investigator-led study in AATD-LD (ATALANTa), studying the 120mg dose of alvelestat including in patients who may be on augmentation therapy, is expected in the coming weeks.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Etigilimab (MPH-313)</w:t>
      </w:r>
    </w:p>
    <w:p>
      <w:pPr>
        <w:spacing w:after="0" w:line="256" w:lineRule="exact"/>
        <w:rPr>
          <w:sz w:val="20"/>
          <w:szCs w:val="20"/>
          <w:color w:val="auto"/>
        </w:rPr>
      </w:pPr>
    </w:p>
    <w:p>
      <w:pPr>
        <w:ind w:left="960" w:hanging="424"/>
        <w:spacing w:after="0" w:line="279"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Phase 1b portion of the ACTIVATE open-label trial investigating etigilimab (anti-TIGIT) in combination with nivolumab has been completed. The basket study enrolled 76 patients in a range of tumor types not typically responsive to anti-PD(L)-1 monotherapy including gynecologic and rare tumors. Preliminary efficacy data, showing that some patients achieved clinical benefit associated with prolonged duration on study, supports continued evaluation in tumor types not typically responsive to anti-PD(L)1 monotherapy.</w:t>
      </w:r>
    </w:p>
    <w:p>
      <w:pPr>
        <w:spacing w:after="0" w:line="194" w:lineRule="exact"/>
        <w:rPr>
          <w:rFonts w:ascii="Arial" w:cs="Arial" w:eastAsia="Arial" w:hAnsi="Arial"/>
          <w:sz w:val="17"/>
          <w:szCs w:val="17"/>
          <w:color w:val="auto"/>
        </w:rPr>
      </w:pPr>
    </w:p>
    <w:p>
      <w:pPr>
        <w:ind w:left="960" w:hanging="424"/>
        <w:spacing w:after="0" w:line="26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abstract entitled “Safety and efficacy of etigilimab with nivolumab in select recurrent/advanced solid tumors</w:t>
      </w:r>
      <w:r>
        <w:rPr>
          <w:rFonts w:ascii="Arial" w:cs="Arial" w:eastAsia="Arial" w:hAnsi="Arial"/>
          <w:sz w:val="18"/>
          <w:szCs w:val="18"/>
          <w:b w:val="1"/>
          <w:bCs w:val="1"/>
          <w:color w:val="auto"/>
        </w:rPr>
        <w:t>”</w:t>
      </w:r>
      <w:r>
        <w:rPr>
          <w:rFonts w:ascii="Arial" w:cs="Arial" w:eastAsia="Arial" w:hAnsi="Arial"/>
          <w:sz w:val="18"/>
          <w:szCs w:val="18"/>
          <w:color w:val="auto"/>
        </w:rPr>
        <w:t xml:space="preserve"> has been accepted for a mini-oral presentation at the upcoming European Society for Medical Oncology (ESMO) Annual Meeting, being held October 20-24, 2023 in Madrid, Spain.</w:t>
      </w:r>
    </w:p>
    <w:p>
      <w:pPr>
        <w:spacing w:after="0" w:line="206" w:lineRule="exact"/>
        <w:rPr>
          <w:rFonts w:ascii="Arial" w:cs="Arial" w:eastAsia="Arial" w:hAnsi="Arial"/>
          <w:sz w:val="18"/>
          <w:szCs w:val="18"/>
          <w:color w:val="auto"/>
        </w:rPr>
      </w:pPr>
    </w:p>
    <w:p>
      <w:pPr>
        <w:ind w:left="960" w:right="240" w:hanging="424"/>
        <w:spacing w:after="0" w:line="259"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Etigilimab, in combination with nivolumab, is also being studied in an ongoing investigator-led single-arm, two-stage, open-label Phase 1b/2 trial in a subtype of platinum-resistant recurrent ovarian cancer (clear cell ovarian cancer) at The MD Anderson Cancer Center, financed by the Cancer Focus Fund with the next stage being the expected expansion of enrollment from the initial 10 patients to 20 patients.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Half 2023 Financial Results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Revenue was £7.1 million ($9.0 million) for the six months ended June 30, 2023, representing a one-time milestone payment upon dosing of the first patient in the Phase 3 portion of the Orbit study in patients aged five to under 26 in accordance with the collaboration and license agreement with Ultragenyx. This payment was received in July 2023.</w:t>
      </w:r>
    </w:p>
    <w:p>
      <w:pPr>
        <w:spacing w:after="0" w:line="18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Total research and development expenses decreased by £5.4 million, or 41%, from £13.3 million for the six months ended June 30, 2022 to £7.9 million for the six months ended June 30, 2023. R&amp;D expenses relating to etigilimab decreased by £4.4 million. The decrease was primarily due to the winding down of the open label Phase 1b/2 basket study in combination with an anti-PD-1 in a range of tumor types. R&amp;D expenses relating to alvelestat decreased by £0.9 million. R&amp;D expenses for the six-month periods ended June 30, 2023 and 2022 were primarily related to activities associated with the preparation for the Phase 3 study of alvelestat including CMC and drug formulation activities, and costs associated with the completion of the Phase 2 proof-of-concept study in AATD-LD, respectively. R&amp;D expenses relating to setrusumab decreased by £0.4 million due to timing of activities.</w:t>
      </w:r>
    </w:p>
    <w:p>
      <w:pPr>
        <w:spacing w:after="0" w:line="16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Administrative expenses increased by £0.7 million, or 8%, from £8.8 million for the six months ended June 30, 2022 to £9.5 million for the six months ended June 30, 2023. This increase was principally due to professional fees associated with various corporate transactions in the period.</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loss attributable to equity holders for the six months ended June 30, 2023 was £11.0 million, compared to £19.2 million during the comparable period in 2022, primarily reflecting an operating loss of £9.9 million and net foreign exchange loss of £1.4 million.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June 30, 2023, the Company had cash and short-term deposits of £42.1 million ($53.1 million). In July 2023, the Company received a $9.0 million (£7.1 million) milestone payment from its partner, Ultragenyx and gross proceeds of $12.0 million (£9.3 million) through an “at-the-market” offering pursuant to an Open Market Sale Agreement with Jefferies LLC.</w:t>
      </w:r>
    </w:p>
    <w:p>
      <w:pPr>
        <w:sectPr>
          <w:pgSz w:w="11900" w:h="16838" w:orient="portrait"/>
          <w:cols w:equalWidth="0" w:num="1">
            <w:col w:w="11000"/>
          </w:cols>
          <w:pgMar w:left="440" w:top="274" w:right="459" w:bottom="1440" w:gutter="0" w:footer="0" w:header="0"/>
        </w:sectPr>
      </w:pPr>
    </w:p>
    <w:bookmarkStart w:id="28" w:name="page29"/>
    <w:bookmarkEnd w:id="28"/>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Company’s guidance remains unchanged at this point, and it continues to expect that its existing cash and short-term deposits will enable it to fund its currently committed clinical trials, operating expenses and capital expenditure requirements into 2026.</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ordinary shares outstanding at August 31, 2023 were 701,217,089. Total ADS equivalents at August 31, 2023 were 140,176,617, with each ADS representing five ordinary shares of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Mereo BioPharma is a biopharmaceutical company focused on the development of innovative therapeutics for rare diseases. The Company has two rare disease product candidates, setrusumab for the treatment of osteogenesis imperfecta (OI) and alvelestat primarily for the treatment of severe alpha-1-antitrypsin deficiency-associated lung disease (AATD-LD). The Company’s partner, Ultragenyx Pharmaceutical, Inc., has initiated a pivotal Phase 2/3 pediatric study in young adults (5 to &lt;26 years old) for setrusumab in OI and a Phase 3 study in pediatric patients (2 to &lt;7 years old) in the first half of 2023. The partnership with Ultragenyx includes potential milestone payments of up to $245 million (following the recent $9 million milestone) and royalties to Mereo on commercial sales in Ultragenyx territories. Mereo has retained EU and UK commercial rights and will pay Ultragenyx royalties on commercial sales in those territories. Setrusumab has received orphan designation for osteogenesis imperfecta from the EMA and FDA, PRIME designation from the EMA and has pediatric disease designation from the FDA. Alvelestat has received U.S. Orphan Drug Designation for the treatment of AATD, Fast Track designation from the FDA, and positive data were reported from a Phase 2 proof-of-concept study in North America, Europe and the UK. In addition to the rare disease programs, Mereo has two oncology product candidates in clinical development. Etigilimab (anti-TIGIT) has completed a Phase 1b/2 basket study evaluating its safety and efficacy in combination with an anti-PD-1 in a range of tumor types including three rare tumors and three gynecological carcinomas—cervical, ovarian, and endometrial and is an ongoing Phase 1b/2 investigator led study at the MD Anderson Cancer Center in clear cell ovarian cancer; Navicixizumab, for the treatment of late line ovarian cancer, has completed a Phase 1 study and has been partnered with OncXerna Therapeutics, Inc. in a global licensing agreement that includes payments of up to $300 million in milestones and royalties.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press release contains “forward-looking statements,” including the Company’s expectations regarding its proposed Phase 3 study evaluating a single dose of alvelestat versus placebo, the expectations regarding a study in pediatric patients evaluating setrusumab, and the Company’s pipeline of product candidates. All statements other than statements of historical fact contained in this press release are forward-looking statements within the meaning of Section 27A of the U.S Securities Act of 1933, as amended, and Section 21E of the U.S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 All of the Company’s forward-looking statements involve known and unknown risks and uncertainties some of which are significant or beyond its control and assumptions that could cause</w:t>
      </w:r>
    </w:p>
    <w:p>
      <w:pPr>
        <w:sectPr>
          <w:pgSz w:w="11900" w:h="16838" w:orient="portrait"/>
          <w:cols w:equalWidth="0" w:num="1">
            <w:col w:w="11000"/>
          </w:cols>
          <w:pgMar w:left="440" w:top="274" w:right="459" w:bottom="1440" w:gutter="0" w:footer="0" w:header="0"/>
        </w:sectPr>
      </w:pPr>
    </w:p>
    <w:bookmarkStart w:id="29" w:name="page30"/>
    <w:bookmarkEnd w:id="29"/>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enrolment of patients in its clinical trials; and the Company’s dependence on its key executives.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2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324"/>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Arial" w:cs="Arial" w:eastAsia="Arial" w:hAnsi="Arial"/>
                <w:sz w:val="18"/>
                <w:szCs w:val="18"/>
                <w:color w:val="auto"/>
              </w:rPr>
              <w:t>Christine Fox, Chief Financial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646 930 4406</w:t>
            </w:r>
          </w:p>
        </w:tc>
      </w:tr>
      <w:tr>
        <w:trPr>
          <w:trHeight w:val="324"/>
        </w:trPr>
        <w:tc>
          <w:tcPr>
            <w:tcW w:w="5740" w:type="dxa"/>
            <w:vAlign w:val="bottom"/>
          </w:tcPr>
          <w:p>
            <w:pPr>
              <w:spacing w:after="0"/>
              <w:rPr>
                <w:sz w:val="20"/>
                <w:szCs w:val="20"/>
                <w:color w:val="auto"/>
              </w:rPr>
            </w:pPr>
            <w:r>
              <w:rPr>
                <w:rFonts w:ascii="Arial" w:cs="Arial" w:eastAsia="Arial" w:hAnsi="Arial"/>
                <w:sz w:val="18"/>
                <w:szCs w:val="18"/>
                <w:color w:val="auto"/>
              </w:rPr>
              <w:t>Lee Roth</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3"/>
        </w:trPr>
        <w:tc>
          <w:tcPr>
            <w:tcW w:w="574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investors@mereobiopharma.com</w:t>
            </w:r>
          </w:p>
        </w:tc>
      </w:tr>
    </w:tbl>
    <w:p>
      <w:pPr>
        <w:sectPr>
          <w:pgSz w:w="11900" w:h="16838" w:orient="portrait"/>
          <w:cols w:equalWidth="0" w:num="1">
            <w:col w:w="10980"/>
          </w:cols>
          <w:pgMar w:left="440" w:top="274"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Consolidated Statements of Comprehensive Loss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Six months ended</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48"/>
        </w:trPr>
        <w:tc>
          <w:tcPr>
            <w:tcW w:w="8020" w:type="dxa"/>
            <w:vAlign w:val="bottom"/>
          </w:tcPr>
          <w:p>
            <w:pPr>
              <w:spacing w:after="0"/>
              <w:rPr>
                <w:sz w:val="12"/>
                <w:szCs w:val="12"/>
                <w:color w:val="auto"/>
              </w:rPr>
            </w:pPr>
          </w:p>
        </w:tc>
        <w:tc>
          <w:tcPr>
            <w:tcW w:w="180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June 30,</w:t>
            </w: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8020" w:type="dxa"/>
            <w:vAlign w:val="bottom"/>
          </w:tcPr>
          <w:p>
            <w:pPr>
              <w:spacing w:after="0"/>
              <w:rPr>
                <w:sz w:val="12"/>
                <w:szCs w:val="12"/>
                <w:color w:val="auto"/>
              </w:rPr>
            </w:pPr>
          </w:p>
        </w:tc>
        <w:tc>
          <w:tcPr>
            <w:tcW w:w="1100" w:type="dxa"/>
            <w:vAlign w:val="bottom"/>
          </w:tcPr>
          <w:p>
            <w:pPr>
              <w:jc w:val="right"/>
              <w:ind w:right="313"/>
              <w:spacing w:after="0" w:line="149" w:lineRule="exact"/>
              <w:rPr>
                <w:sz w:val="20"/>
                <w:szCs w:val="20"/>
                <w:color w:val="auto"/>
              </w:rPr>
            </w:pPr>
            <w:r>
              <w:rPr>
                <w:rFonts w:ascii="Arial" w:cs="Arial" w:eastAsia="Arial" w:hAnsi="Arial"/>
                <w:sz w:val="14"/>
                <w:szCs w:val="14"/>
                <w:b w:val="1"/>
                <w:bCs w:val="1"/>
                <w:color w:val="auto"/>
              </w:rPr>
              <w:t>2023</w:t>
            </w:r>
          </w:p>
        </w:tc>
        <w:tc>
          <w:tcPr>
            <w:tcW w:w="700" w:type="dxa"/>
            <w:vAlign w:val="bottom"/>
          </w:tcPr>
          <w:p>
            <w:pPr>
              <w:spacing w:after="0"/>
              <w:rPr>
                <w:sz w:val="12"/>
                <w:szCs w:val="12"/>
                <w:color w:val="auto"/>
              </w:rPr>
            </w:pPr>
          </w:p>
        </w:tc>
        <w:tc>
          <w:tcPr>
            <w:tcW w:w="1080" w:type="dxa"/>
            <w:vAlign w:val="bottom"/>
          </w:tcPr>
          <w:p>
            <w:pPr>
              <w:jc w:val="right"/>
              <w:ind w:right="313"/>
              <w:spacing w:after="0" w:line="149"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6"/>
              </w:rPr>
              <w:t>£’000</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209"/>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7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Cost of revenue</w:t>
            </w: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(2,455)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(7,898)</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(13,322)</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(9,548)</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2,864</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(9,909)</w:t>
            </w:r>
          </w:p>
        </w:tc>
        <w:tc>
          <w:tcPr>
            <w:tcW w:w="70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550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Finance costs</w:t>
            </w: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(1,498)</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Changes in the fair value of financial instruments</w:t>
            </w: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365</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Net foreign exchange (loss)/gain</w:t>
            </w: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(1,445)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(11,937)</w:t>
            </w:r>
          </w:p>
        </w:tc>
        <w:tc>
          <w:tcPr>
            <w:tcW w:w="70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907</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b w:val="1"/>
                <w:bCs w:val="1"/>
                <w:color w:val="auto"/>
              </w:rPr>
              <w:t>Loss for the period, attributable to equity holders of the parent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(11,030)</w:t>
            </w:r>
          </w:p>
        </w:tc>
        <w:tc>
          <w:tcPr>
            <w:tcW w:w="70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Items that may be reclassified subsequently to profit or loss: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Currency translation of foreign operations</w:t>
            </w: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1,493</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 attributable to equity holders of the parent</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(9,537)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(20,933)</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Basic loss per share for the period (in £)</w:t>
            </w:r>
          </w:p>
        </w:tc>
        <w:tc>
          <w:tcPr>
            <w:tcW w:w="11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vMerge w:val="continue"/>
          </w:tcPr>
          <w:p>
            <w:pPr>
              <w:spacing w:after="0"/>
              <w:rPr>
                <w:sz w:val="19"/>
                <w:szCs w:val="19"/>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(0.02)</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 for the period (in £)</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(0.02)</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Consolidated 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December 31,</w:t>
            </w:r>
          </w:p>
        </w:tc>
      </w:tr>
      <w:tr>
        <w:trPr>
          <w:trHeight w:val="148"/>
        </w:trPr>
        <w:tc>
          <w:tcPr>
            <w:tcW w:w="9140" w:type="dxa"/>
            <w:vAlign w:val="bottom"/>
          </w:tcPr>
          <w:p>
            <w:pPr>
              <w:spacing w:after="0"/>
              <w:rPr>
                <w:sz w:val="12"/>
                <w:szCs w:val="12"/>
                <w:color w:val="auto"/>
              </w:rPr>
            </w:pPr>
          </w:p>
        </w:tc>
        <w:tc>
          <w:tcPr>
            <w:tcW w:w="700" w:type="dxa"/>
            <w:vAlign w:val="bottom"/>
          </w:tcPr>
          <w:p>
            <w:pPr>
              <w:jc w:val="right"/>
              <w:ind w:right="111"/>
              <w:spacing w:after="0" w:line="149"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840" w:type="dxa"/>
            <w:vAlign w:val="bottom"/>
          </w:tcPr>
          <w:p>
            <w:pPr>
              <w:jc w:val="right"/>
              <w:ind w:right="191"/>
              <w:spacing w:after="0" w:line="149"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r>
      <w:tr>
        <w:trPr>
          <w:trHeight w:val="171"/>
        </w:trPr>
        <w:tc>
          <w:tcPr>
            <w:tcW w:w="9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£’000</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£’000</w:t>
            </w:r>
          </w:p>
        </w:tc>
      </w:tr>
      <w:tr>
        <w:trPr>
          <w:trHeight w:val="196"/>
        </w:trPr>
        <w:tc>
          <w:tcPr>
            <w:tcW w:w="9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1,831</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Intangible assets</w:t>
            </w:r>
          </w:p>
        </w:tc>
        <w:tc>
          <w:tcPr>
            <w:tcW w:w="700" w:type="dxa"/>
            <w:vAlign w:val="bottom"/>
          </w:tcPr>
          <w:p>
            <w:pPr>
              <w:jc w:val="right"/>
              <w:spacing w:after="0"/>
              <w:rPr>
                <w:sz w:val="20"/>
                <w:szCs w:val="20"/>
                <w:color w:val="auto"/>
              </w:rPr>
            </w:pPr>
            <w:r>
              <w:rPr>
                <w:rFonts w:ascii="Arial" w:cs="Arial" w:eastAsia="Arial" w:hAnsi="Arial"/>
                <w:sz w:val="18"/>
                <w:szCs w:val="18"/>
                <w:color w:val="auto"/>
              </w:rPr>
              <w:t>24,845</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24,116</w:t>
            </w:r>
          </w:p>
        </w:tc>
      </w:tr>
      <w:tr>
        <w:trPr>
          <w:trHeight w:val="27"/>
        </w:trPr>
        <w:tc>
          <w:tcPr>
            <w:tcW w:w="9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26,410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25,947</w:t>
            </w:r>
          </w:p>
        </w:tc>
      </w:tr>
      <w:tr>
        <w:trPr>
          <w:trHeight w:val="223"/>
        </w:trPr>
        <w:tc>
          <w:tcPr>
            <w:tcW w:w="91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3,125</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R&amp;D tax credits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2,203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1,296</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taxes receivable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7,893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762</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deposits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42,113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56,334</w:t>
            </w:r>
          </w:p>
        </w:tc>
      </w:tr>
      <w:tr>
        <w:trPr>
          <w:trHeight w:val="230"/>
        </w:trPr>
        <w:tc>
          <w:tcPr>
            <w:tcW w:w="9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54,228</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62,131</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80,638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88,078</w:t>
            </w:r>
          </w:p>
        </w:tc>
      </w:tr>
      <w:tr>
        <w:trPr>
          <w:trHeight w:val="223"/>
        </w:trPr>
        <w:tc>
          <w:tcPr>
            <w:tcW w:w="9140" w:type="dxa"/>
            <w:vAlign w:val="bottom"/>
          </w:tcPr>
          <w:p>
            <w:pPr>
              <w:spacing w:after="0"/>
              <w:rPr>
                <w:sz w:val="20"/>
                <w:szCs w:val="20"/>
                <w:color w:val="auto"/>
              </w:rPr>
            </w:pPr>
            <w:r>
              <w:rPr>
                <w:rFonts w:ascii="Arial" w:cs="Arial" w:eastAsia="Arial" w:hAnsi="Arial"/>
                <w:sz w:val="18"/>
                <w:szCs w:val="18"/>
                <w:b w:val="1"/>
                <w:bCs w:val="1"/>
                <w:color w:val="auto"/>
              </w:rPr>
              <w:t>Equity and liabilities</w:t>
            </w: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Provisions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notes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Warrant liability</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1,222</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Other liabilities</w:t>
            </w:r>
          </w:p>
        </w:tc>
        <w:tc>
          <w:tcPr>
            <w:tcW w:w="70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r>
      <w:tr>
        <w:trPr>
          <w:trHeight w:val="27"/>
        </w:trPr>
        <w:tc>
          <w:tcPr>
            <w:tcW w:w="9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1,533</w:t>
            </w:r>
          </w:p>
        </w:tc>
      </w:tr>
      <w:tr>
        <w:trPr>
          <w:trHeight w:val="223"/>
        </w:trPr>
        <w:tc>
          <w:tcPr>
            <w:tcW w:w="91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3,078</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Accruals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4,786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4,491</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4,822</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Convertible loan notes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4,186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11,085</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Lease liability</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r>
      <w:tr>
        <w:trPr>
          <w:trHeight w:val="230"/>
        </w:trPr>
        <w:tc>
          <w:tcPr>
            <w:tcW w:w="9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17,458</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24,677</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22,893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26,210</w:t>
            </w:r>
          </w:p>
        </w:tc>
      </w:tr>
      <w:tr>
        <w:trPr>
          <w:trHeight w:val="230"/>
        </w:trPr>
        <w:tc>
          <w:tcPr>
            <w:tcW w:w="91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57,745</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61,868</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Issued capital</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1,930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1,875</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257,343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254,303</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Other capital reserves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134,999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132,680</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Trust shares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(1,058)</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Other reserves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7,401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7,401</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(342,194)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(331,164)</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Translation reserve</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(676)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(2,169)</w:t>
            </w:r>
          </w:p>
        </w:tc>
      </w:tr>
      <w:tr>
        <w:trPr>
          <w:trHeight w:val="27"/>
        </w:trPr>
        <w:tc>
          <w:tcPr>
            <w:tcW w:w="9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57,745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61,868</w:t>
            </w:r>
          </w:p>
        </w:tc>
      </w:tr>
      <w:tr>
        <w:trPr>
          <w:trHeight w:val="20"/>
        </w:trPr>
        <w:tc>
          <w:tcPr>
            <w:tcW w:w="9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9"/>
    </w:lvl>
    <w:lvl w:ilvl="1">
      <w:lvlJc w:val="left"/>
      <w:lvlText w:val="•"/>
      <w:numFmt w:val="bullet"/>
      <w:start w:val="1"/>
    </w:lvl>
  </w:abstractNum>
  <w:abstractNum w:abstractNumId="3">
    <w:nsid w:val="4DB127F8"/>
    <w:multiLevelType w:val="hybridMultilevel"/>
    <w:lvl w:ilvl="0">
      <w:lvlJc w:val="left"/>
      <w:lvlText w:val="%1."/>
      <w:numFmt w:val="decimal"/>
      <w:start w:val="15"/>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2023-09-07T06:41:18Z</dcterms:created>
  <dcterms:modified xsi:type="dcterms:W3CDTF">2023-09-07T06:41:18Z</dcterms:modified>
</cp:coreProperties>
</file>