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May,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Submission of Matters to a Vote of Security Holders.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22, 2023, Mereo BioPharma Group plc (the “Company”) held its 2023 Annual General Meeting of Shareholders (the “AGM”), and all resolutions were passed as proposed. Of the ordinary shares entitled to vote, there were 330,665,256 ordinary shares represented in person or by proxy at the AGM. The matters voted upon at the AGM, and the final results of such voting are set forth below. A “vote withheld” is not a vote in law and votes withheld had no effect on the proposals.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Resolution 1</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That the Company’s annual report and accounts for the financial year ended December 31, 2022, together with the directors’ report and independent auditor’s report thereon, be received and adopted.</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References in Resolution 1 above to the Company’s annual report are to the Company’s U.K. annual report for the year ended December 31, 2022. The Company’s annual financial statements, the directors’ report and the independent auditor’s report for the financial year ended December 31, 2022 were sent to and/or made available to shareholders from March 28, 2023 and can be accessed at www.mereobiopharma.com/investors/results-reports-and-presentation which is an inactive textual reference only and no part of such website is incorporated herein by reference.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Vote for</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2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Votes against</w:t>
            </w:r>
          </w:p>
        </w:tc>
        <w:tc>
          <w:tcPr>
            <w:tcW w:w="14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Votes withheld</w:t>
            </w:r>
          </w:p>
        </w:tc>
      </w:tr>
      <w:tr>
        <w:trPr>
          <w:trHeight w:val="224"/>
        </w:trPr>
        <w:tc>
          <w:tcPr>
            <w:tcW w:w="1980" w:type="dxa"/>
            <w:vAlign w:val="bottom"/>
          </w:tcPr>
          <w:p>
            <w:pPr>
              <w:jc w:val="right"/>
              <w:ind w:right="459"/>
              <w:spacing w:after="0"/>
              <w:rPr>
                <w:sz w:val="20"/>
                <w:szCs w:val="20"/>
                <w:color w:val="auto"/>
              </w:rPr>
            </w:pPr>
            <w:r>
              <w:rPr>
                <w:rFonts w:ascii="Arial" w:cs="Arial" w:eastAsia="Arial" w:hAnsi="Arial"/>
                <w:sz w:val="18"/>
                <w:szCs w:val="18"/>
                <w:color w:val="auto"/>
              </w:rPr>
              <w:t>321,403,756</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97.48%</w:t>
            </w:r>
          </w:p>
        </w:tc>
        <w:tc>
          <w:tcPr>
            <w:tcW w:w="100" w:type="dxa"/>
            <w:vAlign w:val="bottom"/>
          </w:tcPr>
          <w:p>
            <w:pPr>
              <w:spacing w:after="0"/>
              <w:rPr>
                <w:sz w:val="19"/>
                <w:szCs w:val="19"/>
                <w:color w:val="auto"/>
              </w:rPr>
            </w:pPr>
          </w:p>
        </w:tc>
        <w:tc>
          <w:tcPr>
            <w:tcW w:w="2200" w:type="dxa"/>
            <w:vAlign w:val="bottom"/>
          </w:tcPr>
          <w:p>
            <w:pPr>
              <w:ind w:left="760"/>
              <w:spacing w:after="0"/>
              <w:rPr>
                <w:sz w:val="20"/>
                <w:szCs w:val="20"/>
                <w:color w:val="auto"/>
              </w:rPr>
            </w:pPr>
            <w:r>
              <w:rPr>
                <w:rFonts w:ascii="Arial" w:cs="Arial" w:eastAsia="Arial" w:hAnsi="Arial"/>
                <w:sz w:val="18"/>
                <w:szCs w:val="18"/>
                <w:color w:val="auto"/>
              </w:rPr>
              <w:t>8,321,255</w:t>
            </w:r>
          </w:p>
        </w:tc>
        <w:tc>
          <w:tcPr>
            <w:tcW w:w="140" w:type="dxa"/>
            <w:vAlign w:val="bottom"/>
          </w:tcPr>
          <w:p>
            <w:pPr>
              <w:spacing w:after="0"/>
              <w:rPr>
                <w:sz w:val="19"/>
                <w:szCs w:val="19"/>
                <w:color w:val="auto"/>
              </w:rPr>
            </w:pPr>
          </w:p>
        </w:tc>
        <w:tc>
          <w:tcPr>
            <w:tcW w:w="2200" w:type="dxa"/>
            <w:vAlign w:val="bottom"/>
          </w:tcPr>
          <w:p>
            <w:pPr>
              <w:jc w:val="right"/>
              <w:ind w:right="799"/>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940,245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Resolution 2</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That BDO LLP be re-appointed as auditors to hold office from the conclusion of the AGM until the conclusion of the next Annual General Meeting at which the Company’s annual report and accounts are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Vote for</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Votes against</w:t>
            </w:r>
          </w:p>
        </w:tc>
        <w:tc>
          <w:tcPr>
            <w:tcW w:w="14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Votes withheld</w:t>
            </w:r>
          </w:p>
        </w:tc>
      </w:tr>
      <w:tr>
        <w:trPr>
          <w:trHeight w:val="230"/>
        </w:trPr>
        <w:tc>
          <w:tcPr>
            <w:tcW w:w="1980" w:type="dxa"/>
            <w:vAlign w:val="bottom"/>
          </w:tcPr>
          <w:p>
            <w:pPr>
              <w:jc w:val="right"/>
              <w:ind w:right="459"/>
              <w:spacing w:after="0"/>
              <w:rPr>
                <w:sz w:val="20"/>
                <w:szCs w:val="20"/>
                <w:color w:val="auto"/>
              </w:rPr>
            </w:pPr>
            <w:r>
              <w:rPr>
                <w:rFonts w:ascii="Arial" w:cs="Arial" w:eastAsia="Arial" w:hAnsi="Arial"/>
                <w:sz w:val="18"/>
                <w:szCs w:val="18"/>
                <w:color w:val="auto"/>
              </w:rPr>
              <w:t>321,994,556</w:t>
            </w:r>
          </w:p>
        </w:tc>
        <w:tc>
          <w:tcPr>
            <w:tcW w:w="100" w:type="dxa"/>
            <w:vAlign w:val="bottom"/>
          </w:tcPr>
          <w:p>
            <w:pPr>
              <w:spacing w:after="0"/>
              <w:rPr>
                <w:sz w:val="20"/>
                <w:szCs w:val="20"/>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97.51%</w:t>
            </w:r>
          </w:p>
        </w:tc>
        <w:tc>
          <w:tcPr>
            <w:tcW w:w="100" w:type="dxa"/>
            <w:vAlign w:val="bottom"/>
          </w:tcPr>
          <w:p>
            <w:pPr>
              <w:spacing w:after="0"/>
              <w:rPr>
                <w:sz w:val="20"/>
                <w:szCs w:val="20"/>
                <w:color w:val="auto"/>
              </w:rPr>
            </w:pPr>
          </w:p>
        </w:tc>
        <w:tc>
          <w:tcPr>
            <w:tcW w:w="2200" w:type="dxa"/>
            <w:vAlign w:val="bottom"/>
          </w:tcPr>
          <w:p>
            <w:pPr>
              <w:ind w:left="760"/>
              <w:spacing w:after="0"/>
              <w:rPr>
                <w:sz w:val="20"/>
                <w:szCs w:val="20"/>
                <w:color w:val="auto"/>
              </w:rPr>
            </w:pPr>
            <w:r>
              <w:rPr>
                <w:rFonts w:ascii="Arial" w:cs="Arial" w:eastAsia="Arial" w:hAnsi="Arial"/>
                <w:sz w:val="18"/>
                <w:szCs w:val="18"/>
                <w:color w:val="auto"/>
              </w:rPr>
              <w:t>8,235,780</w:t>
            </w:r>
          </w:p>
        </w:tc>
        <w:tc>
          <w:tcPr>
            <w:tcW w:w="140" w:type="dxa"/>
            <w:vAlign w:val="bottom"/>
          </w:tcPr>
          <w:p>
            <w:pPr>
              <w:spacing w:after="0"/>
              <w:rPr>
                <w:sz w:val="20"/>
                <w:szCs w:val="20"/>
                <w:color w:val="auto"/>
              </w:rPr>
            </w:pPr>
          </w:p>
        </w:tc>
        <w:tc>
          <w:tcPr>
            <w:tcW w:w="2200" w:type="dxa"/>
            <w:vAlign w:val="bottom"/>
          </w:tcPr>
          <w:p>
            <w:pPr>
              <w:jc w:val="right"/>
              <w:ind w:right="799"/>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439,920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Resolution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the directors of the Company be authorized to determine BDO LLP’s remuneration.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Vote for</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Votes against</w:t>
            </w:r>
          </w:p>
        </w:tc>
        <w:tc>
          <w:tcPr>
            <w:tcW w:w="14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Votes withheld</w:t>
            </w:r>
          </w:p>
        </w:tc>
      </w:tr>
      <w:tr>
        <w:trPr>
          <w:trHeight w:val="224"/>
        </w:trPr>
        <w:tc>
          <w:tcPr>
            <w:tcW w:w="1980" w:type="dxa"/>
            <w:vAlign w:val="bottom"/>
          </w:tcPr>
          <w:p>
            <w:pPr>
              <w:jc w:val="right"/>
              <w:ind w:right="459"/>
              <w:spacing w:after="0"/>
              <w:rPr>
                <w:sz w:val="20"/>
                <w:szCs w:val="20"/>
                <w:color w:val="auto"/>
              </w:rPr>
            </w:pPr>
            <w:r>
              <w:rPr>
                <w:rFonts w:ascii="Arial" w:cs="Arial" w:eastAsia="Arial" w:hAnsi="Arial"/>
                <w:sz w:val="18"/>
                <w:szCs w:val="18"/>
                <w:color w:val="auto"/>
              </w:rPr>
              <w:t>319,730,521</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96.88%</w:t>
            </w:r>
          </w:p>
        </w:tc>
        <w:tc>
          <w:tcPr>
            <w:tcW w:w="100" w:type="dxa"/>
            <w:vAlign w:val="bottom"/>
          </w:tcPr>
          <w:p>
            <w:pPr>
              <w:spacing w:after="0"/>
              <w:rPr>
                <w:sz w:val="19"/>
                <w:szCs w:val="19"/>
                <w:color w:val="auto"/>
              </w:rPr>
            </w:pPr>
          </w:p>
        </w:tc>
        <w:tc>
          <w:tcPr>
            <w:tcW w:w="2200" w:type="dxa"/>
            <w:vAlign w:val="bottom"/>
          </w:tcPr>
          <w:p>
            <w:pPr>
              <w:jc w:val="right"/>
              <w:ind w:right="599"/>
              <w:spacing w:after="0"/>
              <w:rPr>
                <w:sz w:val="20"/>
                <w:szCs w:val="20"/>
                <w:color w:val="auto"/>
              </w:rPr>
            </w:pPr>
            <w:r>
              <w:rPr>
                <w:rFonts w:ascii="Arial" w:cs="Arial" w:eastAsia="Arial" w:hAnsi="Arial"/>
                <w:sz w:val="18"/>
                <w:szCs w:val="18"/>
                <w:color w:val="auto"/>
              </w:rPr>
              <w:t>10,281,225</w:t>
            </w:r>
          </w:p>
        </w:tc>
        <w:tc>
          <w:tcPr>
            <w:tcW w:w="140" w:type="dxa"/>
            <w:vAlign w:val="bottom"/>
          </w:tcPr>
          <w:p>
            <w:pPr>
              <w:spacing w:after="0"/>
              <w:rPr>
                <w:sz w:val="19"/>
                <w:szCs w:val="19"/>
                <w:color w:val="auto"/>
              </w:rPr>
            </w:pPr>
          </w:p>
        </w:tc>
        <w:tc>
          <w:tcPr>
            <w:tcW w:w="2200" w:type="dxa"/>
            <w:vAlign w:val="bottom"/>
          </w:tcPr>
          <w:p>
            <w:pPr>
              <w:jc w:val="right"/>
              <w:ind w:right="799"/>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653,510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Resolution 4</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That the directors’ remuneration report (excluding the directors’ remuneration policy, set out on pages 21 to 30 of the directors’ remuneration report), as set out in the Company’s annual report and accounts for the financial year ended December 31, 2022, be approved.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Vote for</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Votes against</w:t>
            </w:r>
          </w:p>
        </w:tc>
        <w:tc>
          <w:tcPr>
            <w:tcW w:w="14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Votes withheld</w:t>
            </w:r>
          </w:p>
        </w:tc>
      </w:tr>
      <w:tr>
        <w:trPr>
          <w:trHeight w:val="224"/>
        </w:trPr>
        <w:tc>
          <w:tcPr>
            <w:tcW w:w="1980" w:type="dxa"/>
            <w:vAlign w:val="bottom"/>
          </w:tcPr>
          <w:p>
            <w:pPr>
              <w:jc w:val="right"/>
              <w:ind w:right="459"/>
              <w:spacing w:after="0"/>
              <w:rPr>
                <w:sz w:val="20"/>
                <w:szCs w:val="20"/>
                <w:color w:val="auto"/>
              </w:rPr>
            </w:pPr>
            <w:r>
              <w:rPr>
                <w:rFonts w:ascii="Arial" w:cs="Arial" w:eastAsia="Arial" w:hAnsi="Arial"/>
                <w:sz w:val="18"/>
                <w:szCs w:val="18"/>
                <w:color w:val="auto"/>
              </w:rPr>
              <w:t>288,674,726</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87.48%</w:t>
            </w:r>
          </w:p>
        </w:tc>
        <w:tc>
          <w:tcPr>
            <w:tcW w:w="100" w:type="dxa"/>
            <w:vAlign w:val="bottom"/>
          </w:tcPr>
          <w:p>
            <w:pPr>
              <w:spacing w:after="0"/>
              <w:rPr>
                <w:sz w:val="19"/>
                <w:szCs w:val="19"/>
                <w:color w:val="auto"/>
              </w:rPr>
            </w:pPr>
          </w:p>
        </w:tc>
        <w:tc>
          <w:tcPr>
            <w:tcW w:w="2200" w:type="dxa"/>
            <w:vAlign w:val="bottom"/>
          </w:tcPr>
          <w:p>
            <w:pPr>
              <w:jc w:val="right"/>
              <w:ind w:right="599"/>
              <w:spacing w:after="0"/>
              <w:rPr>
                <w:sz w:val="20"/>
                <w:szCs w:val="20"/>
                <w:color w:val="auto"/>
              </w:rPr>
            </w:pPr>
            <w:r>
              <w:rPr>
                <w:rFonts w:ascii="Arial" w:cs="Arial" w:eastAsia="Arial" w:hAnsi="Arial"/>
                <w:sz w:val="18"/>
                <w:szCs w:val="18"/>
                <w:color w:val="auto"/>
              </w:rPr>
              <w:t>41,332,110</w:t>
            </w:r>
          </w:p>
        </w:tc>
        <w:tc>
          <w:tcPr>
            <w:tcW w:w="140" w:type="dxa"/>
            <w:vAlign w:val="bottom"/>
          </w:tcPr>
          <w:p>
            <w:pPr>
              <w:spacing w:after="0"/>
              <w:rPr>
                <w:sz w:val="19"/>
                <w:szCs w:val="19"/>
                <w:color w:val="auto"/>
              </w:rPr>
            </w:pPr>
          </w:p>
        </w:tc>
        <w:tc>
          <w:tcPr>
            <w:tcW w:w="2200" w:type="dxa"/>
            <w:vAlign w:val="bottom"/>
          </w:tcPr>
          <w:p>
            <w:pPr>
              <w:jc w:val="right"/>
              <w:ind w:right="759"/>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668,420</w:t>
            </w:r>
          </w:p>
        </w:tc>
      </w:tr>
    </w:tbl>
    <w:p>
      <w:pPr>
        <w:sectPr>
          <w:pgSz w:w="11900" w:h="16838" w:orient="portrait"/>
          <w:cols w:equalWidth="0" w:num="1">
            <w:col w:w="11020"/>
          </w:cols>
          <w:pgMar w:left="440" w:top="486"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Resolution 5</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That the directors’ remuneration policy set out on pages 21 to 30 of the directors’ remuneration report, as set out in the Company’s annual report and accounts for the financial year ended December 31, 2022, be approved.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Vote for</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Votes against</w:t>
            </w:r>
          </w:p>
        </w:tc>
        <w:tc>
          <w:tcPr>
            <w:tcW w:w="14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Votes withheld</w:t>
            </w:r>
          </w:p>
        </w:tc>
      </w:tr>
      <w:tr>
        <w:trPr>
          <w:trHeight w:val="224"/>
        </w:trPr>
        <w:tc>
          <w:tcPr>
            <w:tcW w:w="1980" w:type="dxa"/>
            <w:vAlign w:val="bottom"/>
          </w:tcPr>
          <w:p>
            <w:pPr>
              <w:jc w:val="right"/>
              <w:ind w:right="459"/>
              <w:spacing w:after="0"/>
              <w:rPr>
                <w:sz w:val="20"/>
                <w:szCs w:val="20"/>
                <w:color w:val="auto"/>
              </w:rPr>
            </w:pPr>
            <w:r>
              <w:rPr>
                <w:rFonts w:ascii="Arial" w:cs="Arial" w:eastAsia="Arial" w:hAnsi="Arial"/>
                <w:sz w:val="18"/>
                <w:szCs w:val="18"/>
                <w:color w:val="auto"/>
              </w:rPr>
              <w:t>276,586,051</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83.81%</w:t>
            </w:r>
          </w:p>
        </w:tc>
        <w:tc>
          <w:tcPr>
            <w:tcW w:w="100" w:type="dxa"/>
            <w:vAlign w:val="bottom"/>
          </w:tcPr>
          <w:p>
            <w:pPr>
              <w:spacing w:after="0"/>
              <w:rPr>
                <w:sz w:val="19"/>
                <w:szCs w:val="19"/>
                <w:color w:val="auto"/>
              </w:rPr>
            </w:pPr>
          </w:p>
        </w:tc>
        <w:tc>
          <w:tcPr>
            <w:tcW w:w="2200" w:type="dxa"/>
            <w:vAlign w:val="bottom"/>
          </w:tcPr>
          <w:p>
            <w:pPr>
              <w:jc w:val="right"/>
              <w:ind w:right="599"/>
              <w:spacing w:after="0"/>
              <w:rPr>
                <w:sz w:val="20"/>
                <w:szCs w:val="20"/>
                <w:color w:val="auto"/>
              </w:rPr>
            </w:pPr>
            <w:r>
              <w:rPr>
                <w:rFonts w:ascii="Arial" w:cs="Arial" w:eastAsia="Arial" w:hAnsi="Arial"/>
                <w:sz w:val="18"/>
                <w:szCs w:val="18"/>
                <w:color w:val="auto"/>
              </w:rPr>
              <w:t>53,425,295</w:t>
            </w:r>
          </w:p>
        </w:tc>
        <w:tc>
          <w:tcPr>
            <w:tcW w:w="140" w:type="dxa"/>
            <w:vAlign w:val="bottom"/>
          </w:tcPr>
          <w:p>
            <w:pPr>
              <w:spacing w:after="0"/>
              <w:rPr>
                <w:sz w:val="19"/>
                <w:szCs w:val="19"/>
                <w:color w:val="auto"/>
              </w:rPr>
            </w:pPr>
          </w:p>
        </w:tc>
        <w:tc>
          <w:tcPr>
            <w:tcW w:w="2200" w:type="dxa"/>
            <w:vAlign w:val="bottom"/>
          </w:tcPr>
          <w:p>
            <w:pPr>
              <w:jc w:val="right"/>
              <w:ind w:right="759"/>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653,910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Resolution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Dr. Annalisa Jenkins be re-appointed as a director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Vote for</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Votes against</w:t>
            </w:r>
          </w:p>
        </w:tc>
        <w:tc>
          <w:tcPr>
            <w:tcW w:w="14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Votes withheld</w:t>
            </w:r>
          </w:p>
        </w:tc>
      </w:tr>
      <w:tr>
        <w:trPr>
          <w:trHeight w:val="230"/>
        </w:trPr>
        <w:tc>
          <w:tcPr>
            <w:tcW w:w="1980" w:type="dxa"/>
            <w:vAlign w:val="bottom"/>
          </w:tcPr>
          <w:p>
            <w:pPr>
              <w:jc w:val="right"/>
              <w:ind w:right="459"/>
              <w:spacing w:after="0"/>
              <w:rPr>
                <w:sz w:val="20"/>
                <w:szCs w:val="20"/>
                <w:color w:val="auto"/>
              </w:rPr>
            </w:pPr>
            <w:r>
              <w:rPr>
                <w:rFonts w:ascii="Arial" w:cs="Arial" w:eastAsia="Arial" w:hAnsi="Arial"/>
                <w:sz w:val="18"/>
                <w:szCs w:val="18"/>
                <w:color w:val="auto"/>
              </w:rPr>
              <w:t>318,076,131</w:t>
            </w:r>
          </w:p>
        </w:tc>
        <w:tc>
          <w:tcPr>
            <w:tcW w:w="100" w:type="dxa"/>
            <w:vAlign w:val="bottom"/>
          </w:tcPr>
          <w:p>
            <w:pPr>
              <w:spacing w:after="0"/>
              <w:rPr>
                <w:sz w:val="20"/>
                <w:szCs w:val="20"/>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96.45%</w:t>
            </w:r>
          </w:p>
        </w:tc>
        <w:tc>
          <w:tcPr>
            <w:tcW w:w="100" w:type="dxa"/>
            <w:vAlign w:val="bottom"/>
          </w:tcPr>
          <w:p>
            <w:pPr>
              <w:spacing w:after="0"/>
              <w:rPr>
                <w:sz w:val="20"/>
                <w:szCs w:val="20"/>
                <w:color w:val="auto"/>
              </w:rPr>
            </w:pPr>
          </w:p>
        </w:tc>
        <w:tc>
          <w:tcPr>
            <w:tcW w:w="2200" w:type="dxa"/>
            <w:vAlign w:val="bottom"/>
          </w:tcPr>
          <w:p>
            <w:pPr>
              <w:jc w:val="right"/>
              <w:ind w:right="599"/>
              <w:spacing w:after="0"/>
              <w:rPr>
                <w:sz w:val="20"/>
                <w:szCs w:val="20"/>
                <w:color w:val="auto"/>
              </w:rPr>
            </w:pPr>
            <w:r>
              <w:rPr>
                <w:rFonts w:ascii="Arial" w:cs="Arial" w:eastAsia="Arial" w:hAnsi="Arial"/>
                <w:sz w:val="18"/>
                <w:szCs w:val="18"/>
                <w:color w:val="auto"/>
              </w:rPr>
              <w:t>11,716,240</w:t>
            </w:r>
          </w:p>
        </w:tc>
        <w:tc>
          <w:tcPr>
            <w:tcW w:w="140" w:type="dxa"/>
            <w:vAlign w:val="bottom"/>
          </w:tcPr>
          <w:p>
            <w:pPr>
              <w:spacing w:after="0"/>
              <w:rPr>
                <w:sz w:val="20"/>
                <w:szCs w:val="20"/>
                <w:color w:val="auto"/>
              </w:rPr>
            </w:pPr>
          </w:p>
        </w:tc>
        <w:tc>
          <w:tcPr>
            <w:tcW w:w="2200" w:type="dxa"/>
            <w:vAlign w:val="bottom"/>
          </w:tcPr>
          <w:p>
            <w:pPr>
              <w:jc w:val="right"/>
              <w:ind w:right="799"/>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872,885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Resolution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Justin Roberts be re-appointed as a director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Vote for</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Votes against</w:t>
            </w:r>
          </w:p>
        </w:tc>
        <w:tc>
          <w:tcPr>
            <w:tcW w:w="14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Votes withheld</w:t>
            </w:r>
          </w:p>
        </w:tc>
      </w:tr>
      <w:tr>
        <w:trPr>
          <w:trHeight w:val="224"/>
        </w:trPr>
        <w:tc>
          <w:tcPr>
            <w:tcW w:w="1980" w:type="dxa"/>
            <w:vAlign w:val="bottom"/>
          </w:tcPr>
          <w:p>
            <w:pPr>
              <w:jc w:val="right"/>
              <w:ind w:right="459"/>
              <w:spacing w:after="0"/>
              <w:rPr>
                <w:sz w:val="20"/>
                <w:szCs w:val="20"/>
                <w:color w:val="auto"/>
              </w:rPr>
            </w:pPr>
            <w:r>
              <w:rPr>
                <w:rFonts w:ascii="Arial" w:cs="Arial" w:eastAsia="Arial" w:hAnsi="Arial"/>
                <w:sz w:val="18"/>
                <w:szCs w:val="18"/>
                <w:color w:val="auto"/>
              </w:rPr>
              <w:t>291,334,631</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88.33%</w:t>
            </w:r>
          </w:p>
        </w:tc>
        <w:tc>
          <w:tcPr>
            <w:tcW w:w="100" w:type="dxa"/>
            <w:vAlign w:val="bottom"/>
          </w:tcPr>
          <w:p>
            <w:pPr>
              <w:spacing w:after="0"/>
              <w:rPr>
                <w:sz w:val="19"/>
                <w:szCs w:val="19"/>
                <w:color w:val="auto"/>
              </w:rPr>
            </w:pPr>
          </w:p>
        </w:tc>
        <w:tc>
          <w:tcPr>
            <w:tcW w:w="2200" w:type="dxa"/>
            <w:vAlign w:val="bottom"/>
          </w:tcPr>
          <w:p>
            <w:pPr>
              <w:jc w:val="right"/>
              <w:ind w:right="599"/>
              <w:spacing w:after="0"/>
              <w:rPr>
                <w:sz w:val="20"/>
                <w:szCs w:val="20"/>
                <w:color w:val="auto"/>
              </w:rPr>
            </w:pPr>
            <w:r>
              <w:rPr>
                <w:rFonts w:ascii="Arial" w:cs="Arial" w:eastAsia="Arial" w:hAnsi="Arial"/>
                <w:sz w:val="18"/>
                <w:szCs w:val="18"/>
                <w:color w:val="auto"/>
              </w:rPr>
              <w:t>38,503,430</w:t>
            </w:r>
          </w:p>
        </w:tc>
        <w:tc>
          <w:tcPr>
            <w:tcW w:w="140" w:type="dxa"/>
            <w:vAlign w:val="bottom"/>
          </w:tcPr>
          <w:p>
            <w:pPr>
              <w:spacing w:after="0"/>
              <w:rPr>
                <w:sz w:val="19"/>
                <w:szCs w:val="19"/>
                <w:color w:val="auto"/>
              </w:rPr>
            </w:pPr>
          </w:p>
        </w:tc>
        <w:tc>
          <w:tcPr>
            <w:tcW w:w="2200" w:type="dxa"/>
            <w:vAlign w:val="bottom"/>
          </w:tcPr>
          <w:p>
            <w:pPr>
              <w:jc w:val="right"/>
              <w:ind w:right="759"/>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827,195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Resolution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Dr. Daniel Shames be re-appointed as a director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Vote for</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Votes against</w:t>
            </w:r>
          </w:p>
        </w:tc>
        <w:tc>
          <w:tcPr>
            <w:tcW w:w="14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Votes withheld</w:t>
            </w:r>
          </w:p>
        </w:tc>
      </w:tr>
      <w:tr>
        <w:trPr>
          <w:trHeight w:val="224"/>
        </w:trPr>
        <w:tc>
          <w:tcPr>
            <w:tcW w:w="1980" w:type="dxa"/>
            <w:vAlign w:val="bottom"/>
          </w:tcPr>
          <w:p>
            <w:pPr>
              <w:jc w:val="right"/>
              <w:ind w:right="459"/>
              <w:spacing w:after="0"/>
              <w:rPr>
                <w:sz w:val="20"/>
                <w:szCs w:val="20"/>
                <w:color w:val="auto"/>
              </w:rPr>
            </w:pPr>
            <w:r>
              <w:rPr>
                <w:rFonts w:ascii="Arial" w:cs="Arial" w:eastAsia="Arial" w:hAnsi="Arial"/>
                <w:sz w:val="18"/>
                <w:szCs w:val="18"/>
                <w:color w:val="auto"/>
              </w:rPr>
              <w:t>319,156,736</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19"/>
                <w:szCs w:val="19"/>
                <w:color w:val="auto"/>
              </w:rPr>
            </w:pPr>
          </w:p>
        </w:tc>
        <w:tc>
          <w:tcPr>
            <w:tcW w:w="2200" w:type="dxa"/>
            <w:vAlign w:val="bottom"/>
          </w:tcPr>
          <w:p>
            <w:pPr>
              <w:jc w:val="right"/>
              <w:ind w:right="599"/>
              <w:spacing w:after="0"/>
              <w:rPr>
                <w:sz w:val="20"/>
                <w:szCs w:val="20"/>
                <w:color w:val="auto"/>
              </w:rPr>
            </w:pPr>
            <w:r>
              <w:rPr>
                <w:rFonts w:ascii="Arial" w:cs="Arial" w:eastAsia="Arial" w:hAnsi="Arial"/>
                <w:sz w:val="18"/>
                <w:szCs w:val="18"/>
                <w:color w:val="auto"/>
              </w:rPr>
              <w:t>10,483,345</w:t>
            </w:r>
          </w:p>
        </w:tc>
        <w:tc>
          <w:tcPr>
            <w:tcW w:w="140" w:type="dxa"/>
            <w:vAlign w:val="bottom"/>
          </w:tcPr>
          <w:p>
            <w:pPr>
              <w:spacing w:after="0"/>
              <w:rPr>
                <w:sz w:val="19"/>
                <w:szCs w:val="19"/>
                <w:color w:val="auto"/>
              </w:rPr>
            </w:pPr>
          </w:p>
        </w:tc>
        <w:tc>
          <w:tcPr>
            <w:tcW w:w="2200" w:type="dxa"/>
            <w:vAlign w:val="bottom"/>
          </w:tcPr>
          <w:p>
            <w:pPr>
              <w:jc w:val="right"/>
              <w:ind w:right="799"/>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100" w:type="dxa"/>
            <w:vAlign w:val="bottom"/>
          </w:tcPr>
          <w:p>
            <w:pPr>
              <w:jc w:val="right"/>
              <w:ind w:right="619"/>
              <w:spacing w:after="0"/>
              <w:rPr>
                <w:sz w:val="20"/>
                <w:szCs w:val="20"/>
                <w:color w:val="auto"/>
              </w:rPr>
            </w:pPr>
            <w:r>
              <w:rPr>
                <w:rFonts w:ascii="Arial" w:cs="Arial" w:eastAsia="Arial" w:hAnsi="Arial"/>
                <w:sz w:val="18"/>
                <w:szCs w:val="18"/>
                <w:color w:val="auto"/>
              </w:rPr>
              <w:t>1,025,175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Resolution 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Marc Yoskowitz be re-appointed as a director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Vote for</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Votes against</w:t>
            </w:r>
          </w:p>
        </w:tc>
        <w:tc>
          <w:tcPr>
            <w:tcW w:w="14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Votes withheld</w:t>
            </w:r>
          </w:p>
        </w:tc>
      </w:tr>
      <w:tr>
        <w:trPr>
          <w:trHeight w:val="230"/>
        </w:trPr>
        <w:tc>
          <w:tcPr>
            <w:tcW w:w="1980" w:type="dxa"/>
            <w:vAlign w:val="bottom"/>
          </w:tcPr>
          <w:p>
            <w:pPr>
              <w:jc w:val="right"/>
              <w:ind w:right="459"/>
              <w:spacing w:after="0"/>
              <w:rPr>
                <w:sz w:val="20"/>
                <w:szCs w:val="20"/>
                <w:color w:val="auto"/>
              </w:rPr>
            </w:pPr>
            <w:r>
              <w:rPr>
                <w:rFonts w:ascii="Arial" w:cs="Arial" w:eastAsia="Arial" w:hAnsi="Arial"/>
                <w:sz w:val="18"/>
                <w:szCs w:val="18"/>
                <w:color w:val="auto"/>
              </w:rPr>
              <w:t>318,759,351</w:t>
            </w:r>
          </w:p>
        </w:tc>
        <w:tc>
          <w:tcPr>
            <w:tcW w:w="100" w:type="dxa"/>
            <w:vAlign w:val="bottom"/>
          </w:tcPr>
          <w:p>
            <w:pPr>
              <w:spacing w:after="0"/>
              <w:rPr>
                <w:sz w:val="20"/>
                <w:szCs w:val="20"/>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20"/>
                <w:szCs w:val="20"/>
                <w:color w:val="auto"/>
              </w:rPr>
            </w:pPr>
          </w:p>
        </w:tc>
        <w:tc>
          <w:tcPr>
            <w:tcW w:w="2200" w:type="dxa"/>
            <w:vAlign w:val="bottom"/>
          </w:tcPr>
          <w:p>
            <w:pPr>
              <w:jc w:val="right"/>
              <w:ind w:right="599"/>
              <w:spacing w:after="0"/>
              <w:rPr>
                <w:sz w:val="20"/>
                <w:szCs w:val="20"/>
                <w:color w:val="auto"/>
              </w:rPr>
            </w:pPr>
            <w:r>
              <w:rPr>
                <w:rFonts w:ascii="Arial" w:cs="Arial" w:eastAsia="Arial" w:hAnsi="Arial"/>
                <w:sz w:val="18"/>
                <w:szCs w:val="18"/>
                <w:color w:val="auto"/>
              </w:rPr>
              <w:t>10,903,710</w:t>
            </w:r>
          </w:p>
        </w:tc>
        <w:tc>
          <w:tcPr>
            <w:tcW w:w="140" w:type="dxa"/>
            <w:vAlign w:val="bottom"/>
          </w:tcPr>
          <w:p>
            <w:pPr>
              <w:spacing w:after="0"/>
              <w:rPr>
                <w:sz w:val="20"/>
                <w:szCs w:val="20"/>
                <w:color w:val="auto"/>
              </w:rPr>
            </w:pPr>
          </w:p>
        </w:tc>
        <w:tc>
          <w:tcPr>
            <w:tcW w:w="2200" w:type="dxa"/>
            <w:vAlign w:val="bottom"/>
          </w:tcPr>
          <w:p>
            <w:pPr>
              <w:jc w:val="right"/>
              <w:ind w:right="799"/>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2100" w:type="dxa"/>
            <w:vAlign w:val="bottom"/>
          </w:tcPr>
          <w:p>
            <w:pPr>
              <w:jc w:val="right"/>
              <w:ind w:right="619"/>
              <w:spacing w:after="0"/>
              <w:rPr>
                <w:sz w:val="20"/>
                <w:szCs w:val="20"/>
                <w:color w:val="auto"/>
              </w:rPr>
            </w:pPr>
            <w:r>
              <w:rPr>
                <w:rFonts w:ascii="Arial" w:cs="Arial" w:eastAsia="Arial" w:hAnsi="Arial"/>
                <w:sz w:val="18"/>
                <w:szCs w:val="18"/>
                <w:color w:val="auto"/>
              </w:rPr>
              <w:t>1,002,195</w:t>
            </w:r>
          </w:p>
        </w:tc>
      </w:tr>
    </w:tbl>
    <w:p>
      <w:pPr>
        <w:sectPr>
          <w:pgSz w:w="11900" w:h="16838" w:orient="portrait"/>
          <w:cols w:equalWidth="0" w:num="1">
            <w:col w:w="11020"/>
          </w:cols>
          <w:pgMar w:left="440" w:top="490"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Resolution 10</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That the Directors are authorized in accordance with section 551 of the Companies Act 2006 to allot shares in the Company and to grant rights to subscribe for or convert any security into shares in the Company up to a maximum nominal amount of £2,494,456.76, representing 133 per cent. of the aggregate nominal amount of Company’s issued share capital as at April 10, 2023. The authority set out in Resolution 10 will expire on June 30, 2026 and would replace the existing authority granted at the general meeting of the Company held on February 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Vote for</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Votes against</w:t>
            </w:r>
          </w:p>
        </w:tc>
        <w:tc>
          <w:tcPr>
            <w:tcW w:w="14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Votes withheld</w:t>
            </w:r>
          </w:p>
        </w:tc>
      </w:tr>
      <w:tr>
        <w:trPr>
          <w:trHeight w:val="224"/>
        </w:trPr>
        <w:tc>
          <w:tcPr>
            <w:tcW w:w="1980" w:type="dxa"/>
            <w:vAlign w:val="bottom"/>
          </w:tcPr>
          <w:p>
            <w:pPr>
              <w:jc w:val="right"/>
              <w:ind w:right="459"/>
              <w:spacing w:after="0"/>
              <w:rPr>
                <w:sz w:val="20"/>
                <w:szCs w:val="20"/>
                <w:color w:val="auto"/>
              </w:rPr>
            </w:pPr>
            <w:r>
              <w:rPr>
                <w:rFonts w:ascii="Arial" w:cs="Arial" w:eastAsia="Arial" w:hAnsi="Arial"/>
                <w:sz w:val="18"/>
                <w:szCs w:val="18"/>
                <w:color w:val="auto"/>
              </w:rPr>
              <w:t>272,438,021</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82.61%</w:t>
            </w:r>
          </w:p>
        </w:tc>
        <w:tc>
          <w:tcPr>
            <w:tcW w:w="100" w:type="dxa"/>
            <w:vAlign w:val="bottom"/>
          </w:tcPr>
          <w:p>
            <w:pPr>
              <w:spacing w:after="0"/>
              <w:rPr>
                <w:sz w:val="19"/>
                <w:szCs w:val="19"/>
                <w:color w:val="auto"/>
              </w:rPr>
            </w:pPr>
          </w:p>
        </w:tc>
        <w:tc>
          <w:tcPr>
            <w:tcW w:w="2200" w:type="dxa"/>
            <w:vAlign w:val="bottom"/>
          </w:tcPr>
          <w:p>
            <w:pPr>
              <w:jc w:val="right"/>
              <w:ind w:right="599"/>
              <w:spacing w:after="0"/>
              <w:rPr>
                <w:sz w:val="20"/>
                <w:szCs w:val="20"/>
                <w:color w:val="auto"/>
              </w:rPr>
            </w:pPr>
            <w:r>
              <w:rPr>
                <w:rFonts w:ascii="Arial" w:cs="Arial" w:eastAsia="Arial" w:hAnsi="Arial"/>
                <w:sz w:val="18"/>
                <w:szCs w:val="18"/>
                <w:color w:val="auto"/>
              </w:rPr>
              <w:t>57,344,490</w:t>
            </w:r>
          </w:p>
        </w:tc>
        <w:tc>
          <w:tcPr>
            <w:tcW w:w="140" w:type="dxa"/>
            <w:vAlign w:val="bottom"/>
          </w:tcPr>
          <w:p>
            <w:pPr>
              <w:spacing w:after="0"/>
              <w:rPr>
                <w:sz w:val="19"/>
                <w:szCs w:val="19"/>
                <w:color w:val="auto"/>
              </w:rPr>
            </w:pPr>
          </w:p>
        </w:tc>
        <w:tc>
          <w:tcPr>
            <w:tcW w:w="2200" w:type="dxa"/>
            <w:vAlign w:val="bottom"/>
          </w:tcPr>
          <w:p>
            <w:pPr>
              <w:jc w:val="right"/>
              <w:ind w:right="759"/>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882,745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Resolution 11</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That subject to the passing of Resolution 10, the Directors are authorized to allot shares for cash on a non-pre-emptive basis up to a maximum nominal amount of £2,494,456.76, representing 133 per cent. of the aggregate nominal amount of Company’s issued share capital as at April 10, 2023. The authority set out in Resolution 11 will expire on June 30,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Vote for</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Votes against</w:t>
            </w:r>
          </w:p>
        </w:tc>
        <w:tc>
          <w:tcPr>
            <w:tcW w:w="14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 of shares voted</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Votes withheld</w:t>
            </w:r>
          </w:p>
        </w:tc>
      </w:tr>
      <w:tr>
        <w:trPr>
          <w:trHeight w:val="230"/>
        </w:trPr>
        <w:tc>
          <w:tcPr>
            <w:tcW w:w="1980" w:type="dxa"/>
            <w:vAlign w:val="bottom"/>
          </w:tcPr>
          <w:p>
            <w:pPr>
              <w:jc w:val="right"/>
              <w:ind w:right="459"/>
              <w:spacing w:after="0"/>
              <w:rPr>
                <w:sz w:val="20"/>
                <w:szCs w:val="20"/>
                <w:color w:val="auto"/>
              </w:rPr>
            </w:pPr>
            <w:r>
              <w:rPr>
                <w:rFonts w:ascii="Arial" w:cs="Arial" w:eastAsia="Arial" w:hAnsi="Arial"/>
                <w:sz w:val="18"/>
                <w:szCs w:val="18"/>
                <w:color w:val="auto"/>
              </w:rPr>
              <w:t>272,692,731</w:t>
            </w:r>
          </w:p>
        </w:tc>
        <w:tc>
          <w:tcPr>
            <w:tcW w:w="100" w:type="dxa"/>
            <w:vAlign w:val="bottom"/>
          </w:tcPr>
          <w:p>
            <w:pPr>
              <w:spacing w:after="0"/>
              <w:rPr>
                <w:sz w:val="20"/>
                <w:szCs w:val="20"/>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20"/>
                <w:szCs w:val="20"/>
                <w:color w:val="auto"/>
              </w:rPr>
            </w:pPr>
          </w:p>
        </w:tc>
        <w:tc>
          <w:tcPr>
            <w:tcW w:w="2200" w:type="dxa"/>
            <w:vAlign w:val="bottom"/>
          </w:tcPr>
          <w:p>
            <w:pPr>
              <w:jc w:val="right"/>
              <w:ind w:right="599"/>
              <w:spacing w:after="0"/>
              <w:rPr>
                <w:sz w:val="20"/>
                <w:szCs w:val="20"/>
                <w:color w:val="auto"/>
              </w:rPr>
            </w:pPr>
            <w:r>
              <w:rPr>
                <w:rFonts w:ascii="Arial" w:cs="Arial" w:eastAsia="Arial" w:hAnsi="Arial"/>
                <w:sz w:val="18"/>
                <w:szCs w:val="18"/>
                <w:color w:val="auto"/>
              </w:rPr>
              <w:t>57,082,400</w:t>
            </w:r>
          </w:p>
        </w:tc>
        <w:tc>
          <w:tcPr>
            <w:tcW w:w="140" w:type="dxa"/>
            <w:vAlign w:val="bottom"/>
          </w:tcPr>
          <w:p>
            <w:pPr>
              <w:spacing w:after="0"/>
              <w:rPr>
                <w:sz w:val="20"/>
                <w:szCs w:val="20"/>
                <w:color w:val="auto"/>
              </w:rPr>
            </w:pPr>
          </w:p>
        </w:tc>
        <w:tc>
          <w:tcPr>
            <w:tcW w:w="2200" w:type="dxa"/>
            <w:vAlign w:val="bottom"/>
          </w:tcPr>
          <w:p>
            <w:pPr>
              <w:jc w:val="right"/>
              <w:ind w:right="759"/>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0"/>
                <w:szCs w:val="20"/>
                <w:color w:val="auto"/>
              </w:rPr>
            </w:pPr>
          </w:p>
        </w:tc>
        <w:tc>
          <w:tcPr>
            <w:tcW w:w="2100" w:type="dxa"/>
            <w:vAlign w:val="bottom"/>
          </w:tcPr>
          <w:p>
            <w:pPr>
              <w:jc w:val="right"/>
              <w:ind w:right="679"/>
              <w:spacing w:after="0"/>
              <w:rPr>
                <w:sz w:val="20"/>
                <w:szCs w:val="20"/>
                <w:color w:val="auto"/>
              </w:rPr>
            </w:pPr>
            <w:r>
              <w:rPr>
                <w:rFonts w:ascii="Arial" w:cs="Arial" w:eastAsia="Arial" w:hAnsi="Arial"/>
                <w:sz w:val="18"/>
                <w:szCs w:val="18"/>
                <w:color w:val="auto"/>
              </w:rPr>
              <w:t>890,125</w:t>
            </w:r>
          </w:p>
        </w:tc>
      </w:tr>
    </w:tbl>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Based on the foregoing votes, the shareholders re-elected each of Dr. Annalisa Jenkins, Justin Roberts, Dr. Daniel Shames and Marc Yoskowitz as directors, and approved Resolutions 1, 2, 3, 4, 5, 10 and 11.</w:t>
      </w:r>
    </w:p>
    <w:p>
      <w:pPr>
        <w:sectPr>
          <w:pgSz w:w="11900" w:h="16838" w:orient="portrait"/>
          <w:cols w:equalWidth="0" w:num="1">
            <w:col w:w="11020"/>
          </w:cols>
          <w:pgMar w:left="440" w:top="490" w:right="43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22, 2023</w:t>
      </w:r>
    </w:p>
    <w:p>
      <w:pPr>
        <w:spacing w:after="0" w:line="24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General Counsel</w:t>
      </w:r>
    </w:p>
    <w:sectPr>
      <w:pgSz w:w="11900" w:h="16838" w:orient="portrait"/>
      <w:cols w:equalWidth="0" w:num="1">
        <w:col w:w="10700"/>
      </w:cols>
      <w:pgMar w:left="440" w:top="48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2023-05-22T15:23:54Z</dcterms:created>
  <dcterms:modified xsi:type="dcterms:W3CDTF">2023-05-22T15:23:54Z</dcterms:modified>
</cp:coreProperties>
</file>