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448310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3" w:lineRule="exact"/>
        <w:rPr>
          <w:sz w:val="24"/>
          <w:szCs w:val="24"/>
          <w:color w:val="auto"/>
        </w:rPr>
      </w:pPr>
    </w:p>
    <w:p>
      <w:pPr>
        <w:ind w:left="3140" w:right="700" w:hanging="3136"/>
        <w:spacing w:after="0" w:line="298" w:lineRule="auto"/>
        <w:tabs>
          <w:tab w:leader="none" w:pos="3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8" w:lineRule="exact"/>
        <w:rPr>
          <w:sz w:val="24"/>
          <w:szCs w:val="24"/>
          <w:color w:val="auto"/>
        </w:rPr>
      </w:pPr>
    </w:p>
    <w:p>
      <w:pPr>
        <w:ind w:left="300" w:hanging="296"/>
        <w:spacing w:after="0"/>
        <w:tabs>
          <w:tab w:leader="none" w:pos="3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9720"/>
          </w:cols>
          <w:pgMar w:left="1080" w:top="225" w:right="1099" w:bottom="1440" w:gutter="0" w:footer="0" w:header="0"/>
        </w:sectPr>
      </w:pPr>
    </w:p>
    <w:p>
      <w:pPr>
        <w:spacing w:after="0" w:line="7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37" w:lineRule="exact"/>
        <w:rPr>
          <w:sz w:val="24"/>
          <w:szCs w:val="24"/>
          <w:color w:val="auto"/>
        </w:rPr>
      </w:pPr>
    </w:p>
    <w:p>
      <w:pPr>
        <w:sectPr>
          <w:pgSz w:w="11900" w:h="16838" w:orient="portrait"/>
          <w:cols w:equalWidth="0" w:num="2">
            <w:col w:w="6200" w:space="180"/>
            <w:col w:w="3340"/>
          </w:cols>
          <w:pgMar w:left="1080" w:top="225" w:right="10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MEREO BIOPHARMA GROUP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spacing w:after="0"/>
              <w:rPr>
                <w:sz w:val="15"/>
                <w:szCs w:val="15"/>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215"/>
        </w:trPr>
        <w:tc>
          <w:tcPr>
            <w:tcW w:w="4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22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08"/>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One Cavendish Place, 4th Floor</w:t>
            </w:r>
          </w:p>
        </w:tc>
        <w:tc>
          <w:tcPr>
            <w:tcW w:w="2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03"/>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London, W1G 0QF</w:t>
            </w:r>
          </w:p>
        </w:tc>
        <w:tc>
          <w:tcPr>
            <w:tcW w:w="2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12"/>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4960" w:type="dxa"/>
            <w:vAlign w:val="bottom"/>
            <w:gridSpan w:val="2"/>
          </w:tcPr>
          <w:p>
            <w:pPr>
              <w:jc w:val="right"/>
              <w:ind w:right="1705"/>
              <w:spacing w:after="0"/>
              <w:rPr>
                <w:sz w:val="20"/>
                <w:szCs w:val="20"/>
                <w:color w:val="auto"/>
              </w:rPr>
            </w:pPr>
            <w:r>
              <w:rPr>
                <w:rFonts w:ascii="Times New Roman" w:cs="Times New Roman" w:eastAsia="Times New Roman" w:hAnsi="Times New Roman"/>
                <w:sz w:val="16"/>
                <w:szCs w:val="16"/>
                <w:b w:val="1"/>
                <w:bCs w:val="1"/>
                <w:color w:val="auto"/>
              </w:rPr>
              <w:t>+44-333-023-7300</w:t>
            </w:r>
          </w:p>
        </w:tc>
      </w:tr>
      <w:tr>
        <w:trPr>
          <w:trHeight w:val="227"/>
        </w:trPr>
        <w:tc>
          <w:tcPr>
            <w:tcW w:w="4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bl>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9"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376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8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American Depositary Shares, each representing five</w:t>
            </w:r>
          </w:p>
        </w:tc>
        <w:tc>
          <w:tcPr>
            <w:tcW w:w="206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9"/>
              </w:rPr>
              <w:t>MREO</w:t>
            </w:r>
          </w:p>
        </w:tc>
        <w:tc>
          <w:tcPr>
            <w:tcW w:w="3180" w:type="dxa"/>
            <w:vAlign w:val="bottom"/>
          </w:tcPr>
          <w:p>
            <w:pPr>
              <w:jc w:val="center"/>
              <w:ind w:left="38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760" w:type="dxa"/>
            <w:vAlign w:val="bottom"/>
          </w:tcPr>
          <w:p>
            <w:pPr>
              <w:jc w:val="center"/>
              <w:ind w:right="241"/>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060" w:type="dxa"/>
            <w:vAlign w:val="bottom"/>
          </w:tcPr>
          <w:p>
            <w:pPr>
              <w:spacing w:after="0"/>
              <w:rPr>
                <w:sz w:val="21"/>
                <w:szCs w:val="21"/>
                <w:color w:val="auto"/>
              </w:rPr>
            </w:pPr>
          </w:p>
        </w:tc>
        <w:tc>
          <w:tcPr>
            <w:tcW w:w="3180" w:type="dxa"/>
            <w:vAlign w:val="bottom"/>
          </w:tcPr>
          <w:p>
            <w:pPr>
              <w:jc w:val="center"/>
              <w:ind w:left="422"/>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5" w:lineRule="exact"/>
        <w:rPr>
          <w:sz w:val="24"/>
          <w:szCs w:val="24"/>
          <w:color w:val="auto"/>
        </w:rPr>
      </w:pPr>
    </w:p>
    <w:p>
      <w:pPr>
        <w:ind w:right="120" w:firstLine="4"/>
        <w:spacing w:after="0" w:line="259" w:lineRule="auto"/>
        <w:tabs>
          <w:tab w:leader="none" w:pos="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registration of American Depositary Shares representing such Ordinary Shares pursuant to the requirements of the U.S. 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0" w:lineRule="exact"/>
        <w:rPr>
          <w:sz w:val="24"/>
          <w:szCs w:val="24"/>
          <w:color w:val="auto"/>
        </w:rPr>
      </w:pPr>
    </w:p>
    <w:p>
      <w:pPr>
        <w:jc w:val="both"/>
        <w:ind w:right="1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26" w:lineRule="exact"/>
        <w:rPr>
          <w:sz w:val="24"/>
          <w:szCs w:val="24"/>
          <w:color w:val="auto"/>
        </w:rPr>
      </w:pPr>
    </w:p>
    <w:p>
      <w:pPr>
        <w:ind w:right="24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99" w:lineRule="exact"/>
        <w:rPr>
          <w:sz w:val="24"/>
          <w:szCs w:val="24"/>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w:t>
            </w:r>
          </w:p>
        </w:tc>
        <w:tc>
          <w:tcPr>
            <w:tcW w:w="24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w:t>
            </w:r>
          </w:p>
        </w:tc>
        <w:tc>
          <w:tcPr>
            <w:tcW w:w="2500" w:type="dxa"/>
            <w:vAlign w:val="bottom"/>
          </w:tcPr>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tc>
      </w:tr>
      <w:tr>
        <w:trPr>
          <w:trHeight w:val="222"/>
        </w:trPr>
        <w:tc>
          <w:tcPr>
            <w:tcW w:w="2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w:t>
            </w:r>
          </w:p>
        </w:tc>
      </w:tr>
    </w:tbl>
    <w:p>
      <w:pPr>
        <w:spacing w:after="0" w:line="21"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7"/>
          <w:szCs w:val="17"/>
          <w:b w:val="1"/>
          <w:bCs w:val="1"/>
          <w:color w:val="auto"/>
        </w:rPr>
        <w:t></w:t>
      </w:r>
    </w:p>
    <w:p>
      <w:pPr>
        <w:spacing w:after="0" w:line="13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Wingdings" w:cs="Wingdings" w:eastAsia="Wingdings" w:hAnsi="Wingdings"/>
          <w:sz w:val="17"/>
          <w:szCs w:val="17"/>
          <w:b w:val="1"/>
          <w:bCs w:val="1"/>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11, 2026 the number of outstanding ordinary shares, par value £0.003 per share, of the registrant was 798,093,044.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819785</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52705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69850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9"/>
        </w:trPr>
        <w:tc>
          <w:tcPr>
            <w:tcW w:w="780" w:type="dxa"/>
            <w:vAlign w:val="bottom"/>
          </w:tcPr>
          <w:p>
            <w:pPr>
              <w:spacing w:after="0"/>
              <w:rPr>
                <w:sz w:val="17"/>
                <w:szCs w:val="17"/>
                <w:color w:val="auto"/>
              </w:rPr>
            </w:pPr>
          </w:p>
        </w:tc>
        <w:tc>
          <w:tcPr>
            <w:tcW w:w="1060" w:type="dxa"/>
            <w:vAlign w:val="bottom"/>
            <w:gridSpan w:val="4"/>
          </w:tcPr>
          <w:p>
            <w:pPr>
              <w:spacing w:after="0" w:line="199" w:lineRule="exact"/>
              <w:rPr>
                <w:sz w:val="20"/>
                <w:szCs w:val="20"/>
                <w:color w:val="auto"/>
              </w:rPr>
            </w:pPr>
            <w:r>
              <w:rPr>
                <w:rFonts w:ascii="Times New Roman" w:cs="Times New Roman" w:eastAsia="Times New Roman" w:hAnsi="Times New Roman"/>
                <w:sz w:val="18"/>
                <w:szCs w:val="18"/>
                <w:color w:val="0000FF"/>
              </w:rPr>
              <w:t>PART I</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60" w:type="dxa"/>
            <w:vAlign w:val="bottom"/>
            <w:tcBorders>
              <w:left w:val="single" w:sz="8" w:color="0000FF"/>
            </w:tcBorders>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27</w:t>
            </w:r>
          </w:p>
        </w:tc>
      </w:tr>
      <w:tr>
        <w:trPr>
          <w:trHeight w:val="1215"/>
        </w:trPr>
        <w:tc>
          <w:tcPr>
            <w:tcW w:w="78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8" w:lineRule="exact"/>
        <w:rPr>
          <w:sz w:val="20"/>
          <w:szCs w:val="20"/>
          <w:color w:val="auto"/>
        </w:rPr>
      </w:pPr>
    </w:p>
    <w:p>
      <w:pPr>
        <w:ind w:right="460" w:firstLine="749"/>
        <w:spacing w:after="0" w:line="245" w:lineRule="exact"/>
        <w:rPr>
          <w:sz w:val="20"/>
          <w:szCs w:val="20"/>
          <w:color w:val="auto"/>
        </w:rPr>
      </w:pPr>
      <w:r>
        <w:rPr>
          <w:rFonts w:ascii="Times New Roman" w:cs="Times New Roman" w:eastAsia="Times New Roman" w:hAnsi="Times New Roman"/>
          <w:sz w:val="18"/>
          <w:szCs w:val="18"/>
          <w:color w:val="auto"/>
        </w:rPr>
        <w:t>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(“Quarterly Report”), “Mereo,” the “Group,” the “Company,” “we,” “us” and “our” refer to Mereo BioPharma Group plc and its consolidated subsidiaries, except where the context otherwise requires.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involve substantial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within the meaning of Section 27A of the United States Securities Act of 1933, as amended, and Section 21E of the United States Securities Exchange Act of 1934, as amended. In some cases, you can identify forward-looking statements by words such as “believe,” “may,” “will,” “estimate,” “continue,” “anticipate,” “intend,” “expect”, “plan,” “foresee,” “should,” “would,” “could,” “outlook,” and similar expressions, including the negative thereof. The absence of these words, however, does not mean that the statements are not forward-looking.</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expectations, beliefs and assumptions concerning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the uncertainties inherent in the clinical development process; the Company’s reliance on third parties to conduct its clinical trials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 the Company’s ability to maintain compliance with Nasdaq continued listing requirements; and additional factors listed under Part I, Item 1A. Risk Factors of our most recent Annual Report on Form 10-K for the year ended December 31, 2025, filed with the SEC on March 19, 2026 (the “2025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36,223</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40,992</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2,531</w:t>
            </w:r>
          </w:p>
        </w:tc>
      </w:tr>
      <w:tr>
        <w:trPr>
          <w:trHeight w:val="216"/>
        </w:trPr>
        <w:tc>
          <w:tcPr>
            <w:tcW w:w="6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36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1,497</w:t>
            </w:r>
          </w:p>
        </w:tc>
      </w:tr>
      <w:tr>
        <w:trPr>
          <w:trHeight w:val="209"/>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45,020</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40,614</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45,917</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3,226</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1,333</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741</w:t>
            </w:r>
          </w:p>
        </w:tc>
      </w:tr>
      <w:tr>
        <w:trPr>
          <w:trHeight w:val="210"/>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6,177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4,302</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3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6,560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5,001</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2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14)</w:t>
            </w:r>
          </w:p>
        </w:tc>
        <w:tc>
          <w:tcPr>
            <w:tcW w:w="36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432"/>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8"/>
        </w:trPr>
        <w:tc>
          <w:tcPr>
            <w:tcW w:w="66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798,078,829 shares issued at March 31,</w:t>
            </w:r>
          </w:p>
        </w:tc>
        <w:tc>
          <w:tcPr>
            <w:tcW w:w="36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34"/>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 (December 31, 2025: 795,658,504)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3,145</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3,135</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551,018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549,622</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(507,538)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(501,018)</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(10,823)</w:t>
            </w:r>
          </w:p>
        </w:tc>
      </w:tr>
      <w:tr>
        <w:trPr>
          <w:trHeight w:val="210"/>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6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34,054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40,916</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40,614</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45,917</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-3693795</wp:posOffset>
            </wp:positionV>
            <wp:extent cx="146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-3136900</wp:posOffset>
            </wp:positionV>
            <wp:extent cx="146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-1585595</wp:posOffset>
            </wp:positionV>
            <wp:extent cx="146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146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4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(6,719)</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(12,887)</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(6,719)</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(12,887)</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801,805,570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784,279,387</w:t>
            </w:r>
          </w:p>
        </w:tc>
      </w:tr>
      <w:tr>
        <w:trPr>
          <w:trHeight w:val="43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(loss)/income – Foreign currency translation adjustments, net of tax</w:t>
            </w: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3,559</w:t>
            </w: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(8,467)</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(9,328)</w:t>
            </w:r>
          </w:p>
        </w:tc>
      </w:tr>
      <w:tr>
        <w:trPr>
          <w:trHeight w:val="20"/>
        </w:trPr>
        <w:tc>
          <w:tcPr>
            <w:tcW w:w="6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-2416810</wp:posOffset>
            </wp:positionV>
            <wp:extent cx="1289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-1019810</wp:posOffset>
            </wp:positionV>
            <wp:extent cx="128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-1002030</wp:posOffset>
            </wp:positionV>
            <wp:extent cx="1289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128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w:t>
            </w: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interest income</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2,765</w:t>
            </w: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6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r>
      <w:tr>
        <w:trPr>
          <w:trHeight w:val="194"/>
        </w:trPr>
        <w:tc>
          <w:tcPr>
            <w:tcW w:w="6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194"/>
        </w:trPr>
        <w:tc>
          <w:tcPr>
            <w:tcW w:w="6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on issuance of ordinary shares</w:t>
            </w:r>
          </w:p>
        </w:tc>
        <w:tc>
          <w:tcPr>
            <w:tcW w:w="1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r>
      <w:tr>
        <w:trPr>
          <w:trHeight w:val="194"/>
        </w:trPr>
        <w:tc>
          <w:tcPr>
            <w:tcW w:w="6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40,992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69,802</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March 31,</w:t>
            </w:r>
          </w:p>
        </w:tc>
        <w:tc>
          <w:tcPr>
            <w:tcW w:w="21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36,223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62,483</w:t>
            </w: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-2677160</wp:posOffset>
            </wp:positionV>
            <wp:extent cx="11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-1982470</wp:posOffset>
            </wp:positionV>
            <wp:extent cx="111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-1288415</wp:posOffset>
            </wp:positionV>
            <wp:extent cx="111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-593725</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21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97"/>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jc w:val="center"/>
              <w:ind w:right="237"/>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jc w:val="center"/>
              <w:ind w:right="197"/>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jc w:val="right"/>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0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4"/>
              </w:rPr>
              <w:t>Par value</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38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795,658,504</w:t>
            </w:r>
          </w:p>
        </w:tc>
        <w:tc>
          <w:tcPr>
            <w:tcW w:w="300" w:type="dxa"/>
            <w:vAlign w:val="bottom"/>
            <w:gridSpan w:val="2"/>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3,135</w:t>
            </w:r>
          </w:p>
        </w:tc>
        <w:tc>
          <w:tcPr>
            <w:tcW w:w="2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549,622</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(10,823)</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(501,018)</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40,916</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(6,719)</w:t>
            </w: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(1,748)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(1,748)</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1,605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1,605</w:t>
            </w: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868,630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warrants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1,551,695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Transfer between reserves</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8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March 31, 2026</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798,078,829</w:t>
            </w:r>
          </w:p>
        </w:tc>
        <w:tc>
          <w:tcPr>
            <w:tcW w:w="300" w:type="dxa"/>
            <w:vAlign w:val="bottom"/>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3,145</w:t>
            </w:r>
          </w:p>
        </w:tc>
        <w:tc>
          <w:tcPr>
            <w:tcW w:w="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551,018</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(12,571)</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(507,538)</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34,054</w:t>
            </w: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775,728,034</w:t>
            </w:r>
          </w:p>
        </w:tc>
        <w:tc>
          <w:tcPr>
            <w:tcW w:w="3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3,059</w:t>
            </w:r>
          </w:p>
        </w:tc>
        <w:tc>
          <w:tcPr>
            <w:tcW w:w="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539,642</w:t>
            </w:r>
          </w:p>
        </w:tc>
        <w:tc>
          <w:tcPr>
            <w:tcW w:w="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(18,849)</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(462,883)</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60,969</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(12,887)</w:t>
            </w: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3,559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3,559</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2,278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2,278</w:t>
            </w: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718,350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Transaction costs on issuance of shares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Conversion of convertible loan notes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17,105,450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5,676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5,740</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warrants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1,449,610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487</w:t>
            </w:r>
          </w:p>
        </w:tc>
        <w:tc>
          <w:tcPr>
            <w:tcW w:w="0" w:type="dxa"/>
            <w:vAlign w:val="bottom"/>
          </w:tcPr>
          <w:p>
            <w:pPr>
              <w:spacing w:after="0"/>
              <w:rPr>
                <w:sz w:val="1"/>
                <w:szCs w:val="1"/>
                <w:color w:val="auto"/>
              </w:rPr>
            </w:pPr>
          </w:p>
        </w:tc>
      </w:tr>
      <w:tr>
        <w:trPr>
          <w:trHeight w:val="135"/>
        </w:trPr>
        <w:tc>
          <w:tcPr>
            <w:tcW w:w="388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Transfer between reserves</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(3,743)</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3,743</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8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March 31, 2025</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795,001,444</w:t>
            </w:r>
          </w:p>
        </w:tc>
        <w:tc>
          <w:tcPr>
            <w:tcW w:w="300" w:type="dxa"/>
            <w:vAlign w:val="bottom"/>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3,132</w:t>
            </w:r>
          </w:p>
        </w:tc>
        <w:tc>
          <w:tcPr>
            <w:tcW w:w="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544,266</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(15,290)</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(472,027)</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60,081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-1062355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-1062355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-1062355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-1062355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-1062355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-102235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-102235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-102235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-102235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-102235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Mereo BioPharma Group plc (the “Company” or “Mereo”) is a United Kingdom (“U.K.”) based biopharmaceutical company focused on the development of innovative therapeutics for rare diseases. The Company has developed a portfolio of late-stage clinical product candidates, and its two late-stage rare disease product candidates are setrusumab for the treatment of osteogenesis imperfecta (“OI”) and alvelestat primarily for the treatment of severe alpha-1 antitrypsin deficiency-associated lung disease (“AATD-LD”). The Company also has an early-stage rare disease program, vantictumab, for the treatment of autosomal dominant osteopetrosis Type 2 (“ADO2”).</w:t>
      </w:r>
    </w:p>
    <w:p>
      <w:pPr>
        <w:spacing w:after="0" w:line="1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4th Floor, One Cavendish Place, London, W1G 0QF,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and its subsidiaries and other financial information included in this quarterly report on Form 10-Q (“Quarterly Report”) are unaudited, have been prepared in accordance with generally accepted accounting principles in the United States of America (“U.S. GAAP”) and are presented in U.S. dollars. All intercompany balances and transactions between the Company and its subsidiaries have been eliminated on consolidation.</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March 19, 2026 (the “2025 Annual Report”). The condensed consolidated balance sheet as of December 31, 2025 was derived from audited consolidated financial statements included in the 2025 Annual Report but does not include all disclosures required by U.S. GAAP. The Company’s significant accounting policies are described in Note 2 to those consolidated financial statements.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which are, in the opinion of management, necessary to fairly state the Company's financial position as of March 31, 2026, the results of operations for the three months ended March 31, 2026 and 2025 and cash flows for the three months ended March 31, 2026 and 2025. The interim results are not necessarily indicative of results to be expected for the full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has prepared its condensed consolidated financial statements on the basis that it will continue as a going concern. 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88"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The Company has historically been loss making, anticipates that it will continue to incur losses for the foreseeable future, and had an accumulated deficit of $507.5 million as of March 31, 2026.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other product candidates. Although management continues to pursue these plans, there is no assurance that the Company will be successful in obtaining sufficient funding on terms acceptable to the Company to fund continuing operations, if at all.</w:t>
      </w:r>
    </w:p>
    <w:p>
      <w:pPr>
        <w:sectPr>
          <w:pgSz w:w="11900" w:h="16838" w:orient="portrait"/>
          <w:cols w:equalWidth="0" w:num="1">
            <w:col w:w="11220"/>
          </w:cols>
          <w:pgMar w:left="320" w:top="117" w:right="3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$36.2 million. The Company expects that its cash and cash equivalents as of March 31, 2026 will be sufficient to fund its operations and capital expenditure requirements for at least twelve months from the date of filing of this Quarterly Report. In the longer term, the Company will need additional funding to support its continuing operations and pursue its business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There are no estimates and assumptions made in the condensed consolidated financial statements that are considered to be critical. Estimates are periodically reviewed in light of changes in circumstances, facts and experience. Changes in estimates are recorded in the period in which they become known.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recent accounting pronouncements, changes in accounting pronouncements or recently adopted accounting guidance, other than those previously included in the 2025 Annual Report that are of significance or potential significance to the Company. The Company is continuing to evaluate the impact of the recently issued pronouncements that are effective in future periods and were discussed in its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accounts payable, accrued expenses, deferred consideration and warrant liabilities. Cash, cash equivalents (except for investments in money market funds), accounts payable and accrued expenses are initially recorded and subsequently measured at cost, which is considered to approximate their fair value due to the short-term nature of such financial instruments.</w:t>
      </w:r>
    </w:p>
    <w:p>
      <w:pPr>
        <w:spacing w:after="0" w:line="15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and classified under the appropriate level of the fair value hierarchy: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60" w:type="dxa"/>
            <w:vAlign w:val="bottom"/>
            <w:tcBorders>
              <w:bottom w:val="single" w:sz="8" w:color="auto"/>
            </w:tcBorders>
          </w:tcPr>
          <w:p>
            <w:pPr>
              <w:spacing w:after="0"/>
              <w:rPr>
                <w:sz w:val="20"/>
                <w:szCs w:val="20"/>
                <w:color w:val="auto"/>
              </w:rPr>
            </w:pPr>
          </w:p>
        </w:tc>
      </w:tr>
      <w:tr>
        <w:trPr>
          <w:trHeight w:val="187"/>
        </w:trPr>
        <w:tc>
          <w:tcPr>
            <w:tcW w:w="5760" w:type="dxa"/>
            <w:vAlign w:val="bottom"/>
          </w:tcPr>
          <w:p>
            <w:pPr>
              <w:spacing w:after="0"/>
              <w:rPr>
                <w:sz w:val="16"/>
                <w:szCs w:val="16"/>
                <w:color w:val="auto"/>
              </w:rPr>
            </w:pPr>
          </w:p>
        </w:tc>
        <w:tc>
          <w:tcPr>
            <w:tcW w:w="1460" w:type="dxa"/>
            <w:vAlign w:val="bottom"/>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57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(investments in money market funds)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23,589</w:t>
            </w:r>
          </w:p>
        </w:tc>
        <w:tc>
          <w:tcPr>
            <w:tcW w:w="1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23,589</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60" w:type="dxa"/>
            <w:vAlign w:val="bottom"/>
            <w:tcBorders>
              <w:bottom w:val="single" w:sz="8" w:color="auto"/>
            </w:tcBorders>
          </w:tcPr>
          <w:p>
            <w:pPr>
              <w:spacing w:after="0"/>
              <w:rPr>
                <w:sz w:val="20"/>
                <w:szCs w:val="20"/>
                <w:color w:val="auto"/>
              </w:rPr>
            </w:pPr>
          </w:p>
        </w:tc>
      </w:tr>
      <w:tr>
        <w:trPr>
          <w:trHeight w:val="187"/>
        </w:trPr>
        <w:tc>
          <w:tcPr>
            <w:tcW w:w="5760" w:type="dxa"/>
            <w:vAlign w:val="bottom"/>
          </w:tcPr>
          <w:p>
            <w:pPr>
              <w:spacing w:after="0"/>
              <w:rPr>
                <w:sz w:val="16"/>
                <w:szCs w:val="16"/>
                <w:color w:val="auto"/>
              </w:rPr>
            </w:pPr>
          </w:p>
        </w:tc>
        <w:tc>
          <w:tcPr>
            <w:tcW w:w="1460" w:type="dxa"/>
            <w:vAlign w:val="bottom"/>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57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(investments in money market funds)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22,749</w:t>
            </w:r>
          </w:p>
        </w:tc>
        <w:tc>
          <w:tcPr>
            <w:tcW w:w="1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22,749</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w:t>
            </w:r>
          </w:p>
        </w:tc>
        <w:tc>
          <w:tcPr>
            <w:tcW w:w="1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during the three months ended March 31, 2026 and 2025.</w:t>
      </w:r>
    </w:p>
    <w:p>
      <w:pPr>
        <w:spacing w:after="0" w:line="225"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Fair values of the investments in money market funds are determined based on the net asset value per share of each fund stated in the fund manager's statement.</w:t>
      </w:r>
    </w:p>
    <w:p>
      <w:pPr>
        <w:spacing w:after="0" w:line="189"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warrant liabilities solely related to those warrants outstanding to the former lenders of the Company as described in Note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101"/>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3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1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1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11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general and administrative expenses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1140" w:type="dxa"/>
            <w:vAlign w:val="bottom"/>
          </w:tcPr>
          <w:p>
            <w:pPr>
              <w:spacing w:after="0"/>
              <w:rPr>
                <w:sz w:val="19"/>
                <w:szCs w:val="19"/>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2,249</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2,531</w:t>
            </w:r>
          </w:p>
        </w:tc>
      </w:tr>
      <w:tr>
        <w:trPr>
          <w:trHeight w:val="20"/>
        </w:trPr>
        <w:tc>
          <w:tcPr>
            <w:tcW w:w="1140" w:type="dxa"/>
            <w:vAlign w:val="bottom"/>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628"/>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6"/>
        </w:trPr>
        <w:tc>
          <w:tcPr>
            <w:tcW w:w="11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140" w:type="dxa"/>
            <w:vAlign w:val="bottom"/>
          </w:tcPr>
          <w:p>
            <w:pPr>
              <w:spacing w:after="0"/>
              <w:rPr>
                <w:sz w:val="18"/>
                <w:szCs w:val="18"/>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10"/>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1140" w:type="dxa"/>
            <w:vAlign w:val="bottom"/>
          </w:tcPr>
          <w:p>
            <w:pPr>
              <w:spacing w:after="0"/>
              <w:rPr>
                <w:sz w:val="18"/>
                <w:szCs w:val="18"/>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10"/>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-2159635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-2142490</wp:posOffset>
            </wp:positionV>
            <wp:extent cx="85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-453390</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less than $0.1 million for both the three months ended March 31, 2026 and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reversionary lease to extend the term for the original fourth floor lease to be coterminous with the fifth floor, ending in June 2026.</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total lease expense included in the statements of operations and comprehensive loss was $0.2 million for both the three months ended March 31, 2026 and 2025. There were no material variable lease costs.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2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340" w:type="dxa"/>
            <w:vAlign w:val="bottom"/>
          </w:tcPr>
          <w:p>
            <w:pPr>
              <w:spacing w:after="0"/>
              <w:rPr>
                <w:sz w:val="18"/>
                <w:szCs w:val="18"/>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contractual lease term (years)</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0.25</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190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r>
    </w:tbl>
    <w:p>
      <w:pPr>
        <w:spacing w:after="0" w:line="200" w:lineRule="exact"/>
        <w:rPr>
          <w:sz w:val="20"/>
          <w:szCs w:val="20"/>
          <w:color w:val="auto"/>
        </w:rPr>
      </w:pPr>
    </w:p>
    <w:p>
      <w:pPr>
        <w:sectPr>
          <w:pgSz w:w="11900" w:h="16838" w:orient="portrait"/>
          <w:cols w:equalWidth="0" w:num="1">
            <w:col w:w="11200"/>
          </w:cols>
          <w:pgMar w:left="320" w:top="108" w:right="379"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Company had no remaining lease liabilities as of March 31, 2026 as the final quarterly rental payment was made in advance during the three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ended March 31, 2026.</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Social security and other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issuance costs payable</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local taxes</w:t>
            </w: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Warrant liability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3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-3582670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-3565525</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-1739265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As of March 31, 2026,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These warrants outstanding are equivalent to 0.3% and 0.3% of the issued ordinary share capital of the Company as of March 31, 2026 and December 31, 2025, respectively. There were no warrants classified as liabilities exercised during the three months ended March 31, 2026 and 2025.</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each warrant is estimated using the Black-Scholes option pricing model using the following weighted average assumptions: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3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w:t>
            </w: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7"/>
        </w:trPr>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Par value</w:t>
            </w:r>
          </w:p>
        </w:tc>
      </w:tr>
      <w:tr>
        <w:trPr>
          <w:trHeight w:val="238"/>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1140" w:type="dxa"/>
            <w:vAlign w:val="bottom"/>
          </w:tcPr>
          <w:p>
            <w:pPr>
              <w:spacing w:after="0"/>
              <w:rPr>
                <w:sz w:val="18"/>
                <w:szCs w:val="18"/>
                <w:color w:val="auto"/>
              </w:rPr>
            </w:pPr>
          </w:p>
        </w:tc>
        <w:tc>
          <w:tcPr>
            <w:tcW w:w="5760" w:type="dxa"/>
            <w:vAlign w:val="bottom"/>
            <w:gridSpan w:val="2"/>
            <w:shd w:val="clear" w:color="auto" w:fill="CFF0FC"/>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9"/>
              </w:rPr>
              <w:t>At January 1, 2025</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775,728,034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3,059</w:t>
            </w:r>
          </w:p>
        </w:tc>
      </w:tr>
      <w:tr>
        <w:trPr>
          <w:trHeight w:val="216"/>
        </w:trPr>
        <w:tc>
          <w:tcPr>
            <w:tcW w:w="1140" w:type="dxa"/>
            <w:vAlign w:val="bottom"/>
          </w:tcPr>
          <w:p>
            <w:pPr>
              <w:spacing w:after="0"/>
              <w:rPr>
                <w:sz w:val="18"/>
                <w:szCs w:val="18"/>
                <w:color w:val="auto"/>
              </w:rPr>
            </w:pPr>
          </w:p>
        </w:tc>
        <w:tc>
          <w:tcPr>
            <w:tcW w:w="5760" w:type="dxa"/>
            <w:vAlign w:val="bottom"/>
            <w:gridSpan w:val="2"/>
          </w:tcPr>
          <w:p>
            <w:pPr>
              <w:jc w:val="center"/>
              <w:ind w:right="4340"/>
              <w:spacing w:after="0"/>
              <w:rPr>
                <w:sz w:val="20"/>
                <w:szCs w:val="20"/>
                <w:color w:val="auto"/>
              </w:rPr>
            </w:pPr>
            <w:r>
              <w:rPr>
                <w:rFonts w:ascii="Times New Roman" w:cs="Times New Roman" w:eastAsia="Times New Roman" w:hAnsi="Times New Roman"/>
                <w:sz w:val="18"/>
                <w:szCs w:val="18"/>
                <w:color w:val="auto"/>
                <w:w w:val="99"/>
              </w:rPr>
              <w:t>Vesting of RSUs</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718,350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40" w:type="dxa"/>
            <w:vAlign w:val="bottom"/>
          </w:tcPr>
          <w:p>
            <w:pPr>
              <w:spacing w:after="0"/>
              <w:rPr>
                <w:sz w:val="18"/>
                <w:szCs w:val="18"/>
                <w:color w:val="auto"/>
              </w:rPr>
            </w:pPr>
          </w:p>
        </w:tc>
        <w:tc>
          <w:tcPr>
            <w:tcW w:w="5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17,105,450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4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 of warrants</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1,449,610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1140" w:type="dxa"/>
            <w:vAlign w:val="bottom"/>
          </w:tcPr>
          <w:p>
            <w:pPr>
              <w:spacing w:after="0"/>
              <w:rPr>
                <w:sz w:val="21"/>
                <w:szCs w:val="21"/>
                <w:color w:val="auto"/>
              </w:rPr>
            </w:pPr>
          </w:p>
        </w:tc>
        <w:tc>
          <w:tcPr>
            <w:tcW w:w="5660" w:type="dxa"/>
            <w:vAlign w:val="bottom"/>
            <w:tcBorders>
              <w:bottom w:val="single" w:sz="8" w:color="CFF0FC"/>
            </w:tcBorders>
            <w:shd w:val="clear" w:color="auto" w:fill="CFF0FC"/>
          </w:tcPr>
          <w:p>
            <w:pPr>
              <w:jc w:val="center"/>
              <w:ind w:right="4150"/>
              <w:spacing w:after="0"/>
              <w:rPr>
                <w:sz w:val="20"/>
                <w:szCs w:val="20"/>
                <w:color w:val="auto"/>
              </w:rPr>
            </w:pPr>
            <w:r>
              <w:rPr>
                <w:rFonts w:ascii="Times New Roman" w:cs="Times New Roman" w:eastAsia="Times New Roman" w:hAnsi="Times New Roman"/>
                <w:sz w:val="18"/>
                <w:szCs w:val="18"/>
                <w:b w:val="1"/>
                <w:bCs w:val="1"/>
                <w:color w:val="auto"/>
                <w:w w:val="99"/>
              </w:rPr>
              <w:t>At March 31, 2025</w:t>
            </w:r>
          </w:p>
        </w:tc>
        <w:tc>
          <w:tcPr>
            <w:tcW w:w="100" w:type="dxa"/>
            <w:vAlign w:val="bottom"/>
          </w:tcPr>
          <w:p>
            <w:pPr>
              <w:spacing w:after="0"/>
              <w:rPr>
                <w:sz w:val="21"/>
                <w:szCs w:val="21"/>
                <w:color w:val="auto"/>
              </w:rPr>
            </w:pP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795,001,444</w:t>
            </w:r>
          </w:p>
        </w:tc>
        <w:tc>
          <w:tcPr>
            <w:tcW w:w="140" w:type="dxa"/>
            <w:vAlign w:val="bottom"/>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3,132</w:t>
            </w:r>
          </w:p>
        </w:tc>
      </w:tr>
      <w:tr>
        <w:trPr>
          <w:trHeight w:val="413"/>
        </w:trPr>
        <w:tc>
          <w:tcPr>
            <w:tcW w:w="6900" w:type="dxa"/>
            <w:vAlign w:val="bottom"/>
            <w:gridSpan w:val="3"/>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At January 1, 2026</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795,658,504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3,135</w:t>
            </w:r>
          </w:p>
        </w:tc>
      </w:tr>
      <w:tr>
        <w:trPr>
          <w:trHeight w:val="216"/>
        </w:trPr>
        <w:tc>
          <w:tcPr>
            <w:tcW w:w="1140" w:type="dxa"/>
            <w:vAlign w:val="bottom"/>
          </w:tcPr>
          <w:p>
            <w:pPr>
              <w:spacing w:after="0"/>
              <w:rPr>
                <w:sz w:val="18"/>
                <w:szCs w:val="18"/>
                <w:color w:val="auto"/>
              </w:rPr>
            </w:pPr>
          </w:p>
        </w:tc>
        <w:tc>
          <w:tcPr>
            <w:tcW w:w="5760" w:type="dxa"/>
            <w:vAlign w:val="bottom"/>
            <w:gridSpan w:val="2"/>
            <w:shd w:val="clear" w:color="auto" w:fill="CFF0FC"/>
          </w:tcPr>
          <w:p>
            <w:pPr>
              <w:jc w:val="center"/>
              <w:ind w:right="4340"/>
              <w:spacing w:after="0"/>
              <w:rPr>
                <w:sz w:val="20"/>
                <w:szCs w:val="20"/>
                <w:color w:val="auto"/>
              </w:rPr>
            </w:pPr>
            <w:r>
              <w:rPr>
                <w:rFonts w:ascii="Times New Roman" w:cs="Times New Roman" w:eastAsia="Times New Roman" w:hAnsi="Times New Roman"/>
                <w:sz w:val="18"/>
                <w:szCs w:val="18"/>
                <w:color w:val="auto"/>
                <w:w w:val="99"/>
              </w:rPr>
              <w:t>Vesting of RSUs</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868,630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 of warrants</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1,551,695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1140" w:type="dxa"/>
            <w:vAlign w:val="bottom"/>
          </w:tcPr>
          <w:p>
            <w:pPr>
              <w:spacing w:after="0"/>
              <w:rPr>
                <w:sz w:val="19"/>
                <w:szCs w:val="19"/>
                <w:color w:val="auto"/>
              </w:rPr>
            </w:pPr>
          </w:p>
        </w:tc>
        <w:tc>
          <w:tcPr>
            <w:tcW w:w="5760" w:type="dxa"/>
            <w:vAlign w:val="bottom"/>
            <w:gridSpan w:val="2"/>
            <w:shd w:val="clear" w:color="auto" w:fill="CFF0FC"/>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At March 31, 2026</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798,078,829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3,145</w:t>
            </w:r>
          </w:p>
        </w:tc>
      </w:tr>
      <w:tr>
        <w:trPr>
          <w:trHeight w:val="20"/>
        </w:trPr>
        <w:tc>
          <w:tcPr>
            <w:tcW w:w="1140" w:type="dxa"/>
            <w:vAlign w:val="bottom"/>
          </w:tcPr>
          <w:p>
            <w:pPr>
              <w:spacing w:after="0" w:line="20" w:lineRule="exact"/>
              <w:rPr>
                <w:sz w:val="1"/>
                <w:szCs w:val="1"/>
                <w:color w:val="auto"/>
              </w:rPr>
            </w:pPr>
          </w:p>
        </w:tc>
        <w:tc>
          <w:tcPr>
            <w:tcW w:w="56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In February 2026, the Company received an exercise notice from The Alpha-1 Project and subsequently issued and allotted 1,551,695 shares (equivalent to 310,339 ADSs) on the non-cash exercise of the warrants. In addition, additional paid-in capital of $0.2 million was transferred to accumulated deficit, which represents the surplus of amounts previously recognized in excess of the par value of ordinary shares delivered on exercise of the warrants.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three months ended March 31, 2026, 868,630 ordinary shares were issued due to the vesting of RSUs.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 based compensation</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currently grants equity awards under the Mereo 2019 Equity Incentive Plan (the “2019 EIP”) and the 2019 Non-Employee Equity Incentive Plan (the “2019 NED EIP”). There are also outstanding awards under two previous plans, the Mereo BioPharma Group Limited Share Option Plan and the Mereo Share Option Plan (together the “Previous Share Option Plans”). However, no further grants are envisioned from these plans.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ADSs available for issue under the 2019 EIP and 2019 NED EIP was 15.0 million as of March 31, 2026.</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expense for share-based compensation arises solely in respect of awards made under the two active plans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10"/>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EIP</w:t>
            </w:r>
          </w:p>
        </w:tc>
        <w:tc>
          <w:tcPr>
            <w:tcW w:w="2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1,469</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2019 NED EIP</w:t>
            </w:r>
          </w:p>
        </w:tc>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r>
      <w:tr>
        <w:trPr>
          <w:trHeight w:val="22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1,605</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compensation cost related to outstanding share awards was $5.5 million, which the Company expects to recognize over a weighted-average period of 1.5 years</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 (“Options”)</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Options issued under the EIP have a contractual term of 10 years. Options generally permit the recipient to purchase ADSs at an exercise price equal to the market price of the underlying ADSs on the date of grant, however certain awards granted in the three months ended March 31, 2026 had an exercise price higher than the market price of the underlying ADSs on the date of grant.</w:t>
      </w:r>
    </w:p>
    <w:p>
      <w:pPr>
        <w:spacing w:after="0" w:line="176"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 xml:space="preserve">Options generally vest over four years, with one-fourth of the award vesting on the first anniversary of the grant date and the remainder vesting in equal monthly installments over the three-year period thereafter, however in the three months ended March 31, 2026, certain options were granted </w:t>
      </w:r>
      <w:r>
        <w:rPr>
          <w:rFonts w:ascii="Times New Roman" w:cs="Times New Roman" w:eastAsia="Times New Roman" w:hAnsi="Times New Roman"/>
          <w:sz w:val="16"/>
          <w:szCs w:val="16"/>
          <w:color w:val="231F20"/>
        </w:rPr>
        <w:t>that</w:t>
      </w:r>
      <w:r>
        <w:rPr>
          <w:rFonts w:ascii="Times New Roman" w:cs="Times New Roman" w:eastAsia="Times New Roman" w:hAnsi="Times New Roman"/>
          <w:sz w:val="18"/>
          <w:szCs w:val="18"/>
          <w:color w:val="auto"/>
        </w:rPr>
        <w:t xml:space="preserve"> vest in equal monthly installments over a one year period from the grant date. No performance conditions apply to Options granted.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Options activity and related information under the 2019 EIP for the three months ended March 31, 2026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4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84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840" w:type="dxa"/>
            <w:vAlign w:val="bottom"/>
          </w:tcPr>
          <w:p>
            <w:pPr>
              <w:spacing w:after="0"/>
              <w:rPr>
                <w:sz w:val="20"/>
                <w:szCs w:val="20"/>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09"/>
        </w:trPr>
        <w:tc>
          <w:tcPr>
            <w:tcW w:w="5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 December 31, 2025</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13,477,883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6,463,000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2026</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19,888,385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r>
        <w:trPr>
          <w:trHeight w:val="215"/>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9,973,552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-173990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-156845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-173990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-156845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6"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fair value per share of Options granted during the three months ended March 31, 2026 and 2025 was $0.39 and $2.43, respectively.</w:t>
      </w:r>
    </w:p>
    <w:p>
      <w:pPr>
        <w:spacing w:after="0" w:line="162" w:lineRule="exact"/>
        <w:rPr>
          <w:sz w:val="20"/>
          <w:szCs w:val="20"/>
          <w:color w:val="auto"/>
        </w:rPr>
      </w:pPr>
    </w:p>
    <w:p>
      <w:pPr>
        <w:ind w:right="58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as of March 31, 2026 and December 31, 2025 was 7.7 years and 7.0 years, respectively. The weighted average contractual life for vested Options as of March 31, 2026 and December 31, 2025 was 6.3 years and 6.3 years, respectively.</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8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5.87</w:t>
            </w:r>
          </w:p>
        </w:tc>
        <w:tc>
          <w:tcPr>
            <w:tcW w:w="1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Expected volatility is calculated by reference to the historical volatility of the Company's ADSs. The grant date fair value is recognized over the requisite service period using the accelerated graded-vesting attribution method.</w:t>
      </w:r>
    </w:p>
    <w:p>
      <w:pPr>
        <w:sectPr>
          <w:pgSz w:w="11900" w:h="16838" w:orient="portrait"/>
          <w:cols w:equalWidth="0" w:num="1">
            <w:col w:w="11160"/>
          </w:cols>
          <w:pgMar w:left="320" w:top="117" w:right="419" w:bottom="1440" w:gutter="0" w:footer="0" w:header="0"/>
        </w:sectPr>
      </w:pP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under the 2019 EIP for the three months ended March 31, 2026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614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6140" w:type="dxa"/>
            <w:vAlign w:val="bottom"/>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(ADSs)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458,375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2026</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268,211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6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weighted average remaining vesting period of RSUs outstanding was 1.8 and 2.0 years, respectively. The total fair value of RSUs vested and delivered during the three months ended March 31, 2026 and 2025 was $0.1 million and $0.4 million, respectively.</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RSU was calculated by reference to the value of the shares awarded.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NED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NED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Options activity and related information under the 2019 NED EIP for the three months ended March 31, 2026 is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90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1,982,087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528,000</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2026</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2,510,087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2,026,087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-173990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-156845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-319405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6"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fair value per share of Options granted during the three months ended March 31, 2026 and 2025 was $0.34 and $2.51, respectively.</w:t>
      </w:r>
    </w:p>
    <w:p>
      <w:pPr>
        <w:spacing w:after="0" w:line="162" w:lineRule="exact"/>
        <w:rPr>
          <w:sz w:val="20"/>
          <w:szCs w:val="20"/>
          <w:color w:val="auto"/>
        </w:rPr>
      </w:pPr>
    </w:p>
    <w:p>
      <w:pPr>
        <w:ind w:right="60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as of March 31, 2026 and December 31, 2025 was 7.5 years and 7.0 years, respectively. The weighted average contractual life for vested Options as of March 31, 2026 and December 31, 2025 was 6.9 years and 7.0 years, respectively.</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96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60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r>
      <w:tr>
        <w:trPr>
          <w:trHeight w:val="210"/>
        </w:trPr>
        <w:tc>
          <w:tcPr>
            <w:tcW w:w="6020" w:type="dxa"/>
            <w:vAlign w:val="bottom"/>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104.39%</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Expected volatility is calculated by reference to the historical volatility of the Company's ADSs.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Restricted Stock Units (“DRSUs”)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 summary of the Company’s DRSUs activity and related information under the 2019 NED EIP for the three months ended March 31, 2026 is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14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614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DRSUs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6140" w:type="dxa"/>
            <w:vAlign w:val="bottom"/>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979,608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61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657,115</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2026</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1,636,723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196"/>
        </w:trPr>
        <w:tc>
          <w:tcPr>
            <w:tcW w:w="6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1,034,369</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Unvested</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602,354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-299720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-281940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-445135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10,350 DRSUs unvested with a weighted average grant date fair value of $3.16 per DRSU. The total fair value of DRSUs vested during the three months ended March 31, 2026 and 2025 was less than $0.1 million and $0.1 million, respectively.</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DRSU was calculated by reference to the value of the shares awarded.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Share Option Plans</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Mereo previously granted Options to employees under the Previous Share Options Plans. No awards have been granted under either of these plans following the introduction of the 2019 EIP and the 2019 NED EIP and no further awards are envisioned.</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Options over 107,608 ADSs were outstanding and fully vested with a weighted average exercise price per Option of $16.68 and aggregate intrinsic value of $0.</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and vested at March 31, 2026 and December 31, 2025 was 0.8 years and 1.1 years,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Loss per share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to ordinary equity holders of the Company for the period by the weighted average number of ordinary shares outstanding during the period. Diluted loss per share is based on dividing the loss attributable for the period, adjusted for the effect of dilutive ordinary shares, by ordinary share equivalents, which includes the weighted average number of ordinary shares outstanding and the effect of dilutive ordinary share equivalents.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7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6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($'000, except share</w:t>
            </w:r>
          </w:p>
        </w:tc>
        <w:tc>
          <w:tcPr>
            <w:tcW w:w="180" w:type="dxa"/>
            <w:vAlign w:val="bottom"/>
          </w:tcPr>
          <w:p>
            <w:pPr>
              <w:spacing w:after="0"/>
              <w:rPr>
                <w:sz w:val="16"/>
                <w:szCs w:val="16"/>
                <w:color w:val="auto"/>
              </w:rPr>
            </w:pPr>
          </w:p>
        </w:tc>
        <w:tc>
          <w:tcPr>
            <w:tcW w:w="166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($'000, except share</w:t>
            </w:r>
          </w:p>
        </w:tc>
      </w:tr>
      <w:tr>
        <w:trPr>
          <w:trHeight w:val="216"/>
        </w:trPr>
        <w:tc>
          <w:tcPr>
            <w:tcW w:w="7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and per share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and per share</w:t>
            </w:r>
          </w:p>
        </w:tc>
      </w:tr>
      <w:tr>
        <w:trPr>
          <w:trHeight w:val="238"/>
        </w:trPr>
        <w:tc>
          <w:tcPr>
            <w:tcW w:w="7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amounts)</w:t>
            </w: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r>
      <w:tr>
        <w:trPr>
          <w:trHeight w:val="20"/>
        </w:trPr>
        <w:tc>
          <w:tcPr>
            <w:tcW w:w="70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6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7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7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loss per share – basic and diluted</w:t>
            </w:r>
          </w:p>
        </w:tc>
        <w:tc>
          <w:tcPr>
            <w:tcW w:w="6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801,805,570</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784,279,387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-334010</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in the table below have been excluded from the computation of diluted loss per share as the effect for the three months ended March 31, 2026 and 2025 would be to reduce the loss per share. Therefore, the weighted average number of ordinary shares outstanding used to calculate both basic and diluted loss per share is the same.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35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680" w:type="dxa"/>
            <w:vAlign w:val="bottom"/>
          </w:tcPr>
          <w:p>
            <w:pPr>
              <w:spacing w:after="0"/>
              <w:rPr>
                <w:sz w:val="20"/>
                <w:szCs w:val="20"/>
                <w:color w:val="auto"/>
              </w:rPr>
            </w:pPr>
          </w:p>
        </w:tc>
        <w:tc>
          <w:tcPr>
            <w:tcW w:w="228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spacing w:after="0"/>
              <w:rPr>
                <w:sz w:val="20"/>
                <w:szCs w:val="20"/>
                <w:color w:val="auto"/>
              </w:rPr>
            </w:pPr>
          </w:p>
        </w:tc>
      </w:tr>
      <w:tr>
        <w:trPr>
          <w:trHeight w:val="209"/>
        </w:trPr>
        <w:tc>
          <w:tcPr>
            <w:tcW w:w="7680" w:type="dxa"/>
            <w:vAlign w:val="bottom"/>
          </w:tcPr>
          <w:p>
            <w:pPr>
              <w:spacing w:after="0"/>
              <w:rPr>
                <w:sz w:val="18"/>
                <w:szCs w:val="18"/>
                <w:color w:val="auto"/>
              </w:rPr>
            </w:pPr>
          </w:p>
        </w:tc>
        <w:tc>
          <w:tcPr>
            <w:tcW w:w="17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issuable for:</w:t>
            </w: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116,883,225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92,734,385</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2,487,816</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2,487,816</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Warrants classified in equity</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3,551,699</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40" w:firstLine="749"/>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However, the Company may record charges in the future as a result of these indemnification obligations. In accordance with the Articles of Association,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Asset Purchase Agreements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 has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Company further agreed that in the event it transfers, licenses, assigns or leases all or substantially all of its assets, it will pay Novartis a percentage of the proceeds of such transaction, subject to certain deductions.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AstraZeneca</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an exclusive license and option agreement (the “AstraZeneca License Agreement”) and subscription deed (the “AstraZeneca Subscription Deed”), together (the “Original Agreements”) with AstraZeneca AB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2,044,390 ordinary shares and paid $0.5 million to AstraZeneca in respect of an agreed milestone.</w:t>
      </w:r>
    </w:p>
    <w:p>
      <w:pPr>
        <w:spacing w:after="0" w:line="187" w:lineRule="exact"/>
        <w:rPr>
          <w:sz w:val="20"/>
          <w:szCs w:val="20"/>
          <w:color w:val="auto"/>
        </w:rPr>
      </w:pPr>
    </w:p>
    <w:p>
      <w:pPr>
        <w:ind w:right="80" w:firstLine="794"/>
        <w:spacing w:after="0" w:line="266" w:lineRule="auto"/>
        <w:rPr>
          <w:sz w:val="20"/>
          <w:szCs w:val="20"/>
          <w:color w:val="auto"/>
        </w:rPr>
      </w:pPr>
      <w:r>
        <w:rPr>
          <w:rFonts w:ascii="Times New Roman" w:cs="Times New Roman" w:eastAsia="Times New Roman" w:hAnsi="Times New Roman"/>
          <w:sz w:val="18"/>
          <w:szCs w:val="18"/>
          <w:color w:val="auto"/>
        </w:rPr>
        <w:t>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w:t>
      </w:r>
    </w:p>
    <w:p>
      <w:pPr>
        <w:spacing w:after="0" w:line="17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number of ADSs to be issued to satisfy each equity milestone is determined by dividing a monetary amount by a defined subscription price based on the weighted average trading price of the Company's ADSs, and the obligation is presented as a liability under ASC Topic 480, Distinguishing Liabilities from Equity. The Company continues to reassess the fair value of such instruments in each reporting period until the milestones are achieved, if ever, and the issuance of shares occurs. 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March 31, 2026 and December 31, 2025.</w:t>
      </w:r>
    </w:p>
    <w:p>
      <w:pPr>
        <w:spacing w:after="0" w:line="192" w:lineRule="exact"/>
        <w:rPr>
          <w:sz w:val="20"/>
          <w:szCs w:val="20"/>
          <w:color w:val="auto"/>
        </w:rPr>
      </w:pPr>
    </w:p>
    <w:p>
      <w:pPr>
        <w:ind w:firstLine="794"/>
        <w:spacing w:after="0" w:line="255" w:lineRule="auto"/>
        <w:rPr>
          <w:sz w:val="20"/>
          <w:szCs w:val="20"/>
          <w:color w:val="auto"/>
        </w:rPr>
      </w:pPr>
      <w:r>
        <w:rPr>
          <w:rFonts w:ascii="Times New Roman" w:cs="Times New Roman" w:eastAsia="Times New Roman" w:hAnsi="Times New Roman"/>
          <w:sz w:val="18"/>
          <w:szCs w:val="18"/>
          <w:color w:val="auto"/>
        </w:rPr>
        <w:t>In addition to the development and regulatory milestones,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had no manufacturing commitments with CMOs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agreement with Ultragenyx</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December 2024, the Company entered into a manufacturing and supply agreement with Ultragenyx Pharmaceutical Inc. (“Ultragenyx”) under which Ultragenyx is responsible for the manufacture and supply of setrusumab to the Company in its territories. The Company is also required to reimburse Ultragenyx for a portion of the manufacturing process development costs, future commercial supply costs as well as a portion of costs in the event of cancellation of certain manufacturing slots. Pursuant to this agreement, the Company has recognized $2.3 million for its share of the costs related to cancellation of certain manufacturing slots by Ultragenyx in the three months ended March 31, 2026. Any additional payments are subject to our agreement and cannot currently be estimated.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Putative Securities Class Action</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On February 4, 2026, a putative class action complaint was filed in the United States District Court for the Southern District of New York against the Company, its Chief Executive Officer, Denise Scots-Knight, and its Chief Scientific Officer, John Lewicki (the “Defendants”). This action, captioned </w:t>
      </w:r>
      <w:r>
        <w:rPr>
          <w:rFonts w:ascii="Times New Roman" w:cs="Times New Roman" w:eastAsia="Times New Roman" w:hAnsi="Times New Roman"/>
          <w:sz w:val="18"/>
          <w:szCs w:val="18"/>
          <w:i w:val="1"/>
          <w:iCs w:val="1"/>
          <w:color w:val="auto"/>
        </w:rPr>
        <w:t>Dodge v. Mereo Biopharma Group PLC</w:t>
      </w:r>
      <w:r>
        <w:rPr>
          <w:rFonts w:ascii="Times New Roman" w:cs="Times New Roman" w:eastAsia="Times New Roman" w:hAnsi="Times New Roman"/>
          <w:sz w:val="18"/>
          <w:szCs w:val="18"/>
          <w:color w:val="auto"/>
        </w:rPr>
        <w:t xml:space="preserve"> (No. 1:26-cv-988), alleges that the Defendants violated federal securities law by making false and misleading statements regarding the Company's business and operations. The Plaintiff seeks the payment of damages allegedly sustained by her and the putative class by reason of the allegations set forth in the complaint, plus interest, and legal and other costs and fees. On April 29, 2026, the court appointed a lead plaintiff and lead counsel. No responsive pleadings have been filed to date. The Company intends to vigorously defend against this action, but at this early stage, the Company can neither predict the ultimate outcome, nor estimate any range of possible losses.</w:t>
      </w:r>
    </w:p>
    <w:p>
      <w:pPr>
        <w:spacing w:after="0" w:line="18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subject to claims incident to the ordinary course of business. Except for the abovementioned putative securities class action, the Company was not a party to any material litigation and did not have any material contingency reserves established for any liabilities as of March 31, 2026 and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three months ended March 31, 2026 and 2025, there were no reportable related party transactions.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one operating segment focused on the business of developing rare disease therapies. The chief operating decision maker, its Chief Executive Officer, assesses performance for the entity and decides how to allocate resources based on consolidated net loss before income tax, which is reported on the condensed consolidated statements of operations and comprehensive loss. The measure of segment assets is reported on the condensed consolidated balance sheet as total consolidated assets.</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consolidated net loss before income tax and budget-to-actual variances for consolidated net loss before income tax to assess the performance of the operating segment.</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 including significant segment expenses regularly provided to the chief operating decision maker to assess performance of the Company.</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Setrusumab (BPS-804/UX143)</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Alvelestat (MPH-966)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Etigilimab (MPH-313)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2,047</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(12,887)</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Other segment items consist of interest income, interest expense, change in fair value of warrants, foreign currency transaction gain/(loss) and benefit from research and development tax credit. These are disclosed in the condensed consolidated statements of operations and comprehensive loss.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20" w:firstLine="84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and the audited consolidated financial statements and notes thereto and management’s discussion and analysis of financial condition and results of operations for the year ended December 31, 2025, included in our 2025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our 2025 Annual Report,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late-stage rare disease product candidates are setrusumab for the treatment of OI and alvelestat for the treatment of severe AATD-LD. Setrusumab has received orphan designation for OI from the European Commission (“EC”) and the U.S. Food and Drug Administration (“FDA”), PRIME designation from the European Medicines Agency (“EMA”) and has Breakthrough Therapy designation and rare pediatric disease designation from the FDA. Alvelestat has received orphan designation for AATD from the EC and the FDA, and Fast Track designation for the treatment of AATD-LD from the FDA. We also have an early-stage rare disease program, vantictumab, for the treatment of a second bone disease, ADO2. The global development of vantictumab is being funded and led by our partner, āshibio, Inc. (“āshibio”), and we retain the European commercial rights.</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all of our clinical-stage product candidates of which three were in rare diseases. We have successfully completed large, randomized Phase 2 clinical trials for four of our product candidates and the Phase 1b portion of a Phase 1b/2 for a fifth product candidate, and we and our partner Ultragenyx announced the results from two Phase 3 studies for our lead program setrusumab in OI in December 2025.</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6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three months ended March 31, 2026 and 2025.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(6,719)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(12,887)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6,168</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 Foreign currency translation adjustments,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3,559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(8,467)</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(9,328)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-1833880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-1833880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(“R&amp;D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three months ended March 31, 2026 and 2025.</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00" w:type="dxa"/>
            <w:vAlign w:val="bottom"/>
          </w:tcPr>
          <w:p>
            <w:pPr>
              <w:spacing w:after="0"/>
              <w:rPr>
                <w:sz w:val="20"/>
                <w:szCs w:val="20"/>
                <w:color w:val="auto"/>
              </w:rPr>
            </w:pPr>
          </w:p>
        </w:tc>
        <w:tc>
          <w:tcPr>
            <w:tcW w:w="13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4,052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2,244</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4,747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3,930</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increased by $0.8 million, from $3.9 million in the three months ended March 31, 2025 to $4.7 million in the three months ended March 31, 2026.</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increase was primarily due to increases of $1.8 million in R&amp;D expenses for setrusumab, partially offset by reductions of $0.9 million in R&amp;D expenses for alvelestat.</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increase in program expenses for setrusumab was primarily driven by recognition of a $2.3 million payable for our share of certain costs related to the cancellation of manufacturing slots by Ultragenyx, partially offset by reductions of, and delays to, investment in manufacturing and ongoing activities, including medical affairs activities in Europe during the three months ended March 31, 2026.</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decrease in program expenses for alvelestat was primarily due to completion of activities undertaken in preparation for the potential Phase 3 study in the three months ended March 31, 2025.</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$3.3 million, from $7.3 million in the three months ended March 31, 2025 to $4.0 million in the three months ended March 31, 2026. The decrease was primarily due to:</w:t>
      </w:r>
    </w:p>
    <w:p>
      <w:pPr>
        <w:spacing w:after="0" w:line="54" w:lineRule="exact"/>
        <w:rPr>
          <w:sz w:val="20"/>
          <w:szCs w:val="20"/>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 $1.9 million reduction in expenses in the three months ended March 31, 2026 for amounts received from our depository to reimburse certain expenses incurred by us in respect of our ADR program, whereas the corresponding amount in the prior year was recognized in the three months ended June 30, 2025;</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of approximately $1.4 million driven by delays to investment in pre-commercial activities to lay the foundation for the potential commercial launch of setrusumab in Europe, if approved, and other realized cost savings.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Interest income decreased by $0.3 million, from $0.7 million in the three months ended March 31, 2025 to $0.3 million in the three months ended March 31, 2026, principally due to a combination of lower interest rates earned and lower average cash and cash equivalents balances in the three months ended March 31, 2026 compared to the three months ended March 31, 2025.</w:t>
      </w:r>
    </w:p>
    <w:p>
      <w:pPr>
        <w:spacing w:after="0" w:line="176"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Interest expense decreased by $0.2 million, from $0.2 million in the three months ended March 31, 2025 to less than $0.1 million in the three months ended March 31, 2026. The decrease was principally due to the conversion of convertible loan notes in February 2025, following which the Company had no significant remaining interest-bearing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warrants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total change in fair value of warrants in the three months ended March 31, 2026 was an unrealized gain of less than $0.1 million, compared to an unrealized gain of $0.4 million in the three months ended March 31, 2025. The unrealized gain in both periods was primarily due to the impact of decreases in the price of the Company’s ADSs on the value of the warrant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gain/(loss), net</w:t>
      </w:r>
    </w:p>
    <w:p>
      <w:pPr>
        <w:spacing w:after="0" w:line="227"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gain for the three months ended March 31, 2026 was $1.6 million, compared to a loss of $2.8 million for the three months ended March 31, 2025. This change primarily reflects the impact of a strengthening in the value of U.S. dollars when translating U.S. dollar balances into our functional currency of pound sterling in the three months ended March 31, 2026, compared to a weakening of U.S. dollars in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benefit from research and development tax credit decreased by $0.1 million, from $0.2 million in the three months ended March 31, 2025 to $0.1 million in the three months ended March 31, 2026. This decrease reflects a lower level of qualifying expenditure in the three months ended March 31, 2026 than in the three months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adjustment for the three months ended March 31, 2026 was a loss of $1.7 million, compared to a gain of $3.6 million in the three months ended March 31, 2025. This change primarily reflects the impact of a strengthening in the value of U.S. dollars when translating pound sterling functional currency balances into our presentational currency of U.S. dollars in the three months ended March 31, 2026, compared to a weakening of U.S. dollars in the three months ended March 31,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Under the current business plan and cash flow forecasts, and in consideration of our ongoing research and development efforts and our general corporate funding requirements, we anticipate that our current on-hand cash resources will extend into mid-2027.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 or other sources.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also received payments under various license and collaboration agreements, including payments of:</w:t>
      </w:r>
    </w:p>
    <w:p>
      <w:pPr>
        <w:spacing w:after="0" w:line="225" w:lineRule="exact"/>
        <w:rPr>
          <w:sz w:val="20"/>
          <w:szCs w:val="20"/>
          <w:color w:val="auto"/>
        </w:rPr>
      </w:pPr>
    </w:p>
    <w:p>
      <w:pPr>
        <w:ind w:left="760" w:right="2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under the license and collaboration agreement with Ultragenyx for setrusumab in 2021 and a further milestone payment of $9.0 million in 2023;</w:t>
      </w:r>
    </w:p>
    <w:p>
      <w:pPr>
        <w:spacing w:after="0" w:line="161" w:lineRule="exact"/>
        <w:rPr>
          <w:rFonts w:ascii="Times New Roman" w:cs="Times New Roman" w:eastAsia="Times New Roman" w:hAnsi="Times New Roman"/>
          <w:sz w:val="18"/>
          <w:szCs w:val="18"/>
          <w:color w:val="auto"/>
        </w:rPr>
      </w:pPr>
    </w:p>
    <w:p>
      <w:pPr>
        <w:ind w:left="760" w:right="10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under the license and collaboration agreement with Feng Biosciences, Inc. (formerly OncXerna Therapeutics, Inc.) for navicixizumab in 2020 and a further milestone payment of $2.0 million in 2022; and</w:t>
      </w:r>
    </w:p>
    <w:p>
      <w:pPr>
        <w:spacing w:after="0" w:line="16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under the global license agreement with ReproNovo SA for leflutrozole in 2023 and a further milestone payment of $0.5 million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further described in our 2025 Annual Report, under “Item 1. Business—Material Agreements—Novartis Agreements” (as updated in Note 14 to the condensed consolidated financial statements included in this Quarterly Report) and “Item 1. Business—Material Agreements—Licensing Agreement with AstraZeneca,” under various agreements with Novartis and AstraZeneca, we have agreed to make milestone payments and pay royalties on potential future commercial sales. The amount, timing, and likelihood of such payments are not known and will remain uncertain for the foreseeable future.</w:t>
      </w:r>
    </w:p>
    <w:p>
      <w:pPr>
        <w:spacing w:after="0" w:line="18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addition, we enter into contracts in the ordinary course of business with CROs, CMOs, and other vendors, including Ultragenyx for the manufacture of setrusumab as described in our 2025 Annual Report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no manufacturing commitments with CMOs as of March 31, 2026 and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flows (used in)/provided by operating, investing and financing activities for the three months ended March 31, 2026 and 2025.</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180" w:type="dxa"/>
            <w:vAlign w:val="bottom"/>
          </w:tcPr>
          <w:p>
            <w:pPr>
              <w:spacing w:after="0"/>
              <w:rPr>
                <w:sz w:val="16"/>
                <w:szCs w:val="16"/>
                <w:color w:val="auto"/>
              </w:rPr>
            </w:pPr>
          </w:p>
        </w:tc>
        <w:tc>
          <w:tcPr>
            <w:tcW w:w="100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r>
      <w:tr>
        <w:trPr>
          <w:trHeight w:val="216"/>
        </w:trPr>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34"/>
        </w:trPr>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r>
      <w:tr>
        <w:trPr>
          <w:trHeight w:val="209"/>
        </w:trPr>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4140"/>
          </w:cols>
          <w:pgMar w:left="320" w:top="117" w:right="37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$4.3 million, a decrease of $4.0 million from $8.3 million in the three months ended March 31, 2025. This decrease is principally due to lower cash bonus payments of approximately $2.0 million, receipt of $1.9 million from our depository to reimburse certain expenses incurred by us in respect of our ADR program and lower net cash operating payments of approximately $1.2 million. These decreases were partially offset by receipt of $1.1 million in R&amp;D tax credits in the three months ended March 31, 2025 with no similar amount received in the three months ended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and 2025 were $0.3 million. In both periods, these cash flows relate to payments to acquire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was less than $0.1 million, compared to net cash provided by financing activities of $0.4 million in the three months ended March 31, 2025. The decrease primarily represents the $0.5 million received upon exercise of the 2020 Novartis Warrants in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we had an accumulated deficit of $507.5 million. We expect to continue to report significant operating losses for the foreseeable future as we continue our research and development efforts and seek to obtain regulatory approval of our product candidates and any future product candidates we develop.</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costs will increase further if we:</w:t>
      </w:r>
    </w:p>
    <w:p>
      <w:pPr>
        <w:spacing w:after="0" w:line="22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w:t>
      </w:r>
    </w:p>
    <w:p>
      <w:pPr>
        <w:spacing w:after="0" w:line="225"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further clinical, scientific, operational, financial, legal and management information systems, and personnel, including personnel to support our development, potential commercialization, and to support our operations as a U.S. public company listed on Nasdaq; or</w:t>
      </w:r>
    </w:p>
    <w:p>
      <w:pPr>
        <w:spacing w:after="0" w:line="161"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manufacturing issues, or other regulatory challenges.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currently committed clinical trials, operating expenses and capital expenditure requirements into mid-2027.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right="14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costs associated with our alvelestat program in AATD;</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or commercial supplies of our product candidates;</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vantictumab, leflutrozole and navicixizumab;</w:t>
      </w:r>
    </w:p>
    <w:p>
      <w:pPr>
        <w:spacing w:after="0" w:line="225"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the Amended AstraZeneca Agreements;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ectPr>
          <w:pgSz w:w="11900" w:h="16838" w:orient="portrait"/>
          <w:cols w:equalWidth="0" w:num="1">
            <w:col w:w="11220"/>
          </w:cols>
          <w:pgMar w:left="320" w:top="117" w:right="3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unaudited condensed consolidated financial statements. We believe that there are no estimates and assumptions made in our unaudited condensed consolidated financial statements that rise to this level. Our significant accounting policies are described under the heading “Management’s Discussion and Analysis of Financial Condition and Results of Operations—Critical Accounting Estimates” in our 2025 Annual Report, which was filed with the SEC on March 19, 2026.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estimates from those described in our 2025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recent accounting pronouncements, changes in accounting pronouncements or recently adopted accounting guidance other than those previously included in the 2025 Annual Report that are of significance or potential significance to the Company. The Company is continuing to evaluate the impact of the recently issued pronouncements that are effective in future periods and were discussed in its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section titled “Information Regarding Forward-Looking Statements” at the beginning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and Exchange Act of 1934, as amended (“Exchange Act”)) as of March 31, 2026.</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Based on such evaluation, our Chief Executive Officer and Chief Financial Officer have concluded that our disclosure controls and procedures were effective at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13a-15(e) and 15d-15(e) under the Exchange Act) occurred during the three months ended March 31, 2026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in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included elsewhere in this Quarterly Report on Form 10-Q under the caption “Putative Securities Class Action” is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2025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2026, none of our directors or officers adopted, modified or terminated a “Rule 10b5-1 trading arrangement” or a “non-Rule 10b5-1 trading arrangement” as such terms are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exhibits are either provided with this Quarterly Report on Form 10-Q or are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of 1934, as adopted</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of 1934, as adopted</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 of</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9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 of</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9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900" w:type="dxa"/>
            <w:vAlign w:val="bottom"/>
            <w:gridSpan w:val="4"/>
          </w:tcPr>
          <w:p>
            <w:pPr>
              <w:spacing w:after="0" w:line="20" w:lineRule="exact"/>
              <w:rPr>
                <w:sz w:val="1"/>
                <w:szCs w:val="1"/>
                <w:color w:val="auto"/>
              </w:rPr>
            </w:pPr>
          </w:p>
        </w:tc>
      </w:tr>
      <w:tr>
        <w:trPr>
          <w:trHeight w:val="42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for the Company's Quarterly Report on Form 10-Q has been formatted in Inline XBRL and contained in Exhibit 101</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May 12, 2026.</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MEREO BIOPHARMA GROUP PLC</w:t>
      </w:r>
    </w:p>
    <w:p>
      <w:pPr>
        <w:sectPr>
          <w:pgSz w:w="11900" w:h="16838" w:orient="portrait"/>
          <w:cols w:equalWidth="0" w:num="1">
            <w:col w:w="11040"/>
          </w:cols>
          <w:pgMar w:left="320" w:top="117" w:right="5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12,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Denise Scots-Knight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Fox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ectPr>
          <w:pgSz w:w="11900" w:h="16838" w:orient="portrait"/>
          <w:cols w:equalWidth="0" w:num="2">
            <w:col w:w="4900" w:space="720"/>
            <w:col w:w="5420"/>
          </w:cols>
          <w:pgMar w:left="320" w:top="117" w:right="539" w:bottom="1440" w:gutter="0" w:footer="0" w:header="0"/>
          <w:type w:val="continuous"/>
        </w:sect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type w:val="continuous"/>
        </w:sectPr>
      </w:pPr>
    </w:p>
    <w:bookmarkStart w:id="29" w:name="page30"/>
    <w:bookmarkEnd w:id="2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Scots-Knight, certify that:</w:t>
      </w:r>
    </w:p>
    <w:p>
      <w:pPr>
        <w:spacing w:after="0" w:line="131"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480" w:hanging="55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5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most recent fiscal quarter (the Company's fourth fiscal quarter in the case of an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40" w:hanging="452"/>
        <w:spacing w:after="0" w:line="312" w:lineRule="auto"/>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20" w:right="740" w:hanging="55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00" w:hanging="55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29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7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top w:val="single" w:sz="8" w:color="auto"/>
            </w:tcBorders>
          </w:tcPr>
          <w:p>
            <w:pPr>
              <w:ind w:left="300"/>
              <w:spacing w:after="0" w:line="205" w:lineRule="exact"/>
              <w:rPr>
                <w:sz w:val="20"/>
                <w:szCs w:val="20"/>
                <w:color w:val="auto"/>
              </w:rPr>
            </w:pPr>
            <w:r>
              <w:rPr>
                <w:rFonts w:ascii="Times New Roman" w:cs="Times New Roman" w:eastAsia="Times New Roman" w:hAnsi="Times New Roman"/>
                <w:sz w:val="18"/>
                <w:szCs w:val="18"/>
                <w:color w:val="auto"/>
              </w:rPr>
              <w:t>Denise Scots-Knight</w:t>
            </w:r>
          </w:p>
        </w:tc>
      </w:tr>
      <w:tr>
        <w:trPr>
          <w:trHeight w:val="234"/>
        </w:trPr>
        <w:tc>
          <w:tcPr>
            <w:tcW w:w="63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086"/>
        </w:trPr>
        <w:tc>
          <w:tcPr>
            <w:tcW w:w="6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Fox, certify that:</w:t>
      </w:r>
    </w:p>
    <w:p>
      <w:pPr>
        <w:spacing w:after="0" w:line="13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48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most recent fiscal quarter (the Company's fourth fiscal quarter in the case of an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40" w:hanging="452"/>
        <w:spacing w:after="0" w:line="312" w:lineRule="auto"/>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20" w:right="74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0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29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Christine Fox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9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460"/>
              <w:spacing w:after="0" w:line="205" w:lineRule="exact"/>
              <w:rPr>
                <w:sz w:val="20"/>
                <w:szCs w:val="20"/>
                <w:color w:val="auto"/>
              </w:rPr>
            </w:pPr>
            <w:r>
              <w:rPr>
                <w:rFonts w:ascii="Times New Roman" w:cs="Times New Roman" w:eastAsia="Times New Roman" w:hAnsi="Times New Roman"/>
                <w:sz w:val="18"/>
                <w:szCs w:val="18"/>
                <w:color w:val="auto"/>
              </w:rPr>
              <w:t>Christine Fox</w:t>
            </w:r>
          </w:p>
        </w:tc>
      </w:tr>
      <w:tr>
        <w:trPr>
          <w:trHeight w:val="234"/>
        </w:trPr>
        <w:tc>
          <w:tcPr>
            <w:tcW w:w="59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5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March 31, 2026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12,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05"/>
        </w:trPr>
        <w:tc>
          <w:tcPr>
            <w:tcW w:w="1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8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Denise Scots-Knight</w:t>
            </w:r>
          </w:p>
        </w:tc>
        <w:tc>
          <w:tcPr>
            <w:tcW w:w="428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2"/>
        </w:trPr>
        <w:tc>
          <w:tcPr>
            <w:tcW w:w="11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March 31, 2026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12,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05"/>
        </w:trPr>
        <w:tc>
          <w:tcPr>
            <w:tcW w:w="1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Christine Fox</w:t>
            </w:r>
          </w:p>
        </w:tc>
        <w:tc>
          <w:tcPr>
            <w:tcW w:w="4500" w:type="dxa"/>
            <w:vAlign w:val="bottom"/>
          </w:tcPr>
          <w:p>
            <w:pPr>
              <w:spacing w:after="0"/>
              <w:rPr>
                <w:sz w:val="17"/>
                <w:szCs w:val="17"/>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13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2026-05-12T07:06:28Z</dcterms:created>
  <dcterms:modified xsi:type="dcterms:W3CDTF">2026-05-12T07:06:28Z</dcterms:modified>
</cp:coreProperties>
</file>