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Ordinary Shares, par value GBP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Northpond Ventures, LP</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20" w:h="16838" w:orient="portrait"/>
          <w:cols w:equalWidth="0" w:num="2">
            <w:col w:w="1040" w:space="60"/>
            <w:col w:w="8998"/>
          </w:cols>
          <w:pgMar w:left="380" w:top="161" w:right="1440" w:bottom="24"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Northpond Ventures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61" w:right="1440" w:bottom="24"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20" w:h="16838" w:orient="portrait"/>
          <w:cols w:equalWidth="0" w:num="2">
            <w:col w:w="1040" w:space="60"/>
            <w:col w:w="8998"/>
          </w:cols>
          <w:pgMar w:left="380" w:top="161" w:right="1440" w:bottom="24" w:gutter="0" w:footer="0" w:header="0"/>
          <w:type w:val="continuous"/>
        </w:sectPr>
      </w:pPr>
    </w:p>
    <w:bookmarkStart w:id="2" w:name="page3"/>
    <w:bookmarkEnd w:id="2"/>
    <w:p>
      <w:pPr>
        <w:ind w:left="1107"/>
        <w:spacing w:after="0"/>
        <w:rPr>
          <w:sz w:val="20"/>
          <w:szCs w:val="20"/>
          <w:color w:val="auto"/>
        </w:rPr>
      </w:pPr>
      <w:r>
        <w:rPr>
          <w:rFonts w:ascii="Times New Roman" w:cs="Times New Roman" w:eastAsia="Times New Roman" w:hAnsi="Times New Roman"/>
          <w:sz w:val="22"/>
          <w:szCs w:val="22"/>
          <w:color w:val="auto"/>
        </w:rPr>
        <w:t>0.0 %</w:t>
      </w:r>
    </w:p>
    <w:p>
      <w:pPr>
        <w:spacing w:after="0" w:line="45"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ind w:left="1107"/>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Northpond Ventures II, LP</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105"/>
          </w:cols>
          <w:pgMar w:left="373" w:top="106" w:right="1440"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20" w:h="16838" w:orient="portrait"/>
          <w:cols w:equalWidth="0" w:num="2">
            <w:col w:w="1047" w:space="60"/>
            <w:col w:w="8998"/>
          </w:cols>
          <w:pgMar w:left="373" w:top="10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Northpond Ventures II GP, LLC</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07" w:hanging="1107"/>
        <w:spacing w:after="0"/>
        <w:tabs>
          <w:tab w:leader="none" w:pos="110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20" w:h="16838" w:orient="portrait"/>
          <w:cols w:equalWidth="0" w:num="1">
            <w:col w:w="10105"/>
          </w:cols>
          <w:pgMar w:left="373" w:top="106" w:right="1440" w:bottom="0" w:gutter="0" w:footer="0" w:header="0"/>
          <w:type w:val="continuous"/>
        </w:sectPr>
      </w:pPr>
    </w:p>
    <w:bookmarkStart w:id="3" w:name="page4"/>
    <w:bookmarkEnd w:id="3"/>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20" w:h="16838" w:orient="portrait"/>
          <w:cols w:equalWidth="0" w:num="2">
            <w:col w:w="1040" w:space="60"/>
            <w:col w:w="8998"/>
          </w:cols>
          <w:pgMar w:left="380" w:top="12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NPV Listed,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2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20" w:h="16838" w:orient="portrait"/>
          <w:cols w:equalWidth="0" w:num="2">
            <w:col w:w="1040" w:space="60"/>
            <w:col w:w="8998"/>
          </w:cols>
          <w:pgMar w:left="380" w:top="121" w:right="1440" w:bottom="0" w:gutter="0" w:footer="0" w:header="0"/>
          <w:type w:val="continuous"/>
        </w:sectPr>
      </w:pPr>
    </w:p>
    <w:bookmarkStart w:id="4" w:name="page5"/>
    <w:bookmarkEnd w:id="4"/>
    <w:p>
      <w:pPr>
        <w:ind w:left="1107"/>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939800</wp:posOffset>
            </wp:positionH>
            <wp:positionV relativeFrom="page">
              <wp:posOffset>85725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ind w:left="1107"/>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ind w:left="1107"/>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Northpond Ventures, LLC</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105"/>
          </w:cols>
          <w:pgMar w:left="373" w:top="364" w:right="1440" w:bottom="265"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20" w:h="16838" w:orient="portrait"/>
          <w:cols w:equalWidth="0" w:num="2">
            <w:col w:w="1047" w:space="60"/>
            <w:col w:w="8998"/>
          </w:cols>
          <w:pgMar w:left="373" w:top="364" w:right="1440" w:bottom="265"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Michael P. Rubin</w:t>
      </w:r>
    </w:p>
    <w:p>
      <w:pPr>
        <w:spacing w:after="0" w:line="20" w:lineRule="exact"/>
        <w:rPr>
          <w:sz w:val="20"/>
          <w:szCs w:val="20"/>
          <w:color w:val="auto"/>
        </w:rPr>
      </w:pPr>
    </w:p>
    <w:p>
      <w:pPr>
        <w:ind w:left="1107" w:hanging="1107"/>
        <w:spacing w:after="0"/>
        <w:tabs>
          <w:tab w:leader="none" w:pos="1107"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105"/>
          </w:cols>
          <w:pgMar w:left="373" w:top="364" w:right="1440" w:bottom="265" w:gutter="0" w:footer="0" w:header="0"/>
          <w:type w:val="continuous"/>
        </w:sectPr>
      </w:pPr>
    </w:p>
    <w:bookmarkStart w:id="5" w:name="page6"/>
    <w:bookmarkEnd w:id="5"/>
    <w:p>
      <w:pPr>
        <w:spacing w:after="0" w:line="200" w:lineRule="exact"/>
        <w:rPr>
          <w:sz w:val="20"/>
          <w:szCs w:val="20"/>
          <w:color w:val="auto"/>
        </w:rPr>
      </w:pPr>
    </w:p>
    <w:p>
      <w:pPr>
        <w:spacing w:after="0" w:line="3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20" w:h="16879" w:orient="portrait"/>
          <w:cols w:equalWidth="0" w:num="2">
            <w:col w:w="1047" w:space="60"/>
            <w:col w:w="9880"/>
          </w:cols>
          <w:pgMar w:left="373" w:top="121" w:right="558"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Northpond Ventures, LP</w:t>
      </w:r>
    </w:p>
    <w:p>
      <w:pPr>
        <w:spacing w:after="0" w:line="14" w:lineRule="exact"/>
        <w:rPr>
          <w:sz w:val="20"/>
          <w:szCs w:val="20"/>
          <w:color w:val="auto"/>
        </w:rPr>
      </w:pPr>
    </w:p>
    <w:p>
      <w:pPr>
        <w:ind w:left="927" w:hanging="927"/>
        <w:spacing w:after="0" w:line="234" w:lineRule="auto"/>
        <w:tabs>
          <w:tab w:leader="none" w:pos="9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("Northpond Fund") Northpond Ventures GP, LLC ("Northpond GP LLC") Northpond Ventures II, LP ("Northpond Fund II") Northpond Ventures II GP, LLC ("Northpond GP II LLC") NPV Listed, LLC ("NPV Listed") Northpond Ventures, LLC ("Northpond Ventures") Michael P. Rubin ("Rubin") The Reporting Persons expressly disclaim status as a "group" for purposes of this Schedule 13G/A.</w:t>
      </w:r>
    </w:p>
    <w:p>
      <w:pPr>
        <w:spacing w:after="0" w:line="15"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7" w:right="340" w:hanging="927"/>
        <w:spacing w:after="0"/>
        <w:tabs>
          <w:tab w:leader="none" w:pos="927"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office of each Reporting Person is: 7500 Old Georgetown Road, Suite 800 Bethesda, MD 20814</w:t>
      </w:r>
    </w:p>
    <w:p>
      <w:pPr>
        <w:spacing w:after="0" w:line="91" w:lineRule="exact"/>
        <w:rPr>
          <w:rFonts w:ascii="Times New Roman" w:cs="Times New Roman" w:eastAsia="Times New Roman" w:hAnsi="Times New Roman"/>
          <w:sz w:val="39"/>
          <w:szCs w:val="39"/>
          <w:color w:val="auto"/>
          <w:vertAlign w:val="superscript"/>
        </w:rPr>
      </w:pPr>
    </w:p>
    <w:p>
      <w:pPr>
        <w:ind w:left="927"/>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7" w:right="560" w:hanging="927"/>
        <w:spacing w:after="0" w:line="185" w:lineRule="auto"/>
        <w:tabs>
          <w:tab w:leader="none" w:pos="927"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Northpond Fund Delaware Northpond GP LLC Delaware Northpond Fund II Delaware Northpond GP II LLC Delaware NPV Listed Delaware Northpond Ventures Delaware Rubin United States</w:t>
      </w:r>
    </w:p>
    <w:p>
      <w:pPr>
        <w:spacing w:after="0" w:line="17"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ind w:left="927"/>
        <w:spacing w:after="0"/>
        <w:rPr>
          <w:sz w:val="20"/>
          <w:szCs w:val="20"/>
          <w:color w:val="auto"/>
        </w:rPr>
      </w:pPr>
      <w:r>
        <w:rPr>
          <w:rFonts w:ascii="Times New Roman" w:cs="Times New Roman" w:eastAsia="Times New Roman" w:hAnsi="Times New Roman"/>
          <w:sz w:val="22"/>
          <w:szCs w:val="22"/>
          <w:color w:val="auto"/>
        </w:rPr>
        <w:t>Ordinary Shares, par value GBP 0.003 per share</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ind w:left="927"/>
        <w:spacing w:after="0"/>
        <w:rPr>
          <w:sz w:val="20"/>
          <w:szCs w:val="20"/>
          <w:color w:val="auto"/>
        </w:rPr>
      </w:pPr>
      <w:r>
        <w:rPr>
          <w:rFonts w:ascii="Times New Roman" w:cs="Times New Roman" w:eastAsia="Times New Roman" w:hAnsi="Times New Roman"/>
          <w:sz w:val="22"/>
          <w:szCs w:val="22"/>
          <w:color w:val="auto"/>
        </w:rPr>
        <w:t>589492107</w:t>
      </w:r>
    </w:p>
    <w:p>
      <w:pPr>
        <w:sectPr>
          <w:pgSz w:w="11920" w:h="16879" w:orient="portrait"/>
          <w:cols w:equalWidth="0" w:num="1">
            <w:col w:w="10987"/>
          </w:cols>
          <w:pgMar w:left="373" w:top="121" w:right="558" w:bottom="0" w:gutter="0" w:footer="0" w:header="0"/>
          <w:type w:val="continuous"/>
        </w:sectPr>
      </w:pPr>
    </w:p>
    <w:bookmarkStart w:id="6" w:name="page7"/>
    <w:bookmarkEnd w:id="6"/>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sectPr>
          <w:pgSz w:w="11920" w:h="16838" w:orient="portrait"/>
          <w:cols w:equalWidth="0" w:num="2">
            <w:col w:w="607" w:space="320"/>
            <w:col w:w="10260"/>
          </w:cols>
          <w:pgMar w:left="373" w:top="121" w:right="358" w:bottom="0" w:gutter="0" w:footer="0" w:header="0"/>
        </w:sectPr>
      </w:pPr>
    </w:p>
    <w:p>
      <w:pPr>
        <w:ind w:left="7"/>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Broker or dealer registered under section 15 of the Act (15 U.S.C. 78o);</w:t>
      </w:r>
    </w:p>
    <w:p>
      <w:pPr>
        <w:spacing w:after="0" w:line="69" w:lineRule="exact"/>
        <w:rPr>
          <w:sz w:val="20"/>
          <w:szCs w:val="20"/>
          <w:color w:val="auto"/>
        </w:rPr>
      </w:pPr>
    </w:p>
    <w:p>
      <w:pPr>
        <w:sectPr>
          <w:pgSz w:w="11920" w:h="16838" w:orient="portrait"/>
          <w:cols w:equalWidth="0" w:num="2">
            <w:col w:w="567" w:space="720"/>
            <w:col w:w="9900"/>
          </w:cols>
          <w:pgMar w:left="373" w:top="121" w:right="358" w:bottom="0" w:gutter="0" w:footer="0" w:header="0"/>
          <w:type w:val="continuous"/>
        </w:sectPr>
      </w:pPr>
    </w:p>
    <w:p>
      <w:pPr>
        <w:ind w:left="7"/>
        <w:spacing w:after="0"/>
        <w:rPr>
          <w:sz w:val="20"/>
          <w:szCs w:val="20"/>
          <w:color w:val="auto"/>
        </w:rPr>
      </w:pPr>
      <w:r>
        <w:rPr>
          <w:rFonts w:ascii="Times New Roman" w:cs="Times New Roman" w:eastAsia="Times New Roman" w:hAnsi="Times New Roman"/>
          <w:sz w:val="19"/>
          <w:szCs w:val="19"/>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Bank as defined in section 3(a)(6) of the Act (15 U.S.C. 78c);</w:t>
      </w:r>
    </w:p>
    <w:p>
      <w:pPr>
        <w:spacing w:after="0" w:line="69" w:lineRule="exact"/>
        <w:rPr>
          <w:sz w:val="20"/>
          <w:szCs w:val="20"/>
          <w:color w:val="auto"/>
        </w:rPr>
      </w:pPr>
    </w:p>
    <w:p>
      <w:pPr>
        <w:sectPr>
          <w:pgSz w:w="11920" w:h="16838" w:orient="portrait"/>
          <w:cols w:equalWidth="0" w:num="2">
            <w:col w:w="567" w:space="720"/>
            <w:col w:w="9900"/>
          </w:cols>
          <w:pgMar w:left="373" w:top="121" w:right="358" w:bottom="0" w:gutter="0" w:footer="0" w:header="0"/>
          <w:type w:val="continuous"/>
        </w:sectPr>
      </w:pPr>
    </w:p>
    <w:p>
      <w:pPr>
        <w:ind w:left="7"/>
        <w:spacing w:after="0"/>
        <w:rPr>
          <w:sz w:val="20"/>
          <w:szCs w:val="20"/>
          <w:color w:val="auto"/>
        </w:rPr>
      </w:pPr>
      <w:r>
        <w:rPr>
          <w:rFonts w:ascii="Times New Roman" w:cs="Times New Roman" w:eastAsia="Times New Roman" w:hAnsi="Times New Roman"/>
          <w:sz w:val="21"/>
          <w:szCs w:val="21"/>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Insurance company as defined in section 3(a)(19) of the Act (15 U.S.C. 78c);</w:t>
      </w:r>
    </w:p>
    <w:p>
      <w:pPr>
        <w:spacing w:after="0" w:line="69" w:lineRule="exact"/>
        <w:rPr>
          <w:sz w:val="20"/>
          <w:szCs w:val="20"/>
          <w:color w:val="auto"/>
        </w:rPr>
      </w:pPr>
    </w:p>
    <w:p>
      <w:pPr>
        <w:sectPr>
          <w:pgSz w:w="11920" w:h="16838" w:orient="portrait"/>
          <w:cols w:equalWidth="0" w:num="2">
            <w:col w:w="567" w:space="720"/>
            <w:col w:w="9900"/>
          </w:cols>
          <w:pgMar w:left="373" w:top="121" w:right="358" w:bottom="0" w:gutter="0" w:footer="0" w:header="0"/>
          <w:type w:val="continuous"/>
        </w:sectPr>
      </w:pPr>
    </w:p>
    <w:p>
      <w:pPr>
        <w:ind w:left="7"/>
        <w:spacing w:after="0"/>
        <w:rPr>
          <w:sz w:val="20"/>
          <w:szCs w:val="20"/>
          <w:color w:val="auto"/>
        </w:rPr>
      </w:pPr>
      <w:r>
        <w:rPr>
          <w:rFonts w:ascii="Times New Roman" w:cs="Times New Roman" w:eastAsia="Times New Roman" w:hAnsi="Times New Roman"/>
          <w:sz w:val="19"/>
          <w:szCs w:val="19"/>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69" w:lineRule="exact"/>
        <w:rPr>
          <w:sz w:val="20"/>
          <w:szCs w:val="20"/>
          <w:color w:val="auto"/>
        </w:rPr>
      </w:pPr>
    </w:p>
    <w:p>
      <w:pPr>
        <w:sectPr>
          <w:pgSz w:w="11920" w:h="16838" w:orient="portrait"/>
          <w:cols w:equalWidth="0" w:num="2">
            <w:col w:w="567" w:space="720"/>
            <w:col w:w="9900"/>
          </w:cols>
          <w:pgMar w:left="373" w:top="121" w:right="358" w:bottom="0" w:gutter="0" w:footer="0" w:header="0"/>
          <w:type w:val="continuous"/>
        </w:sectPr>
      </w:pPr>
    </w:p>
    <w:p>
      <w:pPr>
        <w:ind w:left="927" w:hanging="927"/>
        <w:spacing w:after="0"/>
        <w:tabs>
          <w:tab w:leader="none" w:pos="9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7" w:hanging="927"/>
        <w:spacing w:after="0"/>
        <w:tabs>
          <w:tab w:leader="none" w:pos="9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c>
          <w:tcPr>
            <w:tcW w:w="0" w:type="dxa"/>
            <w:vAlign w:val="bottom"/>
          </w:tcPr>
          <w:p>
            <w:pPr>
              <w:spacing w:after="0"/>
              <w:rPr>
                <w:sz w:val="1"/>
                <w:szCs w:val="1"/>
                <w:color w:val="auto"/>
              </w:rPr>
            </w:pP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71"/>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-718820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-521335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-324485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21"/>
          <w:szCs w:val="21"/>
          <w:color w:val="auto"/>
        </w:rPr>
        <w:t>A non-U.S. institution in accordance with § 240.13d-1(b)(1)(ii)(J). If filing as a non-U.S. institution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-144145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27" w:hanging="927"/>
        <w:spacing w:after="0"/>
        <w:tabs>
          <w:tab w:leader="none" w:pos="92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 240.13d-1(b)(1)(ii)(J),</w:t>
      </w:r>
    </w:p>
    <w:p>
      <w:pPr>
        <w:ind w:left="1307"/>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7" w:hanging="927"/>
        <w:spacing w:after="0"/>
        <w:tabs>
          <w:tab w:leader="none" w:pos="92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7" w:right="600"/>
        <w:spacing w:after="0" w:line="253" w:lineRule="auto"/>
        <w:rPr>
          <w:sz w:val="20"/>
          <w:szCs w:val="20"/>
          <w:color w:val="auto"/>
        </w:rPr>
      </w:pPr>
      <w:r>
        <w:rPr>
          <w:rFonts w:ascii="Times New Roman" w:cs="Times New Roman" w:eastAsia="Times New Roman" w:hAnsi="Times New Roman"/>
          <w:sz w:val="21"/>
          <w:szCs w:val="21"/>
          <w:color w:val="auto"/>
        </w:rPr>
        <w:t>There is no CUSIP number assigned to the ordinary shares. CUSIP number 589492107 has been assigned to the American Depositary Shares ("ADSs") of the Issuer. Each ADS represents five ordinary shares. Row 9 of each</w:t>
      </w:r>
    </w:p>
    <w:p>
      <w:pPr>
        <w:spacing w:after="0" w:line="1" w:lineRule="exact"/>
        <w:rPr>
          <w:sz w:val="20"/>
          <w:szCs w:val="20"/>
          <w:color w:val="auto"/>
        </w:rPr>
      </w:pPr>
    </w:p>
    <w:p>
      <w:pPr>
        <w:ind w:left="927" w:right="60" w:hanging="927"/>
        <w:spacing w:after="0" w:line="201" w:lineRule="auto"/>
        <w:tabs>
          <w:tab w:leader="none" w:pos="927"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cover page to this Schedule 13G/A sets forth the aggregate number of ordinary shares of the Issuer beneficially owned by such Reporting Person as of December 31, 2025 and is incorporated by reference. Northpond GP LLC is the general partner of Northpond Fund, Northpond GP II LLC is the general partner of Northpond Fund II and Northpond Ventures is the manager of NPV Listed. Rubin is the managing member of each of Northpond GP LLC, Northpond GP II LLC and Northpond Ventures and has voting and dispositive power over the securities held by each of Northpond Fund, Northpond Fund II and NPV Listed.</w:t>
      </w:r>
    </w:p>
    <w:p>
      <w:pPr>
        <w:spacing w:after="0" w:line="14" w:lineRule="exact"/>
        <w:rPr>
          <w:rFonts w:ascii="Times New Roman" w:cs="Times New Roman" w:eastAsia="Times New Roman" w:hAnsi="Times New Roman"/>
          <w:sz w:val="43"/>
          <w:szCs w:val="43"/>
          <w:color w:val="auto"/>
          <w:vertAlign w:val="subscript"/>
        </w:rPr>
      </w:pPr>
    </w:p>
    <w:p>
      <w:pPr>
        <w:ind w:left="927"/>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7" w:right="420" w:hanging="927"/>
        <w:spacing w:after="0" w:line="244" w:lineRule="auto"/>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13G/A sets forth the percentages of the ordinary shares of the Issuer beneficially owned by such Reporting Person as of December 31, 2025 and is incorporated by reference. %</w:t>
      </w:r>
    </w:p>
    <w:p>
      <w:pPr>
        <w:spacing w:after="0" w:line="11" w:lineRule="exact"/>
        <w:rPr>
          <w:rFonts w:ascii="Times New Roman" w:cs="Times New Roman" w:eastAsia="Times New Roman" w:hAnsi="Times New Roman"/>
          <w:sz w:val="22"/>
          <w:szCs w:val="22"/>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7" w:right="14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13G/A sets forth the sole power to vote or to direct the vote of securities of the Issuer beneficially owned by such Reporting Person as of December 31, 2025 and is incorporated by reference.</w:t>
      </w:r>
    </w:p>
    <w:p>
      <w:pPr>
        <w:spacing w:after="0" w:line="25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7" w:right="24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13G/A sets forth the shared power to vote or to direct the vote of securities of the Issuer beneficially owned by such Reporting Person as of December 31, 2025 and is incorporated by reference.</w:t>
      </w:r>
    </w:p>
    <w:p>
      <w:pPr>
        <w:spacing w:after="0" w:line="25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7"/>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13G/A sets forth the sole power to dispose or to direct the disposition of securities of the Issuer beneficially owned by such Reporting Person as of December 31, 2025 and is incorporated by reference.</w:t>
      </w:r>
    </w:p>
    <w:p>
      <w:pPr>
        <w:spacing w:after="0" w:line="25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7" w:right="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13G/A sets forth the shared power to dispose or to direct the disposition of securities of the Issuer beneficially owned by such Reporting Person as of December 31, 2025 and is incorporated by reference.</w:t>
      </w:r>
    </w:p>
    <w:p>
      <w:pPr>
        <w:spacing w:after="0" w:line="254"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Not Applicable</w:t>
      </w:r>
    </w:p>
    <w:p>
      <w:pPr>
        <w:sectPr>
          <w:pgSz w:w="11920" w:h="16838" w:orient="portrait"/>
          <w:cols w:equalWidth="0" w:num="1">
            <w:col w:w="11187"/>
          </w:cols>
          <w:pgMar w:left="373" w:top="121" w:right="358" w:bottom="0" w:gutter="0" w:footer="0" w:header="0"/>
          <w:type w:val="continuous"/>
        </w:sectPr>
      </w:pPr>
    </w:p>
    <w:bookmarkStart w:id="7" w:name="page8"/>
    <w:bookmarkEnd w:id="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20" w:h="16838" w:orient="portrait"/>
          <w:cols w:equalWidth="0" w:num="2">
            <w:col w:w="720" w:space="200"/>
            <w:col w:w="10260"/>
          </w:cols>
          <w:pgMar w:left="380" w:top="121" w:right="358" w:bottom="0" w:gutter="0" w:footer="0" w:header="0"/>
        </w:sect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Northpond Ventures,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Northpond Ventures GP,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Patrick Smerkers,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Northpond Ventures GP, LLC</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By Patrick Smerkers, Authorized Signatory</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Northpond Ventures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Northpond Ventures II GP,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Patrick Smerkers,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Northpond Ventures II GP, LLC</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By Patrick Smerkers, Authorized Signatory</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NPV Listed,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Northpond Ventures,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Patrick Smerkers, CFO,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Northpond Ventures,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By Patrick Smerkers, CFO, Partner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Michael P. Rubin</w:t>
      </w:r>
    </w:p>
    <w:p>
      <w:pPr>
        <w:spacing w:after="0" w:line="152" w:lineRule="exact"/>
        <w:rPr>
          <w:sz w:val="20"/>
          <w:szCs w:val="20"/>
          <w:color w:val="auto"/>
        </w:rPr>
      </w:pPr>
    </w:p>
    <w:p>
      <w:pPr>
        <w:ind w:left="302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P. Rubin</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Michael P. Rubin</w:t>
      </w:r>
    </w:p>
    <w:p>
      <w:pPr>
        <w:spacing w:after="0" w:line="44" w:lineRule="exact"/>
        <w:rPr>
          <w:sz w:val="20"/>
          <w:szCs w:val="20"/>
          <w:color w:val="auto"/>
        </w:rPr>
      </w:pPr>
    </w:p>
    <w:p>
      <w:pPr>
        <w:ind w:left="302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20" w:h="16838" w:orient="portrait"/>
          <w:cols w:equalWidth="0" w:num="1">
            <w:col w:w="11180"/>
          </w:cols>
          <w:pgMar w:left="380" w:top="121" w:right="358" w:bottom="0" w:gutter="0" w:footer="0" w:header="0"/>
          <w:type w:val="continuous"/>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13G filed with the SEC on June 11, 2025).</w:t>
      </w:r>
    </w:p>
    <w:sectPr>
      <w:pgSz w:w="11920" w:h="16838" w:orient="portrait"/>
      <w:cols w:equalWidth="0" w:num="1">
        <w:col w:w="11180"/>
      </w:cols>
      <w:pgMar w:left="380" w:top="121"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2026-02-17T17:56:07Z</dcterms:created>
  <dcterms:modified xsi:type="dcterms:W3CDTF">2026-02-17T17:56:07Z</dcterms:modified>
</cp:coreProperties>
</file>