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 nominal value £0.003, represented by American Depository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4"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**There is no CUSIP number assigned to the Ordinary Shares. CUSIP number 589492107 has been assigned to the American Depositary Shares (“ADSs”) of the Issuer, which are quoted on the Nasdaq Global Market under the symbol “MREO.” Each ADS represents 5 Ordinary Shares.</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GP VII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3,815,676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3,815,676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3,815,676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 w:hanging="328"/>
        <w:spacing w:after="0" w:line="238"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total consists of: (i) 3,576,819 ordinary shares represented by American Depository Shares (the “</w:t>
      </w:r>
      <w:r>
        <w:rPr>
          <w:rFonts w:ascii="Arial" w:cs="Arial" w:eastAsia="Arial" w:hAnsi="Arial"/>
          <w:sz w:val="14"/>
          <w:szCs w:val="14"/>
          <w:u w:val="single" w:color="auto"/>
          <w:color w:val="auto"/>
        </w:rPr>
        <w:t>Ordinary Shares</w:t>
      </w:r>
      <w:r>
        <w:rPr>
          <w:rFonts w:ascii="Arial" w:cs="Arial" w:eastAsia="Arial" w:hAnsi="Arial"/>
          <w:sz w:val="14"/>
          <w:szCs w:val="14"/>
          <w:color w:val="auto"/>
        </w:rPr>
        <w:t>”) of Mereo BioPharma Group plc (the “</w:t>
      </w:r>
      <w:r>
        <w:rPr>
          <w:rFonts w:ascii="Arial" w:cs="Arial" w:eastAsia="Arial" w:hAnsi="Arial"/>
          <w:sz w:val="14"/>
          <w:szCs w:val="14"/>
          <w:u w:val="single" w:color="auto"/>
          <w:color w:val="auto"/>
        </w:rPr>
        <w:t>Issuer</w:t>
      </w:r>
      <w:r>
        <w:rPr>
          <w:rFonts w:ascii="Arial" w:cs="Arial" w:eastAsia="Arial" w:hAnsi="Arial"/>
          <w:sz w:val="14"/>
          <w:szCs w:val="14"/>
          <w:color w:val="auto"/>
        </w:rPr>
        <w:t>”) and (ii) 238,857 Ordinary Shares issuable upon the exercise of certain warrants granted in a private placement dated June 3, 2020 (the “</w:t>
      </w:r>
      <w:r>
        <w:rPr>
          <w:rFonts w:ascii="Arial" w:cs="Arial" w:eastAsia="Arial" w:hAnsi="Arial"/>
          <w:sz w:val="14"/>
          <w:szCs w:val="14"/>
          <w:u w:val="single" w:color="auto"/>
          <w:color w:val="auto"/>
        </w:rPr>
        <w:t>Private Placement</w:t>
      </w:r>
      <w:r>
        <w:rPr>
          <w:rFonts w:ascii="Arial" w:cs="Arial" w:eastAsia="Arial" w:hAnsi="Arial"/>
          <w:sz w:val="14"/>
          <w:szCs w:val="14"/>
          <w:color w:val="auto"/>
        </w:rPr>
        <w: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589492107</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4,769,594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4,769,594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4,769,594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180" w:hanging="328"/>
        <w:spacing w:after="0" w:line="25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total consists of: (i) 4,471,023 Ordinary Shares and (ii) 298,571 Ordinary Shares issuable upon the exercise of certain warrants granted in the Private Placement,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5503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ind w:left="400"/>
        <w:spacing w:after="0" w:line="211" w:lineRule="auto"/>
        <w:rPr>
          <w:sz w:val="20"/>
          <w:szCs w:val="20"/>
          <w:color w:val="auto"/>
        </w:rPr>
      </w:pPr>
      <w:r>
        <w:rPr>
          <w:rFonts w:ascii="Arial" w:cs="Arial" w:eastAsia="Arial" w:hAnsi="Arial"/>
          <w:sz w:val="25"/>
          <w:szCs w:val="25"/>
          <w:color w:val="auto"/>
        </w:rPr>
        <w:t>1</w:t>
      </w:r>
    </w:p>
    <w:p>
      <w:pPr>
        <w:ind w:left="960"/>
        <w:spacing w:after="0"/>
        <w:rPr>
          <w:sz w:val="20"/>
          <w:szCs w:val="20"/>
          <w:color w:val="auto"/>
        </w:rPr>
      </w:pPr>
      <w:r>
        <w:rPr>
          <w:rFonts w:ascii="Arial" w:cs="Arial" w:eastAsia="Arial" w:hAnsi="Arial"/>
          <w:sz w:val="18"/>
          <w:szCs w:val="18"/>
          <w:color w:val="auto"/>
        </w:rPr>
        <w:t>OrbiMed Capital LLC</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w:t>
      </w:r>
    </w:p>
    <w:p>
      <w:pPr>
        <w:ind w:left="960" w:hanging="563"/>
        <w:spacing w:after="0" w:line="209" w:lineRule="auto"/>
        <w:tabs>
          <w:tab w:leader="none" w:pos="960" w:val="left"/>
        </w:tabs>
        <w:numPr>
          <w:ilvl w:val="0"/>
          <w:numId w:val="4"/>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shd w:val="clear" w:color="auto" w:fill="000000"/>
          </w:tcPr>
          <w:p>
            <w:pPr>
              <w:spacing w:after="0"/>
              <w:rPr>
                <w:sz w:val="24"/>
                <w:szCs w:val="24"/>
                <w:color w:val="auto"/>
              </w:rPr>
            </w:pP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SEC USE ONLY</w:t>
            </w:r>
          </w:p>
        </w:tc>
        <w:tc>
          <w:tcPr>
            <w:tcW w:w="1000" w:type="dxa"/>
            <w:vAlign w:val="bottom"/>
            <w:tcBorders>
              <w:top w:val="single" w:sz="8" w:color="auto"/>
            </w:tcBorders>
          </w:tcPr>
          <w:p>
            <w:pPr>
              <w:spacing w:after="0"/>
              <w:rPr>
                <w:sz w:val="24"/>
                <w:szCs w:val="24"/>
                <w:color w:val="auto"/>
              </w:rPr>
            </w:pPr>
          </w:p>
        </w:tc>
        <w:tc>
          <w:tcPr>
            <w:tcW w:w="58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5</w:t>
            </w:r>
          </w:p>
        </w:tc>
        <w:tc>
          <w:tcPr>
            <w:tcW w:w="586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22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000" w:type="dxa"/>
            <w:vAlign w:val="bottom"/>
            <w:tcBorders>
              <w:right w:val="single" w:sz="8" w:color="auto"/>
            </w:tcBorders>
            <w:vMerge w:val="continue"/>
          </w:tcPr>
          <w:p>
            <w:pPr>
              <w:spacing w:after="0"/>
              <w:rPr>
                <w:sz w:val="23"/>
                <w:szCs w:val="23"/>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6,063,345 (1)</w:t>
            </w: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2240" w:type="dxa"/>
            <w:vAlign w:val="bottom"/>
            <w:tcBorders>
              <w:right w:val="single" w:sz="8" w:color="auto"/>
            </w:tcBorders>
            <w:gridSpan w:val="2"/>
            <w:vMerge w:val="continue"/>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586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vMerge w:val="restart"/>
            <w:shd w:val="clear" w:color="auto" w:fill="000000"/>
          </w:tcPr>
          <w:p>
            <w:pPr>
              <w:spacing w:after="0"/>
              <w:rPr>
                <w:sz w:val="8"/>
                <w:szCs w:val="8"/>
                <w:color w:val="auto"/>
              </w:rPr>
            </w:pPr>
          </w:p>
        </w:tc>
        <w:tc>
          <w:tcPr>
            <w:tcW w:w="2240" w:type="dxa"/>
            <w:vAlign w:val="bottom"/>
            <w:tcBorders>
              <w:right w:val="single" w:sz="8" w:color="auto"/>
            </w:tcBorders>
            <w:gridSpan w:val="2"/>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1000" w:type="dxa"/>
            <w:vAlign w:val="bottom"/>
            <w:tcBorders>
              <w:bottom w:val="single" w:sz="8" w:color="auto"/>
              <w:right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vMerge w:val="continue"/>
            <w:shd w:val="clear" w:color="auto" w:fill="000000"/>
          </w:tcPr>
          <w:p>
            <w:pPr>
              <w:spacing w:after="0"/>
              <w:rPr>
                <w:sz w:val="6"/>
                <w:szCs w:val="6"/>
                <w:color w:val="auto"/>
              </w:rPr>
            </w:pPr>
          </w:p>
        </w:tc>
        <w:tc>
          <w:tcPr>
            <w:tcW w:w="2240" w:type="dxa"/>
            <w:vAlign w:val="bottom"/>
            <w:tcBorders>
              <w:right w:val="single" w:sz="8" w:color="auto"/>
            </w:tcBorders>
            <w:gridSpan w:val="2"/>
            <w:vMerge w:val="continue"/>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auto"/>
            </w:tcBorders>
            <w:shd w:val="clear" w:color="auto" w:fill="000000"/>
          </w:tcPr>
          <w:p>
            <w:pPr>
              <w:spacing w:after="0"/>
              <w:rPr>
                <w:sz w:val="15"/>
                <w:szCs w:val="15"/>
                <w:color w:val="auto"/>
              </w:rPr>
            </w:pPr>
          </w:p>
        </w:tc>
        <w:tc>
          <w:tcPr>
            <w:tcW w:w="22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000" w:type="dxa"/>
            <w:vAlign w:val="bottom"/>
            <w:tcBorders>
              <w:right w:val="single" w:sz="8" w:color="auto"/>
            </w:tcBorders>
            <w:vMerge w:val="restart"/>
          </w:tcPr>
          <w:p>
            <w:pPr>
              <w:jc w:val="right"/>
              <w:ind w:right="314"/>
              <w:spacing w:after="0" w:line="232" w:lineRule="exact"/>
              <w:rPr>
                <w:sz w:val="20"/>
                <w:szCs w:val="20"/>
                <w:color w:val="auto"/>
              </w:rPr>
            </w:pPr>
            <w:r>
              <w:rPr>
                <w:rFonts w:ascii="Arial" w:cs="Arial" w:eastAsia="Arial" w:hAnsi="Arial"/>
                <w:sz w:val="25"/>
                <w:szCs w:val="25"/>
                <w:color w:val="auto"/>
              </w:rPr>
              <w:t>6</w:t>
            </w:r>
          </w:p>
        </w:tc>
        <w:tc>
          <w:tcPr>
            <w:tcW w:w="586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40" w:type="dxa"/>
            <w:vAlign w:val="bottom"/>
            <w:tcBorders>
              <w:right w:val="single" w:sz="8" w:color="auto"/>
            </w:tcBorders>
            <w:shd w:val="clear" w:color="auto" w:fill="000000"/>
          </w:tcPr>
          <w:p>
            <w:pPr>
              <w:spacing w:after="0"/>
              <w:rPr>
                <w:sz w:val="4"/>
                <w:szCs w:val="4"/>
                <w:color w:val="auto"/>
              </w:rPr>
            </w:pPr>
          </w:p>
        </w:tc>
        <w:tc>
          <w:tcPr>
            <w:tcW w:w="2240" w:type="dxa"/>
            <w:vAlign w:val="bottom"/>
            <w:tcBorders>
              <w:right w:val="single" w:sz="8" w:color="auto"/>
            </w:tcBorders>
            <w:gridSpan w:val="2"/>
            <w:vMerge w:val="continue"/>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58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9"/>
              </w:rPr>
              <w:t>OWNED BY</w:t>
            </w:r>
          </w:p>
        </w:tc>
        <w:tc>
          <w:tcPr>
            <w:tcW w:w="1000" w:type="dxa"/>
            <w:vAlign w:val="bottom"/>
            <w:tcBorders>
              <w:bottom w:val="single" w:sz="8" w:color="auto"/>
              <w:right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7</w:t>
            </w:r>
          </w:p>
        </w:tc>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000" w:type="dxa"/>
            <w:vAlign w:val="bottom"/>
            <w:tcBorders>
              <w:right w:val="single" w:sz="8" w:color="auto"/>
            </w:tcBorders>
            <w:vMerge w:val="continue"/>
          </w:tcPr>
          <w:p>
            <w:pPr>
              <w:spacing w:after="0"/>
              <w:rPr>
                <w:sz w:val="18"/>
                <w:szCs w:val="18"/>
                <w:color w:val="auto"/>
              </w:rPr>
            </w:pPr>
          </w:p>
        </w:tc>
        <w:tc>
          <w:tcPr>
            <w:tcW w:w="5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PERSON</w:t>
            </w:r>
          </w:p>
        </w:tc>
        <w:tc>
          <w:tcPr>
            <w:tcW w:w="1000" w:type="dxa"/>
            <w:vAlign w:val="bottom"/>
            <w:tcBorders>
              <w:right w:val="single" w:sz="8" w:color="auto"/>
            </w:tcBorders>
          </w:tcPr>
          <w:p>
            <w:pPr>
              <w:spacing w:after="0"/>
              <w:rPr>
                <w:sz w:val="18"/>
                <w:szCs w:val="18"/>
                <w:color w:val="auto"/>
              </w:rPr>
            </w:pPr>
          </w:p>
        </w:tc>
        <w:tc>
          <w:tcPr>
            <w:tcW w:w="5860" w:type="dxa"/>
            <w:vAlign w:val="bottom"/>
          </w:tcPr>
          <w:p>
            <w:pPr>
              <w:ind w:left="40"/>
              <w:spacing w:after="0"/>
              <w:rPr>
                <w:sz w:val="20"/>
                <w:szCs w:val="20"/>
                <w:color w:val="auto"/>
              </w:rPr>
            </w:pPr>
            <w:r>
              <w:rPr>
                <w:rFonts w:ascii="Arial" w:cs="Arial" w:eastAsia="Arial" w:hAnsi="Arial"/>
                <w:sz w:val="18"/>
                <w:szCs w:val="18"/>
                <w:color w:val="auto"/>
              </w:rPr>
              <w:t>6,063,345 (1)</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1000" w:type="dxa"/>
            <w:vAlign w:val="bottom"/>
            <w:tcBorders>
              <w:bottom w:val="single" w:sz="8" w:color="auto"/>
              <w:right w:val="single" w:sz="8" w:color="auto"/>
            </w:tcBorders>
          </w:tcPr>
          <w:p>
            <w:pPr>
              <w:spacing w:after="0"/>
              <w:rPr>
                <w:sz w:val="8"/>
                <w:szCs w:val="8"/>
                <w:color w:val="auto"/>
              </w:rPr>
            </w:pPr>
          </w:p>
        </w:tc>
        <w:tc>
          <w:tcPr>
            <w:tcW w:w="58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88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restart"/>
          </w:tcPr>
          <w:p>
            <w:pPr>
              <w:jc w:val="right"/>
              <w:ind w:right="314"/>
              <w:spacing w:after="0"/>
              <w:rPr>
                <w:sz w:val="20"/>
                <w:szCs w:val="20"/>
                <w:color w:val="auto"/>
              </w:rPr>
            </w:pPr>
            <w:r>
              <w:rPr>
                <w:rFonts w:ascii="Arial" w:cs="Arial" w:eastAsia="Arial" w:hAnsi="Arial"/>
                <w:sz w:val="25"/>
                <w:szCs w:val="25"/>
                <w:color w:val="auto"/>
              </w:rPr>
              <w:t>8</w:t>
            </w:r>
          </w:p>
        </w:tc>
        <w:tc>
          <w:tcPr>
            <w:tcW w:w="586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58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auto"/>
            </w:tcBorders>
            <w:shd w:val="clear" w:color="auto" w:fill="000000"/>
          </w:tcPr>
          <w:p>
            <w:pPr>
              <w:spacing w:after="0"/>
              <w:rPr>
                <w:sz w:val="13"/>
                <w:szCs w:val="13"/>
                <w:color w:val="auto"/>
              </w:rPr>
            </w:pPr>
          </w:p>
        </w:tc>
        <w:tc>
          <w:tcPr>
            <w:tcW w:w="88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58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Borders>
              <w:bottom w:val="single" w:sz="8" w:color="auto"/>
              <w:right w:val="single" w:sz="8" w:color="auto"/>
            </w:tcBorders>
            <w:shd w:val="clear" w:color="auto" w:fill="000000"/>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6,063,345 (1)</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20" w:type="dxa"/>
            <w:vAlign w:val="bottom"/>
            <w:tcBorders>
              <w:bottom w:val="single" w:sz="8" w:color="auto"/>
            </w:tcBorders>
            <w:gridSpan w:val="3"/>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10</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2100" w:type="dxa"/>
            <w:vAlign w:val="bottom"/>
          </w:tcPr>
          <w:p>
            <w:pPr>
              <w:ind w:left="15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20" w:type="dxa"/>
            <w:vAlign w:val="bottom"/>
            <w:tcBorders>
              <w:bottom w:val="single" w:sz="8" w:color="auto"/>
            </w:tcBorders>
            <w:gridSpan w:val="3"/>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5.59%</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20" w:type="dxa"/>
            <w:vAlign w:val="bottom"/>
            <w:tcBorders>
              <w:bottom w:val="single" w:sz="8" w:color="auto"/>
            </w:tcBorders>
            <w:gridSpan w:val="3"/>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12</w:t>
            </w:r>
          </w:p>
        </w:tc>
        <w:tc>
          <w:tcPr>
            <w:tcW w:w="82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10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80" w:right="260" w:hanging="329"/>
        <w:spacing w:after="0" w:line="253"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total consists of: (i) 5,683,787 Ordinary Shares and (ii) 379,558 Ordinary Shares issuable upon the exercise of certain warrants granted in the Private Placement, the exercise of which is subject to a beneficial ownership limitation of 9.99% of the Issuer’s outstanding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Mereo BioPharma Group plc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4th Floor, One Cavendish Place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London, W1G 0QF, United Kingdom</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GP VII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700" w:right="4480" w:firstLine="103"/>
        <w:spacing w:after="0" w:line="391" w:lineRule="auto"/>
        <w:rPr>
          <w:sz w:val="20"/>
          <w:szCs w:val="20"/>
          <w:color w:val="auto"/>
        </w:rPr>
      </w:pPr>
      <w:r>
        <w:rPr>
          <w:rFonts w:ascii="Arial" w:cs="Arial" w:eastAsia="Arial" w:hAnsi="Arial"/>
          <w:sz w:val="18"/>
          <w:szCs w:val="18"/>
          <w:color w:val="auto"/>
        </w:rPr>
        <w:t xml:space="preserve">Ordinary Share, nominal value £0.003, represented by American Depository Share </w:t>
      </w:r>
      <w:r>
        <w:rPr>
          <w:rFonts w:ascii="Arial" w:cs="Arial" w:eastAsia="Arial" w:hAnsi="Arial"/>
          <w:sz w:val="18"/>
          <w:szCs w:val="18"/>
          <w:b w:val="1"/>
          <w:bCs w:val="1"/>
          <w:color w:val="auto"/>
        </w:rPr>
        <w:t>(e) CUSIP No.:</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jc w:val="both"/>
        <w:ind w:left="800"/>
        <w:spacing w:after="0" w:line="263" w:lineRule="auto"/>
        <w:rPr>
          <w:sz w:val="20"/>
          <w:szCs w:val="20"/>
          <w:color w:val="auto"/>
        </w:rPr>
      </w:pPr>
      <w:r>
        <w:rPr>
          <w:rFonts w:ascii="Arial" w:cs="Arial" w:eastAsia="Arial" w:hAnsi="Arial"/>
          <w:sz w:val="18"/>
          <w:szCs w:val="18"/>
          <w:color w:val="auto"/>
        </w:rPr>
        <w:t>OrbiMed Capital GP VII LLC (“GP VII”) is the general partner of OrbiMed Private Investments VII, LP. OrbiMed Advisors LLC (“Advisors”) and OrbiMed Capital LLC (“Capital”) are investment advisors in accordance with ss.240.13d-1(b)(1)(ii)(E) and Advisors is the managing member of GP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Persons are holding 9.99%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W. Carter Neild,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4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OrbiMed Advisors LLC, its Managing Member</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462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9 of 9 Pages</w:t>
            </w:r>
          </w:p>
        </w:tc>
      </w:tr>
      <w:tr>
        <w:trPr>
          <w:trHeight w:val="111"/>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46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11, 2022 (the “Schedule 13G”), with respect to the Ordinary Share, par value £0.003 per share, of Mereo BioPharma Group plc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11, 2022.</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OrbiMed Capital GP VII LLC</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OrbiMed Advisors LLC, its Managing Member</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-130175</wp:posOffset>
            </wp:positionV>
            <wp:extent cx="31375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tabs>
          <w:tab w:leader="none" w:pos="690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1334770</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3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2022-02-12T03:08:16Z</dcterms:created>
  <dcterms:modified xsi:type="dcterms:W3CDTF">2022-02-12T03:08:16Z</dcterms:modified>
</cp:coreProperties>
</file>