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July,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Registrant’s Certifying Accountant</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On July 20, 2021, the Board of Directors of Mereo BioPharma Group plc (the “Company”), following the recommendation of the Audit and Risk Committee of the Company’s Board of Directors, appointed BDO LLP as the Company’s independent registered public accounting firm for the year ending December 31, 2021, effective immediately replacing Ernst &amp; Young LLP.</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reports of Ernst &amp; Young LLP on the Company’s consolidated financial statements as of December 31, 2020 and 2019 and for the years ended December 31, 2020, 2019 and 2018 did not contain an adverse opinion or a disclaimer of opinion, and were not qualified or modified as to uncertainty, audit scope or accounting principles, except as follows: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its method of accounting for leases in 2019 due to the adoption of IFRS 16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Those reports have not been withdrawn or modified.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years ended December 31, 2020 and 2019 and through July 20, 2021, there were no (a) disagreements with Ernst &amp; Young LLP on any matter of accounting principles or practices, financial statement disclosure, or auditing scope or procedure, which disagreements, if not resolved to its satisfaction, would have caused Ernst &amp; Young LLP to make reference to the subject matter thereof in connection with its reports for such years; or (b) reportable events that would be required to be described under Item 16F(a)(1)(v) of Form 20-F in connection with the Company’s annual report on Form 20-F, except that, in connection with the preparation of the Company’s unaudited interim condensed consolidated financial statements as of and for the six-month period ended June 30, 2020, management identified a material weakness in its internal controls as described in Item 15(b) of the Company’s Annual Report on Form 20-F for the year ended December 31, 2020. This material weakness was remediated as of December 31, 2020.</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fiscal years ended December 31, 2020 and 2019 and the subsequent period through July 20, 2021, we did not consult with BDO LLP regarding the application of accounting principles to a specified transaction or the type of audit opinion that might be rendered by BDO LLP on our consolidated financial statements. Further, BDO LLP did not provide any written or oral advice as to any such accounting, auditing or financial reporting matter or any matter being the subject of disagreement or defined as a reportable event or any other matter as defined in Item 16F(a)(1)(v) of Form 20-F.</w:t>
      </w:r>
    </w:p>
    <w:p>
      <w:pPr>
        <w:spacing w:after="0" w:line="18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provided Ernst &amp; Young LLP with a copy of the disclosures it is making in this Current Report on Form 6-K and requested from Ernst &amp; Young LLP a letter addressed to the Securities and Exchange Commission indicating whether it agrees with such disclosures. A copy of Ernst &amp; Young LLP’s letter dated July 20, 2021 is attached hereto as Exhibit 16.1.</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16.1</w:t>
      </w:r>
      <w:r>
        <w:rPr>
          <w:sz w:val="20"/>
          <w:szCs w:val="20"/>
          <w:color w:val="auto"/>
        </w:rPr>
        <w:tab/>
      </w:r>
      <w:hyperlink w:anchor="page4">
        <w:r>
          <w:rPr>
            <w:rFonts w:ascii="Arial" w:cs="Arial" w:eastAsia="Arial" w:hAnsi="Arial"/>
            <w:sz w:val="16"/>
            <w:szCs w:val="16"/>
            <w:u w:val="single" w:color="auto"/>
            <w:color w:val="0000EE"/>
          </w:rPr>
          <w:t>Letter of Ernst &amp; Young LLP, dated July 20, 2021</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 July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33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have read the Form 6-K dated 20 July 2021, of Mereo BioPharma Group plc and are in agreement with the statements contained in the paragraphs 2, 3, 4 and 5 on page 2 therein. We have no basis to agree or disagree with other statements of the registrant contained therein.</w:t>
      </w:r>
    </w:p>
    <w:p>
      <w:pPr>
        <w:spacing w:after="0" w:line="14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Regarding the registrant’s statement concerning the material weakness in its internal controls, included in paragraph 5 on page 2 therein, we had considered such matter in determining the nature, timing and extent of procedures performed in our audit of the registrant’s 2020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London, England</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2021-07-20T15:18:01Z</dcterms:created>
  <dcterms:modified xsi:type="dcterms:W3CDTF">2021-07-20T15:18:01Z</dcterms:modified>
</cp:coreProperties>
</file>