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MEREO BIOPHARMA GROUP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Depositary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589492107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589492107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PLC</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22,735,121.00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22,735,121.00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22,735,121.00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14.3 %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589492107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Biotech Innovation Master Fund Ltd</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20,126,582.00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20,126,582.00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20,126,582.00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12.7 %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MEREO BIOPHARMA GROUP PLC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CAVENDISH PLACE, FOURTH FLOOR LONDON, UNITED KINGDOM W1G0QF</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plc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jc w:val="left"/>
              <w:rPr/>
            </w:pPr>
            <w:r>
              <w:rPr/>
              <w:t xml:space="preserve">CUSIP No.: </w:t>
            </w:r>
          </w:p>
          <w:p>
            <w:pPr>
              <w:pStyle w:val="TableContents"/>
              <w:bidi w:val="0"/>
              <w:spacing w:before="0" w:after="0"/>
              <w:jc w:val="left"/>
              <w:rPr/>
            </w:pPr>
            <w:r>
              <w:rPr/>
              <w:t>589492107</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JHIUS may be deemed to be the beneficial owner of 22,735,121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14.3  %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22735121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22735121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JHIUS, JHIUKL and JHIAIFML are indirect subsidiaries of Janus Henderson and are registered investment advisers furnishing investment advice to Managed Portfolios.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JANUS HENDERSON GROUP PLC</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 CCO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5"/>
        <w:gridCol w:w="5060"/>
      </w:tblGrid>
      <w:tr>
        <w:trPr/>
        <w:tc>
          <w:tcPr>
            <w:tcW w:w="5145" w:type="dxa"/>
            <w:tcBorders/>
            <w:vAlign w:val="center"/>
          </w:tcPr>
          <w:p>
            <w:pPr>
              <w:pStyle w:val="TableContents"/>
              <w:bidi w:val="0"/>
              <w:spacing w:before="0" w:after="0"/>
              <w:jc w:val="left"/>
              <w:rPr/>
            </w:pPr>
            <w:r>
              <w:rPr/>
              <w:t> </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0"/>
                    <w:jc w:val="left"/>
                    <w:rPr/>
                  </w:pPr>
                  <w:r>
                    <w:rPr/>
                    <w:t>Janus Henderson Biotech Innovation Master Fund Ltd</w:t>
                  </w:r>
                </w:p>
              </w:tc>
            </w:tr>
          </w:tbl>
          <w:p>
            <w:pPr>
              <w:pStyle w:val="TableContents"/>
              <w:bidi w:val="0"/>
              <w:spacing w:before="0" w:after="283"/>
              <w:jc w:val="left"/>
              <w:rPr/>
            </w:pPr>
            <w:r>
              <w:rPr/>
            </w:r>
          </w:p>
        </w:tc>
        <w:tc>
          <w:tcPr>
            <w:tcW w:w="50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 CCO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1466</Words>
  <Characters>7687</Characters>
  <CharactersWithSpaces>9115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