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May,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 to Purchase Shares by Trustee of Employee Benefit Trust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London, May 3, 2019 </w:t>
      </w:r>
      <w:r>
        <w:rPr>
          <w:rFonts w:ascii="Arial" w:cs="Arial" w:eastAsia="Arial" w:hAnsi="Arial"/>
          <w:sz w:val="18"/>
          <w:szCs w:val="18"/>
          <w:color w:val="auto"/>
        </w:rPr>
        <w:t>– Mereo BioPharma Group plc (AIM: MPH, NASDAQ:MREO), a clinical stage, UK-based,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rare diseases, today announces that the Trustee of the Mereo BioPharma Group plc Employee Benefit Trust (the “Trust”), Link Trustees (Jersey) Limited (the “Trustee”), has today indicated its intention to make market purchases of ordinary shares of the Company for the benefit of the Trust of up to £1,000,000 in aggregate amount, to help meet future obligations arising under the Company’s share schemes. Purchases are subject to the Trustee’s absolute discretion as to the purchase price to be paid (the “</w:t>
      </w:r>
      <w:r>
        <w:rPr>
          <w:rFonts w:ascii="Arial" w:cs="Arial" w:eastAsia="Arial" w:hAnsi="Arial"/>
          <w:sz w:val="18"/>
          <w:szCs w:val="18"/>
          <w:b w:val="1"/>
          <w:bCs w:val="1"/>
          <w:color w:val="auto"/>
        </w:rPr>
        <w:t>Market Purchases</w:t>
      </w:r>
      <w:r>
        <w:rPr>
          <w:rFonts w:ascii="Arial" w:cs="Arial" w:eastAsia="Arial" w:hAnsi="Arial"/>
          <w:sz w:val="18"/>
          <w:szCs w:val="18"/>
          <w:color w:val="auto"/>
        </w:rPr>
        <w:t>”). It is expected that the Market Purchases will be funded by amounts advanced by the Company pursuant to a loan agreement dated the date hereof.</w:t>
      </w:r>
    </w:p>
    <w:p>
      <w:pPr>
        <w:spacing w:after="0" w:line="188" w:lineRule="exact"/>
        <w:rPr>
          <w:sz w:val="20"/>
          <w:szCs w:val="20"/>
          <w:color w:val="auto"/>
        </w:rPr>
      </w:pPr>
    </w:p>
    <w:p>
      <w:pPr>
        <w:ind w:right="920"/>
        <w:spacing w:after="0" w:line="469" w:lineRule="auto"/>
        <w:rPr>
          <w:sz w:val="20"/>
          <w:szCs w:val="20"/>
          <w:color w:val="auto"/>
        </w:rPr>
      </w:pPr>
      <w:r>
        <w:rPr>
          <w:rFonts w:ascii="Arial" w:cs="Arial" w:eastAsia="Arial" w:hAnsi="Arial"/>
          <w:sz w:val="18"/>
          <w:szCs w:val="18"/>
          <w:color w:val="auto"/>
        </w:rPr>
        <w:t xml:space="preserve">The Trustee will make its trading decisions in relation to the Market Purchases independently of, and uninfluenced by, the Company. </w:t>
      </w:r>
      <w:r>
        <w:rPr>
          <w:rFonts w:ascii="Arial" w:cs="Arial" w:eastAsia="Arial" w:hAnsi="Arial"/>
          <w:sz w:val="18"/>
          <w:szCs w:val="18"/>
          <w:b w:val="1"/>
          <w:bCs w:val="1"/>
          <w:color w:val="auto"/>
        </w:rPr>
        <w:t>About Mereo</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four product candidates have previously generated positive clinical data for Mereo's target indications or in related indications. Mereo has commenced randomized Phase 2 clinical trials for all four of the product candidates. In connection with the merger with OncoMed, Mereo added two candidates to its pipeline, Navicixizumab and Etigilimab.</w:t>
      </w:r>
    </w:p>
    <w:p>
      <w:pPr>
        <w:spacing w:after="0" w:line="189" w:lineRule="exact"/>
        <w:rPr>
          <w:sz w:val="20"/>
          <w:szCs w:val="20"/>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BPS-804 for osteogenesis imperfecta (OI). In October 2018, the Company announced completion of enrollment of 112 adult patients in a Phase 2b dose ranging study with initial data expected in Q2 2019 and top-line dose ranging data in late 2019. A pediatric Phase 3 study design has also been approved by the EMA. BPS-804 has orphan designation in the U.S. and the EU and has been accepted into the PRIME and Adaptive Pathways in EU;</w:t>
      </w:r>
    </w:p>
    <w:p>
      <w:pPr>
        <w:spacing w:after="0" w:line="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dosing of the first patient in a Phase 2 dose ranging study in the U.S. with data expected around the end of 2019;</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BCT-197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 and positive results from the Phase 2b safety extension study in December 2018;</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2"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a Phase 1b combination study with nivolumab. Etigilimab is part of 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ectPr>
          <w:pgSz w:w="11900" w:h="16838" w:orient="portrait"/>
          <w:cols w:equalWidth="0" w:num="1">
            <w:col w:w="11420"/>
          </w:cols>
          <w:pgMar w:left="240" w:top="81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9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(0)333 023 7300</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9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84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(0)20 7894 7000</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9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Will Goode</w:t>
            </w:r>
          </w:p>
        </w:tc>
        <w:tc>
          <w:tcPr>
            <w:tcW w:w="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84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(0)20 7653 4000</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Rupert Walford</w:t>
            </w:r>
          </w:p>
        </w:tc>
        <w:tc>
          <w:tcPr>
            <w:tcW w:w="9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Jamil Miah</w:t>
            </w:r>
          </w:p>
        </w:tc>
        <w:tc>
          <w:tcPr>
            <w:tcW w:w="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84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3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(0)20 3727 1000</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Simon Conway</w:t>
            </w:r>
          </w:p>
        </w:tc>
        <w:tc>
          <w:tcPr>
            <w:tcW w:w="920" w:type="dxa"/>
            <w:vAlign w:val="bottom"/>
            <w:vMerge w:val="continue"/>
          </w:tcPr>
          <w:p>
            <w:pPr>
              <w:spacing w:after="0"/>
              <w:rPr>
                <w:sz w:val="17"/>
                <w:szCs w:val="17"/>
                <w:color w:val="auto"/>
              </w:rPr>
            </w:pPr>
          </w:p>
        </w:tc>
        <w:tc>
          <w:tcPr>
            <w:tcW w:w="3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Brett Pollard</w:t>
            </w:r>
          </w:p>
        </w:tc>
        <w:tc>
          <w:tcPr>
            <w:tcW w:w="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84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(0) 212 213 0006</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Lisa Burns</w:t>
            </w:r>
          </w:p>
        </w:tc>
        <w:tc>
          <w:tcPr>
            <w:tcW w:w="9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Jill Steier</w:t>
            </w:r>
          </w:p>
        </w:tc>
        <w:tc>
          <w:tcPr>
            <w:tcW w:w="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6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2019</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/s/ Richard Jones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Jones</w:t>
            </w:r>
          </w:p>
        </w:tc>
        <w:tc>
          <w:tcPr>
            <w:tcW w:w="1140" w:type="dxa"/>
            <w:vAlign w:val="bottom"/>
          </w:tcPr>
          <w:p>
            <w:pPr>
              <w:spacing w:after="0"/>
              <w:rPr>
                <w:sz w:val="16"/>
                <w:szCs w:val="16"/>
                <w:color w:val="auto"/>
              </w:rPr>
            </w:pPr>
          </w:p>
        </w:tc>
      </w:tr>
      <w:tr>
        <w:trPr>
          <w:trHeight w:val="230"/>
        </w:trPr>
        <w:tc>
          <w:tcPr>
            <w:tcW w:w="6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20"/>
                <w:szCs w:val="20"/>
                <w:color w:val="auto"/>
              </w:rPr>
            </w:pPr>
          </w:p>
        </w:tc>
      </w:tr>
      <w:tr>
        <w:trPr>
          <w:trHeight w:val="2080"/>
        </w:trPr>
        <w:tc>
          <w:tcPr>
            <w:tcW w:w="6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2019-12-20T01:53:13Z</dcterms:created>
  <dcterms:modified xsi:type="dcterms:W3CDTF">2019-12-20T01:53:13Z</dcterms:modified>
</cp:coreProperties>
</file>