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431165</wp:posOffset>
            </wp:positionV>
            <wp:extent cx="61722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448310</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53" w:lineRule="exact"/>
        <w:rPr>
          <w:sz w:val="24"/>
          <w:szCs w:val="24"/>
          <w:color w:val="auto"/>
        </w:rPr>
      </w:pPr>
    </w:p>
    <w:p>
      <w:pPr>
        <w:ind w:left="3220" w:right="700" w:hanging="3216"/>
        <w:spacing w:after="0" w:line="298" w:lineRule="auto"/>
        <w:tabs>
          <w:tab w:leader="none" w:pos="308"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June 30,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48" w:lineRule="exact"/>
        <w:rPr>
          <w:sz w:val="24"/>
          <w:szCs w:val="24"/>
          <w:color w:val="auto"/>
        </w:rPr>
      </w:pPr>
    </w:p>
    <w:p>
      <w:pPr>
        <w:ind w:left="300" w:hanging="296"/>
        <w:spacing w:after="0"/>
        <w:tabs>
          <w:tab w:leader="none" w:pos="30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9720"/>
          </w:cols>
          <w:pgMar w:left="1080" w:top="225" w:right="1099" w:bottom="1440" w:gutter="0" w:footer="0" w:header="0"/>
        </w:sectPr>
      </w:pPr>
    </w:p>
    <w:p>
      <w:pPr>
        <w:spacing w:after="0" w:line="70"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7"/>
          <w:szCs w:val="17"/>
          <w:b w:val="1"/>
          <w:bCs w:val="1"/>
          <w:color w:val="auto"/>
        </w:rPr>
        <w:t>Commission File Number 001-38452</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w:t>
      </w:r>
    </w:p>
    <w:p>
      <w:pPr>
        <w:spacing w:after="0" w:line="237" w:lineRule="exact"/>
        <w:rPr>
          <w:sz w:val="24"/>
          <w:szCs w:val="24"/>
          <w:color w:val="auto"/>
        </w:rPr>
      </w:pPr>
    </w:p>
    <w:p>
      <w:pPr>
        <w:sectPr>
          <w:pgSz w:w="11900" w:h="16838" w:orient="portrait"/>
          <w:cols w:equalWidth="0" w:num="2">
            <w:col w:w="6200" w:space="180"/>
            <w:col w:w="3340"/>
          </w:cols>
          <w:pgMar w:left="1080" w:top="225" w:right="109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5"/>
          <w:szCs w:val="25"/>
          <w:b w:val="1"/>
          <w:bCs w:val="1"/>
          <w:color w:val="auto"/>
        </w:rPr>
        <w:t>MEREO BIOPHARMA GROUP PLC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England and Wales</w:t>
            </w:r>
          </w:p>
        </w:tc>
        <w:tc>
          <w:tcPr>
            <w:tcW w:w="220" w:type="dxa"/>
            <w:vAlign w:val="bottom"/>
          </w:tcPr>
          <w:p>
            <w:pPr>
              <w:spacing w:after="0"/>
              <w:rPr>
                <w:sz w:val="15"/>
                <w:szCs w:val="15"/>
                <w:color w:val="auto"/>
              </w:rPr>
            </w:pPr>
          </w:p>
        </w:tc>
        <w:tc>
          <w:tcPr>
            <w:tcW w:w="4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tc>
      </w:tr>
      <w:tr>
        <w:trPr>
          <w:trHeight w:val="193"/>
        </w:trPr>
        <w:tc>
          <w:tcPr>
            <w:tcW w:w="47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(State or other jurisdiction of incorporation or organization)</w:t>
            </w:r>
          </w:p>
        </w:tc>
        <w:tc>
          <w:tcPr>
            <w:tcW w:w="220" w:type="dxa"/>
            <w:vAlign w:val="bottom"/>
          </w:tcPr>
          <w:p>
            <w:pPr>
              <w:spacing w:after="0"/>
              <w:rPr>
                <w:sz w:val="16"/>
                <w:szCs w:val="16"/>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(I.R.S. Employer Identification No.)</w:t>
            </w:r>
          </w:p>
        </w:tc>
      </w:tr>
      <w:tr>
        <w:trPr>
          <w:trHeight w:val="230"/>
        </w:trPr>
        <w:tc>
          <w:tcPr>
            <w:tcW w:w="4760" w:type="dxa"/>
            <w:vAlign w:val="bottom"/>
          </w:tcPr>
          <w:p>
            <w:pPr>
              <w:jc w:val="center"/>
              <w:spacing w:after="0" w:line="230" w:lineRule="exact"/>
              <w:rPr>
                <w:sz w:val="20"/>
                <w:szCs w:val="20"/>
                <w:color w:val="auto"/>
              </w:rPr>
            </w:pPr>
            <w:r>
              <w:rPr>
                <w:rFonts w:ascii="Times New Roman" w:cs="Times New Roman" w:eastAsia="Times New Roman" w:hAnsi="Times New Roman"/>
                <w:sz w:val="16"/>
                <w:szCs w:val="16"/>
                <w:b w:val="1"/>
                <w:bCs w:val="1"/>
                <w:color w:val="auto"/>
                <w:w w:val="99"/>
              </w:rPr>
              <w:t>One Cavendish Place, 4</w:t>
            </w:r>
            <w:r>
              <w:rPr>
                <w:rFonts w:ascii="Times New Roman" w:cs="Times New Roman" w:eastAsia="Times New Roman" w:hAnsi="Times New Roman"/>
                <w:sz w:val="21"/>
                <w:szCs w:val="21"/>
                <w:b w:val="1"/>
                <w:bCs w:val="1"/>
                <w:color w:val="auto"/>
                <w:w w:val="99"/>
                <w:vertAlign w:val="superscript"/>
              </w:rPr>
              <w:t>th</w:t>
            </w:r>
            <w:r>
              <w:rPr>
                <w:rFonts w:ascii="Times New Roman" w:cs="Times New Roman" w:eastAsia="Times New Roman" w:hAnsi="Times New Roman"/>
                <w:sz w:val="16"/>
                <w:szCs w:val="16"/>
                <w:b w:val="1"/>
                <w:bCs w:val="1"/>
                <w:color w:val="auto"/>
                <w:w w:val="99"/>
              </w:rPr>
              <w:t xml:space="preserve"> Floor</w:t>
            </w:r>
          </w:p>
        </w:tc>
        <w:tc>
          <w:tcPr>
            <w:tcW w:w="220" w:type="dxa"/>
            <w:vAlign w:val="bottom"/>
          </w:tcPr>
          <w:p>
            <w:pPr>
              <w:spacing w:after="0"/>
              <w:rPr>
                <w:sz w:val="19"/>
                <w:szCs w:val="19"/>
                <w:color w:val="auto"/>
              </w:rPr>
            </w:pPr>
          </w:p>
        </w:tc>
        <w:tc>
          <w:tcPr>
            <w:tcW w:w="4740" w:type="dxa"/>
            <w:vAlign w:val="bottom"/>
          </w:tcPr>
          <w:p>
            <w:pPr>
              <w:spacing w:after="0"/>
              <w:rPr>
                <w:sz w:val="19"/>
                <w:szCs w:val="19"/>
                <w:color w:val="auto"/>
              </w:rPr>
            </w:pPr>
          </w:p>
        </w:tc>
      </w:tr>
      <w:tr>
        <w:trPr>
          <w:trHeight w:val="203"/>
        </w:trPr>
        <w:tc>
          <w:tcPr>
            <w:tcW w:w="4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London, W1G 0QF</w:t>
            </w:r>
          </w:p>
        </w:tc>
        <w:tc>
          <w:tcPr>
            <w:tcW w:w="220" w:type="dxa"/>
            <w:vAlign w:val="bottom"/>
          </w:tcPr>
          <w:p>
            <w:pPr>
              <w:spacing w:after="0"/>
              <w:rPr>
                <w:sz w:val="17"/>
                <w:szCs w:val="17"/>
                <w:color w:val="auto"/>
              </w:rPr>
            </w:pPr>
          </w:p>
        </w:tc>
        <w:tc>
          <w:tcPr>
            <w:tcW w:w="4740" w:type="dxa"/>
            <w:vAlign w:val="bottom"/>
          </w:tcPr>
          <w:p>
            <w:pPr>
              <w:spacing w:after="0"/>
              <w:rPr>
                <w:sz w:val="17"/>
                <w:szCs w:val="17"/>
                <w:color w:val="auto"/>
              </w:rPr>
            </w:pPr>
          </w:p>
        </w:tc>
      </w:tr>
      <w:tr>
        <w:trPr>
          <w:trHeight w:val="212"/>
        </w:trPr>
        <w:tc>
          <w:tcPr>
            <w:tcW w:w="4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United Kingdom</w:t>
            </w:r>
          </w:p>
        </w:tc>
        <w:tc>
          <w:tcPr>
            <w:tcW w:w="4960" w:type="dxa"/>
            <w:vAlign w:val="bottom"/>
            <w:gridSpan w:val="2"/>
          </w:tcPr>
          <w:p>
            <w:pPr>
              <w:jc w:val="right"/>
              <w:ind w:right="1705"/>
              <w:spacing w:after="0"/>
              <w:rPr>
                <w:sz w:val="20"/>
                <w:szCs w:val="20"/>
                <w:color w:val="auto"/>
              </w:rPr>
            </w:pPr>
            <w:r>
              <w:rPr>
                <w:rFonts w:ascii="Times New Roman" w:cs="Times New Roman" w:eastAsia="Times New Roman" w:hAnsi="Times New Roman"/>
                <w:sz w:val="16"/>
                <w:szCs w:val="16"/>
                <w:b w:val="1"/>
                <w:bCs w:val="1"/>
                <w:color w:val="auto"/>
              </w:rPr>
              <w:t>+44-333-023-7300</w:t>
            </w:r>
          </w:p>
        </w:tc>
      </w:tr>
      <w:tr>
        <w:trPr>
          <w:trHeight w:val="227"/>
        </w:trPr>
        <w:tc>
          <w:tcPr>
            <w:tcW w:w="47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(Address of principal executive offices)</w:t>
            </w:r>
          </w:p>
        </w:tc>
        <w:tc>
          <w:tcPr>
            <w:tcW w:w="220" w:type="dxa"/>
            <w:vAlign w:val="bottom"/>
          </w:tcPr>
          <w:p>
            <w:pPr>
              <w:spacing w:after="0"/>
              <w:rPr>
                <w:sz w:val="19"/>
                <w:szCs w:val="19"/>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tc>
      </w:tr>
    </w:tbl>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9"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3760" w:type="dxa"/>
            <w:vAlign w:val="bottom"/>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6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180" w:type="dxa"/>
            <w:vAlign w:val="bottom"/>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3"/>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American Depositary Shares, each representing five</w:t>
            </w:r>
          </w:p>
        </w:tc>
        <w:tc>
          <w:tcPr>
            <w:tcW w:w="2060" w:type="dxa"/>
            <w:vAlign w:val="bottom"/>
          </w:tcPr>
          <w:p>
            <w:pPr>
              <w:jc w:val="center"/>
              <w:ind w:right="44"/>
              <w:spacing w:after="0"/>
              <w:rPr>
                <w:sz w:val="20"/>
                <w:szCs w:val="20"/>
                <w:color w:val="auto"/>
              </w:rPr>
            </w:pPr>
            <w:r>
              <w:rPr>
                <w:rFonts w:ascii="Times New Roman" w:cs="Times New Roman" w:eastAsia="Times New Roman" w:hAnsi="Times New Roman"/>
                <w:sz w:val="16"/>
                <w:szCs w:val="16"/>
                <w:color w:val="auto"/>
                <w:w w:val="99"/>
              </w:rPr>
              <w:t>MREO</w:t>
            </w:r>
          </w:p>
        </w:tc>
        <w:tc>
          <w:tcPr>
            <w:tcW w:w="3180" w:type="dxa"/>
            <w:vAlign w:val="bottom"/>
          </w:tcPr>
          <w:p>
            <w:pPr>
              <w:jc w:val="center"/>
              <w:ind w:left="382"/>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0"/>
        </w:trPr>
        <w:tc>
          <w:tcPr>
            <w:tcW w:w="3760" w:type="dxa"/>
            <w:vAlign w:val="bottom"/>
          </w:tcPr>
          <w:p>
            <w:pPr>
              <w:jc w:val="center"/>
              <w:ind w:right="241"/>
              <w:spacing w:after="0"/>
              <w:rPr>
                <w:sz w:val="20"/>
                <w:szCs w:val="20"/>
                <w:color w:val="auto"/>
              </w:rPr>
            </w:pPr>
            <w:r>
              <w:rPr>
                <w:rFonts w:ascii="Times New Roman" w:cs="Times New Roman" w:eastAsia="Times New Roman" w:hAnsi="Times New Roman"/>
                <w:sz w:val="16"/>
                <w:szCs w:val="16"/>
                <w:color w:val="auto"/>
              </w:rPr>
              <w:t>ordinary shares, nominal value of £0.003 per share</w:t>
            </w:r>
          </w:p>
        </w:tc>
        <w:tc>
          <w:tcPr>
            <w:tcW w:w="206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43"/>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Ordinary Shares, nominal value of £0.003 per share</w:t>
            </w:r>
          </w:p>
        </w:tc>
        <w:tc>
          <w:tcPr>
            <w:tcW w:w="2060" w:type="dxa"/>
            <w:vAlign w:val="bottom"/>
          </w:tcPr>
          <w:p>
            <w:pPr>
              <w:spacing w:after="0"/>
              <w:rPr>
                <w:sz w:val="21"/>
                <w:szCs w:val="21"/>
                <w:color w:val="auto"/>
              </w:rPr>
            </w:pPr>
          </w:p>
        </w:tc>
        <w:tc>
          <w:tcPr>
            <w:tcW w:w="3180" w:type="dxa"/>
            <w:vAlign w:val="bottom"/>
          </w:tcPr>
          <w:p>
            <w:pPr>
              <w:jc w:val="center"/>
              <w:ind w:left="422"/>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25" w:lineRule="exact"/>
        <w:rPr>
          <w:sz w:val="24"/>
          <w:szCs w:val="24"/>
          <w:color w:val="auto"/>
        </w:rPr>
      </w:pPr>
    </w:p>
    <w:p>
      <w:pPr>
        <w:ind w:right="120" w:firstLine="4"/>
        <w:spacing w:after="0" w:line="259" w:lineRule="auto"/>
        <w:tabs>
          <w:tab w:leader="none" w:pos="12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for trading, but only in connection with the registration of American Depositary Shares representing such Ordinary Shares pursuant to the requirements of the U.S. 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pursuant to Section 12(g) of the Act: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None</w:t>
      </w:r>
    </w:p>
    <w:p>
      <w:pPr>
        <w:spacing w:after="0" w:line="30" w:lineRule="exact"/>
        <w:rPr>
          <w:sz w:val="24"/>
          <w:szCs w:val="24"/>
          <w:color w:val="auto"/>
        </w:rPr>
      </w:pPr>
    </w:p>
    <w:p>
      <w:pPr>
        <w:jc w:val="both"/>
        <w:ind w:right="100"/>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226" w:lineRule="exact"/>
        <w:rPr>
          <w:sz w:val="24"/>
          <w:szCs w:val="24"/>
          <w:color w:val="auto"/>
        </w:rPr>
      </w:pPr>
    </w:p>
    <w:p>
      <w:pPr>
        <w:ind w:right="240"/>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199" w:lineRule="exact"/>
        <w:rPr>
          <w:sz w:val="24"/>
          <w:szCs w:val="24"/>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Large accelerated filer </w:t>
            </w:r>
            <w:r>
              <w:rPr>
                <w:rFonts w:ascii="Wingdings" w:cs="Wingdings" w:eastAsia="Wingdings" w:hAnsi="Wingdings"/>
                <w:sz w:val="17"/>
                <w:szCs w:val="17"/>
                <w:b w:val="1"/>
                <w:bCs w:val="1"/>
                <w:color w:val="auto"/>
              </w:rPr>
              <w:t></w:t>
            </w:r>
          </w:p>
        </w:tc>
        <w:tc>
          <w:tcPr>
            <w:tcW w:w="24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 xml:space="preserve">Accelerated filer </w:t>
            </w:r>
            <w:r>
              <w:rPr>
                <w:rFonts w:ascii="Wingdings" w:cs="Wingdings" w:eastAsia="Wingdings" w:hAnsi="Wingdings"/>
                <w:sz w:val="17"/>
                <w:szCs w:val="17"/>
                <w:b w:val="1"/>
                <w:bCs w:val="1"/>
                <w:color w:val="auto"/>
              </w:rPr>
              <w:t></w:t>
            </w:r>
          </w:p>
        </w:tc>
        <w:tc>
          <w:tcPr>
            <w:tcW w:w="2500" w:type="dxa"/>
            <w:vAlign w:val="bottom"/>
          </w:tcPr>
          <w:p>
            <w:pPr>
              <w:ind w:left="48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tc>
      </w:tr>
      <w:tr>
        <w:trPr>
          <w:trHeight w:val="222"/>
        </w:trPr>
        <w:tc>
          <w:tcPr>
            <w:tcW w:w="23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w:t>
            </w:r>
          </w:p>
        </w:tc>
      </w:tr>
    </w:tbl>
    <w:p>
      <w:pPr>
        <w:spacing w:after="0" w:line="21" w:lineRule="exact"/>
        <w:rPr>
          <w:sz w:val="24"/>
          <w:szCs w:val="24"/>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Wingdings" w:cs="Wingdings" w:eastAsia="Wingdings" w:hAnsi="Wingdings"/>
          <w:sz w:val="17"/>
          <w:szCs w:val="17"/>
          <w:b w:val="1"/>
          <w:bCs w:val="1"/>
          <w:color w:val="auto"/>
        </w:rPr>
        <w:t></w:t>
      </w:r>
    </w:p>
    <w:p>
      <w:pPr>
        <w:spacing w:after="0" w:line="13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w:t>
      </w:r>
      <w:r>
        <w:rPr>
          <w:rFonts w:ascii="Wingdings" w:cs="Wingdings" w:eastAsia="Wingdings" w:hAnsi="Wingdings"/>
          <w:sz w:val="17"/>
          <w:szCs w:val="17"/>
          <w:b w:val="1"/>
          <w:bCs w:val="1"/>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32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As of August 11, 2025 the number of outstanding ordinary shares, par value £0.003 per share, of the registrant was 795,484,404.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819785</wp:posOffset>
            </wp:positionV>
            <wp:extent cx="703770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52705</wp:posOffset>
            </wp:positionV>
            <wp:extent cx="6172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69850</wp:posOffset>
            </wp:positionV>
            <wp:extent cx="6172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type w:val="continuous"/>
        </w:sectPr>
      </w:pPr>
    </w:p>
    <w:bookmarkStart w:id="1" w:name="page2"/>
    <w:bookmarkEnd w:id="1"/>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920" w:type="dxa"/>
            <w:vAlign w:val="bottom"/>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9"/>
        </w:trPr>
        <w:tc>
          <w:tcPr>
            <w:tcW w:w="780" w:type="dxa"/>
            <w:vAlign w:val="bottom"/>
          </w:tcPr>
          <w:p>
            <w:pPr>
              <w:spacing w:after="0"/>
              <w:rPr>
                <w:sz w:val="17"/>
                <w:szCs w:val="17"/>
                <w:color w:val="auto"/>
              </w:rPr>
            </w:pPr>
          </w:p>
        </w:tc>
        <w:tc>
          <w:tcPr>
            <w:tcW w:w="1060" w:type="dxa"/>
            <w:vAlign w:val="bottom"/>
            <w:gridSpan w:val="4"/>
          </w:tcPr>
          <w:p>
            <w:pPr>
              <w:spacing w:after="0" w:line="199" w:lineRule="exact"/>
              <w:rPr>
                <w:sz w:val="20"/>
                <w:szCs w:val="20"/>
                <w:color w:val="auto"/>
              </w:rPr>
            </w:pPr>
            <w:r>
              <w:rPr>
                <w:rFonts w:ascii="Times New Roman" w:cs="Times New Roman" w:eastAsia="Times New Roman" w:hAnsi="Times New Roman"/>
                <w:sz w:val="18"/>
                <w:szCs w:val="18"/>
                <w:color w:val="0000FF"/>
              </w:rPr>
              <w:t>PART I</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
        </w:trPr>
        <w:tc>
          <w:tcPr>
            <w:tcW w:w="78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7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w:t>
            </w:r>
          </w:p>
        </w:tc>
        <w:tc>
          <w:tcPr>
            <w:tcW w:w="72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192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7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7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w:t>
            </w:r>
          </w:p>
        </w:tc>
        <w:tc>
          <w:tcPr>
            <w:tcW w:w="72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92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7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7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3.</w:t>
            </w:r>
          </w:p>
        </w:tc>
        <w:tc>
          <w:tcPr>
            <w:tcW w:w="72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92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7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960" w:type="dxa"/>
            <w:vAlign w:val="bottom"/>
            <w:tcBorders>
              <w:left w:val="single" w:sz="8" w:color="0000FF"/>
            </w:tcBorders>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7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4.</w:t>
            </w:r>
          </w:p>
        </w:tc>
        <w:tc>
          <w:tcPr>
            <w:tcW w:w="72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92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26</w:t>
            </w:r>
          </w:p>
        </w:tc>
      </w:tr>
      <w:tr>
        <w:trPr>
          <w:trHeight w:val="412"/>
        </w:trPr>
        <w:tc>
          <w:tcPr>
            <w:tcW w:w="7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PART II</w:t>
            </w:r>
          </w:p>
        </w:tc>
        <w:tc>
          <w:tcPr>
            <w:tcW w:w="5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0"/>
        </w:trPr>
        <w:tc>
          <w:tcPr>
            <w:tcW w:w="780" w:type="dxa"/>
            <w:vAlign w:val="bottom"/>
            <w:tcBorders>
              <w:right w:val="single" w:sz="8" w:color="0000EE"/>
            </w:tcBorders>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7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Item1.</w:t>
            </w:r>
          </w:p>
        </w:tc>
        <w:tc>
          <w:tcPr>
            <w:tcW w:w="72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92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7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7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1A.</w:t>
            </w:r>
          </w:p>
        </w:tc>
        <w:tc>
          <w:tcPr>
            <w:tcW w:w="72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92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7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7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w:t>
            </w:r>
          </w:p>
        </w:tc>
        <w:tc>
          <w:tcPr>
            <w:tcW w:w="72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92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7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7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3.</w:t>
            </w:r>
          </w:p>
        </w:tc>
        <w:tc>
          <w:tcPr>
            <w:tcW w:w="72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92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7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498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7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4.</w:t>
            </w:r>
          </w:p>
        </w:tc>
        <w:tc>
          <w:tcPr>
            <w:tcW w:w="72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92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7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54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7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5.</w:t>
            </w:r>
          </w:p>
        </w:tc>
        <w:tc>
          <w:tcPr>
            <w:tcW w:w="72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92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7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000" w:type="dxa"/>
            <w:vAlign w:val="bottom"/>
            <w:gridSpan w:val="6"/>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7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6.</w:t>
            </w:r>
          </w:p>
        </w:tc>
        <w:tc>
          <w:tcPr>
            <w:tcW w:w="72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Exhibits</w:t>
            </w:r>
          </w:p>
        </w:tc>
        <w:tc>
          <w:tcPr>
            <w:tcW w:w="192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29</w:t>
            </w:r>
          </w:p>
        </w:tc>
      </w:tr>
      <w:tr>
        <w:trPr>
          <w:trHeight w:val="412"/>
        </w:trPr>
        <w:tc>
          <w:tcPr>
            <w:tcW w:w="7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2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30</w:t>
            </w:r>
          </w:p>
        </w:tc>
      </w:tr>
      <w:tr>
        <w:trPr>
          <w:trHeight w:val="1215"/>
        </w:trPr>
        <w:tc>
          <w:tcPr>
            <w:tcW w:w="78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88" w:lineRule="exact"/>
        <w:rPr>
          <w:sz w:val="20"/>
          <w:szCs w:val="20"/>
          <w:color w:val="auto"/>
        </w:rPr>
      </w:pPr>
    </w:p>
    <w:p>
      <w:pPr>
        <w:ind w:right="520" w:firstLine="749"/>
        <w:spacing w:after="0" w:line="245" w:lineRule="exact"/>
        <w:rPr>
          <w:sz w:val="20"/>
          <w:szCs w:val="20"/>
          <w:color w:val="auto"/>
        </w:rPr>
      </w:pPr>
      <w:r>
        <w:rPr>
          <w:rFonts w:ascii="Times New Roman" w:cs="Times New Roman" w:eastAsia="Times New Roman" w:hAnsi="Times New Roman"/>
          <w:sz w:val="18"/>
          <w:szCs w:val="18"/>
          <w:color w:val="auto"/>
        </w:rPr>
        <w:t>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(“Quarterly Report”), “Mereo,” the “Group,” the “Company,” “we,” “us” and “our” refer to Mereo BioPharma Group plc and its consolidated subsidiaries, except where the context otherwise requires.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REGARDING FORWARD-LOOKING STATEMENTS</w:t>
      </w:r>
    </w:p>
    <w:p>
      <w:pPr>
        <w:spacing w:after="0" w:line="229"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This Quarterly Report contains forward-looking statements that involve risks and uncertainties, as well as assumptions that, if they never materialize or prove incorrect, could cause our results to differ materially from those expressed or implied by such forward-looking statements. We make such forward-looking statements pursuant to the safe harbor provisions of the Private Securities Litigation Reform Act of 1995 and other federal securities laws. All statements other than statements of historical facts contained in this Quarterly Report are forward-looking statements. In some cases, you can identify forward-looking statements by words such as “believe,” “may,” “will,” “estimate,” “continue,” “anticipate,” “intend,” “expect” or the negative of these words or other comparable terminology.</w:t>
      </w:r>
    </w:p>
    <w:p>
      <w:pPr>
        <w:spacing w:after="0" w:line="18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Any forward-looking statements in this Quarterly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 Item 1A. Risk Factors of our most recent Annual Report on Form 10-K for the year ended December 31, 2024, filed with the SEC on March 26, 2025 (the "2024 Annual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9"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This Quarterly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third parties, industry, medical and general publications, government data and similar sources.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6620" w:type="dxa"/>
            <w:vAlign w:val="bottom"/>
          </w:tcPr>
          <w:p>
            <w:pPr>
              <w:spacing w:after="0"/>
              <w:rPr>
                <w:sz w:val="18"/>
                <w:szCs w:val="18"/>
                <w:color w:val="auto"/>
              </w:rPr>
            </w:pP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assets:</w:t>
            </w: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6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0" w:type="dxa"/>
            <w:vAlign w:val="bottom"/>
            <w:shd w:val="clear" w:color="auto" w:fill="CFF0FC"/>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56,125</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69,802</w:t>
            </w:r>
          </w:p>
        </w:tc>
      </w:tr>
      <w:tr>
        <w:trPr>
          <w:trHeight w:val="216"/>
        </w:trPr>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2,175</w:t>
            </w:r>
          </w:p>
        </w:tc>
      </w:tr>
      <w:tr>
        <w:trPr>
          <w:trHeight w:val="216"/>
        </w:trPr>
        <w:tc>
          <w:tcPr>
            <w:tcW w:w="66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 incentives receivables</w:t>
            </w:r>
          </w:p>
        </w:tc>
        <w:tc>
          <w:tcPr>
            <w:tcW w:w="14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2,751</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2,786</w:t>
            </w:r>
          </w:p>
        </w:tc>
      </w:tr>
      <w:tr>
        <w:trPr>
          <w:trHeight w:val="209"/>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assets</w:t>
            </w:r>
          </w:p>
        </w:tc>
        <w:tc>
          <w:tcPr>
            <w:tcW w:w="140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61,421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74,763</w:t>
            </w:r>
          </w:p>
        </w:tc>
      </w:tr>
      <w:tr>
        <w:trPr>
          <w:trHeight w:val="216"/>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218</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257</w:t>
            </w: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40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727</w:t>
            </w:r>
          </w:p>
        </w:tc>
      </w:tr>
      <w:tr>
        <w:trPr>
          <w:trHeight w:val="216"/>
        </w:trPr>
        <w:tc>
          <w:tcPr>
            <w:tcW w:w="6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14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470</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643</w:t>
            </w:r>
          </w:p>
        </w:tc>
      </w:tr>
      <w:tr>
        <w:trPr>
          <w:trHeight w:val="209"/>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0" w:type="dxa"/>
            <w:vAlign w:val="bottom"/>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62,631</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76,390</w:t>
            </w:r>
          </w:p>
        </w:tc>
      </w:tr>
      <w:tr>
        <w:trPr>
          <w:trHeight w:val="20"/>
        </w:trPr>
        <w:tc>
          <w:tcPr>
            <w:tcW w:w="66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6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6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400" w:type="dxa"/>
            <w:vAlign w:val="bottom"/>
            <w:shd w:val="clear" w:color="auto" w:fill="CFF0FC"/>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1,138</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2,440</w:t>
            </w:r>
          </w:p>
        </w:tc>
      </w:tr>
      <w:tr>
        <w:trPr>
          <w:trHeight w:val="216"/>
        </w:trPr>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140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5,041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4,071</w:t>
            </w:r>
          </w:p>
        </w:tc>
      </w:tr>
      <w:tr>
        <w:trPr>
          <w:trHeight w:val="216"/>
        </w:trPr>
        <w:tc>
          <w:tcPr>
            <w:tcW w:w="6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Convertible loan notes – current</w:t>
            </w:r>
          </w:p>
        </w:tc>
        <w:tc>
          <w:tcPr>
            <w:tcW w:w="140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5,535</w:t>
            </w:r>
          </w:p>
        </w:tc>
      </w:tr>
      <w:tr>
        <w:trPr>
          <w:trHeight w:val="216"/>
        </w:trPr>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140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707</w:t>
            </w:r>
          </w:p>
        </w:tc>
      </w:tr>
      <w:tr>
        <w:trPr>
          <w:trHeight w:val="216"/>
        </w:trPr>
        <w:tc>
          <w:tcPr>
            <w:tcW w:w="66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777</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1,095</w:t>
            </w:r>
          </w:p>
        </w:tc>
      </w:tr>
      <w:tr>
        <w:trPr>
          <w:trHeight w:val="210"/>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7,557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13,848</w:t>
            </w:r>
          </w:p>
        </w:tc>
      </w:tr>
      <w:tr>
        <w:trPr>
          <w:trHeight w:val="216"/>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Warrant liabilities – non-current</w:t>
            </w:r>
          </w:p>
        </w:tc>
        <w:tc>
          <w:tcPr>
            <w:tcW w:w="140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545</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821</w:t>
            </w: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140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6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352</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565</w:t>
            </w:r>
          </w:p>
        </w:tc>
      </w:tr>
      <w:tr>
        <w:trPr>
          <w:trHeight w:val="210"/>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0" w:type="dxa"/>
            <w:vAlign w:val="bottom"/>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8,454</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15,421</w:t>
            </w:r>
          </w:p>
        </w:tc>
      </w:tr>
      <w:tr>
        <w:trPr>
          <w:trHeight w:val="20"/>
        </w:trPr>
        <w:tc>
          <w:tcPr>
            <w:tcW w:w="66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62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Commitments and contingencies (Note 16)</w:t>
            </w:r>
          </w:p>
        </w:tc>
        <w:tc>
          <w:tcPr>
            <w:tcW w:w="14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r>
      <w:tr>
        <w:trPr>
          <w:trHeight w:val="432"/>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98"/>
        </w:trPr>
        <w:tc>
          <w:tcPr>
            <w:tcW w:w="662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Ordinary shares, par value £0.003 per share; 795,001,444 shares issued at June 30,</w:t>
            </w:r>
          </w:p>
        </w:tc>
        <w:tc>
          <w:tcPr>
            <w:tcW w:w="14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r>
      <w:tr>
        <w:trPr>
          <w:trHeight w:val="234"/>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2025 (December 31, 2024: 775,728,034)</w:t>
            </w:r>
          </w:p>
        </w:tc>
        <w:tc>
          <w:tcPr>
            <w:tcW w:w="1400" w:type="dxa"/>
            <w:vAlign w:val="bottom"/>
            <w:shd w:val="clear" w:color="auto" w:fill="CFF0FC"/>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3,132</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3,059</w:t>
            </w: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546,331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539,642</w:t>
            </w:r>
          </w:p>
        </w:tc>
      </w:tr>
      <w:tr>
        <w:trPr>
          <w:trHeight w:val="216"/>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14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(486,643)</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(462,883)</w:t>
            </w: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(8,643)</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(18,849)</w:t>
            </w:r>
          </w:p>
        </w:tc>
      </w:tr>
      <w:tr>
        <w:trPr>
          <w:trHeight w:val="210"/>
        </w:trPr>
        <w:tc>
          <w:tcPr>
            <w:tcW w:w="6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4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54,177</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60,969</w:t>
            </w:r>
          </w:p>
        </w:tc>
      </w:tr>
      <w:tr>
        <w:trPr>
          <w:trHeight w:val="209"/>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400" w:type="dxa"/>
            <w:vAlign w:val="bottom"/>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62,631</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76,390</w:t>
            </w:r>
          </w:p>
        </w:tc>
      </w:tr>
      <w:tr>
        <w:trPr>
          <w:trHeight w:val="20"/>
        </w:trPr>
        <w:tc>
          <w:tcPr>
            <w:tcW w:w="66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-3968115</wp:posOffset>
            </wp:positionV>
            <wp:extent cx="1460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-3411220</wp:posOffset>
            </wp:positionV>
            <wp:extent cx="1460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-2142490</wp:posOffset>
            </wp:positionV>
            <wp:extent cx="1460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-1585595</wp:posOffset>
            </wp:positionV>
            <wp:extent cx="1460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-170815</wp:posOffset>
            </wp:positionV>
            <wp:extent cx="1460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5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500</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c>
          <w:tcPr>
            <w:tcW w:w="5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(9,303)</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(8,939)</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(7,868)</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(12,766)</w:t>
            </w:r>
          </w:p>
        </w:tc>
        <w:tc>
          <w:tcPr>
            <w:tcW w:w="1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(13,777)</w:t>
            </w:r>
          </w:p>
        </w:tc>
        <w:tc>
          <w:tcPr>
            <w:tcW w:w="0" w:type="dxa"/>
            <w:vAlign w:val="bottom"/>
          </w:tcPr>
          <w:p>
            <w:pPr>
              <w:spacing w:after="0"/>
              <w:rPr>
                <w:sz w:val="1"/>
                <w:szCs w:val="1"/>
                <w:color w:val="auto"/>
              </w:rPr>
            </w:pPr>
          </w:p>
        </w:tc>
      </w:tr>
      <w:tr>
        <w:trPr>
          <w:trHeight w:val="210"/>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(21,701)</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(22,716)</w:t>
            </w: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589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1,248</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1,175</w:t>
            </w: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fair value of warrants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315</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transaction (loss)/gain, net</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research and development tax credit</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745</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369</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930</w:t>
            </w: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209"/>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(14,616)</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(12,255)</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(27,503)</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(21,208)</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(14,616)</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(12,255)</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(27,503)</w:t>
            </w:r>
          </w:p>
        </w:tc>
        <w:tc>
          <w:tcPr>
            <w:tcW w:w="5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(21,208)</w:t>
            </w: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 – basic and diluted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49"/>
        </w:trPr>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799,435,329</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11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711,770,804</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11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794,022,295</w:t>
            </w:r>
          </w:p>
        </w:tc>
        <w:tc>
          <w:tcPr>
            <w:tcW w:w="1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top w:val="single" w:sz="8" w:color="auto"/>
              <w:bottom w:val="single" w:sz="8" w:color="auto"/>
            </w:tcBorders>
            <w:shd w:val="clear" w:color="auto" w:fill="CFF0FC"/>
          </w:tcPr>
          <w:p>
            <w:pPr>
              <w:spacing w:after="0"/>
              <w:rPr>
                <w:sz w:val="21"/>
                <w:szCs w:val="21"/>
                <w:color w:val="auto"/>
              </w:rPr>
            </w:pPr>
          </w:p>
        </w:tc>
        <w:tc>
          <w:tcPr>
            <w:tcW w:w="11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706,407,371</w:t>
            </w:r>
          </w:p>
        </w:tc>
        <w:tc>
          <w:tcPr>
            <w:tcW w:w="0" w:type="dxa"/>
            <w:vAlign w:val="bottom"/>
          </w:tcPr>
          <w:p>
            <w:pPr>
              <w:spacing w:after="0"/>
              <w:rPr>
                <w:sz w:val="1"/>
                <w:szCs w:val="1"/>
                <w:color w:val="auto"/>
              </w:rPr>
            </w:pPr>
          </w:p>
        </w:tc>
      </w:tr>
      <w:tr>
        <w:trPr>
          <w:trHeight w:val="41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(14,616)</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(12,255)</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(27,503)</w:t>
            </w: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(21,208)</w:t>
            </w:r>
          </w:p>
        </w:tc>
        <w:tc>
          <w:tcPr>
            <w:tcW w:w="0" w:type="dxa"/>
            <w:vAlign w:val="bottom"/>
          </w:tcPr>
          <w:p>
            <w:pPr>
              <w:spacing w:after="0"/>
              <w:rPr>
                <w:sz w:val="1"/>
                <w:szCs w:val="1"/>
                <w:color w:val="auto"/>
              </w:rPr>
            </w:pPr>
          </w:p>
        </w:tc>
      </w:tr>
      <w:tr>
        <w:trPr>
          <w:trHeight w:val="198"/>
        </w:trPr>
        <w:tc>
          <w:tcPr>
            <w:tcW w:w="50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income/(loss) – Foreign currency translation</w:t>
            </w:r>
          </w:p>
        </w:tc>
        <w:tc>
          <w:tcPr>
            <w:tcW w:w="240" w:type="dxa"/>
            <w:vAlign w:val="bottom"/>
            <w:shd w:val="clear" w:color="auto" w:fill="CFF0FC"/>
          </w:tcPr>
          <w:p>
            <w:pPr>
              <w:spacing w:after="0"/>
              <w:rPr>
                <w:sz w:val="17"/>
                <w:szCs w:val="17"/>
                <w:color w:val="auto"/>
              </w:rPr>
            </w:pPr>
          </w:p>
        </w:tc>
        <w:tc>
          <w:tcPr>
            <w:tcW w:w="118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6,647</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10,206</w:t>
            </w: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221"/>
        </w:trPr>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net of tax</w:t>
            </w: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vMerge w:val="continue"/>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(12,250)</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(17,297)</w:t>
            </w: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(22,001)</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-2580005</wp:posOffset>
            </wp:positionV>
            <wp:extent cx="1028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-2580005</wp:posOffset>
            </wp:positionV>
            <wp:extent cx="93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-2580005</wp:posOffset>
            </wp:positionV>
            <wp:extent cx="93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-1182370</wp:posOffset>
            </wp:positionV>
            <wp:extent cx="1028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-1165225</wp:posOffset>
            </wp:positionV>
            <wp:extent cx="1028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-1182370</wp:posOffset>
            </wp:positionV>
            <wp:extent cx="939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-1165225</wp:posOffset>
            </wp:positionV>
            <wp:extent cx="939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-1182370</wp:posOffset>
            </wp:positionV>
            <wp:extent cx="939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-1165225</wp:posOffset>
            </wp:positionV>
            <wp:extent cx="939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-736600</wp:posOffset>
            </wp:positionV>
            <wp:extent cx="1028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-719455</wp:posOffset>
            </wp:positionV>
            <wp:extent cx="1028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-736600</wp:posOffset>
            </wp:positionV>
            <wp:extent cx="93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-719455</wp:posOffset>
            </wp:positionV>
            <wp:extent cx="93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-736600</wp:posOffset>
            </wp:positionV>
            <wp:extent cx="93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-719455</wp:posOffset>
            </wp:positionV>
            <wp:extent cx="93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-170815</wp:posOffset>
            </wp:positionV>
            <wp:extent cx="1028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-170815</wp:posOffset>
            </wp:positionV>
            <wp:extent cx="939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-170815</wp:posOffset>
            </wp:positionV>
            <wp:extent cx="939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700" w:type="dxa"/>
            <w:vAlign w:val="bottom"/>
            <w:tcBorders>
              <w:bottom w:val="single" w:sz="8" w:color="auto"/>
            </w:tcBorders>
          </w:tcPr>
          <w:p>
            <w:pPr>
              <w:spacing w:after="0"/>
              <w:rPr>
                <w:sz w:val="20"/>
                <w:szCs w:val="20"/>
                <w:color w:val="auto"/>
              </w:rPr>
            </w:pPr>
          </w:p>
        </w:tc>
      </w:tr>
      <w:tr>
        <w:trPr>
          <w:trHeight w:val="209"/>
        </w:trPr>
        <w:tc>
          <w:tcPr>
            <w:tcW w:w="6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Pr>
          <w:p>
            <w:pPr>
              <w:spacing w:after="0"/>
              <w:rPr>
                <w:sz w:val="18"/>
                <w:szCs w:val="18"/>
                <w:color w:val="auto"/>
              </w:rPr>
            </w:pPr>
          </w:p>
        </w:tc>
      </w:tr>
      <w:tr>
        <w:trPr>
          <w:trHeight w:val="21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8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16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(27,503)</w:t>
            </w:r>
          </w:p>
        </w:tc>
        <w:tc>
          <w:tcPr>
            <w:tcW w:w="11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(21,208)</w:t>
            </w:r>
          </w:p>
        </w:tc>
      </w:tr>
      <w:tr>
        <w:trPr>
          <w:trHeight w:val="216"/>
        </w:trPr>
        <w:tc>
          <w:tcPr>
            <w:tcW w:w="6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16"/>
        </w:trPr>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4,343</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4,138</w:t>
            </w:r>
          </w:p>
        </w:tc>
      </w:tr>
      <w:tr>
        <w:trPr>
          <w:trHeight w:val="216"/>
        </w:trPr>
        <w:tc>
          <w:tcPr>
            <w:tcW w:w="6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Depreciation</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224</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6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262</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252</w:t>
            </w:r>
          </w:p>
        </w:tc>
      </w:tr>
      <w:tr>
        <w:trPr>
          <w:trHeight w:val="216"/>
        </w:trPr>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517</w:t>
            </w:r>
          </w:p>
        </w:tc>
      </w:tr>
      <w:tr>
        <w:trPr>
          <w:trHeight w:val="216"/>
        </w:trPr>
        <w:tc>
          <w:tcPr>
            <w:tcW w:w="6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193</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615</w:t>
            </w:r>
          </w:p>
        </w:tc>
      </w:tr>
      <w:tr>
        <w:trPr>
          <w:trHeight w:val="216"/>
        </w:trPr>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currency transaction loss/(gain)</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8,091</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16"/>
        </w:trPr>
        <w:tc>
          <w:tcPr>
            <w:tcW w:w="6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16"/>
        </w:trPr>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644</w:t>
            </w:r>
          </w:p>
        </w:tc>
      </w:tr>
      <w:tr>
        <w:trPr>
          <w:trHeight w:val="216"/>
        </w:trPr>
        <w:tc>
          <w:tcPr>
            <w:tcW w:w="6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Research and development incentives receivable</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208</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16"/>
        </w:trPr>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368</w:t>
            </w:r>
          </w:p>
        </w:tc>
      </w:tr>
      <w:tr>
        <w:trPr>
          <w:trHeight w:val="216"/>
        </w:trPr>
        <w:tc>
          <w:tcPr>
            <w:tcW w:w="6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540</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306</w:t>
            </w:r>
          </w:p>
        </w:tc>
      </w:tr>
      <w:tr>
        <w:trPr>
          <w:trHeight w:val="216"/>
        </w:trPr>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1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1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(15,980)</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(15,895)</w:t>
            </w:r>
          </w:p>
        </w:tc>
      </w:tr>
      <w:tr>
        <w:trPr>
          <w:trHeight w:val="432"/>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1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(320)</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(699)</w:t>
            </w:r>
          </w:p>
        </w:tc>
      </w:tr>
      <w:tr>
        <w:trPr>
          <w:trHeight w:val="432"/>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487</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ordinary shares</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47,000</w:t>
            </w:r>
          </w:p>
        </w:tc>
      </w:tr>
      <w:tr>
        <w:trPr>
          <w:trHeight w:val="216"/>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costs on issuance of ordinary shares</w:t>
            </w:r>
          </w:p>
        </w:tc>
        <w:tc>
          <w:tcPr>
            <w:tcW w:w="11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32"/>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288</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46,781</w:t>
            </w:r>
          </w:p>
        </w:tc>
      </w:tr>
      <w:tr>
        <w:trPr>
          <w:trHeight w:val="194"/>
        </w:trPr>
        <w:tc>
          <w:tcPr>
            <w:tcW w:w="6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(Decrease)/increase in cash and cash equivalents</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(16,012)</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30,187</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January 1,</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69,802</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57,421</w:t>
            </w:r>
          </w:p>
        </w:tc>
      </w:tr>
      <w:tr>
        <w:trPr>
          <w:trHeight w:val="216"/>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1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2,335</w:t>
            </w:r>
          </w:p>
        </w:tc>
        <w:tc>
          <w:tcPr>
            <w:tcW w:w="1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09"/>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June 30,</w:t>
            </w:r>
          </w:p>
        </w:tc>
        <w:tc>
          <w:tcPr>
            <w:tcW w:w="216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56,125</w:t>
            </w:r>
          </w:p>
        </w:tc>
        <w:tc>
          <w:tcPr>
            <w:tcW w:w="11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87,431</w:t>
            </w:r>
          </w:p>
        </w:tc>
      </w:tr>
      <w:tr>
        <w:trPr>
          <w:trHeight w:val="20"/>
        </w:trPr>
        <w:tc>
          <w:tcPr>
            <w:tcW w:w="6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ordinary shares - transaction costs not yet paid</w:t>
            </w:r>
          </w:p>
        </w:tc>
        <w:tc>
          <w:tcPr>
            <w:tcW w:w="1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-1562735</wp:posOffset>
            </wp:positionV>
            <wp:extent cx="1111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-868045</wp:posOffset>
            </wp:positionV>
            <wp:extent cx="1111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7" w:lineRule="exact"/>
        <w:rPr>
          <w:sz w:val="20"/>
          <w:szCs w:val="20"/>
          <w:color w:val="auto"/>
        </w:rPr>
      </w:pPr>
    </w:p>
    <w:tbl>
      <w:tblPr>
        <w:tblLayout w:type="fixed"/>
        <w:tblInd w:w="240" w:type="dxa"/>
        <w:tblCellMar>
          <w:top w:w="0" w:type="dxa"/>
          <w:left w:w="0" w:type="dxa"/>
          <w:bottom w:w="0" w:type="dxa"/>
          <w:right w:w="0" w:type="dxa"/>
        </w:tblCellMar>
      </w:tblPr>
      <w:tr>
        <w:trPr>
          <w:trHeight w:val="149"/>
        </w:trPr>
        <w:tc>
          <w:tcPr>
            <w:tcW w:w="3040" w:type="dxa"/>
            <w:vAlign w:val="bottom"/>
          </w:tcPr>
          <w:p>
            <w:pPr>
              <w:spacing w:after="0"/>
              <w:rPr>
                <w:sz w:val="12"/>
                <w:szCs w:val="12"/>
                <w:color w:val="auto"/>
              </w:rPr>
            </w:pP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4"/>
            <w:vMerge w:val="restart"/>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Treasury shares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1220" w:type="dxa"/>
            <w:vAlign w:val="bottom"/>
            <w:tcBorders>
              <w:bottom w:val="single" w:sz="8" w:color="auto"/>
            </w:tcBorders>
            <w:gridSpan w:val="3"/>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Borders>
              <w:bottom w:val="single" w:sz="8" w:color="auto"/>
            </w:tcBorders>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157"/>
              <w:spacing w:after="0" w:line="142"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137"/>
              <w:spacing w:after="0" w:line="142"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297"/>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08"/>
        </w:trPr>
        <w:tc>
          <w:tcPr>
            <w:tcW w:w="30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ind w:right="158"/>
              <w:spacing w:after="0" w:line="109" w:lineRule="exact"/>
              <w:rPr>
                <w:sz w:val="20"/>
                <w:szCs w:val="20"/>
                <w:color w:val="auto"/>
              </w:rPr>
            </w:pPr>
            <w:r>
              <w:rPr>
                <w:rFonts w:ascii="Times New Roman" w:cs="Times New Roman" w:eastAsia="Times New Roman" w:hAnsi="Times New Roman"/>
                <w:sz w:val="12"/>
                <w:szCs w:val="12"/>
                <w:b w:val="1"/>
                <w:bCs w:val="1"/>
                <w:color w:val="auto"/>
                <w:w w:val="96"/>
              </w:rPr>
              <w:t>Par</w:t>
            </w: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ind w:right="217"/>
              <w:spacing w:after="0" w:line="109" w:lineRule="exact"/>
              <w:rPr>
                <w:sz w:val="20"/>
                <w:szCs w:val="20"/>
                <w:color w:val="auto"/>
              </w:rPr>
            </w:pPr>
            <w:r>
              <w:rPr>
                <w:rFonts w:ascii="Times New Roman" w:cs="Times New Roman" w:eastAsia="Times New Roman" w:hAnsi="Times New Roman"/>
                <w:sz w:val="12"/>
                <w:szCs w:val="12"/>
                <w:b w:val="1"/>
                <w:bCs w:val="1"/>
                <w:color w:val="auto"/>
              </w:rPr>
              <w:t>Par</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jc w:val="center"/>
              <w:ind w:right="177"/>
              <w:spacing w:after="0" w:line="109" w:lineRule="exact"/>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jc w:val="center"/>
              <w:ind w:right="137"/>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jc w:val="right"/>
              <w:ind w:right="177"/>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9"/>
                <w:szCs w:val="9"/>
                <w:color w:val="auto"/>
              </w:rPr>
            </w:pPr>
          </w:p>
        </w:tc>
        <w:tc>
          <w:tcPr>
            <w:tcW w:w="90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shareholders’</w:t>
            </w:r>
          </w:p>
        </w:tc>
        <w:tc>
          <w:tcPr>
            <w:tcW w:w="0" w:type="dxa"/>
            <w:vAlign w:val="bottom"/>
          </w:tcPr>
          <w:p>
            <w:pPr>
              <w:spacing w:after="0"/>
              <w:rPr>
                <w:sz w:val="1"/>
                <w:szCs w:val="1"/>
                <w:color w:val="auto"/>
              </w:rPr>
            </w:pPr>
          </w:p>
        </w:tc>
      </w:tr>
      <w:tr>
        <w:trPr>
          <w:trHeight w:val="155"/>
        </w:trPr>
        <w:tc>
          <w:tcPr>
            <w:tcW w:w="3040" w:type="dxa"/>
            <w:vAlign w:val="bottom"/>
          </w:tcPr>
          <w:p>
            <w:pPr>
              <w:spacing w:after="0"/>
              <w:rPr>
                <w:sz w:val="13"/>
                <w:szCs w:val="13"/>
                <w:color w:val="auto"/>
              </w:rPr>
            </w:pPr>
          </w:p>
        </w:tc>
        <w:tc>
          <w:tcPr>
            <w:tcW w:w="10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3"/>
                <w:szCs w:val="13"/>
                <w:color w:val="auto"/>
              </w:rPr>
            </w:pPr>
          </w:p>
        </w:tc>
        <w:tc>
          <w:tcPr>
            <w:tcW w:w="500" w:type="dxa"/>
            <w:vAlign w:val="bottom"/>
            <w:tcBorders>
              <w:bottom w:val="single" w:sz="8" w:color="auto"/>
            </w:tcBorders>
            <w:gridSpan w:val="2"/>
          </w:tcPr>
          <w:p>
            <w:pPr>
              <w:jc w:val="right"/>
              <w:ind w:right="98"/>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20" w:type="dxa"/>
            <w:vAlign w:val="bottom"/>
          </w:tcPr>
          <w:p>
            <w:pPr>
              <w:spacing w:after="0"/>
              <w:rPr>
                <w:sz w:val="13"/>
                <w:szCs w:val="13"/>
                <w:color w:val="auto"/>
              </w:rPr>
            </w:pPr>
          </w:p>
        </w:tc>
        <w:tc>
          <w:tcPr>
            <w:tcW w:w="8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4"/>
              </w:rPr>
              <w:t>value</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08"/>
        </w:trPr>
        <w:tc>
          <w:tcPr>
            <w:tcW w:w="304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20" w:type="dxa"/>
            <w:vAlign w:val="bottom"/>
            <w:shd w:val="clear" w:color="auto" w:fill="CFF0FC"/>
          </w:tcPr>
          <w:p>
            <w:pPr>
              <w:jc w:val="right"/>
              <w:ind w:right="58"/>
              <w:spacing w:after="0" w:line="109" w:lineRule="exact"/>
              <w:rPr>
                <w:sz w:val="20"/>
                <w:szCs w:val="20"/>
                <w:color w:val="auto"/>
              </w:rPr>
            </w:pPr>
            <w:r>
              <w:rPr>
                <w:rFonts w:ascii="Times New Roman" w:cs="Times New Roman" w:eastAsia="Times New Roman" w:hAnsi="Times New Roman"/>
                <w:sz w:val="12"/>
                <w:szCs w:val="12"/>
                <w:b w:val="1"/>
                <w:bCs w:val="1"/>
                <w:color w:val="auto"/>
              </w:rPr>
              <w:t>3,05</w:t>
            </w:r>
          </w:p>
        </w:tc>
        <w:tc>
          <w:tcPr>
            <w:tcW w:w="1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December 31, 2024</w:t>
            </w:r>
          </w:p>
        </w:tc>
        <w:tc>
          <w:tcPr>
            <w:tcW w:w="10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775,728,034</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b w:val="1"/>
                <w:bCs w:val="1"/>
                <w:color w:val="auto"/>
              </w:rPr>
              <w:t>9</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539,642</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(18,849)</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(462,883)</w:t>
            </w: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60,969</w:t>
            </w: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0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(12,887)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(12,887)</w:t>
            </w: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Foreign currency translation adjustments</w:t>
            </w:r>
          </w:p>
        </w:tc>
        <w:tc>
          <w:tcPr>
            <w:tcW w:w="10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3,559</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3,559</w:t>
            </w: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10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2,278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2,278</w:t>
            </w: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Delivery of shares on vesting of restricted stock units</w:t>
            </w:r>
          </w:p>
        </w:tc>
        <w:tc>
          <w:tcPr>
            <w:tcW w:w="10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718,350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Transaction costs on issuance of shares</w:t>
            </w:r>
          </w:p>
        </w:tc>
        <w:tc>
          <w:tcPr>
            <w:tcW w:w="10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(65)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w:t>
            </w: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Conversion of convertible loan notes</w:t>
            </w:r>
          </w:p>
        </w:tc>
        <w:tc>
          <w:tcPr>
            <w:tcW w:w="10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17,105,450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64</w:t>
            </w: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5,676</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5,740</w:t>
            </w: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Exercise of warrants</w:t>
            </w:r>
          </w:p>
        </w:tc>
        <w:tc>
          <w:tcPr>
            <w:tcW w:w="10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1,449,610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481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487</w:t>
            </w:r>
          </w:p>
        </w:tc>
        <w:tc>
          <w:tcPr>
            <w:tcW w:w="0" w:type="dxa"/>
            <w:vAlign w:val="bottom"/>
          </w:tcPr>
          <w:p>
            <w:pPr>
              <w:spacing w:after="0"/>
              <w:rPr>
                <w:sz w:val="1"/>
                <w:szCs w:val="1"/>
                <w:color w:val="auto"/>
              </w:rPr>
            </w:pPr>
          </w:p>
        </w:tc>
      </w:tr>
      <w:tr>
        <w:trPr>
          <w:trHeight w:val="135"/>
        </w:trPr>
        <w:tc>
          <w:tcPr>
            <w:tcW w:w="3040" w:type="dxa"/>
            <w:vAlign w:val="bottom"/>
            <w:tcBorders>
              <w:bottom w:val="single" w:sz="8" w:color="CFF0FC"/>
            </w:tcBorders>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Transfer between reserves</w:t>
            </w:r>
          </w:p>
        </w:tc>
        <w:tc>
          <w:tcPr>
            <w:tcW w:w="102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(3,743)</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1040" w:type="dxa"/>
            <w:vAlign w:val="bottom"/>
            <w:tcBorders>
              <w:bottom w:val="single" w:sz="8" w:color="auto"/>
            </w:tcBorders>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6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3,743</w:t>
            </w:r>
          </w:p>
        </w:tc>
        <w:tc>
          <w:tcPr>
            <w:tcW w:w="1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8"/>
        </w:trPr>
        <w:tc>
          <w:tcPr>
            <w:tcW w:w="30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ind w:right="58"/>
              <w:spacing w:after="0" w:line="109" w:lineRule="exact"/>
              <w:rPr>
                <w:sz w:val="20"/>
                <w:szCs w:val="20"/>
                <w:color w:val="auto"/>
              </w:rPr>
            </w:pPr>
            <w:r>
              <w:rPr>
                <w:rFonts w:ascii="Times New Roman" w:cs="Times New Roman" w:eastAsia="Times New Roman" w:hAnsi="Times New Roman"/>
                <w:sz w:val="12"/>
                <w:szCs w:val="12"/>
                <w:b w:val="1"/>
                <w:bCs w:val="1"/>
                <w:color w:val="auto"/>
              </w:rPr>
              <w:t>3,13</w:t>
            </w: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March 31, 2025</w:t>
            </w: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795,001,444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jc w:val="right"/>
              <w:ind w:right="58"/>
              <w:spacing w:after="0"/>
              <w:rPr>
                <w:sz w:val="20"/>
                <w:szCs w:val="20"/>
                <w:color w:val="auto"/>
              </w:rPr>
            </w:pPr>
            <w:r>
              <w:rPr>
                <w:rFonts w:ascii="Times New Roman" w:cs="Times New Roman" w:eastAsia="Times New Roman" w:hAnsi="Times New Roman"/>
                <w:sz w:val="13"/>
                <w:szCs w:val="13"/>
                <w:b w:val="1"/>
                <w:bCs w:val="1"/>
                <w:color w:val="auto"/>
              </w:rPr>
              <w:t>2</w:t>
            </w:r>
          </w:p>
        </w:tc>
        <w:tc>
          <w:tcPr>
            <w:tcW w:w="120" w:type="dxa"/>
            <w:vAlign w:val="bottom"/>
          </w:tcPr>
          <w:p>
            <w:pPr>
              <w:spacing w:after="0"/>
              <w:rPr>
                <w:sz w:val="13"/>
                <w:szCs w:val="13"/>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544,266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(15,290)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(472,027)</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60,081</w:t>
            </w:r>
          </w:p>
        </w:tc>
        <w:tc>
          <w:tcPr>
            <w:tcW w:w="0" w:type="dxa"/>
            <w:vAlign w:val="bottom"/>
          </w:tcPr>
          <w:p>
            <w:pPr>
              <w:spacing w:after="0"/>
              <w:rPr>
                <w:sz w:val="1"/>
                <w:szCs w:val="1"/>
                <w:color w:val="auto"/>
              </w:rPr>
            </w:pPr>
          </w:p>
        </w:tc>
      </w:tr>
      <w:tr>
        <w:trPr>
          <w:trHeight w:val="128"/>
        </w:trPr>
        <w:tc>
          <w:tcPr>
            <w:tcW w:w="304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color w:val="auto"/>
              </w:rPr>
              <w:t>Net loss</w:t>
            </w:r>
          </w:p>
        </w:tc>
        <w:tc>
          <w:tcPr>
            <w:tcW w:w="1020" w:type="dxa"/>
            <w:vAlign w:val="bottom"/>
            <w:tcBorders>
              <w:top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jc w:val="right"/>
              <w:ind w:right="58"/>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1040" w:type="dxa"/>
            <w:vAlign w:val="bottom"/>
            <w:tcBorders>
              <w:top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(14,616)</w:t>
            </w:r>
          </w:p>
        </w:tc>
        <w:tc>
          <w:tcPr>
            <w:tcW w:w="10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(14,616)</w:t>
            </w: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Foreign currency translation adjustments</w:t>
            </w:r>
          </w:p>
        </w:tc>
        <w:tc>
          <w:tcPr>
            <w:tcW w:w="10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6,647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6,647</w:t>
            </w: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102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2,065</w:t>
            </w:r>
          </w:p>
        </w:tc>
        <w:tc>
          <w:tcPr>
            <w:tcW w:w="12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1040" w:type="dxa"/>
            <w:vAlign w:val="bottom"/>
            <w:tcBorders>
              <w:bottom w:val="single" w:sz="8" w:color="auto"/>
            </w:tcBorders>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6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2,065</w:t>
            </w:r>
          </w:p>
        </w:tc>
        <w:tc>
          <w:tcPr>
            <w:tcW w:w="0" w:type="dxa"/>
            <w:vAlign w:val="bottom"/>
          </w:tcPr>
          <w:p>
            <w:pPr>
              <w:spacing w:after="0"/>
              <w:rPr>
                <w:sz w:val="1"/>
                <w:szCs w:val="1"/>
                <w:color w:val="auto"/>
              </w:rPr>
            </w:pPr>
          </w:p>
        </w:tc>
      </w:tr>
      <w:tr>
        <w:trPr>
          <w:trHeight w:val="108"/>
        </w:trPr>
        <w:tc>
          <w:tcPr>
            <w:tcW w:w="30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ind w:right="58"/>
              <w:spacing w:after="0" w:line="109" w:lineRule="exact"/>
              <w:rPr>
                <w:sz w:val="20"/>
                <w:szCs w:val="20"/>
                <w:color w:val="auto"/>
              </w:rPr>
            </w:pPr>
            <w:r>
              <w:rPr>
                <w:rFonts w:ascii="Times New Roman" w:cs="Times New Roman" w:eastAsia="Times New Roman" w:hAnsi="Times New Roman"/>
                <w:sz w:val="12"/>
                <w:szCs w:val="12"/>
                <w:b w:val="1"/>
                <w:bCs w:val="1"/>
                <w:color w:val="auto"/>
              </w:rPr>
              <w:t>3,13</w:t>
            </w: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June 30, 2025</w:t>
            </w: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795,001,444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jc w:val="right"/>
              <w:ind w:right="58"/>
              <w:spacing w:after="0"/>
              <w:rPr>
                <w:sz w:val="20"/>
                <w:szCs w:val="20"/>
                <w:color w:val="auto"/>
              </w:rPr>
            </w:pPr>
            <w:r>
              <w:rPr>
                <w:rFonts w:ascii="Times New Roman" w:cs="Times New Roman" w:eastAsia="Times New Roman" w:hAnsi="Times New Roman"/>
                <w:sz w:val="13"/>
                <w:szCs w:val="13"/>
                <w:b w:val="1"/>
                <w:bCs w:val="1"/>
                <w:color w:val="auto"/>
              </w:rPr>
              <w:t>2</w:t>
            </w:r>
          </w:p>
        </w:tc>
        <w:tc>
          <w:tcPr>
            <w:tcW w:w="120" w:type="dxa"/>
            <w:vAlign w:val="bottom"/>
          </w:tcPr>
          <w:p>
            <w:pPr>
              <w:spacing w:after="0"/>
              <w:rPr>
                <w:sz w:val="13"/>
                <w:szCs w:val="13"/>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546,331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(8,643)</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(486,643)</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54,177</w:t>
            </w:r>
          </w:p>
        </w:tc>
        <w:tc>
          <w:tcPr>
            <w:tcW w:w="0" w:type="dxa"/>
            <w:vAlign w:val="bottom"/>
          </w:tcPr>
          <w:p>
            <w:pPr>
              <w:spacing w:after="0"/>
              <w:rPr>
                <w:sz w:val="1"/>
                <w:szCs w:val="1"/>
                <w:color w:val="auto"/>
              </w:rPr>
            </w:pPr>
          </w:p>
        </w:tc>
      </w:tr>
      <w:tr>
        <w:trPr>
          <w:trHeight w:val="128"/>
        </w:trPr>
        <w:tc>
          <w:tcPr>
            <w:tcW w:w="304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04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20" w:type="dxa"/>
            <w:vAlign w:val="bottom"/>
            <w:shd w:val="clear" w:color="auto" w:fill="CFF0FC"/>
          </w:tcPr>
          <w:p>
            <w:pPr>
              <w:jc w:val="right"/>
              <w:ind w:right="58"/>
              <w:spacing w:after="0" w:line="115" w:lineRule="exact"/>
              <w:rPr>
                <w:sz w:val="20"/>
                <w:szCs w:val="20"/>
                <w:color w:val="auto"/>
              </w:rPr>
            </w:pPr>
            <w:r>
              <w:rPr>
                <w:rFonts w:ascii="Times New Roman" w:cs="Times New Roman" w:eastAsia="Times New Roman" w:hAnsi="Times New Roman"/>
                <w:sz w:val="13"/>
                <w:szCs w:val="13"/>
                <w:b w:val="1"/>
                <w:bCs w:val="1"/>
                <w:color w:val="auto"/>
              </w:rPr>
              <w:t>2,77</w:t>
            </w:r>
          </w:p>
        </w:tc>
        <w:tc>
          <w:tcPr>
            <w:tcW w:w="1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December 31, 2023</w:t>
            </w:r>
          </w:p>
        </w:tc>
        <w:tc>
          <w:tcPr>
            <w:tcW w:w="10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701,217,089</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b w:val="1"/>
                <w:bCs w:val="1"/>
                <w:color w:val="auto"/>
              </w:rPr>
              <w:t>5</w:t>
            </w:r>
          </w:p>
        </w:tc>
        <w:tc>
          <w:tcPr>
            <w:tcW w:w="9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923,400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(1,230)</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486,107</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(17,485)</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(419,630)</w:t>
            </w: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50,537</w:t>
            </w: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0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(8,951)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(8,951)</w:t>
            </w: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Foreign currency translation adjustments</w:t>
            </w:r>
          </w:p>
        </w:tc>
        <w:tc>
          <w:tcPr>
            <w:tcW w:w="10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(798)</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(798)</w:t>
            </w: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10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2,050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2,050</w:t>
            </w: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Exercise of share options</w:t>
            </w:r>
          </w:p>
        </w:tc>
        <w:tc>
          <w:tcPr>
            <w:tcW w:w="10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132,345</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(210,485)</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280</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(280)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Delivery of shares on vesting of restricted stock units</w:t>
            </w:r>
          </w:p>
        </w:tc>
        <w:tc>
          <w:tcPr>
            <w:tcW w:w="10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(712,915)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950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(950)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8"/>
        </w:trPr>
        <w:tc>
          <w:tcPr>
            <w:tcW w:w="3040" w:type="dxa"/>
            <w:vAlign w:val="bottom"/>
            <w:shd w:val="clear" w:color="auto" w:fill="CFF0FC"/>
          </w:tcPr>
          <w:p>
            <w:pPr>
              <w:spacing w:after="0"/>
              <w:rPr>
                <w:sz w:val="9"/>
                <w:szCs w:val="9"/>
                <w:color w:val="auto"/>
              </w:rPr>
            </w:pPr>
          </w:p>
        </w:tc>
        <w:tc>
          <w:tcPr>
            <w:tcW w:w="102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420" w:type="dxa"/>
            <w:vAlign w:val="bottom"/>
            <w:tcBorders>
              <w:top w:val="single" w:sz="8" w:color="auto"/>
            </w:tcBorders>
            <w:shd w:val="clear" w:color="auto" w:fill="CFF0FC"/>
          </w:tcPr>
          <w:p>
            <w:pPr>
              <w:jc w:val="right"/>
              <w:ind w:right="58"/>
              <w:spacing w:after="0" w:line="109" w:lineRule="exact"/>
              <w:rPr>
                <w:sz w:val="20"/>
                <w:szCs w:val="20"/>
                <w:color w:val="auto"/>
              </w:rPr>
            </w:pPr>
            <w:r>
              <w:rPr>
                <w:rFonts w:ascii="Times New Roman" w:cs="Times New Roman" w:eastAsia="Times New Roman" w:hAnsi="Times New Roman"/>
                <w:sz w:val="12"/>
                <w:szCs w:val="12"/>
                <w:b w:val="1"/>
                <w:bCs w:val="1"/>
                <w:color w:val="auto"/>
              </w:rPr>
              <w:t>2,77</w:t>
            </w:r>
          </w:p>
        </w:tc>
        <w:tc>
          <w:tcPr>
            <w:tcW w:w="120" w:type="dxa"/>
            <w:vAlign w:val="bottom"/>
            <w:shd w:val="clear" w:color="auto" w:fill="CFF0FC"/>
          </w:tcPr>
          <w:p>
            <w:pPr>
              <w:spacing w:after="0"/>
              <w:rPr>
                <w:sz w:val="9"/>
                <w:szCs w:val="9"/>
                <w:color w:val="auto"/>
              </w:rPr>
            </w:pPr>
          </w:p>
        </w:tc>
        <w:tc>
          <w:tcPr>
            <w:tcW w:w="82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82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104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96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760" w:type="dxa"/>
            <w:vAlign w:val="bottom"/>
            <w:tcBorders>
              <w:top w:val="single" w:sz="8" w:color="auto"/>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March 31, 2024</w:t>
            </w:r>
          </w:p>
        </w:tc>
        <w:tc>
          <w:tcPr>
            <w:tcW w:w="10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701,349,434</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b w:val="1"/>
                <w:bCs w:val="1"/>
                <w:color w:val="auto"/>
              </w:rPr>
              <w:t>5</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486,927</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(18,283)</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(428,581)</w:t>
            </w: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42,838</w:t>
            </w:r>
          </w:p>
        </w:tc>
        <w:tc>
          <w:tcPr>
            <w:tcW w:w="0" w:type="dxa"/>
            <w:vAlign w:val="bottom"/>
          </w:tcPr>
          <w:p>
            <w:pPr>
              <w:spacing w:after="0"/>
              <w:rPr>
                <w:sz w:val="1"/>
                <w:szCs w:val="1"/>
                <w:color w:val="auto"/>
              </w:rPr>
            </w:pPr>
          </w:p>
        </w:tc>
      </w:tr>
      <w:tr>
        <w:trPr>
          <w:trHeight w:val="129"/>
        </w:trPr>
        <w:tc>
          <w:tcPr>
            <w:tcW w:w="3040" w:type="dxa"/>
            <w:vAlign w:val="bottom"/>
            <w:tcBorders>
              <w:top w:val="single" w:sz="8" w:color="CFF0FC"/>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Net loss</w:t>
            </w:r>
          </w:p>
        </w:tc>
        <w:tc>
          <w:tcPr>
            <w:tcW w:w="1020" w:type="dxa"/>
            <w:vAlign w:val="bottom"/>
            <w:tcBorders>
              <w:top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58"/>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FF0FC"/>
            </w:tcBorders>
          </w:tcPr>
          <w:p>
            <w:pPr>
              <w:spacing w:after="0"/>
              <w:rPr>
                <w:sz w:val="11"/>
                <w:szCs w:val="11"/>
                <w:color w:val="auto"/>
              </w:rPr>
            </w:pPr>
          </w:p>
        </w:tc>
        <w:tc>
          <w:tcPr>
            <w:tcW w:w="820" w:type="dxa"/>
            <w:vAlign w:val="bottom"/>
            <w:tcBorders>
              <w:top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(12,255)</w:t>
            </w:r>
          </w:p>
        </w:tc>
        <w:tc>
          <w:tcPr>
            <w:tcW w:w="10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(12,255)</w:t>
            </w: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Foreign currency translation adjustments</w:t>
            </w:r>
          </w:p>
        </w:tc>
        <w:tc>
          <w:tcPr>
            <w:tcW w:w="10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10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2,088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2,088</w:t>
            </w: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Exercise of share options</w:t>
            </w:r>
          </w:p>
        </w:tc>
        <w:tc>
          <w:tcPr>
            <w:tcW w:w="10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800,890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17"/>
        </w:trPr>
        <w:tc>
          <w:tcPr>
            <w:tcW w:w="304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Delivery of shares on vesting of performance based</w:t>
            </w: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stock units</w:t>
            </w: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4,014,450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tcPr>
          <w:p>
            <w:pPr>
              <w:spacing w:after="0"/>
              <w:rPr>
                <w:sz w:val="13"/>
                <w:szCs w:val="13"/>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Issuance of shares, net of discount</w:t>
            </w:r>
          </w:p>
        </w:tc>
        <w:tc>
          <w:tcPr>
            <w:tcW w:w="10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62,656,500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238</w:t>
            </w: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46,762</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47,000</w:t>
            </w: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Transaction costs on issuance of shares</w:t>
            </w:r>
          </w:p>
        </w:tc>
        <w:tc>
          <w:tcPr>
            <w:tcW w:w="102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2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(999)</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(999)</w:t>
            </w:r>
          </w:p>
        </w:tc>
        <w:tc>
          <w:tcPr>
            <w:tcW w:w="0" w:type="dxa"/>
            <w:vAlign w:val="bottom"/>
          </w:tcPr>
          <w:p>
            <w:pPr>
              <w:spacing w:after="0"/>
              <w:rPr>
                <w:sz w:val="1"/>
                <w:szCs w:val="1"/>
                <w:color w:val="auto"/>
              </w:rPr>
            </w:pPr>
          </w:p>
        </w:tc>
      </w:tr>
      <w:tr>
        <w:trPr>
          <w:trHeight w:val="108"/>
        </w:trPr>
        <w:tc>
          <w:tcPr>
            <w:tcW w:w="304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20" w:type="dxa"/>
            <w:vAlign w:val="bottom"/>
            <w:shd w:val="clear" w:color="auto" w:fill="CFF0FC"/>
          </w:tcPr>
          <w:p>
            <w:pPr>
              <w:jc w:val="right"/>
              <w:ind w:right="58"/>
              <w:spacing w:after="0" w:line="109" w:lineRule="exact"/>
              <w:rPr>
                <w:sz w:val="20"/>
                <w:szCs w:val="20"/>
                <w:color w:val="auto"/>
              </w:rPr>
            </w:pPr>
            <w:r>
              <w:rPr>
                <w:rFonts w:ascii="Times New Roman" w:cs="Times New Roman" w:eastAsia="Times New Roman" w:hAnsi="Times New Roman"/>
                <w:sz w:val="12"/>
                <w:szCs w:val="12"/>
                <w:b w:val="1"/>
                <w:bCs w:val="1"/>
                <w:color w:val="auto"/>
              </w:rPr>
              <w:t>3,03</w:t>
            </w:r>
          </w:p>
        </w:tc>
        <w:tc>
          <w:tcPr>
            <w:tcW w:w="1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June 30, 2024</w:t>
            </w:r>
          </w:p>
        </w:tc>
        <w:tc>
          <w:tcPr>
            <w:tcW w:w="10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768,821,274</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2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b w:val="1"/>
                <w:bCs w:val="1"/>
                <w:color w:val="auto"/>
              </w:rPr>
              <w:t>2</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534,732</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(18,278)</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(440,836)</w:t>
            </w: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78,650</w:t>
            </w:r>
          </w:p>
        </w:tc>
        <w:tc>
          <w:tcPr>
            <w:tcW w:w="0" w:type="dxa"/>
            <w:vAlign w:val="bottom"/>
          </w:tcPr>
          <w:p>
            <w:pPr>
              <w:spacing w:after="0"/>
              <w:rPr>
                <w:sz w:val="1"/>
                <w:szCs w:val="1"/>
                <w:color w:val="auto"/>
              </w:rPr>
            </w:pPr>
          </w:p>
        </w:tc>
      </w:tr>
      <w:tr>
        <w:trPr>
          <w:trHeight w:val="20"/>
        </w:trPr>
        <w:tc>
          <w:tcPr>
            <w:tcW w:w="30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-2382520</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-2382520</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-2382520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-2382520</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-2382520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-2382520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-2382520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2718435</wp:posOffset>
            </wp:positionH>
            <wp:positionV relativeFrom="paragraph">
              <wp:posOffset>-1949450</wp:posOffset>
            </wp:positionV>
            <wp:extent cx="102235" cy="2139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2235" cy="213995"/>
                    </a:xfrm>
                    <a:prstGeom prst="rect">
                      <a:avLst/>
                    </a:prstGeom>
                    <a:noFill/>
                  </pic:spPr>
                </pic:pic>
              </a:graphicData>
            </a:graphic>
          </wp:anchor>
        </w:drawing>
        <w:drawing>
          <wp:anchor simplePos="0" relativeHeight="251657728" behindDoc="1" locked="0" layoutInCell="0" allowOverlap="1">
            <wp:simplePos x="0" y="0"/>
            <wp:positionH relativeFrom="column">
              <wp:posOffset>3112770</wp:posOffset>
            </wp:positionH>
            <wp:positionV relativeFrom="paragraph">
              <wp:posOffset>-1949450</wp:posOffset>
            </wp:positionV>
            <wp:extent cx="102235" cy="2139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235" cy="213995"/>
                    </a:xfrm>
                    <a:prstGeom prst="rect">
                      <a:avLst/>
                    </a:prstGeom>
                    <a:noFill/>
                  </pic:spPr>
                </pic:pic>
              </a:graphicData>
            </a:graphic>
          </wp:anchor>
        </w:drawing>
        <w:drawing>
          <wp:anchor simplePos="0" relativeHeight="251657728" behindDoc="1" locked="0" layoutInCell="0" allowOverlap="1">
            <wp:simplePos x="0" y="0"/>
            <wp:positionH relativeFrom="column">
              <wp:posOffset>3712845</wp:posOffset>
            </wp:positionH>
            <wp:positionV relativeFrom="paragraph">
              <wp:posOffset>-1949450</wp:posOffset>
            </wp:positionV>
            <wp:extent cx="102235" cy="2139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235" cy="213995"/>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-1949450</wp:posOffset>
            </wp:positionV>
            <wp:extent cx="102235" cy="2139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235" cy="213995"/>
                    </a:xfrm>
                    <a:prstGeom prst="rect">
                      <a:avLst/>
                    </a:prstGeom>
                    <a:noFill/>
                  </pic:spPr>
                </pic:pic>
              </a:graphicData>
            </a:graphic>
          </wp:anchor>
        </w:drawing>
        <w:drawing>
          <wp:anchor simplePos="0" relativeHeight="251657728" behindDoc="1" locked="0" layoutInCell="0" allowOverlap="1">
            <wp:simplePos x="0" y="0"/>
            <wp:positionH relativeFrom="column">
              <wp:posOffset>4835525</wp:posOffset>
            </wp:positionH>
            <wp:positionV relativeFrom="paragraph">
              <wp:posOffset>-1949450</wp:posOffset>
            </wp:positionV>
            <wp:extent cx="102235" cy="2139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235" cy="21399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-1949450</wp:posOffset>
            </wp:positionV>
            <wp:extent cx="93980" cy="2139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3980" cy="213995"/>
                    </a:xfrm>
                    <a:prstGeom prst="rect">
                      <a:avLst/>
                    </a:prstGeom>
                    <a:noFill/>
                  </pic:spPr>
                </pic:pic>
              </a:graphicData>
            </a:graphic>
          </wp:anchor>
        </w:drawing>
        <w:drawing>
          <wp:anchor simplePos="0" relativeHeight="251657728" behindDoc="1" locked="0" layoutInCell="0" allowOverlap="1">
            <wp:simplePos x="0" y="0"/>
            <wp:positionH relativeFrom="column">
              <wp:posOffset>6344285</wp:posOffset>
            </wp:positionH>
            <wp:positionV relativeFrom="paragraph">
              <wp:posOffset>-1949450</wp:posOffset>
            </wp:positionV>
            <wp:extent cx="93980" cy="2139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3980" cy="21399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-882650</wp:posOffset>
            </wp:positionV>
            <wp:extent cx="768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-882650</wp:posOffset>
            </wp:positionV>
            <wp:extent cx="768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-882650</wp:posOffset>
            </wp:positionV>
            <wp:extent cx="768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-882650</wp:posOffset>
            </wp:positionV>
            <wp:extent cx="768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-882650</wp:posOffset>
            </wp:positionV>
            <wp:extent cx="768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-882650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-882650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-7620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-7620</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-7620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-7620</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-7620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condensed consolidated financial statements.</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7" w:right="5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22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Mereo BioPharma Group plc (the “Company” or “Mereo”) is a United Kingdom (“U.K.”) based biopharmaceutical company focused on the development of innovative therapeutics for rare diseases. The Company has developed a portfolio of late-stage clinical product candidates, and its two rare disease product candidates are setrusumab for the treatment of osteogenesis imperfecta (“OI”) and alvelestat primarily for the treatment of severe alpha-1 antitrypsin deficiency-associated lung disease (“AATD-LD”).</w:t>
      </w:r>
    </w:p>
    <w:p>
      <w:pPr>
        <w:spacing w:after="0" w:line="180"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The Company is a public limited company incorporated and domiciled in the U.K., and registered in England, with shares publicly traded on the Nasdaq Capital Market via American Depositary Shares (“ADSs”) under the ticker symbol “MREO”. The Company’s registered office is located at Fourth Floor, 1 Cavendish Place, London, W1G 0QF, United Kingdom.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of the Company and its subsidiaries and other financial information included in this quarterly report on Form 10-Q ("Quarterly Report") are unaudited, have been prepared in accordance with generally accepted accounting principles in the United States of America (“U.S. GAAP”) and are presented in U.S. dollars. All intercompany accounts and transactions between the Company and its subsidiaries have been eliminated on consolidation.</w:t>
      </w:r>
    </w:p>
    <w:p>
      <w:pPr>
        <w:spacing w:after="0" w:line="18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unaudited condensed consolidated financial statements presented in this Quarterly Report should be read in conjunction with the consolidated financial statements and accompanying notes included in the Company’s Annual Report on Form 10-K filed with the SEC on March 26, 2025 (the “2024 Annual Report”). The condensed consolidated balance sheet as of December 31, 2024 was derived from audited consolidated financial statements included in the 2024 Annual Report but does not include all disclosures required by U.S. GAAP. The Company’s significant accounting policies are described in Note 2 to those consolidated financial statements.</w:t>
      </w:r>
    </w:p>
    <w:p>
      <w:pPr>
        <w:spacing w:after="0" w:line="183"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U.S. GAAP have been condensed or omitted from these interim financial statements. However, these interim financial statements include all adjustments which are, in the opinion of management, necessary to fairly state the Company's financial position as of June 30, 2025, the results of operations for the three and six months ended June 30, 2025 and 2024 and cash flows for the six months ended June 30, 2025 and 2024. The interim results are not necessarily indicative of results to be expected for the full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The Company has prepared its condensed consolidated financial statements on the basis that it will continue as a going concern. The Company is subject to risks common to companies in the biotechnology industry, including but not limited to, risks of delays in initiating or continuing research programs and clinical trials, risks of failure of preclinical studies and clinical trials, the need to obtain marketing approval for any drug product candidate that it may identify and develop, the need to successfully commercialize and gain market acceptance of its product candidates, if approved, dependence on key personnel and collaboration partners, protection of proprietary technology, compliance with government regulations, development by competitors of technological innovations,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Even if the Company’s research and development efforts are successful, it is uncertain when, if ever, the Company will realize significant revenue from product sales.</w:t>
      </w:r>
    </w:p>
    <w:p>
      <w:pPr>
        <w:spacing w:after="0" w:line="188"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Company has historically been loss making, anticipates that it will continue to incur losses for the foreseeable future, and had an accumulated deficit of $486.6 million as of June 30, 2025. The Company has funded these losses through a combination of public equity financings, private equity and debt financings and various license and collaboration agreements, and it expects it will continue to do so until such time as it can generate significant revenue from product sales, or other commercial revenues, if ever, or through licensing and/or collaboration agreements for its rare disease or oncology product candidates. Although management continues to pursue these plans, there is no assurance that the Company will be successful in obtaining sufficient funding on terms acceptable to the Company to fund continuing operations, if at all.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As of June 30, 2025, the Company had cash and cash equivalents of $56.1 million. T</w:t>
      </w:r>
      <w:r>
        <w:rPr>
          <w:rFonts w:ascii="Times New Roman" w:cs="Times New Roman" w:eastAsia="Times New Roman" w:hAnsi="Times New Roman"/>
          <w:sz w:val="18"/>
          <w:szCs w:val="18"/>
          <w:color w:val="2B333D"/>
        </w:rPr>
        <w:t>he Company expects that its cash and cash equivalents as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333D"/>
        </w:rPr>
        <w:t>June 30, 2025 will be sufficient to fund its operations and capital expenditure requirements for at least twelve months from the date of filing of this Quarterly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income and expenses during the reporting periods. There are no estimates and assumptions made in the condensed consolidated financial statements that are considered to be critical. Estimates are periodically reviewed in light of changes in circumstances, facts and experience. Changes in estimates are recorded in the period in which they become known. Actual results could differ from those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Recent accounting pronouncements</w:t>
      </w:r>
    </w:p>
    <w:p>
      <w:pPr>
        <w:spacing w:after="0" w:line="229"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There have been no recent accounting pronouncements, changes in accounting pronouncements or recently adopted accounting guidance other than those previously included in the 2024 Annual Report that are of significance or potential significance to the Company. The Company is continuing to evaluate the impact of the recently issued pronouncements that are effective in future periods and were discussed in its 2024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w:t>
      </w:r>
    </w:p>
    <w:p>
      <w:pPr>
        <w:spacing w:after="0" w:line="22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milestone payment receivable, accounts payable, certain accrued expenses, deferred consideration, warrant liabilities and the liability component of the convertible loan notes and other financing arrangements. Cash, cash equivalents (except for investments in money market funds), milestone payment receivable, accounts payable and accrued expenses are initially recorded and subsequently measured at cost, which is considered to approximate their fair value due to the short-term nature of such financial instruments.</w:t>
      </w:r>
    </w:p>
    <w:p>
      <w:pPr>
        <w:spacing w:after="0" w:line="180"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financial assets and liabilities measured at fair value on a recurring basis and classified under the appropriate level of the fair value hierarchy: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2"/>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As of June 30, 2025</w:t>
            </w:r>
          </w:p>
        </w:tc>
        <w:tc>
          <w:tcPr>
            <w:tcW w:w="1260" w:type="dxa"/>
            <w:vAlign w:val="bottom"/>
            <w:tcBorders>
              <w:bottom w:val="single" w:sz="8" w:color="auto"/>
            </w:tcBorders>
          </w:tcPr>
          <w:p>
            <w:pPr>
              <w:spacing w:after="0"/>
              <w:rPr>
                <w:sz w:val="20"/>
                <w:szCs w:val="20"/>
                <w:color w:val="auto"/>
              </w:rPr>
            </w:pPr>
          </w:p>
        </w:tc>
      </w:tr>
      <w:tr>
        <w:trPr>
          <w:trHeight w:val="187"/>
        </w:trPr>
        <w:tc>
          <w:tcPr>
            <w:tcW w:w="5760" w:type="dxa"/>
            <w:vAlign w:val="bottom"/>
          </w:tcPr>
          <w:p>
            <w:pPr>
              <w:spacing w:after="0"/>
              <w:rPr>
                <w:sz w:val="16"/>
                <w:szCs w:val="16"/>
                <w:color w:val="auto"/>
              </w:rPr>
            </w:pPr>
          </w:p>
        </w:tc>
        <w:tc>
          <w:tcPr>
            <w:tcW w:w="1460" w:type="dxa"/>
            <w:vAlign w:val="bottom"/>
          </w:tcPr>
          <w:p>
            <w:pPr>
              <w:jc w:val="right"/>
              <w:ind w:right="57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tcPr>
          <w:p>
            <w:pPr>
              <w:ind w:left="260"/>
              <w:spacing w:after="0" w:line="188" w:lineRule="exact"/>
              <w:rPr>
                <w:sz w:val="20"/>
                <w:szCs w:val="20"/>
                <w:color w:val="auto"/>
              </w:rPr>
            </w:pPr>
            <w:r>
              <w:rPr>
                <w:rFonts w:ascii="Times New Roman" w:cs="Times New Roman" w:eastAsia="Times New Roman" w:hAnsi="Times New Roman"/>
                <w:sz w:val="18"/>
                <w:szCs w:val="18"/>
                <w:b w:val="1"/>
                <w:bCs w:val="1"/>
                <w:color w:val="auto"/>
              </w:rPr>
              <w:t>Level 1</w:t>
            </w:r>
          </w:p>
        </w:tc>
        <w:tc>
          <w:tcPr>
            <w:tcW w:w="1380" w:type="dxa"/>
            <w:vAlign w:val="bottom"/>
          </w:tcPr>
          <w:p>
            <w:pPr>
              <w:jc w:val="right"/>
              <w:ind w:right="470"/>
              <w:spacing w:after="0" w:line="188" w:lineRule="exact"/>
              <w:rPr>
                <w:sz w:val="20"/>
                <w:szCs w:val="20"/>
                <w:color w:val="auto"/>
              </w:rPr>
            </w:pPr>
            <w:r>
              <w:rPr>
                <w:rFonts w:ascii="Times New Roman" w:cs="Times New Roman" w:eastAsia="Times New Roman" w:hAnsi="Times New Roman"/>
                <w:sz w:val="18"/>
                <w:szCs w:val="18"/>
                <w:b w:val="1"/>
                <w:bCs w:val="1"/>
                <w:color w:val="auto"/>
              </w:rPr>
              <w:t>Level 2</w:t>
            </w:r>
          </w:p>
        </w:tc>
        <w:tc>
          <w:tcPr>
            <w:tcW w:w="1260" w:type="dxa"/>
            <w:vAlign w:val="bottom"/>
          </w:tcPr>
          <w:p>
            <w:pPr>
              <w:ind w:left="280"/>
              <w:spacing w:after="0" w:line="188" w:lineRule="exact"/>
              <w:rPr>
                <w:sz w:val="20"/>
                <w:szCs w:val="20"/>
                <w:color w:val="auto"/>
              </w:rPr>
            </w:pPr>
            <w:r>
              <w:rPr>
                <w:rFonts w:ascii="Times New Roman" w:cs="Times New Roman" w:eastAsia="Times New Roman" w:hAnsi="Times New Roman"/>
                <w:sz w:val="18"/>
                <w:szCs w:val="18"/>
                <w:b w:val="1"/>
                <w:bCs w:val="1"/>
                <w:color w:val="auto"/>
              </w:rPr>
              <w:t>Level 3</w:t>
            </w:r>
          </w:p>
        </w:tc>
      </w:tr>
      <w:tr>
        <w:trPr>
          <w:trHeight w:val="238"/>
        </w:trPr>
        <w:tc>
          <w:tcPr>
            <w:tcW w:w="5760" w:type="dxa"/>
            <w:vAlign w:val="bottom"/>
          </w:tcPr>
          <w:p>
            <w:pPr>
              <w:spacing w:after="0"/>
              <w:rPr>
                <w:sz w:val="20"/>
                <w:szCs w:val="20"/>
                <w:color w:val="auto"/>
              </w:rPr>
            </w:pPr>
          </w:p>
        </w:tc>
        <w:tc>
          <w:tcPr>
            <w:tcW w:w="14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($'000)</w:t>
            </w:r>
          </w:p>
        </w:tc>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($'000)</w:t>
            </w:r>
          </w:p>
        </w:tc>
        <w:tc>
          <w:tcPr>
            <w:tcW w:w="13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($'000)</w:t>
            </w:r>
          </w:p>
        </w:tc>
        <w:tc>
          <w:tcPr>
            <w:tcW w:w="12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4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 (investments in money market funds)</w:t>
            </w: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13,457</w:t>
            </w:r>
          </w:p>
        </w:tc>
        <w:tc>
          <w:tcPr>
            <w:tcW w:w="13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13,457</w:t>
            </w:r>
          </w:p>
        </w:tc>
        <w:tc>
          <w:tcPr>
            <w:tcW w:w="12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4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545</w:t>
            </w:r>
          </w:p>
        </w:tc>
        <w:tc>
          <w:tcPr>
            <w:tcW w:w="13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545</w:t>
            </w:r>
          </w:p>
        </w:tc>
        <w:tc>
          <w:tcPr>
            <w:tcW w:w="12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5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187"/>
        </w:trPr>
        <w:tc>
          <w:tcPr>
            <w:tcW w:w="5760" w:type="dxa"/>
            <w:vAlign w:val="bottom"/>
          </w:tcPr>
          <w:p>
            <w:pPr>
              <w:spacing w:after="0"/>
              <w:rPr>
                <w:sz w:val="16"/>
                <w:szCs w:val="16"/>
                <w:color w:val="auto"/>
              </w:rPr>
            </w:pPr>
          </w:p>
        </w:tc>
        <w:tc>
          <w:tcPr>
            <w:tcW w:w="880" w:type="dxa"/>
            <w:vAlign w:val="bottom"/>
          </w:tcPr>
          <w:p>
            <w:pPr>
              <w:jc w:val="center"/>
              <w:ind w:left="21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tcPr>
          <w:p>
            <w:pPr>
              <w:ind w:left="860"/>
              <w:spacing w:after="0" w:line="188" w:lineRule="exact"/>
              <w:rPr>
                <w:sz w:val="20"/>
                <w:szCs w:val="20"/>
                <w:color w:val="auto"/>
              </w:rPr>
            </w:pPr>
            <w:r>
              <w:rPr>
                <w:rFonts w:ascii="Times New Roman" w:cs="Times New Roman" w:eastAsia="Times New Roman" w:hAnsi="Times New Roman"/>
                <w:sz w:val="18"/>
                <w:szCs w:val="18"/>
                <w:b w:val="1"/>
                <w:bCs w:val="1"/>
                <w:color w:val="auto"/>
              </w:rPr>
              <w:t>Level 1</w:t>
            </w:r>
          </w:p>
        </w:tc>
        <w:tc>
          <w:tcPr>
            <w:tcW w:w="1340" w:type="dxa"/>
            <w:vAlign w:val="bottom"/>
          </w:tcPr>
          <w:p>
            <w:pPr>
              <w:ind w:left="780"/>
              <w:spacing w:after="0" w:line="188" w:lineRule="exact"/>
              <w:rPr>
                <w:sz w:val="20"/>
                <w:szCs w:val="20"/>
                <w:color w:val="auto"/>
              </w:rPr>
            </w:pPr>
            <w:r>
              <w:rPr>
                <w:rFonts w:ascii="Times New Roman" w:cs="Times New Roman" w:eastAsia="Times New Roman" w:hAnsi="Times New Roman"/>
                <w:sz w:val="18"/>
                <w:szCs w:val="18"/>
                <w:b w:val="1"/>
                <w:bCs w:val="1"/>
                <w:color w:val="auto"/>
                <w:w w:val="97"/>
              </w:rPr>
              <w:t>Level 2</w:t>
            </w:r>
          </w:p>
        </w:tc>
        <w:tc>
          <w:tcPr>
            <w:tcW w:w="560" w:type="dxa"/>
            <w:vAlign w:val="bottom"/>
          </w:tcPr>
          <w:p>
            <w:pPr>
              <w:spacing w:after="0"/>
              <w:rPr>
                <w:sz w:val="16"/>
                <w:szCs w:val="16"/>
                <w:color w:val="auto"/>
              </w:rPr>
            </w:pPr>
          </w:p>
        </w:tc>
        <w:tc>
          <w:tcPr>
            <w:tcW w:w="1240" w:type="dxa"/>
            <w:vAlign w:val="bottom"/>
          </w:tcPr>
          <w:p>
            <w:pPr>
              <w:ind w:left="260"/>
              <w:spacing w:after="0" w:line="188" w:lineRule="exact"/>
              <w:rPr>
                <w:sz w:val="20"/>
                <w:szCs w:val="20"/>
                <w:color w:val="auto"/>
              </w:rPr>
            </w:pPr>
            <w:r>
              <w:rPr>
                <w:rFonts w:ascii="Times New Roman" w:cs="Times New Roman" w:eastAsia="Times New Roman" w:hAnsi="Times New Roman"/>
                <w:sz w:val="18"/>
                <w:szCs w:val="18"/>
                <w:b w:val="1"/>
                <w:bCs w:val="1"/>
                <w:color w:val="auto"/>
              </w:rPr>
              <w:t>Level 3</w:t>
            </w:r>
          </w:p>
        </w:tc>
      </w:tr>
      <w:tr>
        <w:trPr>
          <w:trHeight w:val="238"/>
        </w:trPr>
        <w:tc>
          <w:tcPr>
            <w:tcW w:w="6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46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($'000)</w:t>
            </w:r>
          </w:p>
        </w:tc>
        <w:tc>
          <w:tcPr>
            <w:tcW w:w="134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($'000)</w:t>
            </w:r>
          </w:p>
        </w:tc>
        <w:tc>
          <w:tcPr>
            <w:tcW w:w="560" w:type="dxa"/>
            <w:vAlign w:val="bottom"/>
          </w:tcPr>
          <w:p>
            <w:pPr>
              <w:spacing w:after="0"/>
              <w:rPr>
                <w:sz w:val="20"/>
                <w:szCs w:val="20"/>
                <w:color w:val="auto"/>
              </w:rPr>
            </w:pPr>
          </w:p>
        </w:tc>
        <w:tc>
          <w:tcPr>
            <w:tcW w:w="12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16"/>
        </w:trPr>
        <w:tc>
          <w:tcPr>
            <w:tcW w:w="6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4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234"/>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4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821</w:t>
            </w:r>
          </w:p>
        </w:tc>
        <w:tc>
          <w:tcPr>
            <w:tcW w:w="1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6"/>
              </w:rPr>
              <w:t>821</w:t>
            </w:r>
          </w:p>
        </w:tc>
        <w:tc>
          <w:tcPr>
            <w:tcW w:w="12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were no transfers of instruments between any levels of the fair value hierarchy during the three and six months ended June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254"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At June 30, 2025 and December 31, 2024, warrant liabilities solely related to those warrants outstanding to the former lenders of the Company as described in Note 11.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9"/>
              </w:rPr>
              <w:t>Table of Contents</w:t>
            </w:r>
          </w:p>
        </w:tc>
        <w:tc>
          <w:tcPr>
            <w:tcW w:w="5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101"/>
        </w:trPr>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5. Prepaid expenses and other current assets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2"/>
        </w:trPr>
        <w:tc>
          <w:tcPr>
            <w:tcW w:w="710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59"/>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Pr>
          <w:p>
            <w:pPr>
              <w:spacing w:after="0"/>
              <w:rPr>
                <w:sz w:val="24"/>
                <w:szCs w:val="24"/>
                <w:color w:val="auto"/>
              </w:rPr>
            </w:pPr>
          </w:p>
        </w:tc>
        <w:tc>
          <w:tcPr>
            <w:tcW w:w="130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09"/>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10"/>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16"/>
        </w:trPr>
        <w:tc>
          <w:tcPr>
            <w:tcW w:w="1140" w:type="dxa"/>
            <w:vAlign w:val="bottom"/>
          </w:tcPr>
          <w:p>
            <w:pPr>
              <w:spacing w:after="0"/>
              <w:rPr>
                <w:sz w:val="18"/>
                <w:szCs w:val="18"/>
                <w:color w:val="auto"/>
              </w:rPr>
            </w:pPr>
          </w:p>
        </w:tc>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VAT receivable</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496</w:t>
            </w: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464</w:t>
            </w:r>
          </w:p>
        </w:tc>
      </w:tr>
      <w:tr>
        <w:trPr>
          <w:trHeight w:val="216"/>
        </w:trPr>
        <w:tc>
          <w:tcPr>
            <w:tcW w:w="114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research and development expenses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1140" w:type="dxa"/>
            <w:vAlign w:val="bottom"/>
          </w:tcPr>
          <w:p>
            <w:pPr>
              <w:spacing w:after="0"/>
              <w:rPr>
                <w:sz w:val="18"/>
                <w:szCs w:val="18"/>
                <w:color w:val="auto"/>
              </w:rPr>
            </w:pPr>
          </w:p>
        </w:tc>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Milestone payment receivable (Note 13)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tcBorders>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Security deposits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378</w:t>
            </w:r>
          </w:p>
        </w:tc>
      </w:tr>
      <w:tr>
        <w:trPr>
          <w:trHeight w:val="216"/>
        </w:trPr>
        <w:tc>
          <w:tcPr>
            <w:tcW w:w="1140" w:type="dxa"/>
            <w:vAlign w:val="bottom"/>
          </w:tcPr>
          <w:p>
            <w:pPr>
              <w:spacing w:after="0"/>
              <w:rPr>
                <w:sz w:val="18"/>
                <w:szCs w:val="18"/>
                <w:color w:val="auto"/>
              </w:rPr>
            </w:pPr>
          </w:p>
        </w:tc>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insurance premiums</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tcBorders>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185</w:t>
            </w:r>
          </w:p>
        </w:tc>
        <w:tc>
          <w:tcPr>
            <w:tcW w:w="1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1,003</w:t>
            </w:r>
          </w:p>
        </w:tc>
      </w:tr>
      <w:tr>
        <w:trPr>
          <w:trHeight w:val="216"/>
        </w:trPr>
        <w:tc>
          <w:tcPr>
            <w:tcW w:w="114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general and administrative expenses</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823</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r>
      <w:tr>
        <w:trPr>
          <w:trHeight w:val="229"/>
        </w:trPr>
        <w:tc>
          <w:tcPr>
            <w:tcW w:w="1140" w:type="dxa"/>
            <w:vAlign w:val="bottom"/>
          </w:tcPr>
          <w:p>
            <w:pPr>
              <w:spacing w:after="0"/>
              <w:rPr>
                <w:sz w:val="19"/>
                <w:szCs w:val="19"/>
                <w:color w:val="auto"/>
              </w:rPr>
            </w:pPr>
          </w:p>
        </w:tc>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2,545</w:t>
            </w: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2,175</w:t>
            </w:r>
          </w:p>
        </w:tc>
      </w:tr>
      <w:tr>
        <w:trPr>
          <w:trHeight w:val="20"/>
        </w:trPr>
        <w:tc>
          <w:tcPr>
            <w:tcW w:w="1140" w:type="dxa"/>
            <w:vAlign w:val="bottom"/>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7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r>
      <w:tr>
        <w:trPr>
          <w:trHeight w:val="628"/>
        </w:trPr>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2"/>
        </w:trPr>
        <w:tc>
          <w:tcPr>
            <w:tcW w:w="710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59"/>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Pr>
          <w:p>
            <w:pPr>
              <w:spacing w:after="0"/>
              <w:rPr>
                <w:sz w:val="24"/>
                <w:szCs w:val="24"/>
                <w:color w:val="auto"/>
              </w:rPr>
            </w:pPr>
          </w:p>
        </w:tc>
        <w:tc>
          <w:tcPr>
            <w:tcW w:w="130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0"/>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($'000)</w:t>
            </w:r>
          </w:p>
        </w:tc>
      </w:tr>
      <w:tr>
        <w:trPr>
          <w:trHeight w:val="216"/>
        </w:trPr>
        <w:tc>
          <w:tcPr>
            <w:tcW w:w="1140" w:type="dxa"/>
            <w:vAlign w:val="bottom"/>
          </w:tcPr>
          <w:p>
            <w:pPr>
              <w:spacing w:after="0"/>
              <w:rPr>
                <w:sz w:val="18"/>
                <w:szCs w:val="18"/>
                <w:color w:val="auto"/>
              </w:rPr>
            </w:pPr>
          </w:p>
        </w:tc>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8"/>
                <w:szCs w:val="18"/>
                <w:color w:val="auto"/>
              </w:rPr>
            </w:pPr>
          </w:p>
        </w:tc>
        <w:tc>
          <w:tcPr>
            <w:tcW w:w="122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778</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712</w:t>
            </w:r>
          </w:p>
        </w:tc>
      </w:tr>
      <w:tr>
        <w:trPr>
          <w:trHeight w:val="216"/>
        </w:trPr>
        <w:tc>
          <w:tcPr>
            <w:tcW w:w="114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1140" w:type="dxa"/>
            <w:vAlign w:val="bottom"/>
          </w:tcPr>
          <w:p>
            <w:pPr>
              <w:spacing w:after="0"/>
              <w:rPr>
                <w:sz w:val="18"/>
                <w:szCs w:val="18"/>
                <w:color w:val="auto"/>
              </w:rPr>
            </w:pPr>
          </w:p>
        </w:tc>
        <w:tc>
          <w:tcPr>
            <w:tcW w:w="59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IT equipment</w:t>
            </w:r>
          </w:p>
        </w:tc>
        <w:tc>
          <w:tcPr>
            <w:tcW w:w="2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337</w:t>
            </w: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298</w:t>
            </w:r>
          </w:p>
        </w:tc>
      </w:tr>
      <w:tr>
        <w:trPr>
          <w:trHeight w:val="210"/>
        </w:trPr>
        <w:tc>
          <w:tcPr>
            <w:tcW w:w="114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1,206</w:t>
            </w:r>
          </w:p>
        </w:tc>
      </w:tr>
      <w:tr>
        <w:trPr>
          <w:trHeight w:val="216"/>
        </w:trPr>
        <w:tc>
          <w:tcPr>
            <w:tcW w:w="1140" w:type="dxa"/>
            <w:vAlign w:val="bottom"/>
          </w:tcPr>
          <w:p>
            <w:pPr>
              <w:spacing w:after="0"/>
              <w:rPr>
                <w:sz w:val="18"/>
                <w:szCs w:val="18"/>
                <w:color w:val="auto"/>
              </w:rPr>
            </w:pPr>
          </w:p>
        </w:tc>
        <w:tc>
          <w:tcPr>
            <w:tcW w:w="59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w:t>
            </w:r>
          </w:p>
        </w:tc>
      </w:tr>
      <w:tr>
        <w:trPr>
          <w:trHeight w:val="210"/>
        </w:trPr>
        <w:tc>
          <w:tcPr>
            <w:tcW w:w="114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257</w:t>
            </w:r>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-2159635</wp:posOffset>
            </wp:positionV>
            <wp:extent cx="857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-2142490</wp:posOffset>
            </wp:positionV>
            <wp:extent cx="857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-453390</wp:posOffset>
            </wp:positionV>
            <wp:extent cx="857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-170815</wp:posOffset>
            </wp:positionV>
            <wp:extent cx="857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5"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Depreciation expense was less than $0.1 million for the three months ended June 30, 2025 and $0.1 million for the six months ended June 30, 2025. Depreciation expense was less than $0.1 million for both the three and six months ended June 30, 2024.</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In August 2015, the Company entered into a lease agreement under which it leased office space located on the fourth floor of One Cavendish Place, London, with a lease term ending in August 2025. In June 2021, the Company entered into a new lease agreement to lease additional office space located on the fifth floor of that building for a lease period ending in June 2026. At the same time, the Company entered into a reversionary lease to extend the term for the original fourth floor lease to be coterminous with the fifth floor, ending in June 2026.</w:t>
      </w:r>
    </w:p>
    <w:p>
      <w:pPr>
        <w:spacing w:after="0" w:line="180"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The total lease expense included in the statements of operations and comprehensive loss was $0.2 million and $0.3 million for the three and six months ended June 30, 2025, respectively and $0.2 million and $0.3 million for the three and six months ended June 30, 2024, respectively. There were no material variable lease costs.</w:t>
      </w:r>
    </w:p>
    <w:p>
      <w:pPr>
        <w:spacing w:after="0" w:line="172"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b w:val="1"/>
          <w:bCs w:val="1"/>
          <w:color w:val="auto"/>
        </w:rPr>
        <w:t>As of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80" w:type="dxa"/>
            <w:vAlign w:val="bottom"/>
            <w:gridSpan w:val="2"/>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0" w:type="dxa"/>
            <w:vAlign w:val="bottom"/>
          </w:tcPr>
          <w:p>
            <w:pPr>
              <w:spacing w:after="0"/>
              <w:rPr>
                <w:sz w:val="18"/>
                <w:szCs w:val="18"/>
                <w:color w:val="auto"/>
              </w:rPr>
            </w:pPr>
          </w:p>
        </w:tc>
      </w:tr>
      <w:tr>
        <w:trPr>
          <w:trHeight w:val="209"/>
        </w:trPr>
        <w:tc>
          <w:tcPr>
            <w:tcW w:w="1420" w:type="dxa"/>
            <w:vAlign w:val="bottom"/>
          </w:tcPr>
          <w:p>
            <w:pPr>
              <w:spacing w:after="0"/>
              <w:rPr>
                <w:sz w:val="18"/>
                <w:szCs w:val="18"/>
                <w:color w:val="auto"/>
              </w:rPr>
            </w:pPr>
          </w:p>
        </w:tc>
        <w:tc>
          <w:tcPr>
            <w:tcW w:w="6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remaining contractual lease term (years)</w:t>
            </w: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0.95</w:t>
            </w:r>
          </w:p>
        </w:tc>
        <w:tc>
          <w:tcPr>
            <w:tcW w:w="15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1.95</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6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4"/>
              </w:rPr>
              <w:t>10.0%</w:t>
            </w:r>
          </w:p>
        </w:tc>
        <w:tc>
          <w:tcPr>
            <w:tcW w:w="1580" w:type="dxa"/>
            <w:vAlign w:val="bottom"/>
            <w:gridSpan w:val="2"/>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w w:val="98"/>
              </w:rPr>
              <w:t>10.0%</w:t>
            </w:r>
          </w:p>
        </w:tc>
        <w:tc>
          <w:tcPr>
            <w:tcW w:w="1400" w:type="dxa"/>
            <w:vAlign w:val="bottom"/>
          </w:tcPr>
          <w:p>
            <w:pPr>
              <w:spacing w:after="0"/>
              <w:rPr>
                <w:sz w:val="18"/>
                <w:szCs w:val="18"/>
                <w:color w:val="auto"/>
              </w:rPr>
            </w:pPr>
          </w:p>
        </w:tc>
      </w:tr>
      <w:tr>
        <w:trPr>
          <w:trHeight w:val="648"/>
        </w:trPr>
        <w:tc>
          <w:tcPr>
            <w:tcW w:w="678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8</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763"/>
        </w:trPr>
        <w:tc>
          <w:tcPr>
            <w:tcW w:w="142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gridSpan w:val="4"/>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0" w:type="dxa"/>
            <w:vAlign w:val="bottom"/>
            <w:gridSpan w:val="8"/>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7"/>
          </w:tcPr>
          <w:p>
            <w:pPr>
              <w:jc w:val="center"/>
              <w:ind w:right="118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09"/>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w w:val="90"/>
              </w:rPr>
              <w:t>($'000)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($'000)</w:t>
            </w:r>
          </w:p>
        </w:tc>
        <w:tc>
          <w:tcPr>
            <w:tcW w:w="560" w:type="dxa"/>
            <w:vAlign w:val="bottom"/>
          </w:tcPr>
          <w:p>
            <w:pPr>
              <w:spacing w:after="0"/>
              <w:rPr>
                <w:sz w:val="18"/>
                <w:szCs w:val="18"/>
                <w:color w:val="auto"/>
              </w:rPr>
            </w:pPr>
          </w:p>
        </w:tc>
      </w:tr>
      <w:tr>
        <w:trPr>
          <w:trHeight w:val="194"/>
        </w:trPr>
        <w:tc>
          <w:tcPr>
            <w:tcW w:w="580" w:type="dxa"/>
            <w:vAlign w:val="bottom"/>
          </w:tcPr>
          <w:p>
            <w:pPr>
              <w:spacing w:after="0"/>
              <w:rPr>
                <w:sz w:val="16"/>
                <w:szCs w:val="16"/>
                <w:color w:val="auto"/>
              </w:rPr>
            </w:pPr>
          </w:p>
        </w:tc>
        <w:tc>
          <w:tcPr>
            <w:tcW w:w="4820" w:type="dxa"/>
            <w:vAlign w:val="bottom"/>
            <w:gridSpan w:val="3"/>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w:t>
            </w:r>
          </w:p>
        </w:tc>
        <w:tc>
          <w:tcPr>
            <w:tcW w:w="4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80" w:type="dxa"/>
            <w:vAlign w:val="bottom"/>
            <w:tcBorders>
              <w:right w:val="single" w:sz="8" w:color="CFF0FC"/>
            </w:tcBorders>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6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tcBorders>
              <w:right w:val="single" w:sz="8" w:color="CFF0FC"/>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560" w:type="dxa"/>
            <w:vAlign w:val="bottom"/>
          </w:tcPr>
          <w:p>
            <w:pPr>
              <w:spacing w:after="0"/>
              <w:rPr>
                <w:sz w:val="16"/>
                <w:szCs w:val="16"/>
                <w:color w:val="auto"/>
              </w:rPr>
            </w:pPr>
          </w:p>
        </w:tc>
      </w:tr>
      <w:tr>
        <w:trPr>
          <w:trHeight w:val="238"/>
        </w:trPr>
        <w:tc>
          <w:tcPr>
            <w:tcW w:w="580" w:type="dxa"/>
            <w:vAlign w:val="bottom"/>
          </w:tcPr>
          <w:p>
            <w:pPr>
              <w:spacing w:after="0"/>
              <w:rPr>
                <w:sz w:val="20"/>
                <w:szCs w:val="20"/>
                <w:color w:val="auto"/>
              </w:rPr>
            </w:pPr>
          </w:p>
        </w:tc>
        <w:tc>
          <w:tcPr>
            <w:tcW w:w="48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tcBorders>
              <w:right w:val="single" w:sz="8" w:color="CFF0FC"/>
            </w:tcBorders>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Borders>
              <w:right w:val="single" w:sz="8" w:color="CFF0FC"/>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4"/>
        </w:trPr>
        <w:tc>
          <w:tcPr>
            <w:tcW w:w="580" w:type="dxa"/>
            <w:vAlign w:val="bottom"/>
          </w:tcPr>
          <w:p>
            <w:pPr>
              <w:spacing w:after="0"/>
              <w:rPr>
                <w:sz w:val="20"/>
                <w:szCs w:val="20"/>
                <w:color w:val="auto"/>
              </w:rPr>
            </w:pPr>
          </w:p>
        </w:tc>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rPr>
              <w:t>193</w:t>
            </w:r>
          </w:p>
        </w:tc>
        <w:tc>
          <w:tcPr>
            <w:tcW w:w="5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387</w:t>
            </w:r>
          </w:p>
        </w:tc>
        <w:tc>
          <w:tcPr>
            <w:tcW w:w="560" w:type="dxa"/>
            <w:vAlign w:val="bottom"/>
          </w:tcPr>
          <w:p>
            <w:pPr>
              <w:spacing w:after="0"/>
              <w:rPr>
                <w:sz w:val="20"/>
                <w:szCs w:val="20"/>
                <w:color w:val="auto"/>
              </w:rPr>
            </w:pPr>
          </w:p>
        </w:tc>
      </w:tr>
      <w:tr>
        <w:trPr>
          <w:trHeight w:val="441"/>
        </w:trPr>
        <w:tc>
          <w:tcPr>
            <w:tcW w:w="580" w:type="dxa"/>
            <w:vAlign w:val="bottom"/>
          </w:tcPr>
          <w:p>
            <w:pPr>
              <w:spacing w:after="0"/>
              <w:rPr>
                <w:sz w:val="24"/>
                <w:szCs w:val="24"/>
                <w:color w:val="auto"/>
              </w:rPr>
            </w:pPr>
          </w:p>
        </w:tc>
        <w:tc>
          <w:tcPr>
            <w:tcW w:w="8920" w:type="dxa"/>
            <w:vAlign w:val="bottom"/>
            <w:gridSpan w:val="15"/>
          </w:tcPr>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maturities of the Company’s operating lease liabilities as of June 30, 2025:</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37"/>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38"/>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194"/>
        </w:trPr>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20" w:type="dxa"/>
            <w:vAlign w:val="bottom"/>
            <w:gridSpan w:val="7"/>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Maturity analysis of the operating lease liabilities for the years ending December</w:t>
            </w: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6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tcBorders>
              <w:right w:val="single" w:sz="8" w:color="CFF0FC"/>
            </w:tcBorders>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38"/>
        </w:trPr>
        <w:tc>
          <w:tcPr>
            <w:tcW w:w="1140" w:type="dxa"/>
            <w:vAlign w:val="bottom"/>
            <w:gridSpan w:val="2"/>
          </w:tcPr>
          <w:p>
            <w:pPr>
              <w:spacing w:after="0"/>
              <w:rPr>
                <w:sz w:val="20"/>
                <w:szCs w:val="20"/>
                <w:color w:val="auto"/>
              </w:rPr>
            </w:pPr>
          </w:p>
        </w:tc>
        <w:tc>
          <w:tcPr>
            <w:tcW w:w="560" w:type="dxa"/>
            <w:vAlign w:val="bottom"/>
          </w:tcPr>
          <w:p>
            <w:pPr>
              <w:spacing w:after="0"/>
              <w:rPr>
                <w:sz w:val="20"/>
                <w:szCs w:val="20"/>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31,</w:t>
            </w:r>
          </w:p>
        </w:tc>
        <w:tc>
          <w:tcPr>
            <w:tcW w:w="4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tcBorders>
              <w:right w:val="single" w:sz="8" w:color="CFF0FC"/>
            </w:tcBorders>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Borders>
              <w:right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114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14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37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right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right w:val="single" w:sz="8" w:color="CFF0FC"/>
            </w:tcBorders>
            <w:shd w:val="clear" w:color="auto" w:fill="CFF0FC"/>
          </w:tcPr>
          <w:p>
            <w:pPr>
              <w:spacing w:after="0"/>
              <w:rPr>
                <w:sz w:val="18"/>
                <w:szCs w:val="18"/>
                <w:color w:val="auto"/>
              </w:rPr>
            </w:pPr>
          </w:p>
        </w:tc>
        <w:tc>
          <w:tcPr>
            <w:tcW w:w="860" w:type="dxa"/>
            <w:vAlign w:val="bottom"/>
            <w:tcBorders>
              <w:bottom w:val="single" w:sz="8" w:color="auto"/>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209</w:t>
            </w:r>
          </w:p>
        </w:tc>
        <w:tc>
          <w:tcPr>
            <w:tcW w:w="60" w:type="dxa"/>
            <w:vAlign w:val="bottom"/>
            <w:tcBorders>
              <w:bottom w:val="single" w:sz="8" w:color="auto"/>
              <w:right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Total undiscounted payments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627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4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right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right w:val="single" w:sz="8" w:color="CFF0FC"/>
            </w:tcBorders>
            <w:shd w:val="clear" w:color="auto" w:fill="CFF0FC"/>
          </w:tcPr>
          <w:p>
            <w:pPr>
              <w:spacing w:after="0"/>
              <w:rPr>
                <w:sz w:val="18"/>
                <w:szCs w:val="18"/>
                <w:color w:val="auto"/>
              </w:rPr>
            </w:pPr>
          </w:p>
        </w:tc>
        <w:tc>
          <w:tcPr>
            <w:tcW w:w="920" w:type="dxa"/>
            <w:vAlign w:val="bottom"/>
            <w:tcBorders>
              <w:bottom w:val="single" w:sz="8" w:color="auto"/>
              <w:right w:val="single" w:sz="8" w:color="CFF0FC"/>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601</w:t>
            </w: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Lease liability – current</w:t>
            </w:r>
          </w:p>
        </w:tc>
        <w:tc>
          <w:tcPr>
            <w:tcW w:w="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right w:val="single" w:sz="8" w:color="CFF0FC"/>
            </w:tcBorders>
            <w:shd w:val="clear" w:color="auto" w:fill="CFF0FC"/>
          </w:tcPr>
          <w:p>
            <w:pPr>
              <w:spacing w:after="0"/>
              <w:rPr>
                <w:sz w:val="17"/>
                <w:szCs w:val="17"/>
                <w:color w:val="auto"/>
              </w:rPr>
            </w:pPr>
          </w:p>
        </w:tc>
        <w:tc>
          <w:tcPr>
            <w:tcW w:w="860" w:type="dxa"/>
            <w:vAlign w:val="bottom"/>
            <w:gridSpan w:val="3"/>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601</w:t>
            </w:r>
          </w:p>
        </w:tc>
        <w:tc>
          <w:tcPr>
            <w:tcW w:w="60" w:type="dxa"/>
            <w:vAlign w:val="bottom"/>
            <w:tcBorders>
              <w:right w:val="single" w:sz="8" w:color="CFF0FC"/>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 non-current</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41"/>
        </w:trPr>
        <w:tc>
          <w:tcPr>
            <w:tcW w:w="54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8. Other current liabilities</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48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current liabilities consist of the following:</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59"/>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Pr>
          <w:p>
            <w:pPr>
              <w:spacing w:after="0"/>
              <w:rPr>
                <w:sz w:val="24"/>
                <w:szCs w:val="24"/>
                <w:color w:val="auto"/>
              </w:rPr>
            </w:pPr>
          </w:p>
        </w:tc>
        <w:tc>
          <w:tcPr>
            <w:tcW w:w="2460" w:type="dxa"/>
            <w:vAlign w:val="bottom"/>
            <w:gridSpan w:val="7"/>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0"/>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center"/>
              <w:ind w:left="312"/>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gridSpan w:val="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500" w:type="dxa"/>
            <w:vAlign w:val="bottom"/>
            <w:tcBorders>
              <w:top w:val="single" w:sz="8" w:color="auto"/>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jc w:val="center"/>
              <w:ind w:left="172"/>
              <w:spacing w:after="0"/>
              <w:rPr>
                <w:sz w:val="20"/>
                <w:szCs w:val="20"/>
                <w:color w:val="auto"/>
              </w:rPr>
            </w:pPr>
            <w:r>
              <w:rPr>
                <w:rFonts w:ascii="Times New Roman" w:cs="Times New Roman" w:eastAsia="Times New Roman" w:hAnsi="Times New Roman"/>
                <w:sz w:val="18"/>
                <w:szCs w:val="18"/>
                <w:b w:val="1"/>
                <w:bCs w:val="1"/>
                <w:color w:val="auto"/>
              </w:rPr>
              <w:t>($'000)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5"/>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($'000)</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Social security and other taxes</w:t>
            </w: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800" w:type="dxa"/>
            <w:vAlign w:val="bottom"/>
            <w:shd w:val="clear" w:color="auto" w:fill="CFF0FC"/>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right w:val="single" w:sz="8" w:color="CFF0FC"/>
            </w:tcBorders>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296</w:t>
            </w:r>
          </w:p>
        </w:tc>
        <w:tc>
          <w:tcPr>
            <w:tcW w:w="760" w:type="dxa"/>
            <w:vAlign w:val="bottom"/>
            <w:gridSpan w:val="2"/>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503</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consideration liability</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276</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issuance costs payable</w:t>
            </w: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20" w:type="dxa"/>
            <w:vAlign w:val="bottom"/>
            <w:tcBorders>
              <w:right w:val="single" w:sz="8" w:color="CFF0FC"/>
            </w:tcBorders>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235</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800" w:type="dxa"/>
            <w:vAlign w:val="bottom"/>
            <w:shd w:val="clear" w:color="auto" w:fill="CFF0FC"/>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right w:val="single" w:sz="8" w:color="CFF0FC"/>
            </w:tcBorders>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777</w:t>
            </w:r>
          </w:p>
        </w:tc>
        <w:tc>
          <w:tcPr>
            <w:tcW w:w="760" w:type="dxa"/>
            <w:vAlign w:val="bottom"/>
            <w:gridSpan w:val="2"/>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60" w:type="dxa"/>
            <w:vAlign w:val="bottom"/>
            <w:tcBorders>
              <w:right w:val="single" w:sz="8" w:color="CFF0FC"/>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3"/>
              </w:rPr>
              <w:t>1,095</w:t>
            </w: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37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3"/>
        </w:trPr>
        <w:tc>
          <w:tcPr>
            <w:tcW w:w="54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9. Accrued expenses</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48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59"/>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Pr>
          <w:p>
            <w:pPr>
              <w:spacing w:after="0"/>
              <w:rPr>
                <w:sz w:val="24"/>
                <w:szCs w:val="24"/>
                <w:color w:val="auto"/>
              </w:rPr>
            </w:pPr>
          </w:p>
        </w:tc>
        <w:tc>
          <w:tcPr>
            <w:tcW w:w="2460" w:type="dxa"/>
            <w:vAlign w:val="bottom"/>
            <w:gridSpan w:val="7"/>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0"/>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center"/>
              <w:ind w:left="312"/>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gridSpan w:val="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500" w:type="dxa"/>
            <w:vAlign w:val="bottom"/>
            <w:tcBorders>
              <w:top w:val="single" w:sz="8" w:color="auto"/>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jc w:val="center"/>
              <w:ind w:left="172"/>
              <w:spacing w:after="0"/>
              <w:rPr>
                <w:sz w:val="20"/>
                <w:szCs w:val="20"/>
                <w:color w:val="auto"/>
              </w:rPr>
            </w:pPr>
            <w:r>
              <w:rPr>
                <w:rFonts w:ascii="Times New Roman" w:cs="Times New Roman" w:eastAsia="Times New Roman" w:hAnsi="Times New Roman"/>
                <w:sz w:val="18"/>
                <w:szCs w:val="18"/>
                <w:b w:val="1"/>
                <w:bCs w:val="1"/>
                <w:color w:val="auto"/>
              </w:rPr>
              <w:t>($'000)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5"/>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($'000)</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800" w:type="dxa"/>
            <w:vAlign w:val="bottom"/>
            <w:shd w:val="clear" w:color="auto" w:fill="CFF0FC"/>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right w:val="single" w:sz="8" w:color="CFF0FC"/>
            </w:tcBorders>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8"/>
              </w:rPr>
              <w:t>2,512</w:t>
            </w:r>
          </w:p>
        </w:tc>
        <w:tc>
          <w:tcPr>
            <w:tcW w:w="760" w:type="dxa"/>
            <w:vAlign w:val="bottom"/>
            <w:gridSpan w:val="2"/>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948</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legal and professional fees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608</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727</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bonus</w:t>
            </w: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20" w:type="dxa"/>
            <w:vAlign w:val="bottom"/>
            <w:tcBorders>
              <w:right w:val="single" w:sz="8" w:color="CFF0FC"/>
            </w:tcBorders>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8"/>
              </w:rPr>
              <w:t>1,257</w:t>
            </w: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3"/>
              </w:rPr>
              <w:t>2,001</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cost of revenue (Note 13)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local taxes</w:t>
            </w: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20" w:type="dxa"/>
            <w:vAlign w:val="bottom"/>
            <w:tcBorders>
              <w:right w:val="single" w:sz="8" w:color="CFF0FC"/>
            </w:tcBorders>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267</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343</w:t>
            </w:r>
          </w:p>
        </w:tc>
        <w:tc>
          <w:tcPr>
            <w:tcW w:w="1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tcBorders>
              <w:right w:val="single" w:sz="8" w:color="CFF0FC"/>
            </w:tcBorders>
            <w:shd w:val="clear" w:color="auto" w:fill="CFF0FC"/>
          </w:tcPr>
          <w:p>
            <w:pPr>
              <w:spacing w:after="0"/>
              <w:rPr>
                <w:sz w:val="21"/>
                <w:szCs w:val="21"/>
                <w:color w:val="auto"/>
              </w:rPr>
            </w:pPr>
          </w:p>
        </w:tc>
        <w:tc>
          <w:tcPr>
            <w:tcW w:w="800" w:type="dxa"/>
            <w:vAlign w:val="bottom"/>
            <w:shd w:val="clear" w:color="auto" w:fill="CFF0FC"/>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right w:val="single" w:sz="8" w:color="CFF0FC"/>
            </w:tcBorders>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8"/>
              </w:rPr>
              <w:t>5,041</w:t>
            </w:r>
          </w:p>
        </w:tc>
        <w:tc>
          <w:tcPr>
            <w:tcW w:w="760" w:type="dxa"/>
            <w:vAlign w:val="bottom"/>
            <w:gridSpan w:val="2"/>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Borders>
              <w:right w:val="single" w:sz="8" w:color="CFF0FC"/>
            </w:tcBorders>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3"/>
              </w:rPr>
              <w:t>4,071</w:t>
            </w: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628"/>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Borders>
              <w:top w:val="single" w:sz="8" w:color="CFF0FC"/>
            </w:tcBorders>
          </w:tcPr>
          <w:p>
            <w:pPr>
              <w:spacing w:after="0"/>
              <w:rPr>
                <w:sz w:val="24"/>
                <w:szCs w:val="24"/>
                <w:color w:val="auto"/>
              </w:rPr>
            </w:pPr>
          </w:p>
        </w:tc>
        <w:tc>
          <w:tcPr>
            <w:tcW w:w="3700" w:type="dxa"/>
            <w:vAlign w:val="bottom"/>
            <w:tcBorders>
              <w:top w:val="single" w:sz="8" w:color="CFF0FC"/>
            </w:tcBorders>
          </w:tcPr>
          <w:p>
            <w:pPr>
              <w:spacing w:after="0"/>
              <w:rPr>
                <w:sz w:val="24"/>
                <w:szCs w:val="24"/>
                <w:color w:val="auto"/>
              </w:rPr>
            </w:pPr>
          </w:p>
        </w:tc>
        <w:tc>
          <w:tcPr>
            <w:tcW w:w="400" w:type="dxa"/>
            <w:vAlign w:val="bottom"/>
            <w:tcBorders>
              <w:top w:val="single" w:sz="8" w:color="CFF0FC"/>
            </w:tcBorders>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top w:val="single" w:sz="8" w:color="CFF0FC"/>
            </w:tcBorders>
          </w:tcPr>
          <w:p>
            <w:pPr>
              <w:spacing w:after="0"/>
              <w:rPr>
                <w:sz w:val="24"/>
                <w:szCs w:val="24"/>
                <w:color w:val="auto"/>
              </w:rPr>
            </w:pPr>
          </w:p>
        </w:tc>
        <w:tc>
          <w:tcPr>
            <w:tcW w:w="9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-3059430</wp:posOffset>
            </wp:positionV>
            <wp:extent cx="857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-3042285</wp:posOffset>
            </wp:positionV>
            <wp:extent cx="857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-933450</wp:posOffset>
            </wp:positionV>
            <wp:extent cx="857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-916305</wp:posOffset>
            </wp:positionV>
            <wp:extent cx="857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Convertible loan notes and equity classified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Novartis Loan Note</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On February 10, 2020, the Company entered into a convertible equity financing with Novartis Pharma (AG) (“Novartis”), which it amended in February 2023 to extend the maturity date and increase the interest rate, under which Novartis purchased a £3.8 million ($5.0 million) convertible loan note (the “Novartis Loan Note”). Following the 2023 amendment, the Novartis Loan Note was convertible at the discretion of the holder, at a fixed price of £0.265 per ordinary share and bore interest at 9% per annum with a maturity date of February 10, 2025.</w:t>
      </w:r>
    </w:p>
    <w:p>
      <w:pPr>
        <w:spacing w:after="0" w:line="180"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In addition, the Company also issued warrants over 1,449,610 ordinary shares to Novartis which were exercisable until February 2025 at an exercise price of £0.265 per ordinary share (the "2020 Novartis Warrants"). In connection with the amendments to the Novartis Loan Note, in February 2023 the Company issued warrants over a further 2,000,000 ordinary shares (the "2023 Novartis Warrants"). The 2023 Novartis Warrants are exercisable until February 2028 at an exercise price of £0.265 per ordinary share. Both tranches of warrants were recognized separately as equity instruments.</w:t>
      </w:r>
    </w:p>
    <w:p>
      <w:pPr>
        <w:spacing w:after="0" w:line="180"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On February 7, 2025, the Company received a conversion notice and subsequently issued and allotted 17,105,450 ordinary shares (equivalent to 3,421,090 ADSs) on the non-cash conversion of the outstanding principal and accrued interest of the Novartis Loan Note.</w:t>
      </w:r>
    </w:p>
    <w:p>
      <w:pPr>
        <w:spacing w:after="0" w:line="162"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As of December 31, 2024, the net carrying amount of the liability component of the convertible debt instrument was $5.5 million. On conversion, the Company derecognized the carrying value of the Novartis Loan Note of $5.7 million and recognized the issuance of the shares at their par value within ordinary share capital and the excess amount of the conversion price over the par value within additional paid-in capital. In addition, the amount that represented the value of the conversion features of the Novartis Loan Note presented in additional paid-in capital at inception of $3.4 million was transferred to accumulated deficit upon conversion.</w:t>
      </w:r>
    </w:p>
    <w:p>
      <w:pPr>
        <w:spacing w:after="0" w:line="183"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The Company recognized interest expense of $0.2 million in relation to the Novartis Loan Note for the three and six months ended June 30, 2025 and $0.3 million and $0.6 million for the three and six months ended June 30, 2024, respectively. The effective interest rate applied to the liability portion of the Novartis Loan Note in both the three and six months ended June 30, 2025 and 2024 was 27.8%.</w:t>
      </w:r>
    </w:p>
    <w:p>
      <w:pPr>
        <w:spacing w:after="0" w:line="176"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In addition, on February 7, 2025, Novartis exercised the 2020 Novartis Warrants and the Company subsequently issued and allotted 1,449,610 ordinary shares (equivalent to 289,922 ADSs) upon receipt of $0.5 million in satisfaction of the subscription price of £0.265 per ordinary share. Additional paid-in capital of $0.3 million, representing the surplus of previously recognized amounts exceeding the par value of ordinary shares, was transferred to accumulated deficit.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11. Warrant liability</w:t>
            </w:r>
          </w:p>
        </w:tc>
        <w:tc>
          <w:tcPr>
            <w:tcW w:w="1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38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Warrant liabilities</w:t>
            </w:r>
          </w:p>
        </w:tc>
        <w:tc>
          <w:tcPr>
            <w:tcW w:w="420" w:type="dxa"/>
            <w:vAlign w:val="bottom"/>
            <w:tcBorders>
              <w:bottom w:val="single" w:sz="8" w:color="auto"/>
            </w:tcBorders>
          </w:tcPr>
          <w:p>
            <w:pPr>
              <w:spacing w:after="0"/>
              <w:rPr>
                <w:sz w:val="24"/>
                <w:szCs w:val="24"/>
                <w:color w:val="auto"/>
              </w:rPr>
            </w:pPr>
          </w:p>
        </w:tc>
      </w:tr>
      <w:tr>
        <w:trPr>
          <w:trHeight w:val="187"/>
        </w:trPr>
        <w:tc>
          <w:tcPr>
            <w:tcW w:w="114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8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Pr>
          <w:p>
            <w:pPr>
              <w:spacing w:after="0"/>
              <w:rPr>
                <w:sz w:val="16"/>
                <w:szCs w:val="16"/>
                <w:color w:val="auto"/>
              </w:rPr>
            </w:pPr>
          </w:p>
        </w:tc>
        <w:tc>
          <w:tcPr>
            <w:tcW w:w="1060" w:type="dxa"/>
            <w:vAlign w:val="bottom"/>
            <w:gridSpan w:val="2"/>
          </w:tcPr>
          <w:p>
            <w:pPr>
              <w:jc w:val="right"/>
              <w:ind w:right="120"/>
              <w:spacing w:after="0" w:line="188" w:lineRule="exact"/>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16"/>
                <w:szCs w:val="16"/>
                <w:color w:val="auto"/>
              </w:rPr>
            </w:pPr>
          </w:p>
        </w:tc>
      </w:tr>
      <w:tr>
        <w:trPr>
          <w:trHeight w:val="238"/>
        </w:trPr>
        <w:tc>
          <w:tcPr>
            <w:tcW w:w="11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4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($'000)</w:t>
            </w:r>
          </w:p>
        </w:tc>
        <w:tc>
          <w:tcPr>
            <w:tcW w:w="42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January 1</w:t>
            </w:r>
          </w:p>
        </w:tc>
        <w:tc>
          <w:tcPr>
            <w:tcW w:w="2580" w:type="dxa"/>
            <w:vAlign w:val="bottom"/>
            <w:gridSpan w:val="2"/>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821</w:t>
            </w:r>
          </w:p>
        </w:tc>
        <w:tc>
          <w:tcPr>
            <w:tcW w:w="106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412</w:t>
            </w:r>
          </w:p>
        </w:tc>
      </w:tr>
      <w:tr>
        <w:trPr>
          <w:trHeight w:val="216"/>
        </w:trPr>
        <w:tc>
          <w:tcPr>
            <w:tcW w:w="11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during the period</w:t>
            </w:r>
          </w:p>
        </w:tc>
        <w:tc>
          <w:tcPr>
            <w:tcW w:w="1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448</w:t>
            </w:r>
          </w:p>
        </w:tc>
      </w:tr>
      <w:tr>
        <w:trPr>
          <w:trHeight w:val="216"/>
        </w:trPr>
        <w:tc>
          <w:tcPr>
            <w:tcW w:w="1140" w:type="dxa"/>
            <w:vAlign w:val="bottom"/>
          </w:tcPr>
          <w:p>
            <w:pPr>
              <w:spacing w:after="0"/>
              <w:rPr>
                <w:sz w:val="18"/>
                <w:szCs w:val="18"/>
                <w:color w:val="auto"/>
              </w:rPr>
            </w:pPr>
          </w:p>
        </w:tc>
        <w:tc>
          <w:tcPr>
            <w:tcW w:w="4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17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11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March 31</w:t>
            </w:r>
          </w:p>
        </w:tc>
        <w:tc>
          <w:tcPr>
            <w:tcW w:w="258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419</w:t>
            </w:r>
          </w:p>
        </w:tc>
        <w:tc>
          <w:tcPr>
            <w:tcW w:w="106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855</w:t>
            </w:r>
          </w:p>
        </w:tc>
      </w:tr>
      <w:tr>
        <w:trPr>
          <w:trHeight w:val="216"/>
        </w:trPr>
        <w:tc>
          <w:tcPr>
            <w:tcW w:w="1140" w:type="dxa"/>
            <w:vAlign w:val="bottom"/>
          </w:tcPr>
          <w:p>
            <w:pPr>
              <w:spacing w:after="0"/>
              <w:rPr>
                <w:sz w:val="18"/>
                <w:szCs w:val="18"/>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fair value during the period</w:t>
            </w:r>
          </w:p>
        </w:tc>
        <w:tc>
          <w:tcPr>
            <w:tcW w:w="17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1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17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114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June 30</w:t>
            </w:r>
          </w:p>
        </w:tc>
        <w:tc>
          <w:tcPr>
            <w:tcW w:w="2580" w:type="dxa"/>
            <w:vAlign w:val="bottom"/>
            <w:gridSpan w:val="2"/>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545</w:t>
            </w:r>
          </w:p>
        </w:tc>
        <w:tc>
          <w:tcPr>
            <w:tcW w:w="106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925</w:t>
            </w:r>
          </w:p>
        </w:tc>
      </w:tr>
      <w:tr>
        <w:trPr>
          <w:trHeight w:val="20"/>
        </w:trPr>
        <w:tc>
          <w:tcPr>
            <w:tcW w:w="1140" w:type="dxa"/>
            <w:vAlign w:val="bottom"/>
          </w:tcPr>
          <w:p>
            <w:pPr>
              <w:spacing w:after="0" w:line="20" w:lineRule="exact"/>
              <w:rPr>
                <w:sz w:val="1"/>
                <w:szCs w:val="1"/>
                <w:color w:val="auto"/>
              </w:rPr>
            </w:pPr>
          </w:p>
        </w:tc>
        <w:tc>
          <w:tcPr>
            <w:tcW w:w="448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-591185</wp:posOffset>
            </wp:positionV>
            <wp:extent cx="857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-25400</wp:posOffset>
            </wp:positionV>
            <wp:extent cx="857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-8255</wp:posOffset>
            </wp:positionV>
            <wp:extent cx="857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As of June 30, 2025, the former lenders of the Company have warrants outstanding to purchase a total of 1,243,908 ordinary shares at an exercise price of £2.95 per share, exercisable until August 2027 and a total of 1,243,908 ordinary shares at an exercise price of $0.4144 per share, exercisable until dates between August 2027 and October 2028. These warrants outstanding are equivalent to 0.3% of the issued ordinary share capital of the Company as of June 30, 2025 and 0.4% as of December 31, 2024. There were no warrants classified as liabilities exercised during the three and six months ended June 30, 2025 and 2024.</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fair value of each warrant is estimated using the Black-Scholes option pricing model using the following weighted average assumptions: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8"/>
                <w:szCs w:val="18"/>
                <w:color w:val="auto"/>
              </w:rPr>
            </w:pPr>
          </w:p>
        </w:tc>
      </w:tr>
      <w:tr>
        <w:trPr>
          <w:trHeight w:val="209"/>
        </w:trPr>
        <w:tc>
          <w:tcPr>
            <w:tcW w:w="1020" w:type="dxa"/>
            <w:vAlign w:val="bottom"/>
          </w:tcPr>
          <w:p>
            <w:pPr>
              <w:spacing w:after="0"/>
              <w:rPr>
                <w:sz w:val="18"/>
                <w:szCs w:val="18"/>
                <w:color w:val="auto"/>
              </w:rPr>
            </w:pPr>
          </w:p>
        </w:tc>
        <w:tc>
          <w:tcPr>
            <w:tcW w:w="60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value of ADSs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2.71</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FF0FC"/>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6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16"/>
        </w:trPr>
        <w:tc>
          <w:tcPr>
            <w:tcW w:w="1020" w:type="dxa"/>
            <w:vAlign w:val="bottom"/>
          </w:tcPr>
          <w:p>
            <w:pPr>
              <w:spacing w:after="0"/>
              <w:rPr>
                <w:sz w:val="18"/>
                <w:szCs w:val="18"/>
                <w:color w:val="auto"/>
              </w:rPr>
            </w:pPr>
          </w:p>
        </w:tc>
        <w:tc>
          <w:tcPr>
            <w:tcW w:w="60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6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95.00%</w:t>
            </w:r>
          </w:p>
        </w:tc>
      </w:tr>
      <w:tr>
        <w:trPr>
          <w:trHeight w:val="216"/>
        </w:trPr>
        <w:tc>
          <w:tcPr>
            <w:tcW w:w="1020" w:type="dxa"/>
            <w:vAlign w:val="bottom"/>
          </w:tcPr>
          <w:p>
            <w:pPr>
              <w:spacing w:after="0"/>
              <w:rPr>
                <w:sz w:val="18"/>
                <w:szCs w:val="18"/>
                <w:color w:val="auto"/>
              </w:rPr>
            </w:pPr>
          </w:p>
        </w:tc>
        <w:tc>
          <w:tcPr>
            <w:tcW w:w="60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dividends (%)</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459"/>
        </w:trPr>
        <w:tc>
          <w:tcPr>
            <w:tcW w:w="70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12. Shareholders’ Equity</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0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7"/>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Par value</w:t>
            </w:r>
          </w:p>
        </w:tc>
      </w:t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ordinary shares</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20"/>
                <w:szCs w:val="20"/>
                <w:color w:val="auto"/>
              </w:rPr>
            </w:pPr>
          </w:p>
        </w:tc>
      </w:tr>
      <w:tr>
        <w:trPr>
          <w:trHeight w:val="209"/>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9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January 1, 2024</w:t>
            </w:r>
          </w:p>
        </w:tc>
        <w:tc>
          <w:tcPr>
            <w:tcW w:w="100" w:type="dxa"/>
            <w:vAlign w:val="bottom"/>
            <w:shd w:val="clear" w:color="auto" w:fill="CFF0FC"/>
          </w:tcPr>
          <w:p>
            <w:pPr>
              <w:spacing w:after="0"/>
              <w:rPr>
                <w:sz w:val="18"/>
                <w:szCs w:val="18"/>
                <w:color w:val="auto"/>
              </w:rPr>
            </w:pPr>
          </w:p>
        </w:tc>
        <w:tc>
          <w:tcPr>
            <w:tcW w:w="15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701,217,089</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2,775</w:t>
            </w: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Exercise of share options</w:t>
            </w:r>
          </w:p>
        </w:tc>
        <w:tc>
          <w:tcPr>
            <w:tcW w:w="100" w:type="dxa"/>
            <w:vAlign w:val="bottom"/>
          </w:tcPr>
          <w:p>
            <w:pPr>
              <w:spacing w:after="0"/>
              <w:rPr>
                <w:sz w:val="18"/>
                <w:szCs w:val="18"/>
                <w:color w:val="auto"/>
              </w:rPr>
            </w:pP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132,345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March 31, 2024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1560" w:type="dxa"/>
            <w:vAlign w:val="bottom"/>
            <w:tcBorders>
              <w:top w:val="single" w:sz="8" w:color="auto"/>
              <w:bottom w:val="single" w:sz="8" w:color="auto"/>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701,349,434</w:t>
            </w:r>
          </w:p>
        </w:tc>
        <w:tc>
          <w:tcPr>
            <w:tcW w:w="140" w:type="dxa"/>
            <w:vAlign w:val="bottom"/>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2,775</w:t>
            </w:r>
          </w:p>
        </w:tc>
        <w:tc>
          <w:tcPr>
            <w:tcW w:w="100" w:type="dxa"/>
            <w:vAlign w:val="bottom"/>
          </w:tcPr>
          <w:p>
            <w:pPr>
              <w:spacing w:after="0"/>
              <w:rPr>
                <w:sz w:val="21"/>
                <w:szCs w:val="2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6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Exercise of share options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3"/>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800,890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7"/>
                <w:szCs w:val="17"/>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92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Vesting of RSUs</w:t>
            </w:r>
          </w:p>
        </w:tc>
        <w:tc>
          <w:tcPr>
            <w:tcW w:w="100" w:type="dxa"/>
            <w:vAlign w:val="bottom"/>
            <w:shd w:val="clear" w:color="auto" w:fill="CFF0FC"/>
          </w:tcPr>
          <w:p>
            <w:pPr>
              <w:spacing w:after="0"/>
              <w:rPr>
                <w:sz w:val="18"/>
                <w:szCs w:val="18"/>
                <w:color w:val="auto"/>
              </w:rPr>
            </w:pPr>
          </w:p>
        </w:tc>
        <w:tc>
          <w:tcPr>
            <w:tcW w:w="15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4,014,450</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Issuance of ordinary shares</w:t>
            </w:r>
          </w:p>
        </w:tc>
        <w:tc>
          <w:tcPr>
            <w:tcW w:w="100" w:type="dxa"/>
            <w:vAlign w:val="bottom"/>
          </w:tcPr>
          <w:p>
            <w:pPr>
              <w:spacing w:after="0"/>
              <w:rPr>
                <w:sz w:val="18"/>
                <w:szCs w:val="18"/>
                <w:color w:val="auto"/>
              </w:rPr>
            </w:pP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62,656,500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8"/>
                <w:szCs w:val="18"/>
                <w:color w:val="auto"/>
              </w:rPr>
            </w:pPr>
          </w:p>
        </w:tc>
      </w:tr>
      <w:tr>
        <w:trPr>
          <w:trHeight w:val="249"/>
        </w:trPr>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June 30, 2024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1560" w:type="dxa"/>
            <w:vAlign w:val="bottom"/>
            <w:tcBorders>
              <w:top w:val="single" w:sz="8" w:color="auto"/>
              <w:bottom w:val="single" w:sz="8" w:color="auto"/>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768,821,274</w:t>
            </w:r>
          </w:p>
        </w:tc>
        <w:tc>
          <w:tcPr>
            <w:tcW w:w="140" w:type="dxa"/>
            <w:vAlign w:val="bottom"/>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3,032</w:t>
            </w:r>
          </w:p>
        </w:tc>
        <w:tc>
          <w:tcPr>
            <w:tcW w:w="100" w:type="dxa"/>
            <w:vAlign w:val="bottom"/>
          </w:tcPr>
          <w:p>
            <w:pPr>
              <w:spacing w:after="0"/>
              <w:rPr>
                <w:sz w:val="21"/>
                <w:szCs w:val="21"/>
                <w:color w:val="auto"/>
              </w:rPr>
            </w:pPr>
          </w:p>
        </w:tc>
      </w:tr>
      <w:tr>
        <w:trPr>
          <w:trHeight w:val="413"/>
        </w:trPr>
        <w:tc>
          <w:tcPr>
            <w:tcW w:w="1020" w:type="dxa"/>
            <w:vAlign w:val="bottom"/>
          </w:tcPr>
          <w:p>
            <w:pPr>
              <w:spacing w:after="0"/>
              <w:rPr>
                <w:sz w:val="24"/>
                <w:szCs w:val="24"/>
                <w:color w:val="auto"/>
              </w:rPr>
            </w:pPr>
          </w:p>
        </w:tc>
        <w:tc>
          <w:tcPr>
            <w:tcW w:w="604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At January 1, 2025</w:t>
            </w:r>
          </w:p>
        </w:tc>
        <w:tc>
          <w:tcPr>
            <w:tcW w:w="100" w:type="dxa"/>
            <w:vAlign w:val="bottom"/>
          </w:tcPr>
          <w:p>
            <w:pPr>
              <w:spacing w:after="0"/>
              <w:rPr>
                <w:sz w:val="24"/>
                <w:szCs w:val="24"/>
                <w:color w:val="auto"/>
              </w:rPr>
            </w:pP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775,728,034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3,059</w:t>
            </w: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92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Vesting of RSUs</w:t>
            </w:r>
          </w:p>
        </w:tc>
        <w:tc>
          <w:tcPr>
            <w:tcW w:w="100" w:type="dxa"/>
            <w:vAlign w:val="bottom"/>
            <w:shd w:val="clear" w:color="auto" w:fill="CFF0FC"/>
          </w:tcPr>
          <w:p>
            <w:pPr>
              <w:spacing w:after="0"/>
              <w:rPr>
                <w:sz w:val="18"/>
                <w:szCs w:val="18"/>
                <w:color w:val="auto"/>
              </w:rPr>
            </w:pPr>
          </w:p>
        </w:tc>
        <w:tc>
          <w:tcPr>
            <w:tcW w:w="15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718,350</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Conversion of convertible loan notes</w:t>
            </w:r>
          </w:p>
        </w:tc>
        <w:tc>
          <w:tcPr>
            <w:tcW w:w="100" w:type="dxa"/>
            <w:vAlign w:val="bottom"/>
          </w:tcPr>
          <w:p>
            <w:pPr>
              <w:spacing w:after="0"/>
              <w:rPr>
                <w:sz w:val="18"/>
                <w:szCs w:val="18"/>
                <w:color w:val="auto"/>
              </w:rPr>
            </w:pP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17,105,450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6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Exercise of warrants</w:t>
            </w:r>
          </w:p>
        </w:tc>
        <w:tc>
          <w:tcPr>
            <w:tcW w:w="16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1,449,610</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r>
      <w:tr>
        <w:trPr>
          <w:trHeight w:val="210"/>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At March 31 and June 30, 2025</w:t>
            </w:r>
          </w:p>
        </w:tc>
        <w:tc>
          <w:tcPr>
            <w:tcW w:w="100" w:type="dxa"/>
            <w:vAlign w:val="bottom"/>
          </w:tcPr>
          <w:p>
            <w:pPr>
              <w:spacing w:after="0"/>
              <w:rPr>
                <w:sz w:val="18"/>
                <w:szCs w:val="18"/>
                <w:color w:val="auto"/>
              </w:rPr>
            </w:pP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795,001,444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3,132</w:t>
            </w:r>
          </w:p>
        </w:tc>
        <w:tc>
          <w:tcPr>
            <w:tcW w:w="10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-170815</wp:posOffset>
            </wp:positionV>
            <wp:extent cx="857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5"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In February 2025, the Company issued and allotted 17,105,450 ordinary shares (equivalent to 3,421,090 ADSs) on the non-cash conversion of the outstanding principal and accrued interest of the Novartis Loan Note.</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February 2025, the Company issued and allotted 1,449,610 ordinary shares (equivalent to 289,922 ADSs) upon exercise of the 2020 Novartis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w:t>
      </w:r>
    </w:p>
    <w:p>
      <w:pPr>
        <w:spacing w:after="0" w:line="207"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718,350 ordinary shares were issued due to the vesting of RSUs. However, no such ordinary shares were issued during the three months ended June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Revenue and cost of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ReproNovo Partnership</w:t>
      </w:r>
    </w:p>
    <w:p>
      <w:pPr>
        <w:spacing w:after="0" w:line="22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In December 2023, the Company and ReproNovo SA. (“ReproNovo”) entered into a global licensing agreement for the development and commercialization of leflutrozole (the “ReproNovo Licensing Agreement”). Under the terms of the ReproNovo Licensing Agreement, ReproNovo received an exclusive worldwide license to develop and commercialize leflutrozole.</w:t>
      </w:r>
    </w:p>
    <w:p>
      <w:pPr>
        <w:spacing w:after="0" w:line="176"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The Company recognized a milestone payment receivable of $0.5 million as revenue under the terms of the ReproNovo Licensing Agreement during the three and six months ended June 30, 2025 following confirmation by ReproNovo that the first participant had been included in a Phase 2 trial of leflutrozole. No revenues were recognized during the three and six months ended June 30, 2024. [The milestone proceeds were received in July 2025].</w:t>
      </w:r>
    </w:p>
    <w:p>
      <w:pPr>
        <w:spacing w:after="0" w:line="176"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As a consequence of the milestone payment receivable, and in accordance with the terms of the 2015 asset purchase agreement with Novartis, the Company accrued for a payment to Novartis of $0.1 million as cost of revenue during the three and six</w:t>
      </w:r>
    </w:p>
    <w:p>
      <w:pPr>
        <w:sectPr>
          <w:pgSz w:w="11900" w:h="16838" w:orient="portrait"/>
          <w:cols w:equalWidth="0" w:num="1">
            <w:col w:w="11240"/>
          </w:cols>
          <w:pgMar w:left="320" w:top="117"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June 30, 2025. No cost of revenue was recognized during the three and six months ended June 30,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Share based compensation</w:t>
      </w:r>
    </w:p>
    <w:p>
      <w:pPr>
        <w:spacing w:after="0" w:line="225" w:lineRule="exact"/>
        <w:rPr>
          <w:sz w:val="20"/>
          <w:szCs w:val="20"/>
          <w:color w:val="auto"/>
        </w:rPr>
      </w:pPr>
    </w:p>
    <w:p>
      <w:pPr>
        <w:ind w:right="40" w:firstLine="749"/>
        <w:spacing w:after="0" w:line="268" w:lineRule="auto"/>
        <w:rPr>
          <w:sz w:val="20"/>
          <w:szCs w:val="20"/>
          <w:color w:val="auto"/>
        </w:rPr>
      </w:pPr>
      <w:r>
        <w:rPr>
          <w:rFonts w:ascii="Times New Roman" w:cs="Times New Roman" w:eastAsia="Times New Roman" w:hAnsi="Times New Roman"/>
          <w:sz w:val="18"/>
          <w:szCs w:val="18"/>
          <w:color w:val="auto"/>
        </w:rPr>
        <w:t xml:space="preserve">The Company currently grants equity awards under the Mereo 2019 Equity Incentive Plan (the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2019 EIP</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and the 2019 Non-Employee Equity Incentive Plan (the “2019 NED EIP”). There are also still outstanding awards under two previous plans, the Mereo BioPharma Group Limited Share Option Plan and the Mereo Share Option Plan (together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Previous Share Option Plans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however no further grants are envisioned from these plans.</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total number of ADSs available for issue under the 2019 EIP and 2019 NED EIP was 14.2 million as of June 30, 2025.</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expense for share-based compensation arises solely in respect of awards made under these two active plans as follows: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58"/>
        </w:trPr>
        <w:tc>
          <w:tcPr>
            <w:tcW w:w="28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03"/>
        </w:trPr>
        <w:tc>
          <w:tcPr>
            <w:tcW w:w="28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0"/>
              <w:spacing w:after="0" w:line="203"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0"/>
              <w:spacing w:after="0" w:line="203"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0"/>
              <w:spacing w:after="0" w:line="203"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0"/>
              <w:spacing w:after="0" w:line="203"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28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8"/>
              </w:rPr>
              <w:t>($'000)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16"/>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 EIP</w:t>
            </w: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1,617</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1,568</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3,214</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3,027</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2019 NED EIP</w:t>
            </w:r>
          </w:p>
        </w:tc>
        <w:tc>
          <w:tcPr>
            <w:tcW w:w="17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1,111</w:t>
            </w:r>
          </w:p>
        </w:tc>
      </w:tr>
      <w:tr>
        <w:trPr>
          <w:trHeight w:val="229"/>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2,065</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2,088</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4,343</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4,138</w:t>
            </w:r>
          </w:p>
        </w:tc>
      </w:tr>
      <w:tr>
        <w:trPr>
          <w:trHeight w:val="20"/>
        </w:trPr>
        <w:tc>
          <w:tcPr>
            <w:tcW w:w="2840" w:type="dxa"/>
            <w:vAlign w:val="bottom"/>
            <w:tcBorders>
              <w:top w:val="single" w:sz="8" w:color="CFF0FC"/>
            </w:tcBorders>
            <w:shd w:val="clear" w:color="auto" w:fill="CFF0FC"/>
          </w:tcPr>
          <w:p>
            <w:pPr>
              <w:spacing w:after="0" w:line="20" w:lineRule="exact"/>
              <w:rPr>
                <w:sz w:val="1"/>
                <w:szCs w:val="1"/>
                <w:color w:val="auto"/>
              </w:rPr>
            </w:pPr>
          </w:p>
        </w:tc>
        <w:tc>
          <w:tcPr>
            <w:tcW w:w="17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4989830</wp:posOffset>
            </wp:positionH>
            <wp:positionV relativeFrom="paragraph">
              <wp:posOffset>-749300</wp:posOffset>
            </wp:positionV>
            <wp:extent cx="93980" cy="1797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-25400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-25400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-25400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As of June 30, 2025, the total unrecognized compensation cost related to outstanding share awards was $6.9 million, which the Company expects to recognize over a weighted-average period of 1.7 years</w:t>
      </w:r>
      <w:r>
        <w:rPr>
          <w:rFonts w:ascii="Times New Roman" w:cs="Times New Roman" w:eastAsia="Times New Roman" w:hAnsi="Times New Roman"/>
          <w:sz w:val="18"/>
          <w:szCs w:val="18"/>
          <w:i w:val="1"/>
          <w:iCs w:val="1"/>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EIP</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has awarded the following instruments under the 2019 EIP: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Value Options (“Options”)</w:t>
      </w:r>
    </w:p>
    <w:p>
      <w:pPr>
        <w:spacing w:after="0" w:line="229" w:lineRule="exact"/>
        <w:rPr>
          <w:sz w:val="20"/>
          <w:szCs w:val="20"/>
          <w:color w:val="auto"/>
        </w:rPr>
      </w:pPr>
    </w:p>
    <w:p>
      <w:pPr>
        <w:ind w:right="60" w:firstLine="794"/>
        <w:spacing w:after="0" w:line="282" w:lineRule="auto"/>
        <w:rPr>
          <w:sz w:val="20"/>
          <w:szCs w:val="20"/>
          <w:color w:val="auto"/>
        </w:rPr>
      </w:pPr>
      <w:r>
        <w:rPr>
          <w:rFonts w:ascii="Times New Roman" w:cs="Times New Roman" w:eastAsia="Times New Roman" w:hAnsi="Times New Roman"/>
          <w:sz w:val="18"/>
          <w:szCs w:val="18"/>
          <w:color w:val="auto"/>
        </w:rPr>
        <w:t>A summary of the Company’s Option activity and related information under the 2019 EIP for the six months ended June 30, 2025 is as follows; all outstanding Options are expected to vest:</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840" w:type="dxa"/>
            <w:vAlign w:val="bottom"/>
          </w:tcPr>
          <w:p>
            <w:pPr>
              <w:spacing w:after="0"/>
              <w:rPr>
                <w:sz w:val="18"/>
                <w:szCs w:val="18"/>
                <w:color w:val="auto"/>
              </w:rPr>
            </w:pP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840" w:type="dxa"/>
            <w:vAlign w:val="bottom"/>
          </w:tcPr>
          <w:p>
            <w:pPr>
              <w:spacing w:after="0"/>
              <w:rPr>
                <w:sz w:val="18"/>
                <w:szCs w:val="18"/>
                <w:color w:val="auto"/>
              </w:rPr>
            </w:pP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38"/>
        </w:trPr>
        <w:tc>
          <w:tcPr>
            <w:tcW w:w="5840" w:type="dxa"/>
            <w:vAlign w:val="bottom"/>
          </w:tcPr>
          <w:p>
            <w:pPr>
              <w:spacing w:after="0"/>
              <w:rPr>
                <w:sz w:val="20"/>
                <w:szCs w:val="20"/>
                <w:color w:val="auto"/>
              </w:rPr>
            </w:pPr>
          </w:p>
        </w:tc>
        <w:tc>
          <w:tcPr>
            <w:tcW w:w="14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(ADSs)</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($'000)</w:t>
            </w:r>
          </w:p>
        </w:tc>
      </w:tr>
      <w:tr>
        <w:trPr>
          <w:trHeight w:val="209"/>
        </w:trPr>
        <w:tc>
          <w:tcPr>
            <w:tcW w:w="58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At December 31, 2024</w:t>
            </w:r>
          </w:p>
        </w:tc>
        <w:tc>
          <w:tcPr>
            <w:tcW w:w="14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11,271,023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2.02</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15,578</w:t>
            </w:r>
          </w:p>
        </w:tc>
      </w:tr>
      <w:tr>
        <w:trPr>
          <w:trHeight w:val="216"/>
        </w:trPr>
        <w:tc>
          <w:tcPr>
            <w:tcW w:w="5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2,343,588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(112,314)</w:t>
            </w:r>
          </w:p>
        </w:tc>
        <w:tc>
          <w:tcPr>
            <w:tcW w:w="1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At June 30, 2025</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13,502,297</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10,054</w:t>
            </w:r>
          </w:p>
        </w:tc>
      </w:tr>
      <w:tr>
        <w:trPr>
          <w:trHeight w:val="20"/>
        </w:trPr>
        <w:tc>
          <w:tcPr>
            <w:tcW w:w="58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6"/>
        </w:trPr>
        <w:tc>
          <w:tcPr>
            <w:tcW w:w="5840" w:type="dxa"/>
            <w:vAlign w:val="bottom"/>
            <w:shd w:val="clear" w:color="auto" w:fill="CFF0FC"/>
          </w:tcPr>
          <w:p>
            <w:pPr>
              <w:ind w:left="100"/>
              <w:spacing w:after="0" w:line="196" w:lineRule="exact"/>
              <w:rPr>
                <w:sz w:val="20"/>
                <w:szCs w:val="20"/>
                <w:color w:val="auto"/>
              </w:rPr>
            </w:pPr>
            <w:r>
              <w:rPr>
                <w:rFonts w:ascii="Times New Roman" w:cs="Times New Roman" w:eastAsia="Times New Roman" w:hAnsi="Times New Roman"/>
                <w:sz w:val="18"/>
                <w:szCs w:val="18"/>
                <w:color w:val="auto"/>
              </w:rPr>
              <w:t>Vested</w:t>
            </w:r>
          </w:p>
        </w:tc>
        <w:tc>
          <w:tcPr>
            <w:tcW w:w="142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7,528,524</w:t>
            </w:r>
          </w:p>
        </w:tc>
        <w:tc>
          <w:tcPr>
            <w:tcW w:w="2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1.99</w:t>
            </w:r>
          </w:p>
        </w:tc>
        <w:tc>
          <w:tcPr>
            <w:tcW w:w="2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6,756</w:t>
            </w:r>
          </w:p>
        </w:tc>
      </w:tr>
    </w:tbl>
    <w:p>
      <w:pPr>
        <w:spacing w:after="0" w:line="225" w:lineRule="exact"/>
        <w:rPr>
          <w:sz w:val="20"/>
          <w:szCs w:val="20"/>
          <w:color w:val="auto"/>
        </w:rPr>
      </w:pPr>
    </w:p>
    <w:p>
      <w:pPr>
        <w:ind w:right="640" w:firstLine="749"/>
        <w:spacing w:after="0" w:line="282" w:lineRule="auto"/>
        <w:rPr>
          <w:sz w:val="20"/>
          <w:szCs w:val="20"/>
          <w:color w:val="auto"/>
        </w:rPr>
      </w:pPr>
      <w:r>
        <w:rPr>
          <w:rFonts w:ascii="Times New Roman" w:cs="Times New Roman" w:eastAsia="Times New Roman" w:hAnsi="Times New Roman"/>
          <w:sz w:val="18"/>
          <w:szCs w:val="18"/>
          <w:color w:val="auto"/>
        </w:rPr>
        <w:t>The weighted average fair value per share of Options granted during the six months ended June 30, 2025 and 2024 was $2.42 and $2.60, respectively.</w:t>
      </w:r>
    </w:p>
    <w:p>
      <w:pPr>
        <w:spacing w:after="0" w:line="162" w:lineRule="exact"/>
        <w:rPr>
          <w:sz w:val="20"/>
          <w:szCs w:val="20"/>
          <w:color w:val="auto"/>
        </w:rPr>
      </w:pPr>
    </w:p>
    <w:p>
      <w:pPr>
        <w:ind w:right="780" w:firstLine="749"/>
        <w:spacing w:after="0" w:line="266" w:lineRule="auto"/>
        <w:rPr>
          <w:sz w:val="20"/>
          <w:szCs w:val="20"/>
          <w:color w:val="auto"/>
        </w:rPr>
      </w:pPr>
      <w:r>
        <w:rPr>
          <w:rFonts w:ascii="Times New Roman" w:cs="Times New Roman" w:eastAsia="Times New Roman" w:hAnsi="Times New Roman"/>
          <w:sz w:val="18"/>
          <w:szCs w:val="18"/>
          <w:color w:val="auto"/>
        </w:rPr>
        <w:t>The weighted average contractual life of Options outstanding as of June 30, 2025 and December 31, 2024 was 7.5 years and 7.6 years, respectively. The weighted average contractual life for vested Options as of June 30, 2025 and December 31, 2024 was 6.6 years and 6.8 years, respectively.</w:t>
      </w:r>
    </w:p>
    <w:p>
      <w:pPr>
        <w:spacing w:after="0" w:line="176"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Where presented, the aggregate intrinsic value is calculated as the difference between the exercise price of the underlying awards and the quoted market price of the Company’s ADSs for the Options that were in-the-money.</w:t>
      </w:r>
    </w:p>
    <w:p>
      <w:pPr>
        <w:spacing w:after="0" w:line="162" w:lineRule="exact"/>
        <w:rPr>
          <w:sz w:val="20"/>
          <w:szCs w:val="20"/>
          <w:color w:val="auto"/>
        </w:rPr>
      </w:pPr>
    </w:p>
    <w:p>
      <w:pPr>
        <w:ind w:right="500" w:firstLine="749"/>
        <w:spacing w:after="0" w:line="282" w:lineRule="auto"/>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option pricing model using the following weighted average assumptions:</w:t>
      </w:r>
    </w:p>
    <w:p>
      <w:pPr>
        <w:sectPr>
          <w:pgSz w:w="11900" w:h="16838" w:orient="portrait"/>
          <w:cols w:equalWidth="0" w:num="1">
            <w:col w:w="11220"/>
          </w:cols>
          <w:pgMar w:left="320" w:top="117" w:right="35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1140" w:type="dxa"/>
        <w:tblCellMar>
          <w:top w:w="0" w:type="dxa"/>
          <w:left w:w="0" w:type="dxa"/>
          <w:bottom w:w="0" w:type="dxa"/>
          <w:right w:w="0" w:type="dxa"/>
        </w:tblCellMar>
      </w:tblPr>
      <w:tr>
        <w:trPr>
          <w:trHeight w:val="209"/>
        </w:trPr>
        <w:tc>
          <w:tcPr>
            <w:tcW w:w="54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6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16"/>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6.25</w:t>
            </w:r>
          </w:p>
        </w:tc>
        <w:tc>
          <w:tcPr>
            <w:tcW w:w="18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6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103.08%</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90.78%</w:t>
            </w:r>
          </w:p>
        </w:tc>
      </w:tr>
      <w:tr>
        <w:trPr>
          <w:trHeight w:val="234"/>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dividends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spacing w:after="0" w:line="206"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Expected volatility is calculated by reference to the historical volatility of the Company's ADSs for the six months ended June 30, 2025 and an appropriate peer group of companies for the six months ended June 30, 2024. The grant date fair value is recognized over the requisite service period using the accelerated graded-vesting attribution method.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(“RSUs”)</w:t>
      </w:r>
    </w:p>
    <w:p>
      <w:pPr>
        <w:spacing w:after="0" w:line="229"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A summary of the Company’s RSU activity and related information under the 2019 EIP is as follows; all outstanding RSUs are unvested and expected to vest:</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6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614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Grant</w:t>
            </w:r>
          </w:p>
        </w:tc>
      </w:tr>
      <w:tr>
        <w:trPr>
          <w:trHeight w:val="216"/>
        </w:trPr>
        <w:tc>
          <w:tcPr>
            <w:tcW w:w="6140" w:type="dxa"/>
            <w:vAlign w:val="bottom"/>
          </w:tcPr>
          <w:p>
            <w:pPr>
              <w:spacing w:after="0"/>
              <w:rPr>
                <w:sz w:val="18"/>
                <w:szCs w:val="18"/>
                <w:color w:val="auto"/>
              </w:rPr>
            </w:pPr>
          </w:p>
        </w:tc>
        <w:tc>
          <w:tcPr>
            <w:tcW w:w="13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RSUs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Date Fair</w:t>
            </w:r>
          </w:p>
        </w:tc>
      </w:tr>
      <w:tr>
        <w:trPr>
          <w:trHeight w:val="238"/>
        </w:trPr>
        <w:tc>
          <w:tcPr>
            <w:tcW w:w="6140" w:type="dxa"/>
            <w:vAlign w:val="bottom"/>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(ADSs)</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Value ($)</w:t>
            </w:r>
          </w:p>
        </w:tc>
      </w:tr>
      <w:tr>
        <w:trPr>
          <w:trHeight w:val="20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2024</w:t>
            </w:r>
          </w:p>
        </w:tc>
        <w:tc>
          <w:tcPr>
            <w:tcW w:w="13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441,247</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276,736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w:t>
            </w:r>
          </w:p>
        </w:tc>
      </w:tr>
      <w:tr>
        <w:trPr>
          <w:trHeight w:val="216"/>
        </w:trPr>
        <w:tc>
          <w:tcPr>
            <w:tcW w:w="6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(143,670)</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614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(60,185)</w:t>
            </w: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2.34</w:t>
            </w:r>
          </w:p>
        </w:tc>
      </w:tr>
      <w:tr>
        <w:trPr>
          <w:trHeight w:val="250"/>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At June 30, 2025</w:t>
            </w:r>
          </w:p>
        </w:tc>
        <w:tc>
          <w:tcPr>
            <w:tcW w:w="13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514,128</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-24765</wp:posOffset>
            </wp:positionV>
            <wp:extent cx="857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-8255</wp:posOffset>
            </wp:positionV>
            <wp:extent cx="857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-170815</wp:posOffset>
            </wp:positionV>
            <wp:extent cx="857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At June 30, 2025, the weighted average remaining period of RSUs outstanding was 2.3 years. The total fair value of RSUs vested and delivered during the six months ended June 30, 2025 was $0.4 million (2024: $0.5 million).</w:t>
      </w:r>
    </w:p>
    <w:p>
      <w:pPr>
        <w:spacing w:after="0" w:line="162"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The fair value of each RSU was calculated by reference to the value of the shares awarded. The grant date fair value is recognized over the vesting period using the accelerated graded-vesting attribution method.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NED EIP</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has awarded the following instruments under the 2019 NED EIP: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229"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A summary of the Company’s Option activity and related information under the 2019 NED EIP for the six months ended June 30, 2025 is as follows; all outstanding Options are expected to vest:</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900" w:type="dxa"/>
            <w:vAlign w:val="bottom"/>
          </w:tcPr>
          <w:p>
            <w:pPr>
              <w:spacing w:after="0"/>
              <w:rPr>
                <w:sz w:val="18"/>
                <w:szCs w:val="18"/>
                <w:color w:val="auto"/>
              </w:rPr>
            </w:pP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900" w:type="dxa"/>
            <w:vAlign w:val="bottom"/>
          </w:tcPr>
          <w:p>
            <w:pPr>
              <w:spacing w:after="0"/>
              <w:rPr>
                <w:sz w:val="18"/>
                <w:szCs w:val="18"/>
                <w:color w:val="auto"/>
              </w:rPr>
            </w:pP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38"/>
        </w:trPr>
        <w:tc>
          <w:tcPr>
            <w:tcW w:w="5900" w:type="dxa"/>
            <w:vAlign w:val="bottom"/>
          </w:tcPr>
          <w:p>
            <w:pPr>
              <w:spacing w:after="0"/>
              <w:rPr>
                <w:sz w:val="20"/>
                <w:szCs w:val="20"/>
                <w:color w:val="auto"/>
              </w:rPr>
            </w:pPr>
          </w:p>
        </w:tc>
        <w:tc>
          <w:tcPr>
            <w:tcW w:w="13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(ADSs)</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Price ($)</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($'000)</w:t>
            </w:r>
          </w:p>
        </w:tc>
      </w:tr>
      <w:tr>
        <w:trPr>
          <w:trHeight w:val="209"/>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2024</w:t>
            </w:r>
          </w:p>
        </w:tc>
        <w:tc>
          <w:tcPr>
            <w:tcW w:w="13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1,542,087</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2.16</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2,123</w:t>
            </w:r>
          </w:p>
        </w:tc>
      </w:tr>
      <w:tr>
        <w:trPr>
          <w:trHeight w:val="216"/>
        </w:trPr>
        <w:tc>
          <w:tcPr>
            <w:tcW w:w="590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440,000</w:t>
            </w:r>
          </w:p>
        </w:tc>
        <w:tc>
          <w:tcPr>
            <w:tcW w:w="1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5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At June 30, 2025</w:t>
            </w:r>
          </w:p>
        </w:tc>
        <w:tc>
          <w:tcPr>
            <w:tcW w:w="13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1,982,087</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2.38</w:t>
            </w:r>
          </w:p>
        </w:tc>
        <w:tc>
          <w:tcPr>
            <w:tcW w:w="28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1,385</w:t>
            </w:r>
          </w:p>
        </w:tc>
      </w:tr>
      <w:tr>
        <w:trPr>
          <w:trHeight w:val="215"/>
        </w:trPr>
        <w:tc>
          <w:tcPr>
            <w:tcW w:w="5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1,688,759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-173990</wp:posOffset>
            </wp:positionV>
            <wp:extent cx="857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-156845</wp:posOffset>
            </wp:positionV>
            <wp:extent cx="857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-319405</wp:posOffset>
            </wp:positionV>
            <wp:extent cx="857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6" w:lineRule="exact"/>
        <w:rPr>
          <w:sz w:val="20"/>
          <w:szCs w:val="20"/>
          <w:color w:val="auto"/>
        </w:rPr>
      </w:pPr>
    </w:p>
    <w:p>
      <w:pPr>
        <w:jc w:val="both"/>
        <w:ind w:right="600" w:firstLine="749"/>
        <w:spacing w:after="0" w:line="282" w:lineRule="auto"/>
        <w:rPr>
          <w:sz w:val="20"/>
          <w:szCs w:val="20"/>
          <w:color w:val="auto"/>
        </w:rPr>
      </w:pPr>
      <w:r>
        <w:rPr>
          <w:rFonts w:ascii="Times New Roman" w:cs="Times New Roman" w:eastAsia="Times New Roman" w:hAnsi="Times New Roman"/>
          <w:sz w:val="18"/>
          <w:szCs w:val="18"/>
          <w:color w:val="auto"/>
        </w:rPr>
        <w:t>The weighted average fair value per share of Options granted during the six months ended June 30, 2025 and 2024 was $2.51 and $2.83, respectively.</w:t>
      </w:r>
    </w:p>
    <w:p>
      <w:pPr>
        <w:sectPr>
          <w:pgSz w:w="11900" w:h="16838" w:orient="portrait"/>
          <w:cols w:equalWidth="0" w:num="1">
            <w:col w:w="11180"/>
          </w:cols>
          <w:pgMar w:left="320" w:top="117" w:right="399" w:bottom="1440" w:gutter="0" w:footer="0" w:header="0"/>
        </w:sectPr>
      </w:pP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720" w:firstLine="749"/>
        <w:spacing w:after="0" w:line="266" w:lineRule="auto"/>
        <w:rPr>
          <w:sz w:val="20"/>
          <w:szCs w:val="20"/>
          <w:color w:val="auto"/>
        </w:rPr>
      </w:pPr>
      <w:r>
        <w:rPr>
          <w:rFonts w:ascii="Times New Roman" w:cs="Times New Roman" w:eastAsia="Times New Roman" w:hAnsi="Times New Roman"/>
          <w:sz w:val="18"/>
          <w:szCs w:val="18"/>
          <w:color w:val="auto"/>
        </w:rPr>
        <w:t>The weighted average contractual life of Options outstanding as of June 30, 2025 and December 31, 2024 was 7.2 years and 7.5 years, respectively. The weighted average contractual life for vested Options as of June 30, 2025 and December 31, 2024 was 7.6 years and 7.4 years, respectively.</w:t>
      </w:r>
    </w:p>
    <w:p>
      <w:pPr>
        <w:spacing w:after="0" w:line="176"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Where presented, the aggregate intrinsic value is calculated as the difference between the exercise price of the underlying awards and the quoted market price of the Company’s ADSs for the Options that were in-the-money.</w:t>
      </w:r>
    </w:p>
    <w:p>
      <w:pPr>
        <w:spacing w:after="0" w:line="162"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option pricing model using the following weighted average assumptions:</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2960" w:type="dxa"/>
            <w:vAlign w:val="bottom"/>
            <w:gridSpan w:val="4"/>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6020" w:type="dxa"/>
            <w:vAlign w:val="bottom"/>
          </w:tcPr>
          <w:p>
            <w:pPr>
              <w:spacing w:after="0"/>
              <w:rPr>
                <w:sz w:val="20"/>
                <w:szCs w:val="20"/>
                <w:color w:val="auto"/>
              </w:rPr>
            </w:pPr>
          </w:p>
        </w:tc>
        <w:tc>
          <w:tcPr>
            <w:tcW w:w="1840" w:type="dxa"/>
            <w:vAlign w:val="bottom"/>
            <w:tcBorders>
              <w:bottom w:val="single" w:sz="8" w:color="auto"/>
            </w:tcBorders>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20" w:type="dxa"/>
            <w:vAlign w:val="bottom"/>
            <w:tcBorders>
              <w:bottom w:val="single" w:sz="8" w:color="auto"/>
            </w:tcBorders>
          </w:tcPr>
          <w:p>
            <w:pPr>
              <w:spacing w:after="0"/>
              <w:rPr>
                <w:sz w:val="20"/>
                <w:szCs w:val="20"/>
                <w:color w:val="auto"/>
              </w:rPr>
            </w:pPr>
          </w:p>
        </w:tc>
      </w:tr>
      <w:tr>
        <w:trPr>
          <w:trHeight w:val="210"/>
        </w:trPr>
        <w:tc>
          <w:tcPr>
            <w:tcW w:w="6020" w:type="dxa"/>
            <w:vAlign w:val="bottom"/>
          </w:tcPr>
          <w:p>
            <w:pPr>
              <w:spacing w:after="0"/>
              <w:rPr>
                <w:sz w:val="18"/>
                <w:szCs w:val="18"/>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5.25</w:t>
            </w:r>
          </w:p>
        </w:tc>
      </w:tr>
      <w:tr>
        <w:trPr>
          <w:trHeight w:val="21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104.31%</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90.67%</w:t>
            </w:r>
          </w:p>
        </w:tc>
      </w:t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dividends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spacing w:after="0" w:line="206"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Expected volatility is calculated by reference to the historical volatility of the Company's ADSs for the six months ended June 30, 2025 and an appropriate peer group of companies for the six months ended June 30, 2024. The grant date fair value is recognized over the vesting period using the accelerated graded-vesting attribution method.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Restricted Stock Units (“DRSUs”)</w:t>
      </w:r>
    </w:p>
    <w:p>
      <w:pPr>
        <w:spacing w:after="0" w:line="229"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A summary of the Company’s DRSU activity and related information under the 2019 NED EIP for the six months ended June 30, 2025 is as follows; all outstanding DRSUs are expected to vest:</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6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6140" w:type="dxa"/>
            <w:vAlign w:val="bottom"/>
          </w:tcPr>
          <w:p>
            <w:pPr>
              <w:spacing w:after="0"/>
              <w:rPr>
                <w:sz w:val="18"/>
                <w:szCs w:val="18"/>
                <w:color w:val="auto"/>
              </w:rPr>
            </w:pP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Grant</w:t>
            </w:r>
          </w:p>
        </w:tc>
      </w:tr>
      <w:tr>
        <w:trPr>
          <w:trHeight w:val="216"/>
        </w:trPr>
        <w:tc>
          <w:tcPr>
            <w:tcW w:w="6140" w:type="dxa"/>
            <w:vAlign w:val="bottom"/>
          </w:tcPr>
          <w:p>
            <w:pPr>
              <w:spacing w:after="0"/>
              <w:rPr>
                <w:sz w:val="18"/>
                <w:szCs w:val="18"/>
                <w:color w:val="auto"/>
              </w:rPr>
            </w:pP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DRSUs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Date Fair</w:t>
            </w:r>
          </w:p>
        </w:tc>
      </w:tr>
      <w:tr>
        <w:trPr>
          <w:trHeight w:val="238"/>
        </w:trPr>
        <w:tc>
          <w:tcPr>
            <w:tcW w:w="6140" w:type="dxa"/>
            <w:vAlign w:val="bottom"/>
          </w:tcPr>
          <w:p>
            <w:pPr>
              <w:spacing w:after="0"/>
              <w:rPr>
                <w:sz w:val="20"/>
                <w:szCs w:val="20"/>
                <w:color w:val="auto"/>
              </w:rPr>
            </w:pPr>
          </w:p>
        </w:tc>
        <w:tc>
          <w:tcPr>
            <w:tcW w:w="13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(ADSs)</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Value ($)</w:t>
            </w:r>
          </w:p>
        </w:tc>
      </w:tr>
      <w:tr>
        <w:trPr>
          <w:trHeight w:val="210"/>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2024</w:t>
            </w:r>
          </w:p>
        </w:tc>
        <w:tc>
          <w:tcPr>
            <w:tcW w:w="13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855,375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614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124,233</w:t>
            </w: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3.16</w:t>
            </w:r>
          </w:p>
        </w:tc>
      </w:tr>
      <w:tr>
        <w:trPr>
          <w:trHeight w:val="250"/>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At June 30, 2025</w:t>
            </w:r>
          </w:p>
        </w:tc>
        <w:tc>
          <w:tcPr>
            <w:tcW w:w="13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979,608</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r>
      <w:tr>
        <w:trPr>
          <w:trHeight w:val="196"/>
        </w:trPr>
        <w:tc>
          <w:tcPr>
            <w:tcW w:w="61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Vested</w:t>
            </w:r>
          </w:p>
        </w:tc>
        <w:tc>
          <w:tcPr>
            <w:tcW w:w="136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907,143</w:t>
            </w: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1.53</w:t>
            </w:r>
          </w:p>
        </w:tc>
      </w:tr>
      <w:tr>
        <w:trPr>
          <w:trHeight w:val="216"/>
        </w:trPr>
        <w:tc>
          <w:tcPr>
            <w:tcW w:w="6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Unvested</w:t>
            </w:r>
          </w:p>
        </w:tc>
        <w:tc>
          <w:tcPr>
            <w:tcW w:w="13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72,465</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-299720</wp:posOffset>
            </wp:positionV>
            <wp:extent cx="857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-281940</wp:posOffset>
            </wp:positionV>
            <wp:extent cx="857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-445135</wp:posOffset>
            </wp:positionV>
            <wp:extent cx="857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2024, there were 20,903 DRSUs unvested with a weighted average grant date fair value of $3.87 per DRSU. The total fair value of DRSUs vested during the six months ended June 30, 2025 was $0.2 million (2024: $0.5 million).</w:t>
      </w:r>
    </w:p>
    <w:p>
      <w:pPr>
        <w:spacing w:after="0" w:line="162"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The fair value of each DRSU was calculated by reference to the value of the shares awarded. The grant date fair value is recognized over the vesting period using the accelerated graded-vesting attribution method.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Previous Share Option Plans</w:t>
      </w:r>
    </w:p>
    <w:p>
      <w:pPr>
        <w:spacing w:after="0" w:line="229"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Mereo previously granted Options to employees under the Previous Share Options Plans. No awards have been granted under either of these plans following the introduction of the 2019 EIP and the 2019 NED EIP and no further awards are envisioned.</w:t>
      </w:r>
    </w:p>
    <w:p>
      <w:pPr>
        <w:spacing w:after="0" w:line="162"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options over 1,419,867 ADSs were outstanding and fully vested with a weighted average exercise price per option of $9.24 and aggregate intrinsic value of $0.</w:t>
      </w:r>
    </w:p>
    <w:p>
      <w:pPr>
        <w:spacing w:after="0" w:line="162"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The weighted average contractual life of Options outstanding and vested at June 30, 2025 and December 31, 2024 was 0.2 years and 0.8 years, respectively.</w:t>
      </w:r>
    </w:p>
    <w:p>
      <w:pPr>
        <w:sectPr>
          <w:pgSz w:w="11900" w:h="16838" w:orient="portrait"/>
          <w:cols w:equalWidth="0" w:num="1">
            <w:col w:w="11160"/>
          </w:cols>
          <w:pgMar w:left="320" w:top="117" w:right="419" w:bottom="1440" w:gutter="0" w:footer="0" w:header="0"/>
        </w:sectPr>
      </w:pP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Loss per share</w:t>
      </w:r>
    </w:p>
    <w:p>
      <w:pPr>
        <w:spacing w:after="0" w:line="229" w:lineRule="exact"/>
        <w:rPr>
          <w:sz w:val="20"/>
          <w:szCs w:val="20"/>
          <w:color w:val="auto"/>
        </w:rPr>
      </w:pPr>
    </w:p>
    <w:p>
      <w:pPr>
        <w:ind w:right="360" w:firstLine="749"/>
        <w:spacing w:after="0" w:line="261" w:lineRule="auto"/>
        <w:rPr>
          <w:sz w:val="20"/>
          <w:szCs w:val="20"/>
          <w:color w:val="auto"/>
        </w:rPr>
      </w:pPr>
      <w:r>
        <w:rPr>
          <w:rFonts w:ascii="Times New Roman" w:cs="Times New Roman" w:eastAsia="Times New Roman" w:hAnsi="Times New Roman"/>
          <w:sz w:val="18"/>
          <w:szCs w:val="18"/>
          <w:color w:val="auto"/>
        </w:rPr>
        <w:t>Basic loss per share is calculated by dividing the loss attributable to ordinary equity holders of the Company for the period by the weighted average number of ordinary shares outstanding. Diluted loss per share is based on dividing the loss attributable for the period, adjusted for the effect of dilutive ordinary shares, by ordinary share equivalents, which includes the weighted average number of ordinary shares outstanding and the effect of dilutive ordinary share equivalents.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5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09"/>
        </w:trPr>
        <w:tc>
          <w:tcPr>
            <w:tcW w:w="5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187"/>
        </w:trPr>
        <w:tc>
          <w:tcPr>
            <w:tcW w:w="5300" w:type="dxa"/>
            <w:vAlign w:val="bottom"/>
          </w:tcPr>
          <w:p>
            <w:pPr>
              <w:spacing w:after="0"/>
              <w:rPr>
                <w:sz w:val="16"/>
                <w:szCs w:val="16"/>
                <w:color w:val="auto"/>
              </w:rPr>
            </w:pPr>
          </w:p>
        </w:tc>
        <w:tc>
          <w:tcPr>
            <w:tcW w:w="1380" w:type="dxa"/>
            <w:vAlign w:val="bottom"/>
            <w:gridSpan w:val="2"/>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($'000, except</w:t>
            </w:r>
          </w:p>
        </w:tc>
        <w:tc>
          <w:tcPr>
            <w:tcW w:w="120" w:type="dxa"/>
            <w:vAlign w:val="bottom"/>
          </w:tcPr>
          <w:p>
            <w:pPr>
              <w:spacing w:after="0"/>
              <w:rPr>
                <w:sz w:val="16"/>
                <w:szCs w:val="16"/>
                <w:color w:val="auto"/>
              </w:rPr>
            </w:pPr>
          </w:p>
        </w:tc>
        <w:tc>
          <w:tcPr>
            <w:tcW w:w="1340" w:type="dxa"/>
            <w:vAlign w:val="bottom"/>
            <w:gridSpan w:val="2"/>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($'000, except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($'000, except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($'000, except</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138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share and per</w:t>
            </w:r>
          </w:p>
        </w:tc>
        <w:tc>
          <w:tcPr>
            <w:tcW w:w="120" w:type="dxa"/>
            <w:vAlign w:val="bottom"/>
          </w:tcPr>
          <w:p>
            <w:pPr>
              <w:spacing w:after="0"/>
              <w:rPr>
                <w:sz w:val="18"/>
                <w:szCs w:val="18"/>
                <w:color w:val="auto"/>
              </w:rPr>
            </w:pPr>
          </w:p>
        </w:tc>
        <w:tc>
          <w:tcPr>
            <w:tcW w:w="134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share and per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share and per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share and per</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0" w:type="dxa"/>
            <w:vAlign w:val="bottom"/>
          </w:tcPr>
          <w:p>
            <w:pPr>
              <w:spacing w:after="0"/>
              <w:rPr>
                <w:sz w:val="1"/>
                <w:szCs w:val="1"/>
                <w:color w:val="auto"/>
              </w:rPr>
            </w:pPr>
          </w:p>
        </w:tc>
      </w:tr>
      <w:tr>
        <w:trPr>
          <w:trHeight w:val="238"/>
        </w:trPr>
        <w:tc>
          <w:tcPr>
            <w:tcW w:w="5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0" w:type="dxa"/>
            <w:vAlign w:val="bottom"/>
          </w:tcPr>
          <w:p>
            <w:pPr>
              <w:spacing w:after="0"/>
              <w:rPr>
                <w:sz w:val="1"/>
                <w:szCs w:val="1"/>
                <w:color w:val="auto"/>
              </w:rPr>
            </w:pPr>
          </w:p>
        </w:tc>
      </w:tr>
      <w:tr>
        <w:trPr>
          <w:trHeight w:val="20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(14,616)</w:t>
            </w: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(12,255)</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(27,503)</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(21,208)</w:t>
            </w:r>
          </w:p>
        </w:tc>
        <w:tc>
          <w:tcPr>
            <w:tcW w:w="0" w:type="dxa"/>
            <w:vAlign w:val="bottom"/>
          </w:tcPr>
          <w:p>
            <w:pPr>
              <w:spacing w:after="0"/>
              <w:rPr>
                <w:sz w:val="1"/>
                <w:szCs w:val="1"/>
                <w:color w:val="auto"/>
              </w:rPr>
            </w:pPr>
          </w:p>
        </w:tc>
      </w:tr>
      <w:tr>
        <w:trPr>
          <w:trHeight w:val="20"/>
        </w:trPr>
        <w:tc>
          <w:tcPr>
            <w:tcW w:w="5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30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Weighted-average number of shares used in computing net loss per</w:t>
            </w:r>
          </w:p>
        </w:tc>
        <w:tc>
          <w:tcPr>
            <w:tcW w:w="180" w:type="dxa"/>
            <w:vAlign w:val="bottom"/>
            <w:shd w:val="clear" w:color="auto" w:fill="CFF0FC"/>
          </w:tcPr>
          <w:p>
            <w:pPr>
              <w:spacing w:after="0"/>
              <w:rPr>
                <w:sz w:val="15"/>
                <w:szCs w:val="15"/>
                <w:color w:val="auto"/>
              </w:rPr>
            </w:pPr>
          </w:p>
        </w:tc>
        <w:tc>
          <w:tcPr>
            <w:tcW w:w="120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799,435,329</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711,770,804</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4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794,022,295</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4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706,407,371</w:t>
            </w:r>
          </w:p>
        </w:tc>
        <w:tc>
          <w:tcPr>
            <w:tcW w:w="0" w:type="dxa"/>
            <w:vAlign w:val="bottom"/>
          </w:tcPr>
          <w:p>
            <w:pPr>
              <w:spacing w:after="0"/>
              <w:rPr>
                <w:sz w:val="1"/>
                <w:szCs w:val="1"/>
                <w:color w:val="auto"/>
              </w:rPr>
            </w:pPr>
          </w:p>
        </w:tc>
      </w:tr>
      <w:tr>
        <w:trPr>
          <w:trHeight w:val="234"/>
        </w:trPr>
        <w:tc>
          <w:tcPr>
            <w:tcW w:w="5300" w:type="dxa"/>
            <w:vAlign w:val="bottom"/>
            <w:tcBorders>
              <w:bottom w:val="single" w:sz="8" w:color="CFF0FC"/>
            </w:tcBorders>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share - basic and diluted</w:t>
            </w:r>
          </w:p>
        </w:tc>
        <w:tc>
          <w:tcPr>
            <w:tcW w:w="1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-445135</wp:posOffset>
            </wp:positionV>
            <wp:extent cx="768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-445135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-445135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-25400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-8255</wp:posOffset>
            </wp:positionV>
            <wp:extent cx="768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-25400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-8255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-25400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-8255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right="300" w:firstLine="749"/>
        <w:spacing w:after="0" w:line="266" w:lineRule="auto"/>
        <w:rPr>
          <w:sz w:val="20"/>
          <w:szCs w:val="20"/>
          <w:color w:val="auto"/>
        </w:rPr>
      </w:pPr>
      <w:r>
        <w:rPr>
          <w:rFonts w:ascii="Times New Roman" w:cs="Times New Roman" w:eastAsia="Times New Roman" w:hAnsi="Times New Roman"/>
          <w:sz w:val="18"/>
          <w:szCs w:val="18"/>
          <w:color w:val="auto"/>
        </w:rPr>
        <w:t>The Company’s potentially dilutive securities in the table below have been excluded from the computation of diluted net loss per share as the effect for the three and six months ended June 30, 2025 and 2024 would be to reduce the net loss per share. Therefore, the weighted average number of ordinary shares outstanding used to calculate both basic and diluted net loss per share is the same.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80" w:type="dxa"/>
            <w:vAlign w:val="bottom"/>
          </w:tcPr>
          <w:p>
            <w:pPr>
              <w:spacing w:after="0"/>
              <w:rPr>
                <w:sz w:val="18"/>
                <w:szCs w:val="18"/>
                <w:color w:val="auto"/>
              </w:rPr>
            </w:pPr>
          </w:p>
        </w:tc>
        <w:tc>
          <w:tcPr>
            <w:tcW w:w="2440" w:type="dxa"/>
            <w:vAlign w:val="bottom"/>
            <w:gridSpan w:val="3"/>
          </w:tcPr>
          <w:p>
            <w:pPr>
              <w:jc w:val="center"/>
              <w:ind w:left="894"/>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120" w:type="dxa"/>
            <w:vAlign w:val="bottom"/>
          </w:tcPr>
          <w:p>
            <w:pPr>
              <w:spacing w:after="0"/>
              <w:rPr>
                <w:sz w:val="18"/>
                <w:szCs w:val="18"/>
                <w:color w:val="auto"/>
              </w:rPr>
            </w:pPr>
          </w:p>
        </w:tc>
      </w:tr>
      <w:tr>
        <w:trPr>
          <w:trHeight w:val="238"/>
        </w:trPr>
        <w:tc>
          <w:tcPr>
            <w:tcW w:w="7680" w:type="dxa"/>
            <w:vAlign w:val="bottom"/>
          </w:tcPr>
          <w:p>
            <w:pPr>
              <w:spacing w:after="0"/>
              <w:rPr>
                <w:sz w:val="20"/>
                <w:szCs w:val="20"/>
                <w:color w:val="auto"/>
              </w:rPr>
            </w:pPr>
          </w:p>
        </w:tc>
        <w:tc>
          <w:tcPr>
            <w:tcW w:w="2440" w:type="dxa"/>
            <w:vAlign w:val="bottom"/>
            <w:tcBorders>
              <w:bottom w:val="single" w:sz="8" w:color="auto"/>
            </w:tcBorders>
            <w:gridSpan w:val="3"/>
          </w:tcPr>
          <w:p>
            <w:pPr>
              <w:jc w:val="center"/>
              <w:ind w:left="914"/>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20" w:type="dxa"/>
            <w:vAlign w:val="bottom"/>
            <w:tcBorders>
              <w:bottom w:val="single" w:sz="8" w:color="auto"/>
            </w:tcBorders>
          </w:tcPr>
          <w:p>
            <w:pPr>
              <w:spacing w:after="0"/>
              <w:rPr>
                <w:sz w:val="20"/>
                <w:szCs w:val="20"/>
                <w:color w:val="auto"/>
              </w:rPr>
            </w:pPr>
          </w:p>
        </w:tc>
      </w:tr>
      <w:tr>
        <w:trPr>
          <w:trHeight w:val="210"/>
        </w:trPr>
        <w:tc>
          <w:tcPr>
            <w:tcW w:w="7680" w:type="dxa"/>
            <w:vAlign w:val="bottom"/>
          </w:tcPr>
          <w:p>
            <w:pPr>
              <w:spacing w:after="0"/>
              <w:rPr>
                <w:sz w:val="18"/>
                <w:szCs w:val="18"/>
                <w:color w:val="auto"/>
              </w:rPr>
            </w:pPr>
          </w:p>
        </w:tc>
        <w:tc>
          <w:tcPr>
            <w:tcW w:w="172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Ordinary shares issuable for:</w:t>
            </w:r>
          </w:p>
        </w:tc>
        <w:tc>
          <w:tcPr>
            <w:tcW w:w="1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awards</w:t>
            </w:r>
          </w:p>
        </w:tc>
        <w:tc>
          <w:tcPr>
            <w:tcW w:w="1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87,454,220</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79,432,715</w:t>
            </w: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loan notes</w:t>
            </w:r>
          </w:p>
        </w:tc>
        <w:tc>
          <w:tcPr>
            <w:tcW w:w="2440" w:type="dxa"/>
            <w:vAlign w:val="bottom"/>
            <w:gridSpan w:val="3"/>
            <w:shd w:val="clear" w:color="auto" w:fill="CFF0FC"/>
          </w:tcPr>
          <w:p>
            <w:pPr>
              <w:jc w:val="right"/>
              <w:ind w:right="8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16,308,364</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2,487,816</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2,487,816</w:t>
            </w: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classified in equity</w:t>
            </w:r>
          </w:p>
        </w:tc>
        <w:tc>
          <w:tcPr>
            <w:tcW w:w="17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3,551,699</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5,001,313</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ind w:right="40" w:firstLine="749"/>
        <w:spacing w:after="0" w:line="257"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and agreements that contain a variety of representations and warranties and 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However, the Company may record charges in the future as a result of these indemnification obligations. In accordance with the Articles of Association, the Company has indemnification obligations to its officers and directors for certain events or occurrences, subject to certain limits, while they are serving at the Company’s request in such capacity. There have been no claims to date, and the Company has director and officer insurance that may enable it to recover a portion of any amounts paid for future potential claims.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Novartis Asset Purchase Agreements</w:t>
      </w:r>
    </w:p>
    <w:p>
      <w:pPr>
        <w:spacing w:after="0" w:line="22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The Company has agreed to make future payments to Novartis comprising amounts equal to ascending specified percentages of tiered annual worldwide net sales (beginning at high single digits and reaching into double digits at higher sales) of products that include the assets acquired. The levels of ascending percentages of tiered annual worldwide net sales are stipulated under the respective Purchase Agreements.</w:t>
      </w:r>
    </w:p>
    <w:p>
      <w:pPr>
        <w:spacing w:after="0" w:line="176" w:lineRule="exact"/>
        <w:rPr>
          <w:sz w:val="20"/>
          <w:szCs w:val="20"/>
          <w:color w:val="auto"/>
        </w:rPr>
      </w:pPr>
    </w:p>
    <w:p>
      <w:pPr>
        <w:jc w:val="both"/>
        <w:ind w:right="300" w:firstLine="749"/>
        <w:spacing w:after="0" w:line="261" w:lineRule="auto"/>
        <w:rPr>
          <w:sz w:val="20"/>
          <w:szCs w:val="20"/>
          <w:color w:val="auto"/>
        </w:rPr>
      </w:pPr>
      <w:r>
        <w:rPr>
          <w:rFonts w:ascii="Times New Roman" w:cs="Times New Roman" w:eastAsia="Times New Roman" w:hAnsi="Times New Roman"/>
          <w:sz w:val="18"/>
          <w:szCs w:val="18"/>
          <w:color w:val="auto"/>
        </w:rPr>
        <w:t>The Company further agreed that in the event it transfers, licenses, assigns or leases all or substantially all of its assets, it will pay Novartis a percentage of the proceeds of such transaction. The payment of a percentage of proceeds is not payable with respect to any transaction involving equity interests of Mereo BioPharma Group plc, a merger or consolidation of Mereo BioPharma Group plc, or a sale of any assets of Mereo BioPharma Group plc.</w:t>
      </w:r>
    </w:p>
    <w:p>
      <w:pPr>
        <w:sectPr>
          <w:pgSz w:w="11900" w:h="16838" w:orient="portrait"/>
          <w:cols w:equalWidth="0" w:num="1">
            <w:col w:w="11240"/>
          </w:cols>
          <w:pgMar w:left="320" w:top="117"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AstraZeneca</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In October 2017, the Company entered into an exclusive license and option agreement (“the AstraZeneca License Agreement”) and subscription deed (the “AstraZeneca Subscription Deed”), together (the "Original Agreements") with AstraZeneca AB ("AstraZeneca"). Each of these were amended on November 8, 2024, when the Company entered into an amendment and restatement agreement related to the AstraZeneca License Agreement (the "Amended AstraZeneca License Agreement") and a Deed of Amendment and Restatement related to the AstraZeneca Subscription Deed (the "Amended AstraZeneca Subscription Deed") together (the "Amended AstraZeneca Agreements").</w:t>
      </w:r>
    </w:p>
    <w:p>
      <w:pPr>
        <w:spacing w:after="0" w:line="183"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Under the terms of the Original Agreements, the Company obtained from AstraZeneca an exclusive worldwide, sub-licensable license under AstraZeneca’s intellectual property rights relating to alvelestat, with an option to acquire such intellectual property rights following commencement of a pivotal trial and payment of related milestone payments, together with the acquisition of certain related assets. Upon entering into the Original Agreements, the Company made a payment of $3.0 million and issued 490,798 ordinary shares (equivalent to 98,159 ADSs) to AstraZeneca, for an aggregate upfront payment equal to $5.0 million. Upon execution of the Amended AstraZeneca License Agreement, the Company issued 2,044,392 ordinary shares and paid $0.5 million to AstraZeneca in respect of an agreed milestone.</w:t>
      </w:r>
    </w:p>
    <w:p>
      <w:pPr>
        <w:spacing w:after="0" w:line="187" w:lineRule="exact"/>
        <w:rPr>
          <w:sz w:val="20"/>
          <w:szCs w:val="20"/>
          <w:color w:val="auto"/>
        </w:rPr>
      </w:pPr>
    </w:p>
    <w:p>
      <w:pPr>
        <w:ind w:right="80" w:firstLine="794"/>
        <w:spacing w:after="0" w:line="266" w:lineRule="auto"/>
        <w:rPr>
          <w:sz w:val="20"/>
          <w:szCs w:val="20"/>
          <w:color w:val="auto"/>
        </w:rPr>
      </w:pPr>
      <w:r>
        <w:rPr>
          <w:rFonts w:ascii="Times New Roman" w:cs="Times New Roman" w:eastAsia="Times New Roman" w:hAnsi="Times New Roman"/>
          <w:sz w:val="18"/>
          <w:szCs w:val="18"/>
          <w:color w:val="auto"/>
        </w:rPr>
        <w:t>Under the terms of the Amended AstraZeneca Agreements, the Company has agreed, in connection with certain further development and regulatory milestones, to make potential future payments both in cash and through the issue of a variable number of additional ADSs to AstraZeneca of up to $114.3 million in the aggregate for products included in the Amended AstraZeneca License Agreement.</w:t>
      </w:r>
    </w:p>
    <w:p>
      <w:pPr>
        <w:spacing w:after="0" w:line="176"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The number of ADSs to be issued to satisfy each equity milestone is determined by dividing a monetary amount by a defined subscription price based on the weighted average trading price of the Company's ADSs, and the obligation is presented as a liability under ASC Topic 480, Distinguishing Liabilities from Equity. The Company continues to reassess the fair value of such instruments in each reporting period until the milestones are achieved, if ever, and the issuance of shares occurs. Given the pervasive uncertainty involved in establishing the amounts, timing and likelihood of the future cash flows, including the Company’s ability to secure either a partnership or alternative forms of non-dilutive financing, the possible terms and rate of such a partnership or financing, the clinical and regulatory performance of the product candidate and the lack of comparable recent transactions, the Company has determined the fair value of the equity milestones to be paid in a variable number of shares pursuant to its Amended AstraZeneca License Agreement to be negligible and therefore assigned a nil value to the instrument as of June 30, 2025.</w:t>
      </w:r>
    </w:p>
    <w:p>
      <w:pPr>
        <w:spacing w:after="0" w:line="192" w:lineRule="exact"/>
        <w:rPr>
          <w:sz w:val="20"/>
          <w:szCs w:val="20"/>
          <w:color w:val="auto"/>
        </w:rPr>
      </w:pPr>
    </w:p>
    <w:p>
      <w:pPr>
        <w:ind w:firstLine="794"/>
        <w:spacing w:after="0" w:line="255" w:lineRule="auto"/>
        <w:rPr>
          <w:sz w:val="20"/>
          <w:szCs w:val="20"/>
          <w:color w:val="auto"/>
        </w:rPr>
      </w:pPr>
      <w:r>
        <w:rPr>
          <w:rFonts w:ascii="Times New Roman" w:cs="Times New Roman" w:eastAsia="Times New Roman" w:hAnsi="Times New Roman"/>
          <w:sz w:val="18"/>
          <w:szCs w:val="18"/>
          <w:color w:val="auto"/>
        </w:rPr>
        <w:t>In addition to the development and regulatory milestones, the Company has agreed to make payments to AstraZeneca based on specified commercial milestones of the product. The Company has also agreed to pay a specified percentage of sub-licensing revenue to AstraZeneca and to make royalty payments to AstraZeneca equal to ascending specified percentages of tiered annual worldwide net sales by the Company of licensed products (subject to certain reductions), ranging from the high single digits to low double digits. Royalties will be payable on a licensed-product-by-licensed-product and country-by-country basis until the later of ten years after the first commercial sale of such licensed product in such country and expiration of the last patent covering such licensed product in such country that would be sufficient to prevent generic entry. The Company has agreed to use commercially reasonable efforts to develop and commercialize at least one licensed product.</w:t>
      </w:r>
    </w:p>
    <w:p>
      <w:pPr>
        <w:spacing w:after="0" w:line="18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 Amended AstraZeneca License Agreement will expire on the expiration of the last-to-expire royalty term with respect to all licensed products. Upon the expiration of the royalty term for a licensed product in a particular country, the licenses to the Company for such product in such country will become fully paid and irrevocable. Prior to exercise of the Option, if at all, the Company may terminate the Amended AstraZeneca License Agreement upon prior written notice. Either party may terminate the agreement upon prior written notice for the other party’s material breach that remains uncured for a specified period of time or insolvency.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activities</w:t>
      </w:r>
    </w:p>
    <w:p>
      <w:pPr>
        <w:spacing w:after="0" w:line="22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contract research organizations (“CROs”), contract manufacturing organizations (“CMOs”) and other third parties to assist in the performance of research and development activities and other services and products for operating purposes. The contracts with CROs generally provide for termination on notice, and therefore, are cancellable contracts and not included herein. The Company has manufacturing commitments with CMOs of $0.7 million and $0.5 million as of June 30, 2025 and December 31, 2024,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and supply agreement with Ultragenyx</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In December 2024, the Company entered into a manufacturing and supply agreement with Ultragenyx Pharmaceutical Inc. ("Ultragenyx") under which Ultragenyx is responsible for the manufacture and supply of setrusumab to the Company in its territories. The Company is also required to reimburse Ultragenyx for a portion of the manufacturing process development costs as well as future commercial supply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a party to litigation or subject to claims incident to the ordinary course of business. The Company was not a party to any material litigation and did not have any material contingency reserves established for any liabilities as of June 30, 2025 and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Related party disclosures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the three and six months ended June 30, 2025 and 2024, there were no reportable related party transactions.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information</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Company has one operating segment focused on the business of developing rare disease therapies. The chief operating decision maker, its Chief Executive Officer, assesses performance for the entity and decides how to allocate resources based on consolidated net loss before income tax, which is reported on the condensed consolidated statements of operations and comprehensive loss. The measure of segment assets is reported on the condensed consolidated balance sheet as total consolidated assets.</w:t>
      </w:r>
    </w:p>
    <w:p>
      <w:pPr>
        <w:spacing w:after="0" w:line="180"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The chief operating decision maker uses consolidated net loss before income tax and budget-to-actual variances for consolidated net loss before income tax to assess the performance of the operating segment.</w:t>
      </w:r>
    </w:p>
    <w:p>
      <w:pPr>
        <w:spacing w:after="0" w:line="162"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presents certain financial data for the Company’s reportable segment, including significant segment expenses regularly provided to the chief operating decision maker to assess performance of the Company.</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16"/>
        </w:trPr>
        <w:tc>
          <w:tcPr>
            <w:tcW w:w="20" w:type="dxa"/>
            <w:vAlign w:val="bottom"/>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Setrusumab (BPS-804/UX143)</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w:t>
            </w:r>
          </w:p>
        </w:tc>
      </w:tr>
      <w:tr>
        <w:trPr>
          <w:trHeight w:val="216"/>
        </w:trPr>
        <w:tc>
          <w:tcPr>
            <w:tcW w:w="20" w:type="dxa"/>
            <w:vAlign w:val="bottom"/>
          </w:tcPr>
          <w:p>
            <w:pPr>
              <w:spacing w:after="0"/>
              <w:rPr>
                <w:sz w:val="18"/>
                <w:szCs w:val="18"/>
                <w:color w:val="auto"/>
              </w:rPr>
            </w:pPr>
          </w:p>
        </w:tc>
        <w:tc>
          <w:tcPr>
            <w:tcW w:w="4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Alvelestat (MPH-966)</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(5,515)</w:t>
            </w:r>
          </w:p>
        </w:tc>
      </w:tr>
      <w:tr>
        <w:trPr>
          <w:trHeight w:val="216"/>
        </w:trPr>
        <w:tc>
          <w:tcPr>
            <w:tcW w:w="20" w:type="dxa"/>
            <w:vAlign w:val="bottom"/>
          </w:tcPr>
          <w:p>
            <w:pPr>
              <w:spacing w:after="0"/>
              <w:rPr>
                <w:sz w:val="18"/>
                <w:szCs w:val="18"/>
                <w:color w:val="auto"/>
              </w:rPr>
            </w:pPr>
          </w:p>
        </w:tc>
        <w:tc>
          <w:tcPr>
            <w:tcW w:w="4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Etigilimab (MPH-313)</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16"/>
        </w:trPr>
        <w:tc>
          <w:tcPr>
            <w:tcW w:w="20" w:type="dxa"/>
            <w:vAlign w:val="bottom"/>
          </w:tcPr>
          <w:p>
            <w:pPr>
              <w:spacing w:after="0"/>
              <w:rPr>
                <w:sz w:val="18"/>
                <w:szCs w:val="18"/>
                <w:color w:val="auto"/>
              </w:rPr>
            </w:pPr>
          </w:p>
        </w:tc>
        <w:tc>
          <w:tcPr>
            <w:tcW w:w="4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(13,777)</w:t>
            </w:r>
          </w:p>
        </w:tc>
      </w:tr>
      <w:tr>
        <w:trPr>
          <w:trHeight w:val="216"/>
        </w:trPr>
        <w:tc>
          <w:tcPr>
            <w:tcW w:w="20" w:type="dxa"/>
            <w:vAlign w:val="bottom"/>
          </w:tcPr>
          <w:p>
            <w:pPr>
              <w:spacing w:after="0"/>
              <w:rPr>
                <w:sz w:val="18"/>
                <w:szCs w:val="18"/>
                <w:color w:val="auto"/>
              </w:rPr>
            </w:pPr>
          </w:p>
        </w:tc>
        <w:tc>
          <w:tcPr>
            <w:tcW w:w="4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segment items</w:t>
            </w: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(5,802)</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1,508</w:t>
            </w:r>
          </w:p>
        </w:tc>
      </w:tr>
      <w:tr>
        <w:trPr>
          <w:trHeight w:val="210"/>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(14,616)</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(12,255)</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(27,503)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(21,208)</w:t>
            </w: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-170815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-170815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-170815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revenue recognized by the Company during the three and six months ended June 30, 2025 was attributable to its operations in the U.K.</w:t>
      </w:r>
    </w:p>
    <w:p>
      <w:pPr>
        <w:spacing w:after="0" w:line="225" w:lineRule="exact"/>
        <w:rPr>
          <w:sz w:val="20"/>
          <w:szCs w:val="20"/>
          <w:color w:val="auto"/>
        </w:rPr>
      </w:pPr>
    </w:p>
    <w:p>
      <w:pPr>
        <w:ind w:right="220" w:firstLine="749"/>
        <w:spacing w:after="0" w:line="312" w:lineRule="auto"/>
        <w:rPr>
          <w:sz w:val="20"/>
          <w:szCs w:val="20"/>
          <w:color w:val="auto"/>
        </w:rPr>
      </w:pPr>
      <w:r>
        <w:rPr>
          <w:rFonts w:ascii="Times New Roman" w:cs="Times New Roman" w:eastAsia="Times New Roman" w:hAnsi="Times New Roman"/>
          <w:sz w:val="17"/>
          <w:szCs w:val="17"/>
          <w:color w:val="auto"/>
        </w:rPr>
        <w:t>Other segment items consist of interest income, interest expense, change in fair value of warrants, foreign currency transaction loss/(gain), and benefit from research and development tax credit. These are disclosed in the condensed consolidated statements of operations and comprehensive loss.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180" w:firstLine="843"/>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and the audited consolidated financial statements and notes thereto and management’s discussion and analysis of financial condition and results of operations for the year ended December 31, 2024, included in our 2024 Annual Report. Some of the information contained in this discussion and analysis or set forth elsewhere in this Quarterly Report, including information with respect to our plans and strategy for our business, includes forward-looking statements that involve risks and uncertainties. As a result of many factors, including those factors set forth in the “Risk Factors” section of our 2024 Annual Report, our actual results could differ materially from the results described in, or implied by, these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are a biopharmaceutical company focused on the development of innovative therapeutics for rare diseases. We have developed a portfolio of late-stage clinical product candidates. Our two rare disease product candidates are setrusumab for the treatment of OI and alvelestat for the treatment of severe alpha-1 antitrypsin deficiency-associated lung disease (AATD-LD). Setrusumab has received orphan designation for OI from the European Commission ("EC") and the U.S. Food and Drug Administration ("FDA"), PRIME designation from the European Medicines Agency ("EMA") and has Breakthrough Therapy designation and rare pediatric disease designation from the FDA. Alvelestat has received orphan designation for AATD from the EC and the FDA, and Fast Track designation for the treatment of AATD-LD from the FDA.</w:t>
      </w:r>
    </w:p>
    <w:p>
      <w:pPr>
        <w:spacing w:after="0" w:line="18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Our strategy is to selectively acquire and develop product candidates for rare diseases that have already received significant investment from large pharmaceutical and biotechnology companies and that have substantial pre-clinical, clinical and manufacturing data packages. Since our formation in March 2015, we have successfully executed on this strategy by acquiring six clinical-stage product candidates of which four were in rare diseases and oncology. Four of our six clinical-stage product candidates were acquired from large pharmaceutical companies and two were acquired in our merger with OncoMed Pharmaceuticals Inc in 2019. We have successfully completed large, randomized Phase 2 clinical trials for four of our product candidates and the Phase 1b portion of a Phase 1b/2 for a fifth product candidate.</w:t>
      </w:r>
    </w:p>
    <w:p>
      <w:pPr>
        <w:spacing w:after="0" w:line="18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Rare diseases represent an attractive development and, in some cases, commercialization opportunity for us since they typically have high unmet medical need and can utilize regulatory pathways that facilitate acceleration to approval and to the potential market. Development of products for rare diseases involves close collaboration with key opinion leaders and investigators, and close coordination with patient organizations. Rare disease patients are typically treated at a limited number of specialized sites which helps identification of the patient population and enables a small, targeted sales infrastructure to commercialize the products in key markets.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On July 9, 2025, we and our collaboration partner Ultragenyx announced that the randomized, placebo-controlled Phase 3 portion of the Orbit study evaluating setrusumab in pediatric and young adult patients with OI is progressing toward a final analysis consistent with the original plan, around the end of 2025. The Data Monitoring Committee met and informed Ultragenyx that setrusumab demonstrates an acceptable safety profile and Ultragenyx and the Company should continue the study to final analysis. In addition, the Cosmic study evaluating setrusumab in young pediatric patients aged 2 to &lt;7 years old will also proceed to final analysis around the end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June 30, 2025 and 2024</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868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The following table sets forth Mereo’s results of operations for the three months ended June 30, 2025 and 2024.</w:t>
            </w: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8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0" w:type="dxa"/>
            <w:vAlign w:val="bottom"/>
          </w:tcPr>
          <w:p>
            <w:pPr>
              <w:spacing w:after="0"/>
              <w:rPr>
                <w:sz w:val="24"/>
                <w:szCs w:val="24"/>
                <w:color w:val="auto"/>
              </w:rPr>
            </w:pPr>
          </w:p>
        </w:tc>
        <w:tc>
          <w:tcPr>
            <w:tcW w:w="13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($'000)</w:t>
            </w:r>
          </w:p>
        </w:tc>
        <w:tc>
          <w:tcPr>
            <w:tcW w:w="80" w:type="dxa"/>
            <w:vAlign w:val="bottom"/>
          </w:tcPr>
          <w:p>
            <w:pPr>
              <w:spacing w:after="0"/>
              <w:rPr>
                <w:sz w:val="18"/>
                <w:szCs w:val="18"/>
                <w:color w:val="auto"/>
              </w:rPr>
            </w:pP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(7,868)</w:t>
            </w:r>
          </w:p>
        </w:tc>
        <w:tc>
          <w:tcPr>
            <w:tcW w:w="8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2,374</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(12,814)</w:t>
            </w:r>
          </w:p>
        </w:tc>
        <w:tc>
          <w:tcPr>
            <w:tcW w:w="1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2,315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559</w:t>
            </w:r>
          </w:p>
        </w:tc>
        <w:tc>
          <w:tcPr>
            <w:tcW w:w="1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fair value of warrants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transaction (loss)/gain, net</w:t>
            </w: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research and development tax credit</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745</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w:t>
            </w: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(14,616)</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(12,255)</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(14,616)</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(12,255)</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5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 – Foreign currency translation adjustments, net of</w:t>
            </w:r>
          </w:p>
        </w:tc>
        <w:tc>
          <w:tcPr>
            <w:tcW w:w="140" w:type="dxa"/>
            <w:vAlign w:val="bottom"/>
          </w:tcPr>
          <w:p>
            <w:pPr>
              <w:spacing w:after="0"/>
              <w:rPr>
                <w:sz w:val="17"/>
                <w:szCs w:val="17"/>
                <w:color w:val="auto"/>
              </w:rPr>
            </w:pPr>
          </w:p>
        </w:tc>
        <w:tc>
          <w:tcPr>
            <w:tcW w:w="11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6,647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vMerge w:val="restart"/>
          </w:tcPr>
          <w:p>
            <w:pPr>
              <w:spacing w:after="0"/>
              <w:rPr>
                <w:sz w:val="17"/>
                <w:szCs w:val="17"/>
                <w:color w:val="auto"/>
              </w:rPr>
            </w:pPr>
          </w:p>
        </w:tc>
        <w:tc>
          <w:tcPr>
            <w:tcW w:w="13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6,642</w:t>
            </w: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tax</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(12,250)</w:t>
            </w:r>
          </w:p>
        </w:tc>
        <w:tc>
          <w:tcPr>
            <w:tcW w:w="1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3,667</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9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-1833880</wp:posOffset>
            </wp:positionV>
            <wp:extent cx="857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-1833880</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-25400</wp:posOffset>
            </wp:positionV>
            <wp:extent cx="857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-8255</wp:posOffset>
            </wp:positionV>
            <wp:extent cx="857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-25400</wp:posOffset>
            </wp:positionV>
            <wp:extent cx="603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03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Revenue of $0.5 million for the three months ended June 30, 2025 comprised a one-time milestone payment of $0.5 million resulting from the achievement of a clinical milestone on leflutrozole by ReproNovo pursuant to the ReproNovo Licensing Agreement. No revenue was recognized for the three months ended June 30,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Cost of revenue for the three months ended June 30, 2025 was $0.1 million and represents amounts payable pursuant to the 2015 asset purchase agreement with Novartis for leflutrozole, under which the Company pays a percentage of proceeds resulting from milestone revenue received, subject to certain deductions and other amounts. No cost of revenue was recognized for the three months ended June 30,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(“R&amp;D”) expenses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our R&amp;D expenses by product development program for the three months ended June 30, 2025 and 2024.</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0"/>
                <w:szCs w:val="20"/>
                <w:color w:val="auto"/>
              </w:rPr>
            </w:pPr>
          </w:p>
        </w:tc>
        <w:tc>
          <w:tcPr>
            <w:tcW w:w="13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40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18"/>
                <w:szCs w:val="18"/>
                <w:color w:val="auto"/>
              </w:rPr>
            </w:pP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Setrusumab (BPS-804/UX143)</w:t>
            </w:r>
          </w:p>
        </w:tc>
        <w:tc>
          <w:tcPr>
            <w:tcW w:w="1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3,687</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1,448</w:t>
            </w:r>
          </w:p>
        </w:tc>
        <w:tc>
          <w:tcPr>
            <w:tcW w:w="1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2,239</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Alvelestat (MPH-966)</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Etigilimab (MPH-313)</w:t>
            </w:r>
          </w:p>
        </w:tc>
        <w:tc>
          <w:tcPr>
            <w:tcW w:w="1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468</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R&amp;D expenses</w:t>
            </w:r>
          </w:p>
        </w:tc>
        <w:tc>
          <w:tcPr>
            <w:tcW w:w="18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5,373</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4,946</w:t>
            </w:r>
          </w:p>
        </w:tc>
        <w:tc>
          <w:tcPr>
            <w:tcW w:w="1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0"/>
        </w:trPr>
        <w:tc>
          <w:tcPr>
            <w:tcW w:w="4080" w:type="dxa"/>
            <w:vAlign w:val="bottom"/>
            <w:tcBorders>
              <w:top w:val="single" w:sz="8" w:color="CFF0FC"/>
            </w:tcBorders>
            <w:shd w:val="clear" w:color="auto" w:fill="CFF0FC"/>
          </w:tcPr>
          <w:p>
            <w:pPr>
              <w:spacing w:after="0" w:line="20" w:lineRule="exact"/>
              <w:rPr>
                <w:sz w:val="1"/>
                <w:szCs w:val="1"/>
                <w:color w:val="auto"/>
              </w:rPr>
            </w:pPr>
          </w:p>
        </w:tc>
        <w:tc>
          <w:tcPr>
            <w:tcW w:w="18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-24765</wp:posOffset>
            </wp:positionV>
            <wp:extent cx="603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03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Total R&amp;D expenses increased by $0.4 million, from $4.9 million in the three months ended June 30, 2024 to $5.4 million in the three months ended June 30, 2025.</w:t>
      </w:r>
    </w:p>
    <w:p>
      <w:pPr>
        <w:spacing w:after="0" w:line="162"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increase was primarily due to increases of $2.2 million in R&amp;D expenses for setrusumab offset by decreases of $1.5 million and $0.2 million in R&amp;D expenses for alvelestat and etigilimab, respectively.</w:t>
      </w:r>
    </w:p>
    <w:p>
      <w:pPr>
        <w:spacing w:after="0" w:line="162"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The increase in program expenses for setrusumab was primarily driven by amounts due under the manufacturing and supply agreement with our partner, Ultragenyx, as well as ongoing activities related to real-world evidence programs and medical affairs activities in Europe. This is in addition to costs we incur in relation to our collaboration with Ultragenyx, who fund the global development of the program, including input into development, regulatory and manufacturing plans.</w:t>
      </w:r>
    </w:p>
    <w:p>
      <w:pPr>
        <w:spacing w:after="0" w:line="180"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The decrease in program expenses for alvelestat was primarily due to the completion of the drug formulation and manufacturing activities undertaken in preparation for the Phase 3 study in the three months ended June 30,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by $2.4 million, from $7.9 million in the three months ended June 30, 2024 to $5.5 million in the three months ended June 30, 2025. The decrease was primarily due to the recognition of a $1.9 million reduction in expenses in the three months ended June 30, 2025 for amounts received from our depository to reimburse certain expenses incurred by us in respect of our ADR program as well as lower professional fees.</w:t>
      </w:r>
    </w:p>
    <w:p>
      <w:pPr>
        <w:spacing w:after="0" w:line="180"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also includes $1.2 million in the three months ended June 30, 2025 of pre-commercial activities to lay the foundation for the commercial launch of setrusumab in Europe, including those to support pricing and reimbursement by HTA authorities and payor decision-makers in Europe.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and expense</w:t>
      </w:r>
    </w:p>
    <w:p>
      <w:pPr>
        <w:spacing w:after="0" w:line="227"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Interest income increased by less than $0.1 million, from $0.6 million in the three months ended June 30, 2024 to $0.6 million in the three months ended June 30, 2025, principally due to a higher cash and cash equivalents balance as a result of receiving the net proceeds of $46.2 million from the underwritten registered direct offering in June 2024, offset by lower interest rates earned.</w:t>
      </w:r>
    </w:p>
    <w:p>
      <w:pPr>
        <w:spacing w:after="0" w:line="176"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Interest expense decreased by $0.3 million, from $0.3 million in the three months ended June 30, 2024 to less than $0.1 million in the three months ended June 30, 2025. The decrease was principally due to the conversion of convertible loan notes in February 2025, following which the Company had no significant remaining interest-bearing liabilities.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the fair value of warrants</w:t>
      </w:r>
    </w:p>
    <w:p>
      <w:pPr>
        <w:spacing w:after="0" w:line="227" w:lineRule="exact"/>
        <w:rPr>
          <w:sz w:val="20"/>
          <w:szCs w:val="20"/>
          <w:color w:val="auto"/>
        </w:rPr>
      </w:pPr>
    </w:p>
    <w:p>
      <w:pPr>
        <w:ind w:right="360" w:firstLine="749"/>
        <w:spacing w:after="0" w:line="266" w:lineRule="auto"/>
        <w:rPr>
          <w:sz w:val="20"/>
          <w:szCs w:val="20"/>
          <w:color w:val="auto"/>
        </w:rPr>
      </w:pPr>
      <w:r>
        <w:rPr>
          <w:rFonts w:ascii="Times New Roman" w:cs="Times New Roman" w:eastAsia="Times New Roman" w:hAnsi="Times New Roman"/>
          <w:sz w:val="18"/>
          <w:szCs w:val="18"/>
          <w:color w:val="auto"/>
        </w:rPr>
        <w:t>The total change in fair value of warrants in the three months ended June 30, 2025 was an unrealized loss of $0.1 million, compared to an unrealized loss of $0.1 million in the three months ended June 30, 2024, both of which were primarily due to the impact of decreases in the price of the Company’s ADSs on the value of the warrant liabilities.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transaction (loss)/gain</w:t>
      </w:r>
    </w:p>
    <w:p>
      <w:pPr>
        <w:spacing w:after="0" w:line="227" w:lineRule="exact"/>
        <w:rPr>
          <w:sz w:val="20"/>
          <w:szCs w:val="20"/>
          <w:color w:val="auto"/>
        </w:rPr>
      </w:pPr>
    </w:p>
    <w:p>
      <w:pPr>
        <w:jc w:val="both"/>
        <w:ind w:right="240" w:firstLine="749"/>
        <w:spacing w:after="0" w:line="261" w:lineRule="auto"/>
        <w:rPr>
          <w:sz w:val="20"/>
          <w:szCs w:val="20"/>
          <w:color w:val="auto"/>
        </w:rPr>
      </w:pPr>
      <w:r>
        <w:rPr>
          <w:rFonts w:ascii="Times New Roman" w:cs="Times New Roman" w:eastAsia="Times New Roman" w:hAnsi="Times New Roman"/>
          <w:sz w:val="18"/>
          <w:szCs w:val="18"/>
          <w:color w:val="auto"/>
        </w:rPr>
        <w:t>The net foreign exchange loss for the three months ended June 30, 2025 was $5.3 million, compared to a gain of less than $0.1 million for the three months ended June 30, 2024. This change primarily reflects (i) the impact of a weakening in the value of U.S. dollars when translating U.S. dollar balances into our functional currency of pound sterling in the three months ended June 30, 2025, compared to a strengthening of U.S. dollars in the three months ended June 30, 2024, and (ii) higher U.S. dollar balances following the underwritten registered direct offering in June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from research and development tax credit</w:t>
      </w:r>
    </w:p>
    <w:p>
      <w:pPr>
        <w:spacing w:after="0" w:line="227" w:lineRule="exact"/>
        <w:rPr>
          <w:sz w:val="20"/>
          <w:szCs w:val="20"/>
          <w:color w:val="auto"/>
        </w:rPr>
      </w:pPr>
    </w:p>
    <w:p>
      <w:pPr>
        <w:jc w:val="both"/>
        <w:ind w:right="240" w:firstLine="749"/>
        <w:spacing w:after="0" w:line="261" w:lineRule="auto"/>
        <w:rPr>
          <w:sz w:val="20"/>
          <w:szCs w:val="20"/>
          <w:color w:val="auto"/>
        </w:rPr>
      </w:pPr>
      <w:r>
        <w:rPr>
          <w:rFonts w:ascii="Times New Roman" w:cs="Times New Roman" w:eastAsia="Times New Roman" w:hAnsi="Times New Roman"/>
          <w:sz w:val="18"/>
          <w:szCs w:val="18"/>
          <w:color w:val="auto"/>
        </w:rPr>
        <w:t>The benefit from research and development tax credit increased by $0.4 million, from $0.4 million in the three months ended June 30, 2024 to $0.7 million in the three months ended June 30, 2025. This increase reflects a higher level of qualifying expenditure in the three months ended June 30, 2025. The income tax benefit represents eligible cash rebates paid or receivable from the tax authorities in the jurisdictions within which we operate for eligible types of research and development activities and associated expenditure.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comprehensive income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Foreign currency translation adjustments</w:t>
      </w:r>
    </w:p>
    <w:p>
      <w:pPr>
        <w:sectPr>
          <w:pgSz w:w="11900" w:h="16838" w:orient="portrait"/>
          <w:cols w:equalWidth="0" w:num="1">
            <w:col w:w="11240"/>
          </w:cols>
          <w:pgMar w:left="320" w:top="117" w:right="339"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foreign currency translation adjustment for the three months ended June 30, 2025 was a gain of $6.6 million, compared to a gain of less than $0.1 million in the three months ended June 30, 2024. This change primarily reflects the impact of a greater weakening in the value of U.S. dollars when translating U.S. dollar balances into our functional currency of pound sterling in the three months ended June 30, 2025, compared to a lesser weakening of U.S. dollars in the three months ended June 30, 2024 .</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six months ended June 30, 2025 and 2024</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Mereo’s results of operations for the six months ended June 30, 2025 and 2024.</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($'000)</w:t>
            </w:r>
          </w:p>
        </w:tc>
        <w:tc>
          <w:tcPr>
            <w:tcW w:w="80" w:type="dxa"/>
            <w:vAlign w:val="bottom"/>
          </w:tcPr>
          <w:p>
            <w:pPr>
              <w:spacing w:after="0"/>
              <w:rPr>
                <w:sz w:val="18"/>
                <w:szCs w:val="18"/>
                <w:color w:val="auto"/>
              </w:rPr>
            </w:pPr>
          </w:p>
        </w:tc>
        <w:tc>
          <w:tcPr>
            <w:tcW w:w="11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(12,766)</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(13,777)</w:t>
            </w:r>
          </w:p>
        </w:tc>
        <w:tc>
          <w:tcPr>
            <w:tcW w:w="8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(22,716)</w:t>
            </w: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1,175</w:t>
            </w: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2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fair value of warrants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transaction (loss)/gain, net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644</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research and development tax credit</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847</w:t>
            </w:r>
          </w:p>
        </w:tc>
        <w:tc>
          <w:tcPr>
            <w:tcW w:w="80" w:type="dxa"/>
            <w:vAlign w:val="bottom"/>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(27,503)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(21,208)</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(27,503)</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(21,208)</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income/(loss) – Foreign currency translation</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10,206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80" w:type="dxa"/>
            <w:vAlign w:val="bottom"/>
            <w:vMerge w:val="restart"/>
          </w:tcPr>
          <w:p>
            <w:pPr>
              <w:spacing w:after="0"/>
              <w:rPr>
                <w:sz w:val="17"/>
                <w:szCs w:val="17"/>
                <w:color w:val="auto"/>
              </w:rPr>
            </w:pPr>
          </w:p>
        </w:tc>
        <w:tc>
          <w:tcPr>
            <w:tcW w:w="11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10,999</w:t>
            </w:r>
          </w:p>
        </w:tc>
        <w:tc>
          <w:tcPr>
            <w:tcW w:w="0" w:type="dxa"/>
            <w:vAlign w:val="bottom"/>
          </w:tcPr>
          <w:p>
            <w:pPr>
              <w:spacing w:after="0"/>
              <w:rPr>
                <w:sz w:val="1"/>
                <w:szCs w:val="1"/>
                <w:color w:val="auto"/>
              </w:rPr>
            </w:pPr>
          </w:p>
        </w:tc>
      </w:tr>
      <w:tr>
        <w:trPr>
          <w:trHeight w:val="221"/>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net of tax</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(17,297)</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(22,001)</w:t>
            </w:r>
          </w:p>
        </w:tc>
        <w:tc>
          <w:tcPr>
            <w:tcW w:w="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4,704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-1833880</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-1833880</wp:posOffset>
            </wp:positionV>
            <wp:extent cx="514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-24765</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-8255</wp:posOffset>
            </wp:positionV>
            <wp:extent cx="774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-24765</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-8255</wp:posOffset>
            </wp:positionV>
            <wp:extent cx="514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Revenue of $0.5 million for the six months ended June 30, 2025 comprised a one-time milestone payment of $0.5 million resulting from the achievement of a clinical milestone on leflutrozole by ReproNovo pursuant to the ReproNovo Licensing Agreement. No revenue was recognized for the six months ended June 30,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ind w:right="240" w:firstLine="749"/>
        <w:spacing w:after="0" w:line="266" w:lineRule="auto"/>
        <w:rPr>
          <w:sz w:val="20"/>
          <w:szCs w:val="20"/>
          <w:color w:val="auto"/>
        </w:rPr>
      </w:pPr>
      <w:r>
        <w:rPr>
          <w:rFonts w:ascii="Times New Roman" w:cs="Times New Roman" w:eastAsia="Times New Roman" w:hAnsi="Times New Roman"/>
          <w:sz w:val="18"/>
          <w:szCs w:val="18"/>
          <w:color w:val="auto"/>
        </w:rPr>
        <w:t>Cost of revenue for the six months ended June 30, 2025 was $0.1 million and represents amounts payable pursuant to the 2015 asset purchase agreement with Novartis for leflutrozole, under which the Company pays a percentage of proceeds resulting from milestone revenue received, subject to certain deductions and other amounts. No cost of revenue was recognized for the six months ended June 30,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(“R&amp;D”) expenses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our R&amp;D expenses by product development program for the six months ended June 30, 2025 and 2024.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80" w:type="dxa"/>
            <w:vAlign w:val="bottom"/>
          </w:tcPr>
          <w:p>
            <w:pPr>
              <w:spacing w:after="0"/>
              <w:rPr>
                <w:sz w:val="20"/>
                <w:szCs w:val="20"/>
                <w:color w:val="auto"/>
              </w:rPr>
            </w:pPr>
          </w:p>
        </w:tc>
        <w:tc>
          <w:tcPr>
            <w:tcW w:w="11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3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($'000)</w:t>
            </w:r>
          </w:p>
        </w:tc>
        <w:tc>
          <w:tcPr>
            <w:tcW w:w="80" w:type="dxa"/>
            <w:vAlign w:val="bottom"/>
          </w:tcPr>
          <w:p>
            <w:pPr>
              <w:spacing w:after="0"/>
              <w:rPr>
                <w:sz w:val="18"/>
                <w:szCs w:val="18"/>
                <w:color w:val="auto"/>
              </w:rPr>
            </w:pPr>
          </w:p>
        </w:tc>
        <w:tc>
          <w:tcPr>
            <w:tcW w:w="11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Setrusumab (BPS-804/UX143)</w:t>
            </w: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5,930</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2,357</w:t>
            </w:r>
          </w:p>
        </w:tc>
        <w:tc>
          <w:tcPr>
            <w:tcW w:w="12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3,573</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Alvelestat (MPH-966)</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5,515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Etigilimab (MPH-313)</w:t>
            </w: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818</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R&amp;D expenses</w:t>
            </w: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9,303</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8,939</w:t>
            </w:r>
          </w:p>
        </w:tc>
        <w:tc>
          <w:tcPr>
            <w:tcW w:w="12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0"/>
        </w:trPr>
        <w:tc>
          <w:tcPr>
            <w:tcW w:w="378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-24765</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-7620</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-24765</wp:posOffset>
            </wp:positionV>
            <wp:extent cx="514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514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Total R&amp;D expenses increased by $0.4 million, from $8.9 million in the six months ended June 30, 2024 to $9.3 million in the six months ended June 30, 2025.</w:t>
      </w:r>
    </w:p>
    <w:p>
      <w:pPr>
        <w:spacing w:after="0" w:line="162"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 increase was primarily due to an increase of $3.6 million in R&amp;D expenses for setrusumab, offset by decreases of $2.8 million and $0.4 million in R&amp;D expenses for alvelestat and etigilimab, respectively.</w:t>
      </w:r>
    </w:p>
    <w:p>
      <w:pPr>
        <w:spacing w:after="0" w:line="162"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The increase in program expenses for setrusumab was primarily driven by amounts due under the manufacturing and supply agreement with our partner, Ultragenyx, as well as ongoing activities related to real-world evidence programs and medical affairs activities in Europe. This is in addition to costs we incur in relation to our collaboration with Ultragenyx, who fund the global development of the program, including input into development, regulatory and manufacturing plans.</w:t>
      </w:r>
    </w:p>
    <w:p>
      <w:pPr>
        <w:spacing w:after="0" w:line="180"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The decrease in program expenses for alvelestat was primarily due to the completion of the drug formulation and manufacturing activities undertaken in preparation for the Phase 3 study in the six months ended June 30,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by $1.0 million, from $13.8 million in the six months ended June 30, 2024 to $12.8 million in the six months ended June 30, 2025. The decrease was primarily due to lower professional fees.</w:t>
      </w:r>
    </w:p>
    <w:p>
      <w:pPr>
        <w:spacing w:after="0" w:line="162"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also includes $2.3 million in the six months ended June 30, 2025 of pre-commercial activities to lay the foundation for the commercial launch of setrusumab in Europe, including those to support pricing and reimbursement by HTA authorities and payor decision-makers in Europe.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and expense</w:t>
      </w:r>
    </w:p>
    <w:p>
      <w:pPr>
        <w:spacing w:after="0" w:line="227"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Interest income increased by $0.1 million, from $1.2 million in the six months ended June 30, 2024 to $1.2 million in the six months ended June 30, 2025, principally due to a higher cash and cash equivalents balance as a result of receiving the net proceeds of $46.2 million from the underwritten registered direct offering in June 2024, offset by lower interest rates earned.</w:t>
      </w:r>
    </w:p>
    <w:p>
      <w:pPr>
        <w:spacing w:after="0" w:line="17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Interest expense decreased by $0.4 million, from $0.6 million in the six months ended June 30, 2024 to $0.2 million in the six months ended June 30, 2025. The decrease was principally due to the conversion of convertible loan notes in February 2025, following which the Company had no significant remaining interest-bearing liabilities.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the fair value of warrants</w:t>
      </w:r>
    </w:p>
    <w:p>
      <w:pPr>
        <w:spacing w:after="0" w:line="227"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The total change in fair value of warrants in the six months ended June 30, 2025 was an unrealized gain of $0.3 million, compared to an unrealized loss of $0.5 million in the six months ended June 30, 2024. The unrealized gain in the six months ended June 30, 2025 was primarily due to the impact of a decrease in the price of the Company’s ADSs on the value of the warrant liabilities, whereas in the six months ended June 30, 2024, the unrealized loss was primarily due to an increase in the ADS price in the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transaction (loss)/gain</w:t>
      </w:r>
    </w:p>
    <w:p>
      <w:pPr>
        <w:spacing w:after="0" w:line="227"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net foreign exchange loss for the six months ended June 30, 2025 was $8.1 million, compared to a gain of $0.6 million for the six months ended June 30, 2024. This change primarily reflects (i) the impact of a weakening in the value of U.S. dollars when translating U.S. dollar balances into our functional currency of pound sterling in the six months ended June 30, 2025, compared to a strengthening of U.S. dollars in the six months ended June 30, 2024, and (ii) higher U.S. dollar balances following the underwritten registered direct offering in June 2024.</w:t>
      </w:r>
    </w:p>
    <w:p>
      <w:pPr>
        <w:sectPr>
          <w:pgSz w:w="11900" w:h="16838" w:orient="portrait"/>
          <w:cols w:equalWidth="0" w:num="1">
            <w:col w:w="11240"/>
          </w:cols>
          <w:pgMar w:left="320" w:top="117"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from research and development tax credit</w:t>
      </w:r>
    </w:p>
    <w:p>
      <w:pPr>
        <w:spacing w:after="0" w:line="22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benefit from research and development tax credit increased by $0.1 million, from $0.8 million in the six months ended June 30, 2024 to $0.9 million in the six months ended June 30, 2025. This increase reflects a combination of a higher level of qualifying expenditure in the six months ended June 30, 2025. The income tax benefit represents eligible cash rebates paid or receivable from the tax authorities in the jurisdictions within which we operate for eligible types of research and development activities and associated expenditure.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comprehensive income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Foreign currency translation adjustments</w:t>
      </w:r>
    </w:p>
    <w:p>
      <w:pPr>
        <w:spacing w:after="0" w:line="227"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foreign currency translation adjustment for the six months ended June 30, 2025 was a gain of $10.2 million, compared to a loss of $0.8 million in the six months ended June 30, 2024. This change primarily reflects the impact of a significant weakening in the value of U.S. dollars when translating U.S. dollar balances into our functional currency of pound sterling in the six months ended June 30, 2025, compared to a slight strengthening of U.S. dollars in the six months ended June 30, 2024.</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Under the current business plan and cash flow forecasts, and in consideration of our ongoing research and development efforts and our general corporate funding requirements, we anticipate that our current on-hand cash resources will extend into 2027. However, we will need additional external funding to complete our development plans and potentially commercialize selected rare disease products. We plan to fund our operations through cash on hand and a combination of non-dilutive funding sources, public or private equity or debt financing or other sources.</w:t>
      </w:r>
    </w:p>
    <w:p>
      <w:pPr>
        <w:spacing w:after="0" w:line="180"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We do not currently have any approved product candidates and as a result, have not generated any revenue from product sales. As a result, to date, we have financed our operations primarily through the issuances of our equity securities, convertible debt and warrants. These offerings have raised approximately $259.0 million, including through the $50.0 million underwritten registered direct offering in June 2024 and the $12.0 million “at-the-market” offering pursuant to our Open Market Sale Agreement with Jefferies LLC in July 2023 (all amounts are gross proceeds before fees and discounts).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have also received payments under various license and collaboration agreements, including payments of:</w:t>
      </w:r>
    </w:p>
    <w:p>
      <w:pPr>
        <w:spacing w:after="0" w:line="225" w:lineRule="exact"/>
        <w:rPr>
          <w:sz w:val="20"/>
          <w:szCs w:val="20"/>
          <w:color w:val="auto"/>
        </w:rPr>
      </w:pPr>
    </w:p>
    <w:p>
      <w:pPr>
        <w:ind w:left="760" w:right="2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under the license and collaboration agreement with Ultragenyx for setrusumab in 2021 and a further milestone payment of $9.0 million in July 2023;</w:t>
      </w:r>
    </w:p>
    <w:p>
      <w:pPr>
        <w:spacing w:after="0" w:line="161"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million under the license and collaboration agreement with Feng Biosciences (formerly OncXerna) for navicixizumab in 2020 and a further milestone payment of $2.0 million in 2022; and</w:t>
      </w:r>
    </w:p>
    <w:p>
      <w:pPr>
        <w:spacing w:after="0" w:line="161"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under the global license agreement with ReproNovo for leflutrozole in December 2023 and a further milestone payment of $0.5 million in July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As further described in our 2024 Annual Report, under “Item 1. Business—Material Agreements—Novartis Agreements” (as updated in Note 16 to the condensed consolidated financial statements included in this Quarterly Report) and “Item 1. Business—Material Agreements—Licensing Agreement with AstraZeneca,” under various agreements with Novartis and AstraZeneca, we have agreed to make milestone payments and pay royalties on potential future commercial sales. The amount, timing, and likelihood of such payments are not known and will remain uncertain for the foreseeable future.</w:t>
      </w:r>
    </w:p>
    <w:p>
      <w:pPr>
        <w:spacing w:after="0" w:line="180"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In addition, we enter into contracts in the ordinary course of business with CROs, CMOs, and other vendors, including Ultragenyx for the manufacture of setrusumab as described in our 2024 Annual Report in “Item 1. Business—Material Agreements—Agreements with Ultragenyx for Setrusumab”, to assist in the performance of its research and development activities and other services and products for operating purposes. The contracts with CROs generally provide for termination on notice, and therefore are cancelable contracts. We have manufacturing commitments with CMOs of $0.7 million and $0.5 million as of June 30, 2025 and December 31, 2024, respectively.</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2025 and 2024</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The table below summarizes our cash flows (used in) from operating, investing and financing activities for the six months ended June 30, 2025</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2024.</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-119380</wp:posOffset>
            </wp:positionV>
            <wp:extent cx="4989195"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5715</wp:posOffset>
            </wp:positionV>
            <wp:extent cx="4989195"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40"/>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Effect of exchange rate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4989195" cy="1631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989195" cy="163195"/>
                    </a:xfrm>
                    <a:prstGeom prst="rect">
                      <a:avLst/>
                    </a:prstGeom>
                    <a:noFill/>
                  </pic:spPr>
                </pic:pic>
              </a:graphicData>
            </a:graphic>
          </wp:anchor>
        </w:drawing>
      </w:r>
    </w:p>
    <w:p>
      <w:pPr>
        <w:spacing w:after="0" w:line="2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7"/>
          <w:szCs w:val="17"/>
          <w:color w:val="auto"/>
        </w:rPr>
        <w:t>(Decrease)/increase in cash and cash equivalents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1"/>
        </w:trPr>
        <w:tc>
          <w:tcPr>
            <w:tcW w:w="180" w:type="dxa"/>
            <w:vAlign w:val="bottom"/>
          </w:tcPr>
          <w:p>
            <w:pPr>
              <w:spacing w:after="0"/>
              <w:rPr>
                <w:sz w:val="16"/>
                <w:szCs w:val="16"/>
                <w:color w:val="auto"/>
              </w:rPr>
            </w:pPr>
          </w:p>
        </w:tc>
        <w:tc>
          <w:tcPr>
            <w:tcW w:w="1000" w:type="dxa"/>
            <w:vAlign w:val="bottom"/>
          </w:tcPr>
          <w:p>
            <w:pPr>
              <w:jc w:val="right"/>
              <w:ind w:right="290"/>
              <w:spacing w:after="0" w:line="191" w:lineRule="exact"/>
              <w:rPr>
                <w:sz w:val="20"/>
                <w:szCs w:val="20"/>
                <w:color w:val="auto"/>
              </w:rPr>
            </w:pPr>
            <w:r>
              <w:rPr>
                <w:rFonts w:ascii="Times New Roman" w:cs="Times New Roman" w:eastAsia="Times New Roman" w:hAnsi="Times New Roman"/>
                <w:sz w:val="18"/>
                <w:szCs w:val="18"/>
                <w:b w:val="1"/>
                <w:bCs w:val="1"/>
                <w:color w:val="auto"/>
              </w:rPr>
              <w:t>($'000)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290"/>
              <w:spacing w:after="0" w:line="191" w:lineRule="exact"/>
              <w:rPr>
                <w:sz w:val="20"/>
                <w:szCs w:val="20"/>
                <w:color w:val="auto"/>
              </w:rPr>
            </w:pPr>
            <w:r>
              <w:rPr>
                <w:rFonts w:ascii="Times New Roman" w:cs="Times New Roman" w:eastAsia="Times New Roman" w:hAnsi="Times New Roman"/>
                <w:sz w:val="18"/>
                <w:szCs w:val="18"/>
                <w:b w:val="1"/>
                <w:bCs w:val="1"/>
                <w:color w:val="auto"/>
              </w:rPr>
              <w:t>($'000)</w:t>
            </w:r>
          </w:p>
        </w:tc>
      </w:tr>
      <w:tr>
        <w:trPr>
          <w:trHeight w:val="216"/>
        </w:trPr>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(15,980)</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(15,895)</w:t>
            </w:r>
          </w:p>
        </w:tc>
      </w:tr>
      <w:tr>
        <w:trPr>
          <w:trHeight w:val="216"/>
        </w:trPr>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16"/>
        </w:trPr>
        <w:tc>
          <w:tcPr>
            <w:tcW w:w="1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46,781</w:t>
            </w:r>
          </w:p>
        </w:tc>
      </w:tr>
      <w:tr>
        <w:trPr>
          <w:trHeight w:val="234"/>
        </w:trPr>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2,335</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10"/>
        </w:trPr>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30,010</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629" w:lineRule="exact"/>
        <w:rPr>
          <w:sz w:val="20"/>
          <w:szCs w:val="20"/>
          <w:color w:val="auto"/>
        </w:rPr>
      </w:pPr>
    </w:p>
    <w:p>
      <w:pPr>
        <w:sectPr>
          <w:pgSz w:w="11900" w:h="16838" w:orient="portrait"/>
          <w:cols w:equalWidth="0" w:num="2">
            <w:col w:w="6340" w:space="720"/>
            <w:col w:w="4160"/>
          </w:cols>
          <w:pgMar w:left="320" w:top="117" w:right="359" w:bottom="1440" w:gutter="0" w:footer="0" w:header="0"/>
          <w:type w:val="continuous"/>
        </w:sectPr>
      </w:pPr>
    </w:p>
    <w:p>
      <w:pPr>
        <w:spacing w:after="0" w:line="27"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2025 was $16.0 million, an increase of $0.1 million from $15.9 million in the six months ended June 30, 2024. This increase is principally due to receipt of $2.0 million from a claim on our Directors and Officers insurance policy to reimburse us for certain legal and professional costs incurred in prior years in the six months ended June 30, 2024 with no similar amounts recognized in the six months ended June 30, 2025. This increase was offset by receipt of $1.1 million in R&amp;D tax credits in the six months ended June 30, 2025 and approximately $0.8 million in lower other net cash operating expense.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2025 was $0.3 million, a decrease of $0.4 million from $0.7 million in the six months ended June 30, 2024. The decrease is principally due to lower payments to acquire intangible assets in the six months ended June 30,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2025 was $0.3 million, a decrease of $46.5 million from $46.8 million in the six months ended June 30, 2024. The decrease principally represents the net proceeds of $46.2 million from the underwritten registered direct offering in the six months ended June 30, 2024 with no similar amounts recognized in the six months ended June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and Capital Expenditure Requirements</w:t>
      </w:r>
    </w:p>
    <w:p>
      <w:pPr>
        <w:spacing w:after="0" w:line="229" w:lineRule="exact"/>
        <w:rPr>
          <w:sz w:val="20"/>
          <w:szCs w:val="20"/>
          <w:color w:val="auto"/>
        </w:rPr>
      </w:pPr>
    </w:p>
    <w:p>
      <w:pPr>
        <w:ind w:right="320" w:firstLine="749"/>
        <w:spacing w:after="0" w:line="266" w:lineRule="auto"/>
        <w:rPr>
          <w:sz w:val="20"/>
          <w:szCs w:val="20"/>
          <w:color w:val="auto"/>
        </w:rPr>
      </w:pPr>
      <w:r>
        <w:rPr>
          <w:rFonts w:ascii="Times New Roman" w:cs="Times New Roman" w:eastAsia="Times New Roman" w:hAnsi="Times New Roman"/>
          <w:sz w:val="18"/>
          <w:szCs w:val="18"/>
          <w:color w:val="auto"/>
        </w:rPr>
        <w:t>As of June 30, 2025, we had an accumulated deficit of $486.6 million. We expect to continue to report significant operating losses for the foreseeable future as we continue our research and development efforts and seek to obtain regulatory approval of our product candidates and any future products we develop.</w:t>
      </w:r>
    </w:p>
    <w:p>
      <w:pPr>
        <w:spacing w:after="0" w:line="176"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We expect to continue to incur expenses in connection with our ongoing development activities related to our product candidates, our outsourced manufacturing activities and other associated costs including the management of our intellectual property portfolio. We also expect to continue to incur costs associated with operating as a U.S. public company listed on Nasdaq and as a domestic registrant.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These costs will increase further if we:</w:t>
      </w:r>
    </w:p>
    <w:p>
      <w:pPr>
        <w:spacing w:after="0" w:line="225"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develop additional product candidates;</w:t>
      </w:r>
    </w:p>
    <w:p>
      <w:pPr>
        <w:spacing w:after="0" w:line="225" w:lineRule="exact"/>
        <w:rPr>
          <w:rFonts w:ascii="Times New Roman" w:cs="Times New Roman" w:eastAsia="Times New Roman" w:hAnsi="Times New Roman"/>
          <w:sz w:val="18"/>
          <w:szCs w:val="18"/>
          <w:color w:val="auto"/>
        </w:rPr>
      </w:pPr>
    </w:p>
    <w:p>
      <w:pPr>
        <w:ind w:left="5540" w:right="3200" w:hanging="5158"/>
        <w:spacing w:after="0" w:line="532" w:lineRule="auto"/>
        <w:tabs>
          <w:tab w:leader="none" w:pos="7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of our product candidates that successfully complete clinical trials;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60" w:right="78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establish a sales, marketing, and distribution infrastructure and scale-up manufacturing capabilities to commercialize or co-commercialize any product candidates for which we may obtain regulatory approval and chose to commercialize directly;</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intellectual property portfolio;</w:t>
      </w:r>
    </w:p>
    <w:p>
      <w:pPr>
        <w:spacing w:after="0" w:line="225"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further clinical, scientific, operational, financial, legal and management information systems, and personnel, including personnel to support our development, potential commercialization and to support our operations as a U.S. public company listed on Nasdaq; or</w:t>
      </w:r>
    </w:p>
    <w:p>
      <w:pPr>
        <w:spacing w:after="0" w:line="161"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from any of the above, including but not limited to failed studies, complex results, safety issues, manufacturing issues, or other regulatory challenges.</w:t>
      </w:r>
    </w:p>
    <w:p>
      <w:pPr>
        <w:spacing w:after="0" w:line="162"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We expect that our existing cash and cash equivalents will enable us to fund our currently committed clinical trials, operating expenses and capital expenditure requirements into 2027. We have based these estimates on assumptions that may prove to be wrong, and we may use our available capital resources sooner than we currently expect. Because of the numerous risks and uncertainties associated with the development of our product candidates and any future product candidates and because the extent to which we may enter into collaborations with third parties for development of any of our product candidates is unknown, we are unable to estimate the amounts of increased capital outlays and operating expenses associated with completing the research and development of our product candidates. Our future capital requirements will depend on many factors, including:</w:t>
      </w:r>
    </w:p>
    <w:p>
      <w:pPr>
        <w:spacing w:after="0" w:line="187" w:lineRule="exact"/>
        <w:rPr>
          <w:sz w:val="20"/>
          <w:szCs w:val="20"/>
          <w:color w:val="auto"/>
        </w:rPr>
      </w:pPr>
    </w:p>
    <w:p>
      <w:pPr>
        <w:ind w:left="760" w:right="140" w:hanging="378"/>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for our activities related to our ongoing collaboration with Ultragenyx for setrusumab for the treatment of children and adults with OI, including the costs for our preparation for the potential commercialization of setrusumab, if approved, in Europe and the U.K; and potential future costs for the alvelestat program in AATD;</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clinical or commercial supplies of our product candidates;</w:t>
      </w:r>
    </w:p>
    <w:p>
      <w:pPr>
        <w:spacing w:after="0" w:line="225" w:lineRule="exact"/>
        <w:rPr>
          <w:rFonts w:ascii="Times New Roman" w:cs="Times New Roman" w:eastAsia="Times New Roman" w:hAnsi="Times New Roman"/>
          <w:sz w:val="18"/>
          <w:szCs w:val="18"/>
          <w:color w:val="auto"/>
        </w:rPr>
      </w:pPr>
    </w:p>
    <w:p>
      <w:pPr>
        <w:ind w:left="760" w:right="58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 including post-marketing studies that could be required by regulatory authorities;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potential future commercialization activities, including manufacturing, marketing, sales, life cycle management and distribution, for our product candidates that we commercialize directly;</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revenue, if any, received from commercial sales of our product candidates;</w:t>
      </w:r>
    </w:p>
    <w:p>
      <w:pPr>
        <w:spacing w:after="0" w:line="225" w:lineRule="exact"/>
        <w:rPr>
          <w:rFonts w:ascii="Times New Roman" w:cs="Times New Roman" w:eastAsia="Times New Roman" w:hAnsi="Times New Roman"/>
          <w:sz w:val="18"/>
          <w:szCs w:val="18"/>
          <w:color w:val="auto"/>
        </w:rPr>
      </w:pPr>
    </w:p>
    <w:p>
      <w:pPr>
        <w:ind w:left="760" w:right="300" w:hanging="378"/>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misappropriating or otherwise violating their intellectual property rights;</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and availability of adequate third-party coverage and reimbursement for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competitors and market developments;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collaborators and partners under the existing agreements on setrusumab, leflutrozole and navicixizumab;</w:t>
      </w:r>
    </w:p>
    <w:p>
      <w:pPr>
        <w:spacing w:after="0" w:line="225" w:lineRule="exact"/>
        <w:rPr>
          <w:rFonts w:ascii="Times New Roman" w:cs="Times New Roman" w:eastAsia="Times New Roman" w:hAnsi="Times New Roman"/>
          <w:sz w:val="18"/>
          <w:szCs w:val="18"/>
          <w:color w:val="auto"/>
        </w:rPr>
      </w:pPr>
    </w:p>
    <w:p>
      <w:pPr>
        <w:ind w:left="760" w:righ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able to acquire new product candidates or enter into licensing or collaboration arrangements for our product candidates, although we currently have no commitments or agreements to complete any such transactions;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payments under the Amended AstraZeneca Agreements;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liabilities or other assessments and our ability to claim R&amp;D tax credits or other reliefs.</w:t>
      </w:r>
    </w:p>
    <w:p>
      <w:pPr>
        <w:spacing w:after="0" w:line="225"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Our revenues, if any, will be derived from development milestones or sales of any product candidates that we are able to successfully develop, receive regulatory approval for, and commercialize in future years. In the meantime, we will need to obtain substantial additional funds to achieve our business objective.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Adequate additional funds may not be available to us on acceptable terms, or at all. If we raised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w:t>
      </w:r>
    </w:p>
    <w:p>
      <w:pPr>
        <w:spacing w:after="0" w:line="176"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Any future debt financing or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your ownership interests.</w:t>
      </w:r>
    </w:p>
    <w:p>
      <w:pPr>
        <w:spacing w:after="0" w:line="176"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shareholders' ownership interests may be diluted, and the terms of these securities may include liquidation or other preferences that adversely affect your rights as a shareholder. If we are unable to raise additional funds through partnerships, debt or equity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are prepared in accordance with U.S. GAAP. The preparation of these unaudited condensed consolidated financial statements requires us to make estimates and assumptions that affect the reported amounts of assets, liabilities, costs and expenses, and related disclosures. On an ongoing basis, we evaluate our accounting estimates based on historical experience and on various other assumptions that we believe are reasonable under the circumstances. The actual impact on our financial performance could differ from these estimates under different assumptions or conditions.</w:t>
      </w:r>
    </w:p>
    <w:p>
      <w:pPr>
        <w:spacing w:after="0" w:line="183"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An accounting estimate is considered critical if both (i) the nature of the estimates or assumptions is material due to the levels of subjectivity and judgment involved, and (ii) the impact within a reasonable range of outcomes of the estimates and assumptions is material to our unaudited condensed consolidated financial statements. We believe that there are no estimates and assumptions made in our unaudited condensed consolidated financial statements that rise to this level. Our significant accounting policies are described under the heading “Management’s Discussion and Analysis of Financial Condition and Results of Operations—Critical Accounting Estimates” in our 2024 Annual Report, which was filed with the SEC on March 26, 2025. If actual results or events differ materially from the estimates, judgments and assumptions used by us in applying these policies, our reported financial condition and results of operations could be materially affected. There have been no significant changes to our critical accounting estimates from those described in our 2024 Annual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There have been no recent accounting pronouncements, changes in accounting pronouncements or recently adopted accounting guidance other than those previously included in the 2024 Annual Report that are of significance or potential significance to the Company. The Company is continuing to evaluate the impact of the recently issued pronouncements that are effective in future periods and were discussed in its 2024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the section titled “Information Regarding Forward-Looking Statements” at the beginning of this Quarterly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a “smaller reporting company” as defined by Item 10 of Regulation S-K, we are not required to provide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 15(e) and 15d 15(e)) under the Securities and Exchange Act of 1934, as amended (“Exchange Act”)) as of June 30, 2025.</w:t>
      </w:r>
    </w:p>
    <w:p>
      <w:pPr>
        <w:spacing w:after="0" w:line="176"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Based on such evaluation, our Chief Executive Officer and Chief Financial Officer have concluded that our disclosure controls and procedures were effective at June 30, 2025.</w:t>
      </w:r>
    </w:p>
    <w:p>
      <w:pPr>
        <w:sectPr>
          <w:pgSz w:w="11900" w:h="16838" w:orient="portrait"/>
          <w:cols w:equalWidth="0" w:num="1">
            <w:col w:w="11220"/>
          </w:cols>
          <w:pgMar w:left="320" w:top="117" w:right="359" w:bottom="1440" w:gutter="0" w:footer="0" w:header="0"/>
        </w:sectPr>
      </w:pP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No changes in our internal control over financial reporting (as defined in Rules 13a-15(e) and 15d – 15(e) under the Exchange Act) occurred during the three months ended June 30, 2025 that have materially affected, or are reasonably likely to materially affect, our internal control over financial reporting.</w:t>
      </w:r>
    </w:p>
    <w:p>
      <w:pPr>
        <w:spacing w:after="0" w:line="17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7" w:right="5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PART II – OTHER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June 30, 2025, we were not a party to any material legal proceedings.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the Company’s 2024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During the three-month period ended June 30, 2025, none of our directors or officers adopted, modified or terminated a “Rule 10b5-1 trading arrangement” or a “non-Rule 10b5-1 trading arrangement” as such terms are defined in Item 408(a) of Regulation S-K.</w:t>
      </w: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17" w:right="6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exhibits are either provided with this Quarterly Report on Form 10-Q or are incorporated herein by reference: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8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103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13a-14(a) and Rule 15d-14(a) of the Securities Exchange Act of 1934, as adopted</w:t>
            </w: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900" w:type="dxa"/>
            <w:vAlign w:val="bottom"/>
            <w:tcBorders>
              <w:right w:val="single" w:sz="8" w:color="0000FF"/>
            </w:tcBorders>
            <w:shd w:val="clear" w:color="auto" w:fill="0000FF"/>
          </w:tcPr>
          <w:p>
            <w:pPr>
              <w:spacing w:after="0" w:line="20" w:lineRule="exact"/>
              <w:rPr>
                <w:sz w:val="1"/>
                <w:szCs w:val="1"/>
                <w:color w:val="auto"/>
              </w:rPr>
            </w:pPr>
          </w:p>
        </w:tc>
        <w:tc>
          <w:tcPr>
            <w:tcW w:w="57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900" w:type="dxa"/>
            <w:vAlign w:val="bottom"/>
            <w:tcBorders>
              <w:right w:val="single" w:sz="8" w:color="0000EE"/>
            </w:tcBorders>
            <w:shd w:val="clear" w:color="auto" w:fill="0000FF"/>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103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 and Rule 15d-14(a) of the Securities Exchange Act of 1934, as adopted</w:t>
            </w: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6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900" w:type="dxa"/>
            <w:vAlign w:val="bottom"/>
            <w:tcBorders>
              <w:right w:val="single" w:sz="8" w:color="0000EE"/>
            </w:tcBorders>
            <w:shd w:val="clear" w:color="auto" w:fill="0000FF"/>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103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 Act of</w:t>
            </w: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900" w:type="dxa"/>
            <w:vAlign w:val="bottom"/>
            <w:tcBorders>
              <w:right w:val="single" w:sz="8" w:color="0000FF"/>
            </w:tcBorders>
            <w:shd w:val="clear" w:color="auto" w:fill="0000FF"/>
          </w:tcPr>
          <w:p>
            <w:pPr>
              <w:spacing w:after="0" w:line="20" w:lineRule="exact"/>
              <w:rPr>
                <w:sz w:val="1"/>
                <w:szCs w:val="1"/>
                <w:color w:val="auto"/>
              </w:rPr>
            </w:pPr>
          </w:p>
        </w:tc>
        <w:tc>
          <w:tcPr>
            <w:tcW w:w="57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54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390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98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24"/>
                <w:szCs w:val="24"/>
                <w:color w:val="auto"/>
              </w:rPr>
            </w:pPr>
          </w:p>
        </w:tc>
        <w:tc>
          <w:tcPr>
            <w:tcW w:w="103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 Act of</w:t>
            </w: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900" w:type="dxa"/>
            <w:vAlign w:val="bottom"/>
            <w:tcBorders>
              <w:right w:val="single" w:sz="8" w:color="0000FF"/>
            </w:tcBorders>
            <w:shd w:val="clear" w:color="auto" w:fill="0000FF"/>
          </w:tcPr>
          <w:p>
            <w:pPr>
              <w:spacing w:after="0" w:line="20" w:lineRule="exact"/>
              <w:rPr>
                <w:sz w:val="1"/>
                <w:szCs w:val="1"/>
                <w:color w:val="auto"/>
              </w:rPr>
            </w:pPr>
          </w:p>
        </w:tc>
        <w:tc>
          <w:tcPr>
            <w:tcW w:w="57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54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390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9900" w:type="dxa"/>
            <w:vAlign w:val="bottom"/>
            <w:gridSpan w:val="4"/>
          </w:tcPr>
          <w:p>
            <w:pPr>
              <w:spacing w:after="0" w:line="20" w:lineRule="exact"/>
              <w:rPr>
                <w:sz w:val="1"/>
                <w:szCs w:val="1"/>
                <w:color w:val="auto"/>
              </w:rPr>
            </w:pPr>
          </w:p>
        </w:tc>
      </w:tr>
      <w:tr>
        <w:trPr>
          <w:trHeight w:val="42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4"/>
                <w:szCs w:val="24"/>
                <w:color w:val="auto"/>
              </w:rPr>
            </w:pPr>
          </w:p>
        </w:tc>
        <w:tc>
          <w:tcPr>
            <w:tcW w:w="10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r>
      <w:tr>
        <w:trPr>
          <w:trHeight w:val="234"/>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10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10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cover page for the Company's Quarterly Report on Form 10-Q has been formatted in Inline XBRL and contained in Exhibit 101</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90309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 on August 12, 2025.</w:t>
      </w:r>
    </w:p>
    <w:p>
      <w:pPr>
        <w:spacing w:after="0" w:line="20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MEREO BIOPHARMA GROUP PLC</w:t>
      </w:r>
    </w:p>
    <w:p>
      <w:pPr>
        <w:sectPr>
          <w:pgSz w:w="11900" w:h="16838" w:orient="portrait"/>
          <w:cols w:equalWidth="0" w:num="1">
            <w:col w:w="11040"/>
          </w:cols>
          <w:pgMar w:left="320" w:top="117" w:right="5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12,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12,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3566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Denise Scots-Knight</w:t>
      </w:r>
    </w:p>
    <w:p>
      <w:pPr>
        <w:spacing w:after="0" w:line="23" w:lineRule="exact"/>
        <w:rPr>
          <w:sz w:val="20"/>
          <w:szCs w:val="20"/>
          <w:color w:val="auto"/>
        </w:rPr>
      </w:pPr>
    </w:p>
    <w:p>
      <w:pPr>
        <w:jc w:val="center"/>
        <w:ind w:right="37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Christine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3566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 Fox</w:t>
      </w:r>
    </w:p>
    <w:p>
      <w:pPr>
        <w:spacing w:after="0" w:line="23" w:lineRule="exact"/>
        <w:rPr>
          <w:sz w:val="20"/>
          <w:szCs w:val="20"/>
          <w:color w:val="auto"/>
        </w:rPr>
      </w:pPr>
    </w:p>
    <w:p>
      <w:pPr>
        <w:jc w:val="center"/>
        <w:ind w:right="37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0" w:lineRule="exact"/>
        <w:rPr>
          <w:sz w:val="20"/>
          <w:szCs w:val="20"/>
          <w:color w:val="auto"/>
        </w:rPr>
      </w:pPr>
    </w:p>
    <w:p>
      <w:pPr>
        <w:sectPr>
          <w:pgSz w:w="11900" w:h="16838" w:orient="portrait"/>
          <w:cols w:equalWidth="0" w:num="2">
            <w:col w:w="4900" w:space="720"/>
            <w:col w:w="5420"/>
          </w:cols>
          <w:pgMar w:left="320" w:top="117" w:right="539" w:bottom="1440" w:gutter="0" w:footer="0" w:header="0"/>
          <w:type w:val="continuous"/>
        </w:sectPr>
      </w:pPr>
    </w:p>
    <w:p>
      <w:pPr>
        <w:spacing w:after="0" w:line="22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7" w:right="539" w:bottom="1440" w:gutter="0" w:footer="0" w:header="0"/>
          <w:type w:val="continuous"/>
        </w:sectPr>
      </w:pPr>
    </w:p>
    <w:bookmarkStart w:id="32" w:name="page33"/>
    <w:bookmarkEnd w:id="32"/>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Denise Scots-Knight, certify that:</w:t>
      </w:r>
    </w:p>
    <w:p>
      <w:pPr>
        <w:spacing w:after="0" w:line="131"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Mereo BioPharma Group plc (the “Company”);</w:t>
      </w:r>
    </w:p>
    <w:p>
      <w:pPr>
        <w:spacing w:after="0" w:line="130" w:lineRule="exact"/>
        <w:rPr>
          <w:rFonts w:ascii="Times New Roman" w:cs="Times New Roman" w:eastAsia="Times New Roman" w:hAnsi="Times New Roman"/>
          <w:sz w:val="18"/>
          <w:szCs w:val="18"/>
          <w:color w:val="auto"/>
        </w:rPr>
      </w:pPr>
    </w:p>
    <w:p>
      <w:pPr>
        <w:jc w:val="both"/>
        <w:ind w:left="460" w:right="300" w:hanging="452"/>
        <w:spacing w:after="0" w:line="266"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280" w:hanging="452"/>
        <w:spacing w:after="0" w:line="282"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460" w:right="280" w:hanging="452"/>
        <w:spacing w:after="0" w:line="266"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81" w:lineRule="exact"/>
        <w:rPr>
          <w:rFonts w:ascii="Times New Roman" w:cs="Times New Roman" w:eastAsia="Times New Roman" w:hAnsi="Times New Roman"/>
          <w:sz w:val="18"/>
          <w:szCs w:val="18"/>
          <w:color w:val="auto"/>
        </w:rPr>
      </w:pPr>
    </w:p>
    <w:p>
      <w:pPr>
        <w:ind w:left="1020" w:right="20" w:hanging="55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020" w:right="320" w:hanging="55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1020" w:right="480" w:hanging="553"/>
        <w:spacing w:after="0" w:line="282"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020" w:right="100" w:hanging="55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quarterly report that has materially affected, or is reasonably likely to materially affect, the Company’s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240" w:hanging="452"/>
        <w:spacing w:after="0" w:line="312" w:lineRule="auto"/>
        <w:tabs>
          <w:tab w:leader="none" w:pos="4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have disclosed, based on our most recent evaluation of internal control over financial reporting, to the Company’s auditors and the audit and risk committee of the Company’s board of directors (or persons performing the equivalent functions):</w:t>
      </w:r>
    </w:p>
    <w:p>
      <w:pPr>
        <w:spacing w:after="0" w:line="45" w:lineRule="exact"/>
        <w:rPr>
          <w:rFonts w:ascii="Times New Roman" w:cs="Times New Roman" w:eastAsia="Times New Roman" w:hAnsi="Times New Roman"/>
          <w:sz w:val="17"/>
          <w:szCs w:val="17"/>
          <w:color w:val="auto"/>
        </w:rPr>
      </w:pPr>
    </w:p>
    <w:p>
      <w:pPr>
        <w:ind w:left="1020" w:right="740" w:hanging="553"/>
        <w:spacing w:after="0" w:line="282"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020" w:right="400" w:hanging="553"/>
        <w:spacing w:after="0" w:line="282"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12, 2025</w:t>
      </w:r>
    </w:p>
    <w:p>
      <w:pPr>
        <w:spacing w:after="0" w:line="200" w:lineRule="exact"/>
        <w:rPr>
          <w:sz w:val="20"/>
          <w:szCs w:val="20"/>
          <w:color w:val="auto"/>
        </w:rPr>
      </w:pPr>
    </w:p>
    <w:p>
      <w:pPr>
        <w:spacing w:after="0" w:line="295"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 Denise Scots-Knight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00" w:type="dxa"/>
            <w:vAlign w:val="bottom"/>
          </w:tcPr>
          <w:p>
            <w:pPr>
              <w:spacing w:after="0"/>
              <w:rPr>
                <w:sz w:val="17"/>
                <w:szCs w:val="17"/>
                <w:color w:val="auto"/>
              </w:rPr>
            </w:pPr>
          </w:p>
        </w:tc>
        <w:tc>
          <w:tcPr>
            <w:tcW w:w="7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180" w:type="dxa"/>
            <w:vAlign w:val="bottom"/>
            <w:tcBorders>
              <w:top w:val="single" w:sz="8" w:color="auto"/>
            </w:tcBorders>
          </w:tcPr>
          <w:p>
            <w:pPr>
              <w:ind w:left="300"/>
              <w:spacing w:after="0" w:line="205" w:lineRule="exact"/>
              <w:rPr>
                <w:sz w:val="20"/>
                <w:szCs w:val="20"/>
                <w:color w:val="auto"/>
              </w:rPr>
            </w:pPr>
            <w:r>
              <w:rPr>
                <w:rFonts w:ascii="Times New Roman" w:cs="Times New Roman" w:eastAsia="Times New Roman" w:hAnsi="Times New Roman"/>
                <w:sz w:val="18"/>
                <w:szCs w:val="18"/>
                <w:color w:val="auto"/>
              </w:rPr>
              <w:t>Denise Scots-Knight</w:t>
            </w:r>
          </w:p>
        </w:tc>
      </w:tr>
      <w:tr>
        <w:trPr>
          <w:trHeight w:val="234"/>
        </w:trPr>
        <w:tc>
          <w:tcPr>
            <w:tcW w:w="630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545"/>
        </w:trPr>
        <w:tc>
          <w:tcPr>
            <w:tcW w:w="63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Christine Fox, certify that:</w:t>
      </w:r>
    </w:p>
    <w:p>
      <w:pPr>
        <w:spacing w:after="0" w:line="131"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Mereo BioPharma Group plc (the “Company”);</w:t>
      </w:r>
    </w:p>
    <w:p>
      <w:pPr>
        <w:spacing w:after="0" w:line="130" w:lineRule="exact"/>
        <w:rPr>
          <w:rFonts w:ascii="Times New Roman" w:cs="Times New Roman" w:eastAsia="Times New Roman" w:hAnsi="Times New Roman"/>
          <w:sz w:val="18"/>
          <w:szCs w:val="18"/>
          <w:color w:val="auto"/>
        </w:rPr>
      </w:pPr>
    </w:p>
    <w:p>
      <w:pPr>
        <w:jc w:val="both"/>
        <w:ind w:left="460" w:right="300" w:hanging="452"/>
        <w:spacing w:after="0" w:line="266"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280" w:hanging="452"/>
        <w:spacing w:after="0" w:line="282"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460" w:right="280" w:hanging="452"/>
        <w:spacing w:after="0" w:line="266"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81" w:lineRule="exact"/>
        <w:rPr>
          <w:rFonts w:ascii="Times New Roman" w:cs="Times New Roman" w:eastAsia="Times New Roman" w:hAnsi="Times New Roman"/>
          <w:sz w:val="18"/>
          <w:szCs w:val="18"/>
          <w:color w:val="auto"/>
        </w:rPr>
      </w:pPr>
    </w:p>
    <w:p>
      <w:pPr>
        <w:ind w:left="1020" w:right="20" w:hanging="55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020" w:right="320" w:hanging="55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1020" w:right="480" w:hanging="553"/>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020" w:right="100" w:hanging="55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quarterly report that has materially affected, or is reasonably likely to materially affect, the Company’s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240" w:hanging="452"/>
        <w:spacing w:after="0" w:line="312" w:lineRule="auto"/>
        <w:tabs>
          <w:tab w:leader="none" w:pos="4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have disclosed, based on our most recent evaluation of internal control over financial reporting, to the Company’s auditors and the audit and risk committee of the Company’s board of directors (or persons performing the equivalent functions):</w:t>
      </w:r>
    </w:p>
    <w:p>
      <w:pPr>
        <w:spacing w:after="0" w:line="45" w:lineRule="exact"/>
        <w:rPr>
          <w:rFonts w:ascii="Times New Roman" w:cs="Times New Roman" w:eastAsia="Times New Roman" w:hAnsi="Times New Roman"/>
          <w:sz w:val="17"/>
          <w:szCs w:val="17"/>
          <w:color w:val="auto"/>
        </w:rPr>
      </w:pPr>
    </w:p>
    <w:p>
      <w:pPr>
        <w:ind w:left="1020" w:right="740" w:hanging="553"/>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020" w:right="400" w:hanging="553"/>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12, 2025</w:t>
      </w:r>
    </w:p>
    <w:p>
      <w:pPr>
        <w:spacing w:after="0" w:line="200" w:lineRule="exact"/>
        <w:rPr>
          <w:sz w:val="20"/>
          <w:szCs w:val="20"/>
          <w:color w:val="auto"/>
        </w:rPr>
      </w:pPr>
    </w:p>
    <w:p>
      <w:pPr>
        <w:spacing w:after="0" w:line="29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Christine Fox</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60" w:type="dxa"/>
            <w:vAlign w:val="bottom"/>
          </w:tcPr>
          <w:p>
            <w:pPr>
              <w:spacing w:after="0"/>
              <w:rPr>
                <w:sz w:val="17"/>
                <w:szCs w:val="17"/>
                <w:color w:val="auto"/>
              </w:rPr>
            </w:pPr>
          </w:p>
        </w:tc>
        <w:tc>
          <w:tcPr>
            <w:tcW w:w="9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Borders>
              <w:top w:val="single" w:sz="8" w:color="auto"/>
            </w:tcBorders>
          </w:tcPr>
          <w:p>
            <w:pPr>
              <w:ind w:left="460"/>
              <w:spacing w:after="0" w:line="205" w:lineRule="exact"/>
              <w:rPr>
                <w:sz w:val="20"/>
                <w:szCs w:val="20"/>
                <w:color w:val="auto"/>
              </w:rPr>
            </w:pPr>
            <w:r>
              <w:rPr>
                <w:rFonts w:ascii="Times New Roman" w:cs="Times New Roman" w:eastAsia="Times New Roman" w:hAnsi="Times New Roman"/>
                <w:sz w:val="18"/>
                <w:szCs w:val="18"/>
                <w:color w:val="auto"/>
              </w:rPr>
              <w:t>Christine Fox</w:t>
            </w:r>
          </w:p>
        </w:tc>
      </w:tr>
      <w:tr>
        <w:trPr>
          <w:trHeight w:val="234"/>
        </w:trPr>
        <w:tc>
          <w:tcPr>
            <w:tcW w:w="596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843"/>
        </w:trPr>
        <w:tc>
          <w:tcPr>
            <w:tcW w:w="59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Mereo BioPharma Group plc (the “Company”) on Form 10-Q for the quarterly period ended June 30, 2025 as filed with the Securities and Exchange Commission on the date hereof (the “Report”), I, Denise Scots-Knight,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520" w:firstLine="8"/>
        <w:spacing w:after="0" w:line="532"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August 12,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Denise Scots-Knight</w:t>
            </w:r>
          </w:p>
        </w:tc>
      </w:tr>
      <w:tr>
        <w:trPr>
          <w:trHeight w:val="205"/>
        </w:trPr>
        <w:tc>
          <w:tcPr>
            <w:tcW w:w="11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58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Denise Scots-Knight</w:t>
            </w:r>
          </w:p>
        </w:tc>
        <w:tc>
          <w:tcPr>
            <w:tcW w:w="4280" w:type="dxa"/>
            <w:vAlign w:val="bottom"/>
          </w:tcPr>
          <w:p>
            <w:pPr>
              <w:spacing w:after="0"/>
              <w:rPr>
                <w:sz w:val="17"/>
                <w:szCs w:val="17"/>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02"/>
        </w:trPr>
        <w:tc>
          <w:tcPr>
            <w:tcW w:w="1120" w:type="dxa"/>
            <w:vAlign w:val="bottom"/>
            <w:tcBorders>
              <w:bottom w:val="single" w:sz="8" w:color="9A9A9A"/>
            </w:tcBorders>
          </w:tcPr>
          <w:p>
            <w:pPr>
              <w:spacing w:after="0"/>
              <w:rPr>
                <w:sz w:val="24"/>
                <w:szCs w:val="24"/>
                <w:color w:val="auto"/>
              </w:rPr>
            </w:pPr>
          </w:p>
        </w:tc>
        <w:tc>
          <w:tcPr>
            <w:tcW w:w="584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Mereo BioPharma Group plc (the “Company”) on Form 10-Q for the quarterly period ended June 30, 2025 as filed with the Securities and Exchange Commission on the date hereof (the “Report”), I, Christine Fox, Chief Financial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520" w:firstLine="8"/>
        <w:spacing w:after="0" w:line="532"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August 12,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Christine Fox</w:t>
            </w:r>
          </w:p>
        </w:tc>
      </w:tr>
      <w:tr>
        <w:trPr>
          <w:trHeight w:val="205"/>
        </w:trPr>
        <w:tc>
          <w:tcPr>
            <w:tcW w:w="13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53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Christine Fox</w:t>
            </w:r>
          </w:p>
        </w:tc>
        <w:tc>
          <w:tcPr>
            <w:tcW w:w="4500" w:type="dxa"/>
            <w:vAlign w:val="bottom"/>
          </w:tcPr>
          <w:p>
            <w:pPr>
              <w:spacing w:after="0"/>
              <w:rPr>
                <w:sz w:val="17"/>
                <w:szCs w:val="17"/>
                <w:color w:val="auto"/>
              </w:rPr>
            </w:pPr>
          </w:p>
        </w:tc>
      </w:t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843"/>
        </w:trPr>
        <w:tc>
          <w:tcPr>
            <w:tcW w:w="136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2025-08-12T07:00:56Z</dcterms:created>
  <dcterms:modified xsi:type="dcterms:W3CDTF">2025-08-12T07:00:56Z</dcterms:modified>
</cp:coreProperties>
</file>