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324485</wp:posOffset>
            </wp:positionH>
            <wp:positionV relativeFrom="page">
              <wp:posOffset>342900</wp:posOffset>
            </wp:positionV>
            <wp:extent cx="6894830" cy="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4830" cy="9525"/>
                    </a:xfrm>
                    <a:prstGeom prst="rect">
                      <a:avLst/>
                    </a:prstGeom>
                    <a:noFill/>
                  </pic:spPr>
                </pic:pic>
              </a:graphicData>
            </a:graphic>
          </wp:anchor>
        </w:drawing>
        <w:drawing>
          <wp:anchor simplePos="0" relativeHeight="251657728" behindDoc="1" locked="0" layoutInCell="0" allowOverlap="1">
            <wp:simplePos x="0" y="0"/>
            <wp:positionH relativeFrom="page">
              <wp:posOffset>324485</wp:posOffset>
            </wp:positionH>
            <wp:positionV relativeFrom="page">
              <wp:posOffset>361950</wp:posOffset>
            </wp:positionV>
            <wp:extent cx="6894830" cy="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9525"/>
                    </a:xfrm>
                    <a:prstGeom prst="rect">
                      <a:avLst/>
                    </a:prstGeom>
                    <a:noFill/>
                  </pic:spPr>
                </pic:pic>
              </a:graphicData>
            </a:graphic>
          </wp:anchor>
        </w:drawing>
        <w:t>UNITED STATES</w:t>
      </w: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71" w:lineRule="exact"/>
        <w:rPr>
          <w:sz w:val="24"/>
          <w:szCs w:val="24"/>
          <w:color w:val="auto"/>
        </w:rPr>
      </w:pPr>
    </w:p>
    <w:p>
      <w:pPr>
        <w:ind w:left="320" w:hanging="320"/>
        <w:spacing w:after="0"/>
        <w:tabs>
          <w:tab w:leader="none" w:pos="320" w:val="left"/>
        </w:tabs>
        <w:numPr>
          <w:ilvl w:val="0"/>
          <w:numId w:val="1"/>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2024</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60" w:lineRule="exact"/>
        <w:rPr>
          <w:sz w:val="24"/>
          <w:szCs w:val="24"/>
          <w:color w:val="auto"/>
        </w:rPr>
      </w:pPr>
    </w:p>
    <w:p>
      <w:pPr>
        <w:ind w:left="320" w:hanging="320"/>
        <w:spacing w:after="0"/>
        <w:tabs>
          <w:tab w:leader="none" w:pos="320" w:val="left"/>
        </w:tabs>
        <w:numPr>
          <w:ilvl w:val="0"/>
          <w:numId w:val="2"/>
        </w:numPr>
        <w:rPr>
          <w:rFonts w:ascii="MS PGothic" w:cs="MS PGothic" w:eastAsia="MS PGothic" w:hAnsi="MS PGothic"/>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ectPr>
          <w:pgSz w:w="11880" w:h="15480" w:orient="portrait"/>
          <w:cols w:equalWidth="0" w:num="1">
            <w:col w:w="10800"/>
          </w:cols>
          <w:pgMar w:left="540" w:top="621" w:right="540" w:bottom="314" w:gutter="0" w:footer="0" w:header="0"/>
        </w:sectPr>
      </w:pPr>
    </w:p>
    <w:p>
      <w:pPr>
        <w:spacing w:after="0" w:line="9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For the transition period from</w:t>
      </w:r>
    </w:p>
    <w:p>
      <w:pPr>
        <w:ind w:left="3920"/>
        <w:spacing w:after="0"/>
        <w:rPr>
          <w:sz w:val="20"/>
          <w:szCs w:val="20"/>
          <w:color w:val="auto"/>
        </w:rPr>
      </w:pPr>
      <w:r>
        <w:rPr>
          <w:rFonts w:ascii="Times New Roman" w:cs="Times New Roman" w:eastAsia="Times New Roman" w:hAnsi="Times New Roman"/>
          <w:sz w:val="19"/>
          <w:szCs w:val="19"/>
          <w:b w:val="1"/>
          <w:bCs w:val="1"/>
          <w:color w:val="auto"/>
        </w:rPr>
        <w:t>Commission File Number 001-38452</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249" w:lineRule="exact"/>
        <w:rPr>
          <w:sz w:val="24"/>
          <w:szCs w:val="24"/>
          <w:color w:val="auto"/>
        </w:rPr>
      </w:pPr>
    </w:p>
    <w:p>
      <w:pPr>
        <w:sectPr>
          <w:pgSz w:w="11880" w:h="15480" w:orient="portrait"/>
          <w:cols w:equalWidth="0" w:num="2">
            <w:col w:w="6880" w:space="240"/>
            <w:col w:w="3680"/>
          </w:cols>
          <w:pgMar w:left="540" w:top="621" w:right="540" w:bottom="314" w:gutter="0" w:footer="0" w:header="0"/>
          <w:type w:val="continuous"/>
        </w:sectPr>
      </w:pPr>
    </w:p>
    <w:p>
      <w:pPr>
        <w:jc w:val="center"/>
        <w:spacing w:after="0"/>
        <w:rPr>
          <w:sz w:val="20"/>
          <w:szCs w:val="20"/>
          <w:color w:val="auto"/>
        </w:rPr>
      </w:pPr>
      <w:r>
        <w:rPr>
          <w:rFonts w:ascii="Times New Roman" w:cs="Times New Roman" w:eastAsia="Times New Roman" w:hAnsi="Times New Roman"/>
          <w:sz w:val="28"/>
          <w:szCs w:val="28"/>
          <w:b w:val="1"/>
          <w:bCs w:val="1"/>
          <w:color w:val="auto"/>
        </w:rPr>
        <w:t>MEREO BIOPHARMA GROUP PLC</w:t>
      </w:r>
    </w:p>
    <w:p>
      <w:pPr>
        <w:jc w:val="center"/>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England and Wales</w:t>
            </w:r>
          </w:p>
        </w:tc>
        <w:tc>
          <w:tcPr>
            <w:tcW w:w="200" w:type="dxa"/>
            <w:vAlign w:val="bottom"/>
          </w:tcPr>
          <w:p>
            <w:pPr>
              <w:spacing w:after="0"/>
              <w:rPr>
                <w:sz w:val="17"/>
                <w:szCs w:val="17"/>
                <w:color w:val="auto"/>
              </w:rPr>
            </w:pP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 Applicable</w:t>
            </w:r>
          </w:p>
        </w:tc>
      </w:tr>
      <w:tr>
        <w:trPr>
          <w:trHeight w:val="219"/>
        </w:trPr>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(State or other jurisdiction of incorporation or organization)</w:t>
            </w:r>
          </w:p>
        </w:tc>
        <w:tc>
          <w:tcPr>
            <w:tcW w:w="20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(I.R.S. Employer Identification No.)</w:t>
            </w:r>
          </w:p>
        </w:tc>
      </w:tr>
      <w:tr>
        <w:trPr>
          <w:trHeight w:val="209"/>
        </w:trPr>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 Cavendish Place, 4</w:t>
            </w:r>
            <w:r>
              <w:rPr>
                <w:rFonts w:ascii="Times New Roman" w:cs="Times New Roman" w:eastAsia="Times New Roman" w:hAnsi="Times New Roman"/>
                <w:sz w:val="12"/>
                <w:szCs w:val="12"/>
                <w:b w:val="1"/>
                <w:bCs w:val="1"/>
                <w:color w:val="auto"/>
                <w:w w:val="99"/>
              </w:rPr>
              <w:t>th</w:t>
            </w:r>
            <w:r>
              <w:rPr>
                <w:rFonts w:ascii="Times New Roman" w:cs="Times New Roman" w:eastAsia="Times New Roman" w:hAnsi="Times New Roman"/>
                <w:sz w:val="18"/>
                <w:szCs w:val="18"/>
                <w:b w:val="1"/>
                <w:bCs w:val="1"/>
                <w:color w:val="auto"/>
                <w:w w:val="99"/>
              </w:rPr>
              <w:t xml:space="preserve"> Floor</w:t>
            </w:r>
          </w:p>
        </w:tc>
        <w:tc>
          <w:tcPr>
            <w:tcW w:w="20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07"/>
        </w:trPr>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London, W1G 0QF</w:t>
            </w:r>
          </w:p>
        </w:tc>
        <w:tc>
          <w:tcPr>
            <w:tcW w:w="200" w:type="dxa"/>
            <w:vAlign w:val="bottom"/>
          </w:tcPr>
          <w:p>
            <w:pPr>
              <w:spacing w:after="0"/>
              <w:rPr>
                <w:sz w:val="17"/>
                <w:szCs w:val="17"/>
                <w:color w:val="auto"/>
              </w:rPr>
            </w:pPr>
          </w:p>
        </w:tc>
        <w:tc>
          <w:tcPr>
            <w:tcW w:w="5300" w:type="dxa"/>
            <w:vAlign w:val="bottom"/>
          </w:tcPr>
          <w:p>
            <w:pPr>
              <w:spacing w:after="0"/>
              <w:rPr>
                <w:sz w:val="17"/>
                <w:szCs w:val="17"/>
                <w:color w:val="auto"/>
              </w:rPr>
            </w:pPr>
          </w:p>
        </w:tc>
      </w:tr>
      <w:tr>
        <w:trPr>
          <w:trHeight w:val="222"/>
        </w:trPr>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5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+44-333-023-7300</w:t>
            </w:r>
          </w:p>
        </w:tc>
      </w:tr>
      <w:tr>
        <w:trPr>
          <w:trHeight w:val="229"/>
        </w:trPr>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20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r>
    </w:tbl>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114" w:lineRule="exact"/>
        <w:rPr>
          <w:sz w:val="24"/>
          <w:szCs w:val="24"/>
          <w:color w:val="auto"/>
        </w:rPr>
      </w:pPr>
    </w:p>
    <w:tbl>
      <w:tblPr>
        <w:tblLayout w:type="fixed"/>
        <w:tblInd w:w="220" w:type="dxa"/>
        <w:tblCellMar>
          <w:top w:w="0" w:type="dxa"/>
          <w:left w:w="0" w:type="dxa"/>
          <w:bottom w:w="0" w:type="dxa"/>
          <w:right w:w="0" w:type="dxa"/>
        </w:tblCellMar>
      </w:tblPr>
      <w:tr>
        <w:trPr>
          <w:trHeight w:val="210"/>
        </w:trPr>
        <w:tc>
          <w:tcPr>
            <w:tcW w:w="41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8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7"/>
        </w:trPr>
        <w:tc>
          <w:tcPr>
            <w:tcW w:w="41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American Depositary Shares, each representing five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MREO</w:t>
            </w:r>
          </w:p>
        </w:tc>
        <w:tc>
          <w:tcPr>
            <w:tcW w:w="38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53"/>
        </w:trPr>
        <w:tc>
          <w:tcPr>
            <w:tcW w:w="41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ordinary shares, nominal value of £0.003 per share</w:t>
            </w:r>
          </w:p>
        </w:tc>
        <w:tc>
          <w:tcPr>
            <w:tcW w:w="2240" w:type="dxa"/>
            <w:vAlign w:val="bottom"/>
          </w:tcPr>
          <w:p>
            <w:pPr>
              <w:spacing w:after="0"/>
              <w:rPr>
                <w:sz w:val="22"/>
                <w:szCs w:val="22"/>
                <w:color w:val="auto"/>
              </w:rPr>
            </w:pPr>
          </w:p>
        </w:tc>
        <w:tc>
          <w:tcPr>
            <w:tcW w:w="38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1"/>
        </w:trPr>
        <w:tc>
          <w:tcPr>
            <w:tcW w:w="41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Ordinary Shares, nominal value of £0.003 per share</w:t>
            </w:r>
          </w:p>
        </w:tc>
        <w:tc>
          <w:tcPr>
            <w:tcW w:w="2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52" w:lineRule="exact"/>
        <w:rPr>
          <w:sz w:val="24"/>
          <w:szCs w:val="24"/>
          <w:color w:val="auto"/>
        </w:rPr>
      </w:pPr>
    </w:p>
    <w:p>
      <w:pPr>
        <w:ind w:right="160" w:firstLine="720"/>
        <w:spacing w:after="0" w:line="239" w:lineRule="auto"/>
        <w:tabs>
          <w:tab w:leader="none" w:pos="8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American Depositary Shares representing such Ordinary Shares pursuant to the requirements of the U.S. Securities and Exchange Commission.</w:t>
      </w:r>
    </w:p>
    <w:p>
      <w:pPr>
        <w:jc w:val="center"/>
        <w:spacing w:after="0" w:line="238" w:lineRule="auto"/>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43" w:lineRule="exact"/>
        <w:rPr>
          <w:sz w:val="24"/>
          <w:szCs w:val="24"/>
          <w:color w:val="auto"/>
        </w:rPr>
      </w:pPr>
    </w:p>
    <w:p>
      <w:pPr>
        <w:ind w:left="720" w:right="340"/>
        <w:spacing w:after="0" w:line="286"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Wingdings" w:cs="Wingdings" w:eastAsia="Wingdings" w:hAnsi="Wingdings"/>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color w:val="auto"/>
        </w:rPr>
        <w:t></w:t>
      </w:r>
      <w:r>
        <w:rPr>
          <w:rFonts w:ascii="Times New Roman" w:cs="Times New Roman" w:eastAsia="Times New Roman" w:hAnsi="Times New Roman"/>
          <w:sz w:val="18"/>
          <w:szCs w:val="18"/>
          <w:color w:val="auto"/>
        </w:rPr>
        <w:t xml:space="preserve"> No Indicate by check mark if the registrant is not required to file reports pursuant to Section 13 or Section 15(d) of the Act. </w:t>
      </w:r>
      <w:r>
        <w:rPr>
          <w:rFonts w:ascii="Wingdings" w:cs="Wingdings" w:eastAsia="Wingdings" w:hAnsi="Wingdings"/>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4"/>
          <w:szCs w:val="24"/>
          <w:color w:val="auto"/>
        </w:rPr>
      </w:pPr>
    </w:p>
    <w:p>
      <w:pPr>
        <w:jc w:val="both"/>
        <w:ind w:right="40" w:firstLine="720"/>
        <w:spacing w:after="0" w:line="25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4"/>
          <w:szCs w:val="24"/>
          <w:color w:val="auto"/>
        </w:rPr>
      </w:pPr>
    </w:p>
    <w:p>
      <w:pPr>
        <w:jc w:val="both"/>
        <w:ind w:right="100" w:firstLine="720"/>
        <w:spacing w:after="0" w:line="25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Wingdings" w:cs="Wingdings" w:eastAsia="Wingdings" w:hAnsi="Wingdings"/>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4"/>
          <w:szCs w:val="24"/>
          <w:color w:val="auto"/>
        </w:rPr>
      </w:pPr>
    </w:p>
    <w:p>
      <w:pPr>
        <w:jc w:val="both"/>
        <w:ind w:right="280" w:firstLine="7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jc w:val="right"/>
        <w:ind w:left="1020" w:right="1020"/>
        <w:spacing w:after="0" w:line="241"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color w:val="auto"/>
        </w:rPr>
        <w:t></w:t>
      </w:r>
      <w:r>
        <w:rPr>
          <w:rFonts w:ascii="Times New Roman" w:cs="Times New Roman" w:eastAsia="Times New Roman" w:hAnsi="Times New Roman"/>
          <w:sz w:val="18"/>
          <w:szCs w:val="18"/>
          <w:color w:val="auto"/>
        </w:rPr>
        <w:t xml:space="preserve">    Accelerated filer </w:t>
      </w:r>
      <w:r>
        <w:rPr>
          <w:rFonts w:ascii="Wingdings" w:cs="Wingdings" w:eastAsia="Wingdings" w:hAnsi="Wingdings"/>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Emerging growth company </w:t>
      </w:r>
      <w:r>
        <w:rPr>
          <w:rFonts w:ascii="Wingdings" w:cs="Wingdings" w:eastAsia="Wingdings" w:hAnsi="Wingdings"/>
          <w:sz w:val="18"/>
          <w:szCs w:val="18"/>
          <w:color w:val="auto"/>
        </w:rPr>
        <w:t></w:t>
      </w:r>
    </w:p>
    <w:p>
      <w:pPr>
        <w:spacing w:after="0" w:line="13" w:lineRule="exact"/>
        <w:rPr>
          <w:sz w:val="24"/>
          <w:szCs w:val="24"/>
          <w:color w:val="auto"/>
        </w:rPr>
      </w:pPr>
    </w:p>
    <w:p>
      <w:pPr>
        <w:ind w:firstLine="720"/>
        <w:spacing w:after="0" w:line="263"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color w:val="auto"/>
        </w:rPr>
        <w:t></w:t>
      </w:r>
    </w:p>
    <w:p>
      <w:pPr>
        <w:ind w:firstLine="720"/>
        <w:spacing w:after="0" w:line="239"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that prepared or issued its audit report. </w:t>
      </w:r>
      <w:r>
        <w:rPr>
          <w:rFonts w:ascii="MS PGothic" w:cs="MS PGothic" w:eastAsia="MS PGothic" w:hAnsi="MS PGothic"/>
          <w:sz w:val="18"/>
          <w:szCs w:val="18"/>
          <w:b w:val="1"/>
          <w:bCs w:val="1"/>
          <w:color w:val="auto"/>
        </w:rPr>
        <w:t>☐</w:t>
      </w:r>
    </w:p>
    <w:p>
      <w:pPr>
        <w:spacing w:after="0" w:line="74" w:lineRule="exact"/>
        <w:rPr>
          <w:sz w:val="24"/>
          <w:szCs w:val="24"/>
          <w:color w:val="auto"/>
        </w:rPr>
      </w:pPr>
    </w:p>
    <w:p>
      <w:pPr>
        <w:ind w:right="260" w:firstLine="720"/>
        <w:spacing w:after="0" w:line="24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b w:val="1"/>
          <w:bCs w:val="1"/>
          <w:color w:val="auto"/>
        </w:rPr>
        <w:t>☐</w:t>
      </w:r>
    </w:p>
    <w:p>
      <w:pPr>
        <w:spacing w:after="0" w:line="2" w:lineRule="exact"/>
        <w:rPr>
          <w:sz w:val="24"/>
          <w:szCs w:val="24"/>
          <w:color w:val="auto"/>
        </w:rPr>
      </w:pPr>
    </w:p>
    <w:p>
      <w:pPr>
        <w:ind w:right="640" w:firstLine="720"/>
        <w:spacing w:after="0" w:line="243"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b w:val="1"/>
          <w:bCs w:val="1"/>
          <w:color w:val="auto"/>
        </w:rPr>
        <w:t>☐</w:t>
      </w:r>
    </w:p>
    <w:p>
      <w:pPr>
        <w:ind w:left="7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w:t>
      </w:r>
    </w:p>
    <w:p>
      <w:pPr>
        <w:spacing w:after="0" w:line="74" w:lineRule="exact"/>
        <w:rPr>
          <w:sz w:val="24"/>
          <w:szCs w:val="24"/>
          <w:color w:val="auto"/>
        </w:rPr>
      </w:pPr>
    </w:p>
    <w:p>
      <w:pPr>
        <w:ind w:right="280" w:firstLine="720"/>
        <w:spacing w:after="0" w:line="263"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2024, the last business day of the registrant’s most recently completed second fiscal quarter, was approximately $ 471,388,208.</w:t>
      </w:r>
    </w:p>
    <w:p>
      <w:pPr>
        <w:jc w:val="center"/>
        <w:ind w:right="200"/>
        <w:spacing w:after="0" w:line="333" w:lineRule="auto"/>
        <w:rPr>
          <w:sz w:val="20"/>
          <w:szCs w:val="20"/>
          <w:color w:val="auto"/>
        </w:rPr>
      </w:pPr>
      <w:r>
        <w:rPr>
          <w:rFonts w:ascii="Times New Roman" w:cs="Times New Roman" w:eastAsia="Times New Roman" w:hAnsi="Times New Roman"/>
          <w:sz w:val="18"/>
          <w:szCs w:val="18"/>
          <w:color w:val="auto"/>
        </w:rPr>
        <w:t>As of March 25, 2025 the number of outstanding ordinary shares, par value £0.003 per share, of the registrant was 795,001,444 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2450465</wp:posOffset>
            </wp:positionH>
            <wp:positionV relativeFrom="paragraph">
              <wp:posOffset>-178435</wp:posOffset>
            </wp:positionV>
            <wp:extent cx="19570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7070" cy="9525"/>
                    </a:xfrm>
                    <a:prstGeom prst="rect">
                      <a:avLst/>
                    </a:prstGeom>
                    <a:noFill/>
                  </pic:spPr>
                </pic:pic>
              </a:graphicData>
            </a:graphic>
          </wp:anchor>
        </w:drawing>
      </w:r>
    </w:p>
    <w:p>
      <w:pPr>
        <w:ind w:right="420" w:firstLine="720"/>
        <w:spacing w:after="0" w:line="259"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2025 Annual Meeting of Stockholders (“Proxy Statement”)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sectPr>
          <w:pgSz w:w="11880" w:h="15480" w:orient="portrait"/>
          <w:cols w:equalWidth="0" w:num="1">
            <w:col w:w="10800"/>
          </w:cols>
          <w:pgMar w:left="540" w:top="621" w:right="540" w:bottom="31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860" w:type="dxa"/>
            <w:vAlign w:val="bottom"/>
          </w:tcPr>
          <w:p>
            <w:pPr>
              <w:spacing w:after="0"/>
              <w:rPr>
                <w:sz w:val="23"/>
                <w:szCs w:val="23"/>
                <w:color w:val="auto"/>
              </w:rPr>
            </w:pPr>
          </w:p>
        </w:tc>
        <w:tc>
          <w:tcPr>
            <w:tcW w:w="9380" w:type="dxa"/>
            <w:vAlign w:val="bottom"/>
          </w:tcPr>
          <w:p>
            <w:pPr>
              <w:ind w:left="37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7"/>
        </w:trPr>
        <w:tc>
          <w:tcPr>
            <w:tcW w:w="86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9"/>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PART I</w:t>
            </w:r>
          </w:p>
        </w:tc>
        <w:tc>
          <w:tcPr>
            <w:tcW w:w="93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7"/>
        </w:trPr>
        <w:tc>
          <w:tcPr>
            <w:tcW w:w="860" w:type="dxa"/>
            <w:vAlign w:val="bottom"/>
            <w:vMerge w:val="continue"/>
          </w:tcPr>
          <w:p>
            <w:pPr>
              <w:spacing w:after="0"/>
              <w:rPr>
                <w:sz w:val="24"/>
                <w:szCs w:val="24"/>
                <w:color w:val="auto"/>
              </w:rPr>
            </w:pPr>
          </w:p>
        </w:tc>
        <w:tc>
          <w:tcPr>
            <w:tcW w:w="9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Business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4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Cybersecurity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4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Properties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PART II</w:t>
            </w:r>
          </w:p>
        </w:tc>
        <w:tc>
          <w:tcPr>
            <w:tcW w:w="9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4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PART III</w:t>
            </w:r>
          </w:p>
        </w:tc>
        <w:tc>
          <w:tcPr>
            <w:tcW w:w="9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PART IV</w:t>
            </w:r>
          </w:p>
        </w:tc>
        <w:tc>
          <w:tcPr>
            <w:tcW w:w="9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 and Financial Statement Schedules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 10-K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w w:val="99"/>
              </w:rPr>
              <w:t>Signatures</w:t>
            </w:r>
          </w:p>
        </w:tc>
        <w:tc>
          <w:tcPr>
            <w:tcW w:w="9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600" w:h="16200" w:orient="portrait"/>
          <w:cols w:equalWidth="0" w:num="1">
            <w:col w:w="10800"/>
          </w:cols>
          <w:pgMar w:left="900" w:top="875" w:right="900"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CERTAIN DEFINITIONS</w:t>
      </w:r>
    </w:p>
    <w:p>
      <w:pPr>
        <w:spacing w:after="0" w:line="233" w:lineRule="exact"/>
        <w:rPr>
          <w:sz w:val="20"/>
          <w:szCs w:val="20"/>
          <w:color w:val="auto"/>
        </w:rPr>
      </w:pPr>
    </w:p>
    <w:p>
      <w:pPr>
        <w:ind w:right="20" w:firstLine="720"/>
        <w:spacing w:after="0" w:line="279" w:lineRule="auto"/>
        <w:rPr>
          <w:sz w:val="20"/>
          <w:szCs w:val="20"/>
          <w:color w:val="auto"/>
        </w:rPr>
      </w:pPr>
      <w:r>
        <w:rPr>
          <w:rFonts w:ascii="Times New Roman" w:cs="Times New Roman" w:eastAsia="Times New Roman" w:hAnsi="Times New Roman"/>
          <w:sz w:val="20"/>
          <w:szCs w:val="20"/>
          <w:color w:val="auto"/>
        </w:rPr>
        <w:t>Unless otherwise indicated and except where the context otherwise requires, references in this Annual Report on Form 10-K (defined below) to:</w:t>
      </w:r>
    </w:p>
    <w:p>
      <w:pPr>
        <w:spacing w:after="0" w:line="290" w:lineRule="exact"/>
        <w:rPr>
          <w:sz w:val="20"/>
          <w:szCs w:val="20"/>
          <w:color w:val="auto"/>
        </w:rPr>
      </w:pPr>
    </w:p>
    <w:p>
      <w:pPr>
        <w:ind w:left="980" w:right="300" w:hanging="491"/>
        <w:spacing w:after="0" w:line="278"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“AATD” are to alpha-1 antitrypsin deficiency, a lack of alpha 1 anti-trypsin protein, a protein made by the liver that’s released into the bloodstream to protect the body from neutrophil serine proteases damaging the lungs;</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“Acumapimod” are to an oral p38 MAP kinase inhibitor for potential treatment of AECOPD;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“Alvelestat” are to an oral neutrophil elastase inhibitor for potential treatment of AATD;</w:t>
      </w:r>
    </w:p>
    <w:p>
      <w:pPr>
        <w:spacing w:after="0" w:line="133" w:lineRule="exact"/>
        <w:rPr>
          <w:rFonts w:ascii="Arial" w:cs="Arial" w:eastAsia="Arial" w:hAnsi="Arial"/>
          <w:sz w:val="20"/>
          <w:szCs w:val="20"/>
          <w:color w:val="auto"/>
        </w:rPr>
      </w:pPr>
    </w:p>
    <w:p>
      <w:pPr>
        <w:ind w:left="980" w:right="440" w:hanging="491"/>
        <w:spacing w:after="0" w:line="278"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“ADSs” are to our American Depositary Shares, each of which represents five ordinary shares of Mereo BioPharma Group plc;</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“ADRs” are to the American Depositary Receipts that evidence our ADSs;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“AECOPD” are to acute exacerbation of chronic obstructive pulmonary disease;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“BLA” are to Biologics License Application;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“CMO” are to contract manufacturing organization;</w:t>
      </w:r>
    </w:p>
    <w:p>
      <w:pPr>
        <w:spacing w:after="0" w:line="133" w:lineRule="exact"/>
        <w:rPr>
          <w:rFonts w:ascii="Arial" w:cs="Arial" w:eastAsia="Arial" w:hAnsi="Arial"/>
          <w:sz w:val="20"/>
          <w:szCs w:val="20"/>
          <w:color w:val="auto"/>
        </w:rPr>
      </w:pPr>
    </w:p>
    <w:p>
      <w:pPr>
        <w:ind w:left="980" w:right="460" w:hanging="491"/>
        <w:spacing w:after="0" w:line="278"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“COPD” are to chronic obstructive pulmonary disease, the name for a group of lung conditions that cause breathing difficulties;</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“CRO” are to contract research organization;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“EMA” are to European Medicines Agency;</w:t>
      </w:r>
    </w:p>
    <w:p>
      <w:pPr>
        <w:spacing w:after="0" w:line="133" w:lineRule="exact"/>
        <w:rPr>
          <w:rFonts w:ascii="Arial" w:cs="Arial" w:eastAsia="Arial" w:hAnsi="Arial"/>
          <w:sz w:val="20"/>
          <w:szCs w:val="20"/>
          <w:color w:val="auto"/>
        </w:rPr>
      </w:pPr>
    </w:p>
    <w:p>
      <w:pPr>
        <w:ind w:left="980" w:right="20" w:hanging="491"/>
        <w:spacing w:after="0" w:line="278"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“Etigilimab” are to an anti-TIGIT designed to activate the immune system through multiple mechanisms and enable anti-tumor activity;</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“Exchange Act” are to the United States Securities and Exchange Act of 1934;</w:t>
      </w:r>
    </w:p>
    <w:p>
      <w:pPr>
        <w:spacing w:after="0" w:line="133" w:lineRule="exact"/>
        <w:rPr>
          <w:rFonts w:ascii="Arial" w:cs="Arial" w:eastAsia="Arial" w:hAnsi="Arial"/>
          <w:sz w:val="20"/>
          <w:szCs w:val="20"/>
          <w:color w:val="auto"/>
        </w:rPr>
      </w:pPr>
    </w:p>
    <w:p>
      <w:pPr>
        <w:ind w:left="980" w:right="200" w:hanging="491"/>
        <w:spacing w:after="0" w:line="278"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“Feng Biosciences” are to Feng Biosciences, Inc. In 2023, OncXerna Therapeutics, Inc. (“OncXerna”) was renamed as Feng Biosciences, Inc.;</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“FDA” are to the United States Food and Drug Administration;</w:t>
      </w:r>
    </w:p>
    <w:p>
      <w:pPr>
        <w:spacing w:after="0" w:line="133" w:lineRule="exact"/>
        <w:rPr>
          <w:rFonts w:ascii="Arial" w:cs="Arial" w:eastAsia="Arial" w:hAnsi="Arial"/>
          <w:sz w:val="20"/>
          <w:szCs w:val="20"/>
          <w:color w:val="auto"/>
        </w:rPr>
      </w:pPr>
    </w:p>
    <w:p>
      <w:pPr>
        <w:ind w:left="980" w:hanging="491"/>
        <w:spacing w:after="0" w:line="278"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“HH” are to hypogonadotropic hypogonadism, a condition in which the male testes or the female ovaries produce little or no sex hormones;</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“Leflutrozole” are to an oral aromatase inhibitor for potential treatment of male infertility associated with HH;</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“MAA” are to Marketing Authorization Application;</w:t>
      </w:r>
    </w:p>
    <w:p>
      <w:pPr>
        <w:spacing w:after="0" w:line="133" w:lineRule="exact"/>
        <w:rPr>
          <w:rFonts w:ascii="Arial" w:cs="Arial" w:eastAsia="Arial" w:hAnsi="Arial"/>
          <w:sz w:val="20"/>
          <w:szCs w:val="20"/>
          <w:color w:val="auto"/>
        </w:rPr>
      </w:pPr>
    </w:p>
    <w:p>
      <w:pPr>
        <w:ind w:left="980" w:right="220" w:hanging="491"/>
        <w:spacing w:after="0" w:line="278"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“Mereo,” the “Company,” the “Group,” “we,” “our,” “ours,” “us” or similar terms are to Mereo BioPharma Group plc, together with its subsidiaries;</w:t>
      </w:r>
    </w:p>
    <w:p>
      <w:pPr>
        <w:spacing w:after="0" w:line="60" w:lineRule="exact"/>
        <w:rPr>
          <w:rFonts w:ascii="Arial" w:cs="Arial" w:eastAsia="Arial" w:hAnsi="Arial"/>
          <w:sz w:val="20"/>
          <w:szCs w:val="20"/>
          <w:color w:val="auto"/>
        </w:rPr>
      </w:pPr>
    </w:p>
    <w:p>
      <w:pPr>
        <w:ind w:left="980" w:right="280" w:hanging="491"/>
        <w:spacing w:after="0" w:line="252"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“Merger” are to the merger of Mereo MergerCo One Inc. and OncoMed Pharmaceuticals, Inc. (“OncoMed”), with OncoMed surviving as a wholly-owned subsidiary of Mereo US Holdings Inc., and as an indirect wholly-owned subsidiary of Mereo BioPharma Group plc, and in 2020 OncoMed was renamed as Mereo BioPharma 5, Inc. (“Mereo BioPharma 5”);</w:t>
      </w:r>
    </w:p>
    <w:p>
      <w:pPr>
        <w:spacing w:after="0" w:line="87" w:lineRule="exact"/>
        <w:rPr>
          <w:rFonts w:ascii="Arial" w:cs="Arial" w:eastAsia="Arial" w:hAnsi="Arial"/>
          <w:sz w:val="20"/>
          <w:szCs w:val="20"/>
          <w:color w:val="auto"/>
        </w:rPr>
      </w:pPr>
    </w:p>
    <w:p>
      <w:pPr>
        <w:ind w:left="980" w:right="380" w:hanging="491"/>
        <w:spacing w:after="0" w:line="278"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“Navicixizumab” are to an anti-DLL4/VEGF bispecific antibody for the potential treatment of post platinum ovarian cancer;</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“NDA” are to New Drug Application;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“NE” neutrophil elastase, a serine protease and a major constituent of lung elastoytic activity;</w:t>
      </w:r>
    </w:p>
    <w:p>
      <w:pPr>
        <w:spacing w:after="0" w:line="133" w:lineRule="exact"/>
        <w:rPr>
          <w:rFonts w:ascii="Arial" w:cs="Arial" w:eastAsia="Arial" w:hAnsi="Arial"/>
          <w:sz w:val="20"/>
          <w:szCs w:val="20"/>
          <w:color w:val="auto"/>
        </w:rPr>
      </w:pPr>
    </w:p>
    <w:p>
      <w:pPr>
        <w:ind w:left="980" w:right="360" w:hanging="491"/>
        <w:spacing w:after="0" w:line="278"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“OI” are to osteogenesis imperfecta a rare genetic bone disorder characterized by fragile bones that break easily, also known as brittle bone disease;</w:t>
      </w:r>
    </w:p>
    <w:p>
      <w:pPr>
        <w:spacing w:after="0" w:line="290"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“ordinary shares” are to our ordinary shares, each of £0.003 nominal value;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“SEC” are to the United States Securities and Exchange Commission;</w:t>
      </w:r>
    </w:p>
    <w:p>
      <w:pPr>
        <w:sectPr>
          <w:pgSz w:w="11880" w:h="15480" w:orient="portrait"/>
          <w:cols w:equalWidth="0" w:num="1">
            <w:col w:w="10700"/>
          </w:cols>
          <w:pgMar w:left="540" w:top="745" w:right="640" w:bottom="0" w:gutter="0" w:footer="0" w:header="0"/>
        </w:sect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700"/>
          </w:cols>
          <w:pgMar w:left="540" w:top="745" w:right="640" w:bottom="0" w:gutter="0" w:footer="0" w:header="0"/>
          <w:type w:val="continuous"/>
        </w:sectPr>
      </w:pPr>
    </w:p>
    <w:bookmarkStart w:id="3" w:name="page4"/>
    <w:bookmarkEnd w:id="3"/>
    <w:p>
      <w:pPr>
        <w:ind w:left="491" w:hanging="491"/>
        <w:spacing w:after="0"/>
        <w:tabs>
          <w:tab w:leader="none" w:pos="49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“Setrusumab” are to a fully human monoclonal antibody for potential treatment of OI;</w:t>
      </w:r>
    </w:p>
    <w:p>
      <w:pPr>
        <w:spacing w:after="0" w:line="133" w:lineRule="exact"/>
        <w:rPr>
          <w:rFonts w:ascii="Arial" w:cs="Arial" w:eastAsia="Arial" w:hAnsi="Arial"/>
          <w:sz w:val="20"/>
          <w:szCs w:val="20"/>
          <w:color w:val="auto"/>
        </w:rPr>
      </w:pPr>
    </w:p>
    <w:p>
      <w:pPr>
        <w:ind w:left="491" w:hanging="491"/>
        <w:spacing w:after="0"/>
        <w:tabs>
          <w:tab w:leader="none" w:pos="49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 “USD,” “US$” and “U.S. dollar” are to the United States dollar;</w:t>
      </w:r>
    </w:p>
    <w:p>
      <w:pPr>
        <w:spacing w:after="0" w:line="133" w:lineRule="exact"/>
        <w:rPr>
          <w:rFonts w:ascii="Arial" w:cs="Arial" w:eastAsia="Arial" w:hAnsi="Arial"/>
          <w:sz w:val="20"/>
          <w:szCs w:val="20"/>
          <w:color w:val="auto"/>
        </w:rPr>
      </w:pPr>
    </w:p>
    <w:p>
      <w:pPr>
        <w:ind w:left="491" w:hanging="491"/>
        <w:spacing w:after="0"/>
        <w:tabs>
          <w:tab w:leader="none" w:pos="49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“TIGIT” are to T-cell immunoreceptor with Ig and ITIM domains;</w:t>
      </w:r>
    </w:p>
    <w:p>
      <w:pPr>
        <w:spacing w:after="0" w:line="133" w:lineRule="exact"/>
        <w:rPr>
          <w:rFonts w:ascii="Arial" w:cs="Arial" w:eastAsia="Arial" w:hAnsi="Arial"/>
          <w:sz w:val="20"/>
          <w:szCs w:val="20"/>
          <w:color w:val="auto"/>
        </w:rPr>
      </w:pPr>
    </w:p>
    <w:p>
      <w:pPr>
        <w:ind w:left="491" w:hanging="491"/>
        <w:spacing w:after="0"/>
        <w:tabs>
          <w:tab w:leader="none" w:pos="49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“Ultragenyx” are to Ultragenyx Pharmaceutical, Inc.;</w:t>
      </w:r>
    </w:p>
    <w:p>
      <w:pPr>
        <w:spacing w:after="0" w:line="133" w:lineRule="exact"/>
        <w:rPr>
          <w:rFonts w:ascii="Arial" w:cs="Arial" w:eastAsia="Arial" w:hAnsi="Arial"/>
          <w:sz w:val="20"/>
          <w:szCs w:val="20"/>
          <w:color w:val="auto"/>
        </w:rPr>
      </w:pPr>
    </w:p>
    <w:p>
      <w:pPr>
        <w:ind w:left="491" w:hanging="491"/>
        <w:spacing w:after="0"/>
        <w:tabs>
          <w:tab w:leader="none" w:pos="491"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“U.S. GAAP” are to accounting principles generally accepted in the United States of America; and</w:t>
      </w:r>
    </w:p>
    <w:p>
      <w:pPr>
        <w:spacing w:after="0" w:line="145" w:lineRule="exact"/>
        <w:rPr>
          <w:rFonts w:ascii="Arial" w:cs="Arial" w:eastAsia="Arial" w:hAnsi="Arial"/>
          <w:sz w:val="19"/>
          <w:szCs w:val="19"/>
          <w:color w:val="auto"/>
        </w:rPr>
      </w:pPr>
    </w:p>
    <w:p>
      <w:pPr>
        <w:ind w:left="491" w:hanging="491"/>
        <w:spacing w:after="0"/>
        <w:tabs>
          <w:tab w:leader="none" w:pos="49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 “GBP,” “pound sterling,” “pence” and “p” are to the British pound sterling (or units thereof).</w:t>
      </w:r>
    </w:p>
    <w:p>
      <w:pPr>
        <w:sectPr>
          <w:pgSz w:w="11880" w:h="15480" w:orient="portrait"/>
          <w:cols w:equalWidth="0" w:num="1">
            <w:col w:w="9411"/>
          </w:cols>
          <w:pgMar w:left="1029" w:top="76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3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411"/>
          </w:cols>
          <w:pgMar w:left="1029" w:top="763" w:right="1440" w:bottom="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GENERAL INFORMATION</w:t>
      </w:r>
    </w:p>
    <w:p>
      <w:pPr>
        <w:spacing w:after="0" w:line="243" w:lineRule="exact"/>
        <w:rPr>
          <w:sz w:val="20"/>
          <w:szCs w:val="20"/>
          <w:color w:val="auto"/>
        </w:rPr>
      </w:pPr>
    </w:p>
    <w:p>
      <w:pPr>
        <w:ind w:right="140" w:firstLine="720"/>
        <w:spacing w:after="0" w:line="259" w:lineRule="auto"/>
        <w:rPr>
          <w:sz w:val="20"/>
          <w:szCs w:val="20"/>
          <w:color w:val="auto"/>
        </w:rPr>
      </w:pPr>
      <w:r>
        <w:rPr>
          <w:rFonts w:ascii="Times New Roman" w:cs="Times New Roman" w:eastAsia="Times New Roman" w:hAnsi="Times New Roman"/>
          <w:sz w:val="20"/>
          <w:szCs w:val="20"/>
          <w:color w:val="auto"/>
        </w:rPr>
        <w:t>In this Annual Report on Form 10-K (“Annual Report”), “Mereo,” the “Group,” the “Company,” “we,” “us” and “our” refer to Mereo BioPharma Group plc and its consolidated subsidiaries, except where the context otherwise requires. “Mereo,” the Mereo logo and other trademarks, trade names or service marks of Mereo appearing in this Annual Report are the property of Mereo.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This Annual Report contains forward-looking statements that involve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In some cases, you can identify forward-looking statements by words such as “believe,” “may,” “will,” “estimate,” “continue,” “anticipate,” “intend,” “expect” or the negative of these words or other comparable terminology.</w:t>
      </w:r>
    </w:p>
    <w:p>
      <w:pPr>
        <w:spacing w:after="0" w:line="200"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00"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43"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w:t>
      </w:r>
    </w:p>
    <w:p>
      <w:pPr>
        <w:spacing w:after="0" w:line="214" w:lineRule="exact"/>
        <w:rPr>
          <w:sz w:val="20"/>
          <w:szCs w:val="20"/>
          <w:color w:val="auto"/>
        </w:rPr>
      </w:pPr>
    </w:p>
    <w:p>
      <w:pPr>
        <w:ind w:left="1080" w:hanging="360"/>
        <w:spacing w:after="0"/>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have a limited operating history and have never generated any revenue from product sales.</w:t>
      </w:r>
    </w:p>
    <w:p>
      <w:pPr>
        <w:spacing w:after="0" w:line="253" w:lineRule="exact"/>
        <w:rPr>
          <w:rFonts w:ascii="Arial" w:cs="Arial" w:eastAsia="Arial" w:hAnsi="Arial"/>
          <w:sz w:val="20"/>
          <w:szCs w:val="20"/>
          <w:color w:val="auto"/>
        </w:rPr>
      </w:pPr>
    </w:p>
    <w:p>
      <w:pPr>
        <w:ind w:left="1080" w:right="120" w:hanging="360"/>
        <w:spacing w:after="0" w:line="252"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207" w:lineRule="exact"/>
        <w:rPr>
          <w:rFonts w:ascii="Arial" w:cs="Arial" w:eastAsia="Arial" w:hAnsi="Arial"/>
          <w:sz w:val="20"/>
          <w:szCs w:val="20"/>
          <w:color w:val="auto"/>
        </w:rPr>
      </w:pPr>
    </w:p>
    <w:p>
      <w:pPr>
        <w:ind w:left="1080" w:right="120" w:hanging="360"/>
        <w:spacing w:after="0" w:line="270" w:lineRule="auto"/>
        <w:tabs>
          <w:tab w:leader="none" w:pos="108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We depend heavily on the success of setrusumab and alvelestat. We cannot give any assurance that any of these product candidates will receive regulatory approval, which is necessary before they can be commercialized. If we are unable to commercialize setrusumab and alvelestat, whether on our own or through agreements with third parties, or experience significant delays in doing so, our ability to generate revenue and our financial condition will be adversely affected.</w:t>
      </w:r>
    </w:p>
    <w:p>
      <w:pPr>
        <w:spacing w:after="0" w:line="190" w:lineRule="exact"/>
        <w:rPr>
          <w:rFonts w:ascii="Arial" w:cs="Arial" w:eastAsia="Arial" w:hAnsi="Arial"/>
          <w:sz w:val="19"/>
          <w:szCs w:val="19"/>
          <w:color w:val="auto"/>
        </w:rPr>
      </w:pPr>
    </w:p>
    <w:p>
      <w:pPr>
        <w:ind w:left="1080" w:right="460" w:hanging="360"/>
        <w:spacing w:after="0" w:line="278"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growth and ability to compete depends on retaining our key personnel and recruiting additional qualified personnel.</w:t>
      </w:r>
    </w:p>
    <w:p>
      <w:pPr>
        <w:spacing w:after="0" w:line="165" w:lineRule="exact"/>
        <w:rPr>
          <w:rFonts w:ascii="Arial" w:cs="Arial" w:eastAsia="Arial" w:hAnsi="Arial"/>
          <w:sz w:val="20"/>
          <w:szCs w:val="20"/>
          <w:color w:val="auto"/>
        </w:rPr>
      </w:pPr>
    </w:p>
    <w:p>
      <w:pPr>
        <w:ind w:left="1080" w:hanging="360"/>
        <w:spacing w:after="0"/>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ectPr>
          <w:pgSz w:w="11880" w:h="15480" w:orient="portrait"/>
          <w:cols w:equalWidth="0" w:num="1">
            <w:col w:w="10800"/>
          </w:cols>
          <w:pgMar w:left="540" w:top="745" w:right="540" w:bottom="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800"/>
          </w:cols>
          <w:pgMar w:left="540" w:top="745" w:right="540" w:bottom="0" w:gutter="0" w:footer="0" w:header="0"/>
          <w:type w:val="continuous"/>
        </w:sectPr>
      </w:pPr>
    </w:p>
    <w:bookmarkStart w:id="5" w:name="page6"/>
    <w:bookmarkEnd w:id="5"/>
    <w:p>
      <w:pPr>
        <w:ind w:left="360" w:hanging="360"/>
        <w:spacing w:after="0" w:line="259"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80" w:lineRule="exact"/>
        <w:rPr>
          <w:rFonts w:ascii="Arial" w:cs="Arial" w:eastAsia="Arial" w:hAnsi="Arial"/>
          <w:sz w:val="20"/>
          <w:szCs w:val="20"/>
          <w:color w:val="auto"/>
        </w:rPr>
      </w:pPr>
    </w:p>
    <w:p>
      <w:pPr>
        <w:ind w:left="360" w:right="100" w:hanging="360"/>
        <w:spacing w:after="0" w:line="259"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Enacted and future healthcare legislation may increase the difficulty and cost for us to obtain marketing approval of and commercialize our product candidates and may affect the prices we may set.</w:t>
      </w:r>
    </w:p>
    <w:p>
      <w:pPr>
        <w:spacing w:after="0" w:line="180" w:lineRule="exact"/>
        <w:rPr>
          <w:rFonts w:ascii="Arial" w:cs="Arial" w:eastAsia="Arial" w:hAnsi="Arial"/>
          <w:sz w:val="20"/>
          <w:szCs w:val="20"/>
          <w:color w:val="auto"/>
        </w:rPr>
      </w:pPr>
    </w:p>
    <w:p>
      <w:pPr>
        <w:ind w:left="360" w:right="160" w:hanging="360"/>
        <w:spacing w:after="0" w:line="259"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operate in a highly competitive and rapidly changing industry, which may result in others acquiring, developing, or commercializing competing product candidates before or more successfully than we do.</w:t>
      </w:r>
    </w:p>
    <w:p>
      <w:pPr>
        <w:spacing w:after="0" w:line="178" w:lineRule="exact"/>
        <w:rPr>
          <w:rFonts w:ascii="Arial" w:cs="Arial" w:eastAsia="Arial" w:hAnsi="Arial"/>
          <w:sz w:val="20"/>
          <w:szCs w:val="20"/>
          <w:color w:val="auto"/>
        </w:rPr>
      </w:pPr>
    </w:p>
    <w:p>
      <w:pPr>
        <w:ind w:left="360" w:right="40" w:hanging="360"/>
        <w:spacing w:after="0" w:line="233"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w:t>
      </w:r>
    </w:p>
    <w:p>
      <w:pPr>
        <w:spacing w:after="0" w:line="196" w:lineRule="exact"/>
        <w:rPr>
          <w:rFonts w:ascii="Arial" w:cs="Arial" w:eastAsia="Arial" w:hAnsi="Arial"/>
          <w:sz w:val="20"/>
          <w:szCs w:val="20"/>
          <w:color w:val="auto"/>
        </w:rPr>
      </w:pPr>
    </w:p>
    <w:p>
      <w:pPr>
        <w:ind w:left="360" w:right="100" w:hanging="360"/>
        <w:spacing w:after="0" w:line="233"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196" w:lineRule="exact"/>
        <w:rPr>
          <w:rFonts w:ascii="Arial" w:cs="Arial" w:eastAsia="Arial" w:hAnsi="Arial"/>
          <w:sz w:val="20"/>
          <w:szCs w:val="20"/>
          <w:color w:val="auto"/>
        </w:rPr>
      </w:pPr>
    </w:p>
    <w:p>
      <w:pPr>
        <w:ind w:left="360" w:right="660" w:hanging="360"/>
        <w:spacing w:after="0" w:line="256"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existing and future product candidates may not gain market acceptance, in which case our ability to generate revenues from product sales will be compromised.</w:t>
      </w:r>
    </w:p>
    <w:p>
      <w:pPr>
        <w:spacing w:after="0" w:line="180" w:lineRule="exact"/>
        <w:rPr>
          <w:rFonts w:ascii="Arial" w:cs="Arial" w:eastAsia="Arial" w:hAnsi="Arial"/>
          <w:sz w:val="20"/>
          <w:szCs w:val="20"/>
          <w:color w:val="auto"/>
        </w:rPr>
      </w:pPr>
    </w:p>
    <w:p>
      <w:pPr>
        <w:ind w:left="360" w:right="20" w:hanging="360"/>
        <w:spacing w:after="0" w:line="233"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rely, and expect to continue to rely, on our partners to develop and commercialize our licensed or partnered product candidates. If our partners do not secure adequate funding or satisfy their obligations under our agreements with them, or if they terminate our licenses, partnerships or collaborations with them, we may not be able to develop or commercialize our licensed or partnered product candidates as planned.</w:t>
      </w:r>
    </w:p>
    <w:p>
      <w:pPr>
        <w:spacing w:after="0" w:line="196" w:lineRule="exact"/>
        <w:rPr>
          <w:rFonts w:ascii="Arial" w:cs="Arial" w:eastAsia="Arial" w:hAnsi="Arial"/>
          <w:sz w:val="20"/>
          <w:szCs w:val="20"/>
          <w:color w:val="auto"/>
        </w:rPr>
      </w:pPr>
    </w:p>
    <w:p>
      <w:pPr>
        <w:ind w:left="360" w:right="200" w:hanging="360"/>
        <w:spacing w:after="0" w:line="233"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196" w:lineRule="exact"/>
        <w:rPr>
          <w:rFonts w:ascii="Arial" w:cs="Arial" w:eastAsia="Arial" w:hAnsi="Arial"/>
          <w:sz w:val="20"/>
          <w:szCs w:val="20"/>
          <w:color w:val="auto"/>
        </w:rPr>
      </w:pPr>
    </w:p>
    <w:p>
      <w:pPr>
        <w:ind w:left="360" w:right="40" w:hanging="360"/>
        <w:spacing w:after="0" w:line="233"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196" w:lineRule="exact"/>
        <w:rPr>
          <w:rFonts w:ascii="Arial" w:cs="Arial" w:eastAsia="Arial" w:hAnsi="Arial"/>
          <w:sz w:val="20"/>
          <w:szCs w:val="20"/>
          <w:color w:val="auto"/>
        </w:rPr>
      </w:pPr>
    </w:p>
    <w:p>
      <w:pPr>
        <w:ind w:left="360" w:right="100" w:hanging="360"/>
        <w:spacing w:after="0" w:line="238"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196" w:lineRule="exact"/>
        <w:rPr>
          <w:rFonts w:ascii="Arial" w:cs="Arial" w:eastAsia="Arial" w:hAnsi="Arial"/>
          <w:sz w:val="20"/>
          <w:szCs w:val="20"/>
          <w:color w:val="auto"/>
        </w:rPr>
      </w:pPr>
    </w:p>
    <w:p>
      <w:pPr>
        <w:ind w:left="360" w:hanging="360"/>
        <w:spacing w:after="0" w:line="233"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196" w:lineRule="exact"/>
        <w:rPr>
          <w:rFonts w:ascii="Arial" w:cs="Arial" w:eastAsia="Arial" w:hAnsi="Arial"/>
          <w:sz w:val="20"/>
          <w:szCs w:val="20"/>
          <w:color w:val="auto"/>
        </w:rPr>
      </w:pPr>
    </w:p>
    <w:p>
      <w:pPr>
        <w:ind w:left="360" w:right="60" w:hanging="360"/>
        <w:spacing w:after="0" w:line="256"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and operations may suffer, and proprietary information may be lost, in the event of information technology system failures, cyberattacks or deficiencies in our cybersecurity.</w:t>
      </w:r>
    </w:p>
    <w:p>
      <w:pPr>
        <w:spacing w:after="0" w:line="180" w:lineRule="exact"/>
        <w:rPr>
          <w:rFonts w:ascii="Arial" w:cs="Arial" w:eastAsia="Arial" w:hAnsi="Arial"/>
          <w:sz w:val="20"/>
          <w:szCs w:val="20"/>
          <w:color w:val="auto"/>
        </w:rPr>
      </w:pPr>
    </w:p>
    <w:p>
      <w:pPr>
        <w:ind w:left="360" w:right="60" w:hanging="360"/>
        <w:spacing w:after="0" w:line="238"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Commencing January 1, 2024 we were required to comply with the domestic reporting regime under the Exchange Act and will continue to incur significant legal, accounting and other expenses, and our management must devote substantial time to public company compliance initiatives and corporate governance matters.</w:t>
      </w:r>
    </w:p>
    <w:p>
      <w:pPr>
        <w:spacing w:after="0" w:line="198" w:lineRule="exact"/>
        <w:rPr>
          <w:rFonts w:ascii="Arial" w:cs="Arial" w:eastAsia="Arial" w:hAnsi="Arial"/>
          <w:sz w:val="20"/>
          <w:szCs w:val="20"/>
          <w:color w:val="auto"/>
        </w:rPr>
      </w:pPr>
    </w:p>
    <w:p>
      <w:pPr>
        <w:ind w:left="360" w:right="420" w:hanging="360"/>
        <w:spacing w:after="0" w:line="259" w:lineRule="auto"/>
        <w:tabs>
          <w:tab w:leader="none" w:pos="36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establish and maintain effective internal controls could have a material adverse effect on our business and stock price.</w:t>
      </w:r>
    </w:p>
    <w:p>
      <w:pPr>
        <w:sectPr>
          <w:pgSz w:w="11880" w:h="15480" w:orient="portrait"/>
          <w:cols w:equalWidth="0" w:num="1">
            <w:col w:w="10060"/>
          </w:cols>
          <w:pgMar w:left="1260" w:top="74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060"/>
          </w:cols>
          <w:pgMar w:left="1260" w:top="748" w:right="560" w:bottom="0" w:gutter="0" w:footer="0" w:header="0"/>
          <w:type w:val="continuous"/>
        </w:sectPr>
      </w:pPr>
    </w:p>
    <w:bookmarkStart w:id="6" w:name="page7"/>
    <w:bookmarkEnd w:id="6"/>
    <w:p>
      <w:pPr>
        <w:ind w:left="720"/>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are a biopharmaceutical company focused on the development of innovative therapeutics for rare diseases. We have developed a portfolio of late-stage clinical product candidates. Our two rare disease product candidates are setrusumab for the</w:t>
      </w:r>
    </w:p>
    <w:p>
      <w:pPr>
        <w:ind w:right="240"/>
        <w:spacing w:after="0" w:line="270" w:lineRule="auto"/>
        <w:rPr>
          <w:sz w:val="20"/>
          <w:szCs w:val="20"/>
          <w:color w:val="auto"/>
        </w:rPr>
      </w:pPr>
      <w:r>
        <w:rPr>
          <w:rFonts w:ascii="Times New Roman" w:cs="Times New Roman" w:eastAsia="Times New Roman" w:hAnsi="Times New Roman"/>
          <w:sz w:val="19"/>
          <w:szCs w:val="19"/>
          <w:color w:val="auto"/>
        </w:rPr>
        <w:t>treatment of OI and alvelestat for the treatment of severe alpha-1 antitrypsin deficiency-associated lung disease (AATD-LD). Setrusumab has received orphan designation for OI from the European Commission ("EC") and the FDA, PRIME designation from the EMA and has Breakthrough Therapy designation and rare pediatric disease designation from the FDA. Alvelestat has received orphan designation for AATD from the EC and the FDA, and Fast Track designation for the treatment of AATD-LD from the FDA.</w:t>
      </w:r>
    </w:p>
    <w:p>
      <w:pPr>
        <w:spacing w:after="0" w:line="167"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rare diseases and oncology. Four of our six clinical-stage product candidates were acquired from large pharmaceutical companies and two were acquired in the Merger. We have successfully completed large, randomized Phase 2 clinical trials for four of our product candidates and the Phase 1b portion of a Phase 1b/2 for a fifth product candidate.</w:t>
      </w:r>
    </w:p>
    <w:p>
      <w:pPr>
        <w:spacing w:after="0" w:line="213"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19"/>
          <w:szCs w:val="19"/>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33"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We intend to become a leading biopharmaceutical company developing innovative therapeutics that aim to improve outcomes for patients with rare diseases. The key elements of our strategy to achieve this goal include:</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2"/>
          <w:szCs w:val="2"/>
          <w:color w:val="auto"/>
        </w:rPr>
        <w:t>8</w:t>
      </w:r>
    </w:p>
    <w:p>
      <w:pPr>
        <w:spacing w:after="0" w:line="115" w:lineRule="exact"/>
        <w:rPr>
          <w:sz w:val="20"/>
          <w:szCs w:val="20"/>
          <w:color w:val="auto"/>
        </w:rPr>
      </w:pPr>
    </w:p>
    <w:p>
      <w:pPr>
        <w:ind w:left="980" w:right="60" w:hanging="491"/>
        <w:spacing w:after="0" w:line="243"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Rapidly develop and potentially commercialize our rare disease product candidates. </w:t>
      </w:r>
      <w:r>
        <w:rPr>
          <w:rFonts w:ascii="Times New Roman" w:cs="Times New Roman" w:eastAsia="Times New Roman" w:hAnsi="Times New Roman"/>
          <w:sz w:val="20"/>
          <w:szCs w:val="20"/>
          <w:color w:val="auto"/>
        </w:rPr>
        <w:t>Our rare disease product candidates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setrusumab and alvelestat have been acquired or in-licensed from pharmaceutical companies following strategic de-prioritization. Prior to this they have received significant investment in preclinical, toxicology, clinical studies and CMC. We have built expertise in the areas of patient identification, clinical study design and regulatory strategy. This combination of prior investment and our expertise has allowed us to rapidly develop our two rare disease product candidates. For example, setrusumab has completed a Phase 2 in adult OI patients and our partner Ultragenyx has completed enrollment in two Phase 3 studies in pediatric and young adult OI patients, and alvelestat has completed two Phase 2 studies and is now progressing towards Phase 3. We may seek to partner our rare disease product candidates for further development where it makes strategic sense to do so, including potentially seeking partnerships on a regional basis. However, as commercialization of rare disease products can be achieved using a highly specialized and focused infrastructure, we may seek to commercialize our rare disease product candidates, once approved, in select markets. For example, as part of our partnership with Ultragenyx, we have the retained the commercial rights to setrusumab in Europe and the U.K.</w:t>
      </w:r>
    </w:p>
    <w:p>
      <w:pPr>
        <w:spacing w:after="0" w:line="96" w:lineRule="exact"/>
        <w:rPr>
          <w:rFonts w:ascii="Arial" w:cs="Arial" w:eastAsia="Arial" w:hAnsi="Arial"/>
          <w:sz w:val="20"/>
          <w:szCs w:val="20"/>
          <w:color w:val="auto"/>
        </w:rPr>
      </w:pPr>
    </w:p>
    <w:p>
      <w:pPr>
        <w:ind w:left="980" w:right="20" w:hanging="491"/>
        <w:spacing w:after="0" w:line="261" w:lineRule="auto"/>
        <w:tabs>
          <w:tab w:leader="none" w:pos="98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 xml:space="preserve">Continue to be a partner of choice for pharmaceutical and biotechnology companies. </w:t>
      </w:r>
      <w:r>
        <w:rPr>
          <w:rFonts w:ascii="Times New Roman" w:cs="Times New Roman" w:eastAsia="Times New Roman" w:hAnsi="Times New Roman"/>
          <w:sz w:val="19"/>
          <w:szCs w:val="19"/>
          <w:color w:val="auto"/>
        </w:rPr>
        <w:t>We believe that we are a preferred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partner for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AG ("Novartis") and AstraZeneca AB ("AstraZeneca"), as well as our partnership with Ultragenyx, and a track record of structuring transactions that enable us to leverage our core capabilities while creating value for all stakeholders. We intend to continue to enter into strategic relationships that align our interests with those of pharmaceutical and biotechnology companies and that we believe to be mutually beneficial.</w:t>
      </w:r>
    </w:p>
    <w:p>
      <w:pPr>
        <w:spacing w:after="0" w:line="80" w:lineRule="exact"/>
        <w:rPr>
          <w:rFonts w:ascii="Arial" w:cs="Arial" w:eastAsia="Arial" w:hAnsi="Arial"/>
          <w:sz w:val="19"/>
          <w:szCs w:val="19"/>
          <w:color w:val="auto"/>
        </w:rPr>
      </w:pPr>
    </w:p>
    <w:p>
      <w:pPr>
        <w:ind w:left="980" w:right="380" w:hanging="491"/>
        <w:spacing w:after="0" w:line="252"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Leverage our expertise in business development. </w:t>
      </w:r>
      <w:r>
        <w:rPr>
          <w:rFonts w:ascii="Times New Roman" w:cs="Times New Roman" w:eastAsia="Times New Roman" w:hAnsi="Times New Roman"/>
          <w:sz w:val="20"/>
          <w:szCs w:val="20"/>
          <w:color w:val="auto"/>
        </w:rPr>
        <w:t>Our senior management team has extensive relationships with large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pharmaceutical and biotechnology companies. These relationships are important to us as we seek to form strategic partnerships on our product candidates, such as our partnership with Ultragenyx, and to grow our pipeline of product candidates in rare diseases.</w:t>
      </w:r>
    </w:p>
    <w:p>
      <w:pPr>
        <w:spacing w:after="0" w:line="89" w:lineRule="exact"/>
        <w:rPr>
          <w:rFonts w:ascii="Arial" w:cs="Arial" w:eastAsia="Arial" w:hAnsi="Arial"/>
          <w:sz w:val="20"/>
          <w:szCs w:val="20"/>
          <w:color w:val="auto"/>
        </w:rPr>
      </w:pPr>
    </w:p>
    <w:p>
      <w:pPr>
        <w:ind w:left="980" w:right="20" w:hanging="491"/>
        <w:spacing w:after="0" w:line="265" w:lineRule="auto"/>
        <w:tabs>
          <w:tab w:leader="none" w:pos="98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 xml:space="preserve">Explore out-licensing or sale opportunities with third parties for further clinical development and/or commercialization of our non-core and non-rare disease programs. </w:t>
      </w:r>
      <w:r>
        <w:rPr>
          <w:rFonts w:ascii="Times New Roman" w:cs="Times New Roman" w:eastAsia="Times New Roman" w:hAnsi="Times New Roman"/>
          <w:sz w:val="19"/>
          <w:szCs w:val="19"/>
          <w:color w:val="auto"/>
        </w:rPr>
        <w:t>Navicixizumab, for the treatment of late line ovarian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cancer, has completed a Phase 1 study and was partnered on a global basis with Feng Biosciences in January 2020. In March 2018, we reported top-line Phase 2b data for leflutrozole for the treatment of HH and in December 2018, we reported positive results from the safety extension study for leflutrozole. In December 2023 we entered into an exclusive</w:t>
      </w:r>
    </w:p>
    <w:p>
      <w:pPr>
        <w:sectPr>
          <w:pgSz w:w="11880" w:h="15480" w:orient="portrait"/>
          <w:cols w:equalWidth="0" w:num="1">
            <w:col w:w="10800"/>
          </w:cols>
          <w:pgMar w:left="540" w:top="745" w:right="540" w:bottom="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800"/>
          </w:cols>
          <w:pgMar w:left="540" w:top="745" w:right="540" w:bottom="0" w:gutter="0" w:footer="0" w:header="0"/>
          <w:type w:val="continuous"/>
        </w:sectPr>
      </w:pPr>
    </w:p>
    <w:bookmarkStart w:id="7" w:name="page8"/>
    <w:bookmarkEnd w:id="7"/>
    <w:p>
      <w:pPr>
        <w:ind w:left="980" w:right="40"/>
        <w:spacing w:after="0" w:line="259" w:lineRule="auto"/>
        <w:rPr>
          <w:sz w:val="20"/>
          <w:szCs w:val="20"/>
          <w:color w:val="auto"/>
        </w:rPr>
      </w:pPr>
      <w:r>
        <w:rPr>
          <w:rFonts w:ascii="Times New Roman" w:cs="Times New Roman" w:eastAsia="Times New Roman" w:hAnsi="Times New Roman"/>
          <w:sz w:val="20"/>
          <w:szCs w:val="20"/>
          <w:color w:val="auto"/>
        </w:rPr>
        <w:t>global license agreement with ReproNovo for the development and commercialization of leflutrozole and we plan to enter into one or more strategic relationships with third parties for etigilimab and acumapimod to undertake the next phase of clinical development and, if approved, commercialization.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Pipeline</w:t>
      </w:r>
    </w:p>
    <w:p>
      <w:pPr>
        <w:spacing w:after="0" w:line="233"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The following table summarizes our pipeline for our core product candidates. We have global commercial rights to alvelestat and commercial rights to setrusumab in Europe and the U.K. We granted Ultragenyx an exclusive license to develop and commercialize setrusumab in the U.S. and rest of the world, and we have licensed global rights for navicixizumab to Feng Biosciences and global rights for leflutrozole to ReproNovo.We have global rights to, and are seeking a partner for further global development of, etigilimab and acumapimod.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278130</wp:posOffset>
            </wp:positionV>
            <wp:extent cx="6294120" cy="2272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412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Core Rare Disease Product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Setrusumab (BPS-804/UX143) for the Treatment of Osteogenesis Imperfecta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2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In collaboration with Ultragenyx, we are developing setrusumab for the treatment of OI, a rare genetic disease, which is caused by variants in the COL1A1 or COL1A2 genes, which results in bones that can break easily and is commonly known as brittle bone disease. Setrusumab is a novel, intravenously administered antibody that is designed to inhibit sclerostin, a protein that inhibits the activity of bone-forming cells, known as osteoblasts. We believe that by blocking sclerostin, setrusumab has the potential to induce or increase osteoblast function and maturation of these cells, and to inhibit bone-resorption through osteoclasts, increasing overall bone mass and thereby reducing fractures in OI patients.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Background of Osteogenesis Imperfecta</w:t>
      </w:r>
    </w:p>
    <w:p>
      <w:pPr>
        <w:spacing w:after="0" w:line="228" w:lineRule="exact"/>
        <w:rPr>
          <w:sz w:val="20"/>
          <w:szCs w:val="20"/>
          <w:color w:val="auto"/>
        </w:rPr>
      </w:pPr>
    </w:p>
    <w:p>
      <w:pPr>
        <w:ind w:right="360" w:firstLine="720"/>
        <w:spacing w:after="0" w:line="249" w:lineRule="auto"/>
        <w:rPr>
          <w:sz w:val="20"/>
          <w:szCs w:val="20"/>
          <w:color w:val="auto"/>
        </w:rPr>
      </w:pPr>
      <w:r>
        <w:rPr>
          <w:rFonts w:ascii="Times New Roman" w:cs="Times New Roman" w:eastAsia="Times New Roman" w:hAnsi="Times New Roman"/>
          <w:sz w:val="20"/>
          <w:szCs w:val="20"/>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an estimated 60,000 people in the U.S. and Europe, according to estimates by Orphanet.</w:t>
      </w:r>
    </w:p>
    <w:p>
      <w:pPr>
        <w:spacing w:after="0" w:line="187"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There are eight recognized forms of OI, designated type I through type VIII. Type I is cited to be the least severe form, although patients can still have many fractures and other physical manifestations of the disease, while Type II is the most severe and frequently causes death at or shortly after birth. Type I is the most prevalent and estimated to occur in approximately 50% to 60% of OI patients. Type III and Type IV patients may be wheelchair bound and typically have many fractures through their lifetime. Type III and Type IV patients may also have short stature, scoliosis and hearing loss by the time they are young adults. OI is typically diagnosed at birth with most patients being born with a blue or gray tint to the sclera, the part of the eye that is usually white.</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800"/>
          </w:cols>
          <w:pgMar w:left="540" w:top="748" w:right="5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Treatment Landscape for Osteogenesis Imperfecta</w:t>
      </w:r>
    </w:p>
    <w:p>
      <w:pPr>
        <w:spacing w:after="0" w:line="228" w:lineRule="exact"/>
        <w:rPr>
          <w:sz w:val="20"/>
          <w:szCs w:val="20"/>
          <w:color w:val="auto"/>
        </w:rPr>
      </w:pPr>
    </w:p>
    <w:p>
      <w:pPr>
        <w:ind w:right="40" w:firstLine="720"/>
        <w:spacing w:after="0"/>
        <w:rPr>
          <w:sz w:val="20"/>
          <w:szCs w:val="20"/>
          <w:color w:val="auto"/>
        </w:rPr>
      </w:pPr>
      <w:r>
        <w:rPr>
          <w:rFonts w:ascii="Times New Roman" w:cs="Times New Roman" w:eastAsia="Times New Roman" w:hAnsi="Times New Roman"/>
          <w:sz w:val="20"/>
          <w:szCs w:val="20"/>
          <w:color w:val="auto"/>
        </w:rPr>
        <w:t>There are no therapies approved by the FDA or EMA for the treatment of OI. The only treatments available to OI patients are the acute management of fractures as they occur and drugs such as bisphosphonates which are typically used to treat osteoporosis and are not approved for OI but are commonly used off-label in both children and adults. Bisphosphonates slow down the rate at which osteoclasts resorb bone. These anti-resorptives include Aredia (pamidronate), Fosamax (alendronate) and Reclast (zoledronic</w:t>
      </w:r>
    </w:p>
    <w:p>
      <w:pPr>
        <w:ind w:right="240"/>
        <w:spacing w:after="0" w:line="279" w:lineRule="auto"/>
        <w:rPr>
          <w:sz w:val="20"/>
          <w:szCs w:val="20"/>
          <w:color w:val="auto"/>
        </w:rPr>
      </w:pPr>
      <w:r>
        <w:rPr>
          <w:rFonts w:ascii="Times New Roman" w:cs="Times New Roman" w:eastAsia="Times New Roman" w:hAnsi="Times New Roman"/>
          <w:sz w:val="20"/>
          <w:szCs w:val="20"/>
          <w:color w:val="auto"/>
        </w:rPr>
        <w:t>acid). Bisphosphonates have not consistently been shown to reduce fractures in pediatric or adult OI patients and the effect of long-term therapy with these drugs remains unclear in both children and adults.</w:t>
      </w:r>
    </w:p>
    <w:p>
      <w:pPr>
        <w:spacing w:after="0" w:line="134" w:lineRule="exact"/>
        <w:rPr>
          <w:sz w:val="20"/>
          <w:szCs w:val="20"/>
          <w:color w:val="auto"/>
        </w:rPr>
      </w:pPr>
    </w:p>
    <w:p>
      <w:pPr>
        <w:ind w:firstLine="720"/>
        <w:spacing w:after="0" w:line="238" w:lineRule="auto"/>
        <w:rPr>
          <w:sz w:val="20"/>
          <w:szCs w:val="20"/>
          <w:color w:val="auto"/>
        </w:rPr>
      </w:pPr>
      <w:r>
        <w:rPr>
          <w:rFonts w:ascii="Times New Roman" w:cs="Times New Roman" w:eastAsia="Times New Roman" w:hAnsi="Times New Roman"/>
          <w:sz w:val="20"/>
          <w:szCs w:val="20"/>
          <w:color w:val="auto"/>
        </w:rPr>
        <w:t>Current treatment of OI is directed towards management of fractures with casting or surgical fixation. Following either of these, physical therapy will often be required. Preventative surgeries, such as intramedullary, or in-bone, rodding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Approach</w:t>
      </w:r>
    </w:p>
    <w:p>
      <w:pPr>
        <w:spacing w:after="0" w:line="205" w:lineRule="exact"/>
        <w:rPr>
          <w:sz w:val="20"/>
          <w:szCs w:val="20"/>
          <w:color w:val="auto"/>
        </w:rPr>
      </w:pPr>
    </w:p>
    <w:p>
      <w:pPr>
        <w:ind w:right="20" w:firstLine="720"/>
        <w:spacing w:after="0" w:line="238" w:lineRule="auto"/>
        <w:rPr>
          <w:sz w:val="20"/>
          <w:szCs w:val="20"/>
          <w:color w:val="auto"/>
        </w:rPr>
      </w:pPr>
      <w:r>
        <w:rPr>
          <w:rFonts w:ascii="Times New Roman" w:cs="Times New Roman" w:eastAsia="Times New Roman" w:hAnsi="Times New Roman"/>
          <w:sz w:val="20"/>
          <w:szCs w:val="20"/>
          <w:color w:val="auto"/>
        </w:rPr>
        <w:t>Setrusumab, our product candidate for the treatment of OI, is specifically designed to inhibit sclerostin. Sclerostin is produced in osteocytes, which are mature bone cells that are thought to be the mechanoreceptor cells that regulate the activity of bone-building osteoblasts and bone-resorbing osteoclasts. Sclerostin inhibits the activity of osteoblasts. We believe that by blocking sclerostin, setrusumab has the potential to induce or increase osteoblast activity and maturation of these cells, increasing overall bone mass, and thereby reducing fractures in OI patients.</w:t>
      </w:r>
    </w:p>
    <w:p>
      <w:pPr>
        <w:spacing w:after="0" w:line="171" w:lineRule="exact"/>
        <w:rPr>
          <w:sz w:val="20"/>
          <w:szCs w:val="20"/>
          <w:color w:val="auto"/>
        </w:rPr>
      </w:pPr>
    </w:p>
    <w:p>
      <w:pPr>
        <w:ind w:right="360" w:firstLine="720"/>
        <w:spacing w:after="0" w:line="241" w:lineRule="auto"/>
        <w:rPr>
          <w:sz w:val="20"/>
          <w:szCs w:val="20"/>
          <w:color w:val="auto"/>
        </w:rPr>
      </w:pPr>
      <w:r>
        <w:rPr>
          <w:rFonts w:ascii="Times New Roman" w:cs="Times New Roman" w:eastAsia="Times New Roman" w:hAnsi="Times New Roman"/>
          <w:sz w:val="20"/>
          <w:szCs w:val="20"/>
          <w:color w:val="auto"/>
        </w:rPr>
        <w:t>In 2016, we obtained orphan drug designation in OI for setrusumab in the U.S. and the EU and, in November 2017, the program was accepted into the Priority Medicines scheme (“PRIME”) of the EMA. In September 2020 we received rare pediatric disease designation for setrusumab in OI from the FDA. In October 2024 our partner, Ultragenyx, received Breakthrough Therapy designation from the FDA. See “—Government Regulation—Foreign Government Regulation.”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Development of Setrusumab</w:t>
      </w:r>
    </w:p>
    <w:p>
      <w:pPr>
        <w:spacing w:after="0" w:line="205" w:lineRule="exact"/>
        <w:rPr>
          <w:sz w:val="20"/>
          <w:szCs w:val="20"/>
          <w:color w:val="auto"/>
        </w:rPr>
      </w:pPr>
    </w:p>
    <w:p>
      <w:pPr>
        <w:ind w:right="80" w:firstLine="720"/>
        <w:spacing w:after="0" w:line="238" w:lineRule="auto"/>
        <w:rPr>
          <w:sz w:val="20"/>
          <w:szCs w:val="20"/>
          <w:color w:val="auto"/>
        </w:rPr>
      </w:pPr>
      <w:r>
        <w:rPr>
          <w:rFonts w:ascii="Times New Roman" w:cs="Times New Roman" w:eastAsia="Times New Roman" w:hAnsi="Times New Roman"/>
          <w:sz w:val="20"/>
          <w:szCs w:val="20"/>
          <w:color w:val="auto"/>
        </w:rPr>
        <w:t>Prior to our acquisition of setrusumab, Novartis conducted four clinical trials in 106 patients and healthy volunteers. In 2019 we completed a Phase 2b dose-finding study (ASTEROID) study of setrusumab in 112 adult patients with Type I, III and IV OI. Following the 12-month dosing part of the trial, patients were followed for a further twelve months to examine the off-effects of setrusumab. The results of this Phase 2b trial supported the progression of setrusumab into a pivotal study in OI. Setrusumab was safe and well-tolerated in the study. There were no cardiac-related safety concerns observed in the study.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Top-line Data from Setrusumab Phase 2 Portion of Phase 2/3 Orbit Study</w:t>
      </w:r>
    </w:p>
    <w:p>
      <w:pPr>
        <w:spacing w:after="0" w:line="200" w:lineRule="exact"/>
        <w:rPr>
          <w:sz w:val="20"/>
          <w:szCs w:val="20"/>
          <w:color w:val="auto"/>
        </w:rPr>
      </w:pPr>
    </w:p>
    <w:p>
      <w:pPr>
        <w:ind w:firstLine="720"/>
        <w:spacing w:after="0" w:line="230" w:lineRule="auto"/>
        <w:rPr>
          <w:sz w:val="20"/>
          <w:szCs w:val="20"/>
          <w:color w:val="auto"/>
        </w:rPr>
      </w:pPr>
      <w:r>
        <w:rPr>
          <w:rFonts w:ascii="Times New Roman" w:cs="Times New Roman" w:eastAsia="Times New Roman" w:hAnsi="Times New Roman"/>
          <w:sz w:val="20"/>
          <w:szCs w:val="20"/>
          <w:color w:val="auto"/>
        </w:rPr>
        <w:t>In June 2023, we along with our partner, Ultragenyx, announced successful completion of the Phase 2 portion of the pivotal Phase 2/3 Orbit study in 24 pediatric and young adult patients (5 to &lt;26 years old) for setrusumab in OI, which compared two different doses of setrusumab, 20 and 40 mg/kg, to determine the optimal dose for the Phase 3. The primary endpoint of the Phase 2 study was circulating levels of P1NP, a biomarker reflective of bone formation. The study also evaluated numerous other endpoints, including bone mineral density (“BMD”) and annualized fracture rates, PK and safety. Across all patients evaluated at both doses, these data showed statistically significant increases in levels of serum P1NP, a sensitive marker of bone formation, and substantial and significant improvement in BMD by three months. An increase in lumbar spine BMD from baseline of 9.4% at 20 mg/kg (n=10) was observed, with a substantial mean change in the Z-score of +0.65 from -2.12 (n=11) at baseline. There was no significant difference between the two doses tested, accordingly, the 20 mg/kg was selected as the Phase 3 dose. The changes observed in BMD in these younger patients at three months are equivalent to the changes following 12 months treatment with setrusumab in adult patients reported from the Phase 2b ASTEROID study. The 24 patients from the Phase 2 portion of the ORBIT study are continuing to receive setrusumab treatment in an open-label extension study.</w:t>
      </w:r>
    </w:p>
    <w:p>
      <w:pPr>
        <w:spacing w:after="0" w:line="171" w:lineRule="exact"/>
        <w:rPr>
          <w:sz w:val="20"/>
          <w:szCs w:val="20"/>
          <w:color w:val="auto"/>
        </w:rPr>
      </w:pPr>
    </w:p>
    <w:p>
      <w:pPr>
        <w:ind w:right="60" w:firstLine="720"/>
        <w:spacing w:after="0" w:line="232" w:lineRule="auto"/>
        <w:rPr>
          <w:sz w:val="20"/>
          <w:szCs w:val="20"/>
          <w:color w:val="auto"/>
        </w:rPr>
      </w:pPr>
      <w:r>
        <w:rPr>
          <w:rFonts w:ascii="Times New Roman" w:cs="Times New Roman" w:eastAsia="Times New Roman" w:hAnsi="Times New Roman"/>
          <w:sz w:val="20"/>
          <w:szCs w:val="20"/>
          <w:color w:val="auto"/>
        </w:rPr>
        <w:t>Additional data from the Phase 2 portion of the Phase 2/3 Orbit study were reported at the annual ASBMR meeting in October 2023 and demonstrated that treatment with setrusumab significantly reduced incidence of fractures in patients with OI with at least six months of follow-up and continued to demonstrate ongoing and meaningful improvements in lumbar spine bone BMD. As of the cut-off date and following at least six months of treatment with setrusumab, the annualized fracture rate across all 24 patients in the Phase 2 portion of the study was reduced by 67%. The median annualized fracture rate of 0.72 in the two years prior to treatment was reduced to 0.00 (n=24, p=0.042) during the mean treatment duration period of nine months. These fractures excluded fractures of the fingers, toes, skull and face consistent with the Phase 3 study design. Following initiation of treatment with setrusumab, 20 patients experienced no radiographic-confirmed fractures, and four patients experienced seven radiographic-confirmed fractures in</w:t>
      </w:r>
    </w:p>
    <w:p>
      <w:pPr>
        <w:sectPr>
          <w:pgSz w:w="11880" w:h="15480" w:orient="portrait"/>
          <w:cols w:equalWidth="0" w:num="1">
            <w:col w:w="10800"/>
          </w:cols>
          <w:pgMar w:left="540" w:top="1210" w:right="54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800"/>
          </w:cols>
          <w:pgMar w:left="540" w:top="1210" w:right="540" w:bottom="0" w:gutter="0" w:footer="0" w:header="0"/>
          <w:type w:val="continuous"/>
        </w:sectPr>
      </w:pPr>
    </w:p>
    <w:bookmarkStart w:id="9" w:name="page10"/>
    <w:bookmarkEnd w:id="9"/>
    <w:p>
      <w:pPr>
        <w:ind w:right="320"/>
        <w:spacing w:after="0" w:line="265" w:lineRule="auto"/>
        <w:rPr>
          <w:sz w:val="20"/>
          <w:szCs w:val="20"/>
          <w:color w:val="auto"/>
        </w:rPr>
      </w:pPr>
      <w:r>
        <w:rPr>
          <w:rFonts w:ascii="Times New Roman" w:cs="Times New Roman" w:eastAsia="Times New Roman" w:hAnsi="Times New Roman"/>
          <w:sz w:val="20"/>
          <w:szCs w:val="20"/>
          <w:color w:val="auto"/>
        </w:rPr>
        <w:t>five separate events. Two of these fractures occurred within the first two months of treatment, a time in which setrusumab-induced increases in BMD may have been suboptimal in reducing fractures.</w:t>
      </w:r>
    </w:p>
    <w:p>
      <w:pPr>
        <w:spacing w:after="0" w:line="142"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At the six-month timepoint, treatment with setrusumab resulted in a mean increase in lumbar spine BMD from baseline of 13% at 20 mg/kg (n=11) and 16% at 40 mg/kg (n=8), which represented the same substantial mean improvement in Z-score of +0.85 for both dose groups at six months compared to a combined mean baseline Z-score of –1.68. The small apparent difference in BMD change from baseline is likely related to differences in patients assigned to the two treated groups. There was no statistically significant difference in BMD percent change or Z-score change from baseline between the 20 and 40 mg/kg dosing cohorts. As of the data cut-off for our October 2023 announcement, there were no treatment-related serious adverse events observed in the study.</w:t>
      </w:r>
    </w:p>
    <w:p>
      <w:pPr>
        <w:spacing w:after="0" w:line="182"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In data reported in June 2024, the large reduction in annualized radiologically confirmed fracture rate previously reported in patients treated for a minimum of six months was sustained in patients treated for at least 14 months with a high degree of statistical significance. The median annualized rate of radiologically confirmed fractures across all 24 patients in the two years prior to treatment was 0.72. Following a mean treatment duration period of 16 months, the median annualized fracture rate was reduced to 0.00 (p=0.0014; n=24), reflecting a 67% reduction relative to the pre-treatment period. Patients enrolled in the Phase 2 portion of the Orbit study are continuing to receive setrusumab treatment at 20 mg/kg in an open label extension study.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Phase 3 Orbit and Cosmic Studies</w:t>
      </w:r>
    </w:p>
    <w:p>
      <w:pPr>
        <w:spacing w:after="0" w:line="227"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The Phase 3 portion of the Orbit study completed enrollment in April 2024 of 158 patients (aged 5 - &lt;26 years old) at 45 sites across 11 countries. Patients are randomized 2:1 to receive setrusumab (20 mg/kg) or placebo, respectively, with a primary efficacy endpoint of a reduction in annualized clinical fracture rate, excluding fingers, toes, skull and face.</w:t>
      </w:r>
    </w:p>
    <w:p>
      <w:pPr>
        <w:spacing w:after="0" w:line="175" w:lineRule="exact"/>
        <w:rPr>
          <w:sz w:val="20"/>
          <w:szCs w:val="20"/>
          <w:color w:val="auto"/>
        </w:rPr>
      </w:pPr>
    </w:p>
    <w:p>
      <w:pPr>
        <w:jc w:val="both"/>
        <w:ind w:right="320" w:firstLine="720"/>
        <w:spacing w:after="0" w:line="259" w:lineRule="auto"/>
        <w:rPr>
          <w:sz w:val="20"/>
          <w:szCs w:val="20"/>
          <w:color w:val="auto"/>
        </w:rPr>
      </w:pPr>
      <w:r>
        <w:rPr>
          <w:rFonts w:ascii="Times New Roman" w:cs="Times New Roman" w:eastAsia="Times New Roman" w:hAnsi="Times New Roman"/>
          <w:sz w:val="20"/>
          <w:szCs w:val="20"/>
          <w:color w:val="auto"/>
        </w:rPr>
        <w:t>A second study, Cosmic, a Phase 3 open-label study in younger children (aged 2 - &lt; 7 years old) completed enrollment in April 2024 of 66 patients at 21 sites across seven countries. The Cosmic study is an active-controlled study evaluating the effect of setrusumab compared to intravenous bisphosphonates (IV-BP) therapy (randomized 1:1) on annualized total fracture rate.</w:t>
      </w:r>
    </w:p>
    <w:p>
      <w:pPr>
        <w:spacing w:after="0" w:line="175" w:lineRule="exact"/>
        <w:rPr>
          <w:sz w:val="20"/>
          <w:szCs w:val="20"/>
          <w:color w:val="auto"/>
        </w:rPr>
      </w:pPr>
    </w:p>
    <w:p>
      <w:pPr>
        <w:ind w:right="460" w:firstLine="720"/>
        <w:spacing w:after="0" w:line="279" w:lineRule="auto"/>
        <w:rPr>
          <w:sz w:val="20"/>
          <w:szCs w:val="20"/>
          <w:color w:val="auto"/>
        </w:rPr>
      </w:pPr>
      <w:r>
        <w:rPr>
          <w:rFonts w:ascii="Times New Roman" w:cs="Times New Roman" w:eastAsia="Times New Roman" w:hAnsi="Times New Roman"/>
          <w:sz w:val="20"/>
          <w:szCs w:val="20"/>
          <w:color w:val="auto"/>
        </w:rPr>
        <w:t>We believe the Orbit and Cosmic trials, if successful, will support U.S. and European regulatory filings for the potential approval of setrusumab for the treatment of osteogenesis imperfecta.</w:t>
      </w:r>
    </w:p>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Alvelestat (MPH-966) for the Treatment of Severe Alpha-1 Antitrypsin Deficiency (AATD)-Associated Lung Disease: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15" w:lineRule="exact"/>
        <w:rPr>
          <w:sz w:val="20"/>
          <w:szCs w:val="20"/>
          <w:color w:val="auto"/>
        </w:rPr>
      </w:pPr>
    </w:p>
    <w:p>
      <w:pPr>
        <w:ind w:right="100" w:firstLine="720"/>
        <w:spacing w:after="0" w:line="242" w:lineRule="auto"/>
        <w:rPr>
          <w:sz w:val="20"/>
          <w:szCs w:val="20"/>
          <w:color w:val="auto"/>
        </w:rPr>
      </w:pPr>
      <w:r>
        <w:rPr>
          <w:rFonts w:ascii="Times New Roman" w:cs="Times New Roman" w:eastAsia="Times New Roman" w:hAnsi="Times New Roman"/>
          <w:sz w:val="20"/>
          <w:szCs w:val="20"/>
          <w:color w:val="auto"/>
        </w:rPr>
        <w:t>We are developing alvelestat for the treatment of severe AATD-LD. AATD-LD is a potentially life-threatening rare, genetic condition that results in severe debilitating diseases, including early-onset pulmonary emphysema. Alvelestat is a novel, oral small molecule designed to inhibit NE. Scientific data indicate that the increased risk of lung tissue injury in patients with AATD may be due to inadequately controlled NE caused by insufficient alpha-1 antitrypsin (AAT). We believe that by inhibiting NE, alvelestat has the potential to reduce the destruction of lung tissue and stabilize clinical deterioration in patients with severe AATD-LD patients.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Background of Alpha-1-Antitrypsin Deficiency</w:t>
      </w:r>
    </w:p>
    <w:p>
      <w:pPr>
        <w:spacing w:after="0" w:line="2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AATD is a genetic disease. There are estimated to be 50,000 people in North America and 60,000 in Europe with severe</w:t>
      </w:r>
    </w:p>
    <w:p>
      <w:pPr>
        <w:spacing w:after="0" w:line="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AATD, which we define as AATD in patients with serum AAT levels &lt;11 M, (most commonly either a PiZZ genotype or Null/Null genotype) although there are approximately only 10,000 people diagnosed in North America. The major function of AAT in the lungs is to protect the connective tissue from NE released from triggered neutrophils. The lungs are normally defended from NE attack by AAT, which is a highly effective inhibitor of NE. Severe AATD patients produce ineffective or no AAT and are, therefore, unable to defend against NE attack. As a result, severe AATD patients commonly experience degeneration of lung function, such as early-onset pulmonary emphysema, which significantly affects quality of life and life expectancy. They may require oxygen therapy in order to continue their daily lives and the most severe patients may require lung transplantation.</w:t>
      </w:r>
    </w:p>
    <w:p>
      <w:pPr>
        <w:spacing w:after="0" w:line="184" w:lineRule="exact"/>
        <w:rPr>
          <w:sz w:val="20"/>
          <w:szCs w:val="20"/>
          <w:color w:val="auto"/>
        </w:rPr>
      </w:pPr>
    </w:p>
    <w:p>
      <w:pPr>
        <w:ind w:right="60" w:firstLine="720"/>
        <w:spacing w:after="0" w:line="238" w:lineRule="auto"/>
        <w:rPr>
          <w:sz w:val="20"/>
          <w:szCs w:val="20"/>
          <w:color w:val="auto"/>
        </w:rPr>
      </w:pPr>
      <w:r>
        <w:rPr>
          <w:rFonts w:ascii="Times New Roman" w:cs="Times New Roman" w:eastAsia="Times New Roman" w:hAnsi="Times New Roman"/>
          <w:sz w:val="20"/>
          <w:szCs w:val="20"/>
          <w:color w:val="auto"/>
        </w:rPr>
        <w:t>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loss of lung tissue as measured by lung density on computed tomographic (CT) scanning, a decline in FEV1, a standard measure of exhalation and poor quality of life. Respiratory disease can progress to need for chronic oxygen therapy, lung transplant and death. The annual mortality rate in this genotype estimated to be 4%. Given that individuals with the Null/Null genotype do not produce any AAT, we believe that they are likely to experience an even greater annual decline in FEV1.</w:t>
      </w:r>
    </w:p>
    <w:p>
      <w:pPr>
        <w:sectPr>
          <w:pgSz w:w="11880" w:h="15480" w:orient="portrait"/>
          <w:cols w:equalWidth="0" w:num="1">
            <w:col w:w="10780"/>
          </w:cols>
          <w:pgMar w:left="540" w:top="73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780"/>
          </w:cols>
          <w:pgMar w:left="540" w:top="737" w:right="56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Treatment Landscape for Alpha-1 Antitrypsin Deficiency</w:t>
      </w:r>
    </w:p>
    <w:p>
      <w:pPr>
        <w:spacing w:after="0" w:line="215"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173" w:lineRule="exact"/>
        <w:rPr>
          <w:sz w:val="20"/>
          <w:szCs w:val="20"/>
          <w:color w:val="auto"/>
        </w:rPr>
      </w:pPr>
    </w:p>
    <w:p>
      <w:pPr>
        <w:ind w:right="200" w:firstLine="720"/>
        <w:spacing w:after="0" w:line="230" w:lineRule="auto"/>
        <w:rPr>
          <w:sz w:val="20"/>
          <w:szCs w:val="20"/>
          <w:color w:val="auto"/>
        </w:rPr>
      </w:pPr>
      <w:r>
        <w:rPr>
          <w:rFonts w:ascii="Times New Roman" w:cs="Times New Roman" w:eastAsia="Times New Roman" w:hAnsi="Times New Roman"/>
          <w:sz w:val="20"/>
          <w:szCs w:val="20"/>
          <w:color w:val="auto"/>
        </w:rPr>
        <w:t>Augmentation therapy is available for AATD, using a partially purified plasma preparation highly enriched for AAT that is administered weekly by intravenous infusion. This therapy was first approved by the FDA in the 1980s based on its biochemical efficacy, meaning its ability to raise blood levels of AAT, but not based on clinical outcome data. Several observational studies have suggested that AAT augmentation therapy may slow the rate of decline in lung function in a subgroup of AATD patients with moderate-to-severe airflow obstruction, but not for those with earlier stages of lung disease. In a randomized, controlled trial of augmentation therapy, patients had some reduction in the progression of emphysema, as assessed by measuring lung density using computed tomography. The study did not show significant slowing in the decline in FEV</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Benefit has not been demonstrated in patients with earlier stages of lung disease where there is an unmet need to reduce progression of irreversible lung tissue loss. In Europe Regulatory approval was on efficacy based on slowing of CT density decline, without effects on other measures such as FEV</w:t>
      </w:r>
      <w:r>
        <w:rPr>
          <w:rFonts w:ascii="Times New Roman" w:cs="Times New Roman" w:eastAsia="Times New Roman" w:hAnsi="Times New Roman"/>
          <w:sz w:val="13"/>
          <w:szCs w:val="13"/>
          <w:color w:val="auto"/>
        </w:rPr>
        <w:t>1</w:t>
      </w:r>
      <w:r>
        <w:rPr>
          <w:rFonts w:ascii="Times New Roman" w:cs="Times New Roman" w:eastAsia="Times New Roman" w:hAnsi="Times New Roman"/>
          <w:sz w:val="20"/>
          <w:szCs w:val="20"/>
          <w:color w:val="auto"/>
        </w:rPr>
        <w:t xml:space="preserve"> or patient-reported outcomes. Further, AAT augmentation therapy is generally not reimbursed and thus is not currently available to patients in several jurisdictions, including some key European markets. In addition, AAT augmentation therapy requires potentially inconvenient weekly intravenous infusions.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Approach</w:t>
      </w:r>
    </w:p>
    <w:p>
      <w:pPr>
        <w:spacing w:after="0" w:line="216" w:lineRule="exact"/>
        <w:rPr>
          <w:sz w:val="20"/>
          <w:szCs w:val="20"/>
          <w:color w:val="auto"/>
        </w:rPr>
      </w:pPr>
    </w:p>
    <w:p>
      <w:pPr>
        <w:ind w:right="40" w:firstLine="720"/>
        <w:spacing w:after="0"/>
        <w:rPr>
          <w:sz w:val="20"/>
          <w:szCs w:val="20"/>
          <w:color w:val="auto"/>
        </w:rPr>
      </w:pPr>
      <w:r>
        <w:rPr>
          <w:rFonts w:ascii="Times New Roman" w:cs="Times New Roman" w:eastAsia="Times New Roman" w:hAnsi="Times New Roman"/>
          <w:sz w:val="20"/>
          <w:szCs w:val="20"/>
          <w:color w:val="auto"/>
        </w:rPr>
        <w:t>Our product candidate for treating severe AATD is alvelestat, a potent, specific oral small molecule that is designed to inhibit NE. We believe that by inhibiting NE, alvelestat has the potential to reduce the enzymatic destruction of lung tissue. Furthermore, we believe that convenient oral dosing of alvelestat could provide a significant advantage compared to the current treatments for AATD of surgery or weekly intravenous AAT augmentation therapy. Alvelestat is not being investigated for treatment of the hepatic disease which is due to the damaging effect of accumulated abnormal ZZ protein in the liver, rather than the protein deficiency. Liver disease occurs in approximately 10% cases of severe AATD, predominantly in children.</w:t>
      </w:r>
    </w:p>
    <w:p>
      <w:pPr>
        <w:spacing w:after="0" w:line="183" w:lineRule="exact"/>
        <w:rPr>
          <w:sz w:val="20"/>
          <w:szCs w:val="20"/>
          <w:color w:val="auto"/>
        </w:rPr>
      </w:pPr>
    </w:p>
    <w:p>
      <w:pPr>
        <w:ind w:right="800" w:firstLine="720"/>
        <w:spacing w:after="0" w:line="272" w:lineRule="auto"/>
        <w:rPr>
          <w:sz w:val="20"/>
          <w:szCs w:val="20"/>
          <w:color w:val="auto"/>
        </w:rPr>
      </w:pPr>
      <w:r>
        <w:rPr>
          <w:rFonts w:ascii="Times New Roman" w:cs="Times New Roman" w:eastAsia="Times New Roman" w:hAnsi="Times New Roman"/>
          <w:sz w:val="20"/>
          <w:szCs w:val="20"/>
          <w:color w:val="auto"/>
        </w:rPr>
        <w:t>Alvelestat has received orphan designation for AATD from the EC and the FDA, and Fast Track designation for the treatment of AATD-LD from the FDA.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Development of Alvelestat</w:t>
      </w:r>
    </w:p>
    <w:p>
      <w:pPr>
        <w:spacing w:after="0" w:line="216"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Prior to our license of alvelestat, AstraZeneca conducted 12 clinical trials involving 1,776 subjects, including trials in COPD, bronchiectasis and cystic fibrosis. Although these trials were conducted in diseases other than AATD, we believe the data demonstrated potential clinical benefit and biomarker evidence of treatment effect for AATD patients. These trials created a safety database of 1,149 subjects treated with alvelestat.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Phase 2 Clinical Trials in AATD</w:t>
      </w:r>
    </w:p>
    <w:p>
      <w:pPr>
        <w:spacing w:after="0" w:line="22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May 2022, we successfully completed a Phase 2, placebo-controlled, 12-week, dose-ranging, proof-of-concept clinical trial (ASTRAEUS) in 99 patients with AATD-LD in the U.S. and the EU which demonstrated statistically significant changes in NE activity and biomarkers of disease severity at different time points up to 12 weeks. We enrolled only adult patients with PiZZ or Null/Null genotypes or rare genotypes with severe deficiency of alpha-1 antitrypsin (&lt;11 microMolar) with confirmed emphysema, who had not received AAT augmentation therapy or had undergone a wash-out period following AAT augmentation therapy. The study examined two doses of alvelestat (120 mg and 240 mg) compared to placebo with three primary endpoints along the pathogenic pathway of lung disease in AATD patients. These primary endpoints were plasma desmosine (a biomarker of protease-driven elastin breakdown), Aα-Val360, a specific biomarker of NE proteolytic activity, and NE activity in blood. Secondary endpoints were safety, exacerbation frequency, and pharmacokinetics. Exploratory endpoints were St. Georges Respiratory Questionnaire (SGRQ) which is a patient-reported outcome of Respiratory Health Status and lung function tests, including FEV1.</w:t>
      </w:r>
    </w:p>
    <w:p>
      <w:pPr>
        <w:spacing w:after="0" w:line="192" w:lineRule="exact"/>
        <w:rPr>
          <w:sz w:val="20"/>
          <w:szCs w:val="20"/>
          <w:color w:val="auto"/>
        </w:rPr>
      </w:pPr>
    </w:p>
    <w:p>
      <w:pPr>
        <w:ind w:right="640" w:firstLine="720"/>
        <w:spacing w:after="0" w:line="259" w:lineRule="auto"/>
        <w:rPr>
          <w:sz w:val="20"/>
          <w:szCs w:val="20"/>
          <w:color w:val="auto"/>
        </w:rPr>
      </w:pPr>
      <w:r>
        <w:rPr>
          <w:rFonts w:ascii="Times New Roman" w:cs="Times New Roman" w:eastAsia="Times New Roman" w:hAnsi="Times New Roman"/>
          <w:sz w:val="20"/>
          <w:szCs w:val="20"/>
          <w:color w:val="auto"/>
        </w:rPr>
        <w:t>We subsequently announced additional Phase 2 data from this study in October 2022 demonstrating the association of biomarker responders in alvelestat-treated patients to improvement in the activity domain of the St George’s Respiratory Questionnaire, but not in patients treated with placebo.</w:t>
      </w:r>
    </w:p>
    <w:p>
      <w:pPr>
        <w:sectPr>
          <w:pgSz w:w="11880" w:h="15480" w:orient="portrait"/>
          <w:cols w:equalWidth="0" w:num="1">
            <w:col w:w="10800"/>
          </w:cols>
          <w:pgMar w:left="540" w:top="744" w:right="540"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800"/>
          </w:cols>
          <w:pgMar w:left="540" w:top="744" w:right="540" w:bottom="0" w:gutter="0" w:footer="0" w:header="0"/>
          <w:type w:val="continuous"/>
        </w:sectPr>
      </w:pPr>
    </w:p>
    <w:bookmarkStart w:id="11" w:name="page12"/>
    <w:bookmarkEnd w:id="11"/>
    <w:p>
      <w:pPr>
        <w:ind w:firstLine="720"/>
        <w:spacing w:after="0" w:line="246" w:lineRule="auto"/>
        <w:rPr>
          <w:sz w:val="20"/>
          <w:szCs w:val="20"/>
          <w:color w:val="auto"/>
        </w:rPr>
      </w:pPr>
      <w:r>
        <w:rPr>
          <w:rFonts w:ascii="Times New Roman" w:cs="Times New Roman" w:eastAsia="Times New Roman" w:hAnsi="Times New Roman"/>
          <w:sz w:val="20"/>
          <w:szCs w:val="20"/>
          <w:color w:val="auto"/>
        </w:rPr>
        <w:t>No new safety signals were detected in patients with AATD-LD compared to the previous studies conducted by AstraZeneca. The most frequent adverse event was headache which was more frequently observed at the higher doses of alvelestat (120 mg and 240 mg) used in AATD-LD than at the lower doses used in previous studies in COPD, bronchiectasis and cystic fibrosis. There was evidence of tolerance to headache being induced, and we intend to use a dose-escalation regime for initiation of treatment in future trials. Monitoring for Adverse Events of Special Interest (AESIs) documented a single treatment-emergent adverse event (TEAE) of liver function abnormality (raised hepatic transaminases, without meeting Hy’s Law) and one AESI of prolonged QTc, in which study-drug stopping criteria were met were reported in the ASTRAEUS trial. Both events fully resolved on study drug cessation.</w:t>
      </w:r>
    </w:p>
    <w:p>
      <w:pPr>
        <w:spacing w:after="0" w:line="190"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In October 2023, the University of Alabama at Birmingham (UAB) and Mereo reported on the ATALANTa study, a multi-center, double-blind, placebo-controlled, proof-of-concept investigator-led study run by Professor Mark Dransfield, Director of the Division of Pulmonary, Allergy and Critical Care, UAB, in collaboration with Mereo. ATALANTa investigated the safety and efficacy of alvelestat 120 mg, or matched placebo, twice daily, for 12 weeks in a broad range of individuals with AATD-LD, including those with less severe phenotypes (Pi*SZ) and earlier stage patients than were enrolled in the Company-sponsored ASTRAEUS Phase 2 study, and those receiving augmentation therapy. The study randomized 63 patients, 32 in the 120 mg alvelestat arm (44% on augmentation therapy) and 31 in the placebo arm (48% on augmentation therapy). The results demonstrated with the 120 mg dose of alvelestat (the lower dose used in the Phase 2 ASTRAEUS study) are consistent with those observed in ASTRAEUS on blood NE activity and changes in the disease-activity biomarkers, desmosine and Aα-val360. The data demonstrate that the 120 mg dose of alvelestat is safe on top of augmentation and support Mereo’s selection of the 240 mg dose to be studied in the planned Phase 3 pivotal trial. Exploratory endpoints in ATALANTa demonstrated statistically significant improvement in SGRQ Activity score (p=0.0106 versus placebo) and a trend to improvement in SGRQ Total score at 12 weeks in patients not receiving augmentation therapy and having earlier stage lung disease (based on their FEV</w:t>
      </w:r>
      <w:r>
        <w:rPr>
          <w:rFonts w:ascii="Times New Roman" w:cs="Times New Roman" w:eastAsia="Times New Roman" w:hAnsi="Times New Roman"/>
          <w:sz w:val="13"/>
          <w:szCs w:val="13"/>
          <w:color w:val="auto"/>
        </w:rPr>
        <w:t>1</w:t>
      </w:r>
      <w:r>
        <w:rPr>
          <w:rFonts w:ascii="Times New Roman" w:cs="Times New Roman" w:eastAsia="Times New Roman" w:hAnsi="Times New Roman"/>
          <w:sz w:val="20"/>
          <w:szCs w:val="20"/>
          <w:color w:val="auto"/>
        </w:rPr>
        <w:t>). The ATALANTa and ASTRAEUS data support the use of the SGRQ Total score in the planned Phase 3 pivotal trial and inclusion of patients with earlier stages of lung disease. Safety in ATALANTa was consistent with the known alvelestat profile and there were no liver or QTc AESIs documented.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Planned Phase 3 Clinical Trial in AATD</w:t>
      </w:r>
    </w:p>
    <w:p>
      <w:pPr>
        <w:spacing w:after="0" w:line="22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 March 2023, we announced the outcome of the end-of-Phase 2 discussions with the FDA and the EMA (Scientific Advice) and the guidance on the Phase 3 endpoints received from both Regulatory Agencies. In the EU, the Company received guidance that lung density by computed tomography (CT) scan with a relaxed p value (p&lt;0.1) may be sufficient for full regulatory approval. In the U.S., following additional FDA interactions in the second half of 2023, the Company has aligned on St George’s Respiratory questionnaire (SGRQ) total score as the primary endpoint, with a functional assessment as a key secondary endpoint, which, if successful, is expected to support submissions for full regulatory approval in the U.S. Inclusion of patients with earlier and later stage lung disease progression in the planned registrational study could increase the addressable patient population for alvelestat. Based on the guidance from the FDA and the EMA, the Company is designing a single, global, Phase 3 study evaluating the 240 mg dose of alvelestat versus placebo in approximately 220 patients with AATD-LD with two independent primary endpoints to support applications for full marketing approvals in both the U.S. and EU. Qualitative research to test that the SGRQ is fit for purpose in the AATD population, as required by FDA, was completed in 2024. A Pediatric Investigation Plan full waiver was agreed by the EMA in 2024, meaning that no pediatric studies are required.</w:t>
      </w:r>
    </w:p>
    <w:p>
      <w:pPr>
        <w:spacing w:after="0" w:line="196"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20"/>
          <w:szCs w:val="20"/>
          <w:color w:val="auto"/>
        </w:rPr>
        <w:t>The Company continues to evaluate non-dilutive financing options for the development and potential commercialization of alvelestat in AATD-LD while continuing to progress the program towards the initiation of the planned Phase 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Phase 1b/2 Clinical Trial in Bronchiolitis Obliterans Syndrome (“BOS”)</w:t>
      </w:r>
    </w:p>
    <w:p>
      <w:pPr>
        <w:spacing w:after="0" w:line="214" w:lineRule="exact"/>
        <w:rPr>
          <w:sz w:val="20"/>
          <w:szCs w:val="20"/>
          <w:color w:val="auto"/>
        </w:rPr>
      </w:pPr>
    </w:p>
    <w:p>
      <w:pPr>
        <w:ind w:right="280" w:firstLine="720"/>
        <w:spacing w:after="0" w:line="242" w:lineRule="auto"/>
        <w:rPr>
          <w:sz w:val="20"/>
          <w:szCs w:val="20"/>
          <w:color w:val="auto"/>
        </w:rPr>
      </w:pPr>
      <w:r>
        <w:rPr>
          <w:rFonts w:ascii="Times New Roman" w:cs="Times New Roman" w:eastAsia="Times New Roman" w:hAnsi="Times New Roman"/>
          <w:sz w:val="20"/>
          <w:szCs w:val="20"/>
          <w:color w:val="auto"/>
        </w:rPr>
        <w:t>BOS is a rare progressive, fibrosing disease of the lungs affecting approximately 6% of the estimated 12,000 stem cell transplants a year in the U.S., often as part of graft versus host disease. For lung transplants, approximately 50% of the patients develop BOS by 5 years, which is the leading cause of retransplant and mortality. There are an estimated 10,000 people living with lung transplant and BOS in the U.S. and Europe. BOS is characterized by neutrophil infiltration in the lung, excess NE and inflammation. The pathology of BOS in stem cell transplant and lung transplant is overlapping.</w:t>
      </w:r>
    </w:p>
    <w:p>
      <w:pPr>
        <w:spacing w:after="0" w:line="192"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As BOS is driven by elevated neutrophils in the lung and excess NE activity, leading to lung damage through elastin breakdown in the tissue and progressive fibrosis, and ultimately respiratory failure we believe our approach using alvelestat to inhibit NE has significant advantages. By inhibiting NE, we believe alvelestat will reduce the accelerating effects of NE-driven inflammation on BOS leading to increased success rate of SCT and lung transplant. The investigator-led clinical program is designed to generate data on clinical endpoints that would potentially support registration and reimbursement in SCT.</w:t>
      </w:r>
    </w:p>
    <w:p>
      <w:pPr>
        <w:spacing w:after="0" w:line="187"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auto"/>
        </w:rPr>
        <w:t>An investigator-sponsored open-label Phase1b/2 study in Bronchiolitis Obliterans Syndrome (BOS) following allogeneic stem cell transplant is being conducted. In January 2025, the Clinical Trial Agreement between Mereo and The Center for Cancer Research, National Cancer Institute ("CCR") under the direction of Steven Pavletic, M.D. ("Principal Investigator") was amended to</w:t>
      </w:r>
    </w:p>
    <w:p>
      <w:pPr>
        <w:sectPr>
          <w:pgSz w:w="11880" w:h="15480" w:orient="portrait"/>
          <w:cols w:equalWidth="0" w:num="1">
            <w:col w:w="10780"/>
          </w:cols>
          <w:pgMar w:left="540" w:top="748" w:right="560" w:bottom="0" w:gutter="0" w:footer="0" w:header="0"/>
        </w:sect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780"/>
          </w:cols>
          <w:pgMar w:left="540" w:top="748" w:right="560" w:bottom="0" w:gutter="0" w:footer="0" w:header="0"/>
          <w:type w:val="continuous"/>
        </w:sectPr>
      </w:pPr>
    </w:p>
    <w:bookmarkStart w:id="12" w:name="page13"/>
    <w:bookmarkEnd w:id="12"/>
    <w:p>
      <w:pPr>
        <w:ind w:right="260"/>
        <w:spacing w:after="0" w:line="279" w:lineRule="auto"/>
        <w:rPr>
          <w:sz w:val="20"/>
          <w:szCs w:val="20"/>
          <w:color w:val="auto"/>
        </w:rPr>
      </w:pPr>
      <w:r>
        <w:rPr>
          <w:rFonts w:ascii="Times New Roman" w:cs="Times New Roman" w:eastAsia="Times New Roman" w:hAnsi="Times New Roman"/>
          <w:sz w:val="20"/>
          <w:szCs w:val="20"/>
          <w:color w:val="auto"/>
        </w:rPr>
        <w:t>expire on the earlier of completion of the research or May 31, 2026. NCI, CCR and the Principal Investigator will work to complete the trial within the timelines and no subject will be enrolled in the trial after May 31,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Non-Core Partnered Programs</w:t>
      </w:r>
    </w:p>
    <w:p>
      <w:pPr>
        <w:spacing w:after="0" w:line="228" w:lineRule="exact"/>
        <w:rPr>
          <w:sz w:val="20"/>
          <w:szCs w:val="20"/>
          <w:color w:val="auto"/>
        </w:rPr>
      </w:pPr>
    </w:p>
    <w:p>
      <w:pPr>
        <w:ind w:right="20" w:firstLine="720"/>
        <w:spacing w:after="0" w:line="279" w:lineRule="auto"/>
        <w:rPr>
          <w:sz w:val="20"/>
          <w:szCs w:val="20"/>
          <w:color w:val="auto"/>
        </w:rPr>
      </w:pPr>
      <w:r>
        <w:rPr>
          <w:rFonts w:ascii="Times New Roman" w:cs="Times New Roman" w:eastAsia="Times New Roman" w:hAnsi="Times New Roman"/>
          <w:sz w:val="20"/>
          <w:szCs w:val="20"/>
          <w:color w:val="auto"/>
        </w:rPr>
        <w:t>Following completion of successful Phase 1b or Phase 2 studies the products below are programs which we have successfully partnered.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Navicixizumab (OMP-305B83) for Treatment of Ovarian Cancer</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Navicixizumab is a bispecific antibody that inhibits delta-like ligand 4 (DLL4) and vascular endothelial growth factor</w:t>
      </w:r>
    </w:p>
    <w:p>
      <w:pPr>
        <w:spacing w:after="0"/>
        <w:rPr>
          <w:sz w:val="20"/>
          <w:szCs w:val="20"/>
          <w:color w:val="auto"/>
        </w:rPr>
      </w:pPr>
      <w:r>
        <w:rPr>
          <w:rFonts w:ascii="Times New Roman" w:cs="Times New Roman" w:eastAsia="Times New Roman" w:hAnsi="Times New Roman"/>
          <w:sz w:val="20"/>
          <w:szCs w:val="20"/>
          <w:color w:val="auto"/>
        </w:rPr>
        <w:t>(VEGF).</w:t>
      </w:r>
    </w:p>
    <w:p>
      <w:pPr>
        <w:spacing w:after="0" w:line="230" w:lineRule="exact"/>
        <w:rPr>
          <w:sz w:val="20"/>
          <w:szCs w:val="20"/>
          <w:color w:val="auto"/>
        </w:rPr>
      </w:pPr>
    </w:p>
    <w:p>
      <w:pPr>
        <w:ind w:right="460" w:firstLine="720"/>
        <w:spacing w:after="0" w:line="279" w:lineRule="auto"/>
        <w:rPr>
          <w:sz w:val="20"/>
          <w:szCs w:val="20"/>
          <w:color w:val="auto"/>
        </w:rPr>
      </w:pPr>
      <w:r>
        <w:rPr>
          <w:rFonts w:ascii="Times New Roman" w:cs="Times New Roman" w:eastAsia="Times New Roman" w:hAnsi="Times New Roman"/>
          <w:sz w:val="20"/>
          <w:szCs w:val="20"/>
          <w:color w:val="auto"/>
        </w:rPr>
        <w:t>We acquired navicixizumab in the Merger. In January 2020, we out-licensed navicixizumab to Feng Biosciences. See “-Material Agreements - Licensing Agreement for Navicixizumab.”</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Leflutrozole (BGS-649)</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Leflutrozole is an oral inhibitor of aromatase. Excess aromatase in fat tissue reduces testosterone, LH and FSH, leading to</w:t>
      </w:r>
    </w:p>
    <w:p>
      <w:pPr>
        <w:spacing w:after="0" w:line="279" w:lineRule="auto"/>
        <w:tabs>
          <w:tab w:leader="none" w:pos="38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Phase 2 trials, leflutrozole normalized testosterone, increased LH and FSH, improved total sperm count, and was reported to be well-tolerated.</w:t>
      </w:r>
    </w:p>
    <w:p>
      <w:pPr>
        <w:spacing w:after="0" w:line="155"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In December 2023, we entered into an exclusive global license agreement with ReproNovo for the development and commercialization of leflutrozole, a non-steroidal aromatase inhibitor. See “—Material Agreements—Licensing Agreement for Leflutrozole”. Under the terms of the License Agreement, ReproNovo, a reproductive medicine company, is responsible for all future development and commercialization of leflutrozole. Mereo received an upfront payment and will be eligible to receive up to $64.3 million in future clinical, regulatory and commercial milestones as well as tiered mid-single digit royalties on global annual net sales of leflutrozole.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Non-Core Programs Available for Partnering</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Following completion of successful Phase 1b or Phase 2 studies, we intend to out-license or sell the following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Etigilimab (MPH-313) for the Treatment of Advanced Solid Tumors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2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Etigilimab is an antibody against TIGIT. TIGIT is a next generation 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 Etigilimab has completed a Phase 1a dose escalation clinical trial in 23 patients with advanced solid tumors and has been evaluated in a Phase 1b study in combination with nivolumab in select tumor types.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Acumapimod (BCT-197) for the Treatment of AECOPD</w:t>
      </w:r>
    </w:p>
    <w:p>
      <w:pPr>
        <w:spacing w:after="0" w:line="233" w:lineRule="exact"/>
        <w:rPr>
          <w:sz w:val="20"/>
          <w:szCs w:val="20"/>
          <w:color w:val="auto"/>
        </w:rPr>
      </w:pPr>
    </w:p>
    <w:p>
      <w:pPr>
        <w:ind w:right="220" w:firstLine="720"/>
        <w:spacing w:after="0" w:line="253" w:lineRule="auto"/>
        <w:rPr>
          <w:sz w:val="20"/>
          <w:szCs w:val="20"/>
          <w:color w:val="auto"/>
        </w:rPr>
      </w:pPr>
      <w:r>
        <w:rPr>
          <w:rFonts w:ascii="Times New Roman" w:cs="Times New Roman" w:eastAsia="Times New Roman" w:hAnsi="Times New Roman"/>
          <w:sz w:val="20"/>
          <w:szCs w:val="20"/>
          <w:color w:val="auto"/>
        </w:rPr>
        <w:t>Acumapimod is a p38 MAP kinase inhibitor therapy for treatment during severe acute exacerbations of COPD (AECOPD). In a Phase 2 trial, acumapimod given over five days in patients hospitalized with AECOPD demonstrated a statistically significant reduction in re-hospitalization for treatment failure and recurrent exacerbations. Acumapimod was reported to be safe and well tolerated. Following meetings with FDA and EMA a global Phase 3 registrational program has been designed.</w:t>
      </w:r>
    </w:p>
    <w:p>
      <w:pPr>
        <w:spacing w:after="0" w:line="180" w:lineRule="exact"/>
        <w:rPr>
          <w:sz w:val="20"/>
          <w:szCs w:val="20"/>
          <w:color w:val="auto"/>
        </w:rPr>
      </w:pPr>
    </w:p>
    <w:p>
      <w:pPr>
        <w:ind w:right="60" w:firstLine="720"/>
        <w:spacing w:after="0" w:line="279" w:lineRule="auto"/>
        <w:rPr>
          <w:sz w:val="20"/>
          <w:szCs w:val="20"/>
          <w:color w:val="auto"/>
        </w:rPr>
      </w:pPr>
      <w:r>
        <w:rPr>
          <w:rFonts w:ascii="Times New Roman" w:cs="Times New Roman" w:eastAsia="Times New Roman" w:hAnsi="Times New Roman"/>
          <w:sz w:val="20"/>
          <w:szCs w:val="20"/>
          <w:color w:val="auto"/>
        </w:rPr>
        <w:t>We intend to out-license or sell etigilimab and acumapimod to third parties for the further development, recognizing the need for greater resources to take these product candidates to market.</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800"/>
          </w:cols>
          <w:pgMar w:left="540" w:top="748" w:right="5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Material Agreements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Agreements with Ultragenyx for Setrusumab</w:t>
      </w:r>
    </w:p>
    <w:p>
      <w:pPr>
        <w:spacing w:after="0" w:line="238"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On December 17, 2020, we announced that we entered into a license and collaboration agreement with Ultragenyx, for setrusumab for OI. Under the terms of the agreement, Ultragenyx will lead future global development of setrusumab in both pediatric and adult patients. We granted Ultragenyx an exclusive license to develop and commercialize setrusumab in the U.S. and rest of the world, excluding Europe, where we retain commercial rights. Each party will be responsible for post-marketing commitments in their respective territories. Under the terms of the agreement, Ultragenyx made an upfront payment of $50 million to Mereo and a $9.0 million payment during the year ended December 31, 2023 upon achievement of a clinical milestone. Ultragenyx will pay up to $245 million in additional development, regulatory and commercial milestones and tiered double digit percentage royalties to us on net sales outside of Europe and we will pay a fixed double digit percentage royalty to Ultragenyx on net sales in Europe. Under the terms of our 2015 agreement with Novartis, we will pay Novartis a percentage of proceeds, subject to certain deductions, and we will receive a substantial majority of the payments from Ultragenyx.</w:t>
      </w:r>
    </w:p>
    <w:p>
      <w:pPr>
        <w:spacing w:after="0" w:line="202"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In December 2024, we entered into a manufacturing and supply agreement with Ultragenyx (the “Ultragenyx Manufacturing and Supply Agreement”) under which Ultragenyx is responsible for the manufacture and supply of setrusumab to Mereo in our territories. We are also required to reimburse Ultragenyx for a portion of the manufacturing process development costs as well as future commercial supply costs.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Licensing Agreement with AstraZeneca</w:t>
      </w:r>
    </w:p>
    <w:p>
      <w:pPr>
        <w:spacing w:after="0" w:line="238"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In October 2017, we entered into an exclusive license and option agreement (“the AstraZeneca License Agreement”) and subscription deed (the “AstraZeneca Subscription Deed”), together (the “Original Agreements”) with AstraZeneca AB. Each of these were amended on November 8, 2024, when we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w:t>
      </w:r>
    </w:p>
    <w:p>
      <w:pPr>
        <w:spacing w:after="0" w:line="20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Under the terms of the Original Agreements, we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we made a payment of $3.0 million and issued 490,798 ordinary shares (equivalent to 98,159 ADSs) to AstraZeneca, for an aggregate upfront payment equal to $5.0 million. Upon execution of the Amended AstraZeneca License Agreement, we issued 2,044,392 ordinary shares and paid $0.5 million to AstraZeneca in respect of an agreed milestone.</w:t>
      </w:r>
    </w:p>
    <w:p>
      <w:pPr>
        <w:spacing w:after="0" w:line="200" w:lineRule="exact"/>
        <w:rPr>
          <w:sz w:val="20"/>
          <w:szCs w:val="20"/>
          <w:color w:val="auto"/>
        </w:rPr>
      </w:pPr>
    </w:p>
    <w:p>
      <w:pPr>
        <w:ind w:firstLine="770"/>
        <w:spacing w:after="0" w:line="243" w:lineRule="auto"/>
        <w:rPr>
          <w:sz w:val="20"/>
          <w:szCs w:val="20"/>
          <w:color w:val="auto"/>
        </w:rPr>
      </w:pPr>
      <w:r>
        <w:rPr>
          <w:rFonts w:ascii="Times New Roman" w:cs="Times New Roman" w:eastAsia="Times New Roman" w:hAnsi="Times New Roman"/>
          <w:sz w:val="20"/>
          <w:szCs w:val="20"/>
          <w:color w:val="auto"/>
        </w:rPr>
        <w:t>Under the terms of the Amended AstraZeneca Agreements, we have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AstraZeneca License Agreement. The number of ADSs to be issued to satisfy equity milestones is determined by dividing a monetary amount by a defined subscription price (the “Subscription Price”). In addition, we have agreed to make payments to AstraZeneca based on specified commercial milestones of the product. We have also agreed to pay a specified percentage of sub-licensing revenue to AstraZeneca and to make royalty payments to AstraZeneca equal to ascending specified percentages of tiered annual worldwide net sales by us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We have agreed to use commercially reasonable efforts to develop and commercialize at least one licensed product.</w:t>
      </w:r>
    </w:p>
    <w:p>
      <w:pPr>
        <w:spacing w:after="0" w:line="206"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Amended AstraZeneca License Agreement will expire on the expiration of the last-to-expire royalty term with respect to all licensed products. Upon the expiration of the royalty term for a licensed product in a particular country, the licenses to us for such product in such country will become fully paid and irrevocable. Prior to exercise of the Option, if at all, we may terminate the Amended AstraZeneca License Agreement upon prior written notice. Either party may terminate the agreement upon prior written notice for the other party’s material breach that remains uncured for a specified period of time or insolvency.</w:t>
      </w:r>
    </w:p>
    <w:p>
      <w:pPr>
        <w:sectPr>
          <w:pgSz w:w="11880" w:h="15480" w:orient="portrait"/>
          <w:cols w:equalWidth="0" w:num="1">
            <w:col w:w="10780"/>
          </w:cols>
          <w:pgMar w:left="540" w:top="74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780"/>
          </w:cols>
          <w:pgMar w:left="540" w:top="745" w:right="56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auto"/>
        </w:rPr>
        <w:t>Licensing Agreement for Navicixizumab</w:t>
      </w:r>
    </w:p>
    <w:p>
      <w:pPr>
        <w:spacing w:after="0" w:line="229" w:lineRule="exact"/>
        <w:rPr>
          <w:sz w:val="20"/>
          <w:szCs w:val="20"/>
          <w:color w:val="auto"/>
        </w:rPr>
      </w:pPr>
    </w:p>
    <w:p>
      <w:pPr>
        <w:ind w:firstLine="720"/>
        <w:spacing w:after="0" w:line="239" w:lineRule="auto"/>
        <w:rPr>
          <w:sz w:val="20"/>
          <w:szCs w:val="20"/>
          <w:color w:val="auto"/>
        </w:rPr>
      </w:pPr>
      <w:r>
        <w:rPr>
          <w:rFonts w:ascii="Times New Roman" w:cs="Times New Roman" w:eastAsia="Times New Roman" w:hAnsi="Times New Roman"/>
          <w:sz w:val="20"/>
          <w:szCs w:val="20"/>
          <w:color w:val="auto"/>
        </w:rPr>
        <w:t>On January 13, 2020, we entered into a global license agreement with Feng Biosciences for the development and commercialization of navicixizumab, an anti-DLL4/VEGF bispecific antibody, which, at the time, was being evaluated in a Phase 1b study in combination with paclitaxel in patients with advanced heavily pretreated ovarian cancer. Navicixizumab previously completed a Phase 1a monotherapy study in patients with various types of refractory solid tumors and is one of two product candidates we acquired through the Merger.</w:t>
      </w:r>
    </w:p>
    <w:p>
      <w:pPr>
        <w:spacing w:after="0" w:line="197" w:lineRule="exact"/>
        <w:rPr>
          <w:sz w:val="20"/>
          <w:szCs w:val="20"/>
          <w:color w:val="auto"/>
        </w:rPr>
      </w:pPr>
    </w:p>
    <w:p>
      <w:pPr>
        <w:ind w:right="300" w:firstLine="720"/>
        <w:spacing w:after="0" w:line="238" w:lineRule="auto"/>
        <w:rPr>
          <w:sz w:val="20"/>
          <w:szCs w:val="20"/>
          <w:color w:val="auto"/>
        </w:rPr>
      </w:pPr>
      <w:r>
        <w:rPr>
          <w:rFonts w:ascii="Times New Roman" w:cs="Times New Roman" w:eastAsia="Times New Roman" w:hAnsi="Times New Roman"/>
          <w:sz w:val="20"/>
          <w:szCs w:val="20"/>
          <w:color w:val="auto"/>
        </w:rPr>
        <w:t>Under the terms of the license agreement, Feng Biosciences received an exclusive worldwide license to develop and commercialize navicixizumb. We received an upfront payment of $4.0 million and in February 2022 we received an additional payment of $2.0 million, following satisfaction of a milestone. Feng Biosciences will be responsible for all future research, development and commercialization of navicixizumab. Additionally, we will be eligible to receive up to $300 million in future clinical, regulatory and commercial milestones, tiered royalties ranging from the mid-single-digit to sub-teen percentages on global annual net sales of navicixizumab, as well as a negotiated percentage of sublicensing revenues from certain sublicensees.</w:t>
      </w:r>
    </w:p>
    <w:p>
      <w:pPr>
        <w:spacing w:after="0" w:line="19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In February 2022, we received a milestone payment of $2.0 million (£1.5 million) under the Navicixizumb License Agreement with Feng Biosciences. An associated payment was made to the former shareholders of Mereo BioPharma 5, Inc. under the CVR Agreement of a total of $0.9 million (£0.7 million), after deductions of costs, charges and expenditures.</w:t>
      </w:r>
    </w:p>
    <w:p>
      <w:pPr>
        <w:spacing w:after="0" w:line="185"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19"/>
          <w:szCs w:val="19"/>
          <w:color w:val="auto"/>
        </w:rPr>
        <w:t>In the fourth quarter of 2023, Feng Biosciences completed a restructuring, recapitalization and closed on a refinancing. Feng Biosciences is a clinical stage therapeutics company advancing precision medicine for people with cancer. Feng Biosciences will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continue to utilize its Xerna</w:t>
      </w:r>
      <w:r>
        <w:rPr>
          <w:rFonts w:ascii="Calibri" w:cs="Calibri" w:eastAsia="Calibri" w:hAnsi="Calibri"/>
          <w:sz w:val="28"/>
          <w:szCs w:val="28"/>
          <w:color w:val="auto"/>
          <w:vertAlign w:val="superscript"/>
        </w:rPr>
        <w:t>TM</w:t>
      </w:r>
      <w:r>
        <w:rPr>
          <w:rFonts w:ascii="Times New Roman" w:cs="Times New Roman" w:eastAsia="Times New Roman" w:hAnsi="Times New Roman"/>
          <w:sz w:val="20"/>
          <w:szCs w:val="20"/>
          <w:color w:val="auto"/>
        </w:rPr>
        <w:t xml:space="preserve"> platform to progress navicixizumab.</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Licensing Agreement for Leflutrozole</w:t>
      </w:r>
    </w:p>
    <w:p>
      <w:pPr>
        <w:spacing w:after="0" w:line="229" w:lineRule="exact"/>
        <w:rPr>
          <w:sz w:val="20"/>
          <w:szCs w:val="20"/>
          <w:color w:val="auto"/>
        </w:rPr>
      </w:pPr>
    </w:p>
    <w:p>
      <w:pPr>
        <w:ind w:right="100" w:firstLine="720"/>
        <w:spacing w:after="0" w:line="239" w:lineRule="auto"/>
        <w:rPr>
          <w:sz w:val="20"/>
          <w:szCs w:val="20"/>
          <w:color w:val="auto"/>
        </w:rPr>
      </w:pPr>
      <w:r>
        <w:rPr>
          <w:rFonts w:ascii="Times New Roman" w:cs="Times New Roman" w:eastAsia="Times New Roman" w:hAnsi="Times New Roman"/>
          <w:sz w:val="20"/>
          <w:szCs w:val="20"/>
          <w:color w:val="auto"/>
        </w:rPr>
        <w:t>In December 2023, we entered into an exclusive global license agreement with ReproNovo for the development and commercialization of leflutrozole, a non-steroidal aromatase inhibitor. Under the terms of the License Agreement, ReproNovo, a reproductive medicine company, is responsible for all future development and commercialization of leflutrozole. Mereo received an upfront payment and will be eligible to receive up to $64.3 million in future clinical, regulatory and commercial milestones as well as tiered mid-single digit royalties on global annual net sales of leflutrozole.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Novartis Agreements</w:t>
      </w:r>
    </w:p>
    <w:p>
      <w:pPr>
        <w:spacing w:after="0" w:line="238"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w:t>
      </w:r>
    </w:p>
    <w:p>
      <w:pPr>
        <w:spacing w:after="0" w:line="190"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0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Royalties will be payable on a country-by-country basis until the later of expiration of the last valid claim of the licensed patents covering the Antibody Product Candidates in a country and ten years after the first commercial sale of the Antibody Product Candidates in such country, with a maximum royalty term of 12 years after the first commercial sale of the Antibody Product Candidates in such country. We have also agreed to pay Novartis up to $3.25 million in development and regulatory milestones, of which $0.8 million was paid in 2023, and to use commercially reasonable efforts to develop and commercialize an Antibody Product. The Sublicense Agreement will expire on the earlier of the termination of the agreement under which Novartis is granting us a sublicense (the “Original License Agreement”) and,</w:t>
      </w:r>
    </w:p>
    <w:p>
      <w:pPr>
        <w:sectPr>
          <w:pgSz w:w="11880" w:h="15480" w:orient="portrait"/>
          <w:cols w:equalWidth="0" w:num="1">
            <w:col w:w="10800"/>
          </w:cols>
          <w:pgMar w:left="540" w:top="742" w:right="540" w:bottom="0" w:gutter="0" w:footer="0" w:header="0"/>
        </w:sectPr>
      </w:pP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800"/>
          </w:cols>
          <w:pgMar w:left="540" w:top="742" w:right="540" w:bottom="0" w:gutter="0" w:footer="0" w:header="0"/>
          <w:type w:val="continuous"/>
        </w:sectPr>
      </w:pPr>
    </w:p>
    <w:bookmarkStart w:id="15" w:name="page16"/>
    <w:bookmarkEnd w:id="15"/>
    <w:p>
      <w:pPr>
        <w:ind w:right="140"/>
        <w:spacing w:after="0" w:line="253" w:lineRule="auto"/>
        <w:rPr>
          <w:sz w:val="20"/>
          <w:szCs w:val="20"/>
          <w:color w:val="auto"/>
        </w:rPr>
      </w:pPr>
      <w:r>
        <w:rPr>
          <w:rFonts w:ascii="Times New Roman" w:cs="Times New Roman" w:eastAsia="Times New Roman" w:hAnsi="Times New Roman"/>
          <w:sz w:val="20"/>
          <w:szCs w:val="20"/>
          <w:color w:val="auto"/>
        </w:rPr>
        <w:t>on a product-by-product and country-by-country basis, the expiration of the royalty term with respect to such Antibody Product Candidate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Novartis Loan Note</w:t>
      </w:r>
    </w:p>
    <w:p>
      <w:pPr>
        <w:spacing w:after="0" w:line="238"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On February 10, 2020, we entered into a £3.8 million convertible loan note instrument with Novartis pursuant to which we issued 3,841,479 unsecured convertible loan notes (the “Novartis Loan Note”) with a maturity date of February 10, 2023, and warrants to purchase 1,449,614 ordinary shares, exercisable until February 2025.</w:t>
      </w:r>
    </w:p>
    <w:p>
      <w:pPr>
        <w:spacing w:after="0" w:line="185" w:lineRule="exact"/>
        <w:rPr>
          <w:sz w:val="20"/>
          <w:szCs w:val="20"/>
          <w:color w:val="auto"/>
        </w:rPr>
      </w:pPr>
    </w:p>
    <w:p>
      <w:pPr>
        <w:ind w:right="240" w:firstLine="720"/>
        <w:spacing w:after="0" w:line="259" w:lineRule="auto"/>
        <w:rPr>
          <w:sz w:val="20"/>
          <w:szCs w:val="20"/>
          <w:color w:val="auto"/>
        </w:rPr>
      </w:pPr>
      <w:r>
        <w:rPr>
          <w:rFonts w:ascii="Times New Roman" w:cs="Times New Roman" w:eastAsia="Times New Roman" w:hAnsi="Times New Roman"/>
          <w:sz w:val="20"/>
          <w:szCs w:val="20"/>
          <w:color w:val="auto"/>
        </w:rPr>
        <w:t>On February 10, 2023, we amended the Novartis Loan Note, extending the maturity date to February 10, 2025. Pursuant to the amendment and a new warrant instrument, interest accrued to the amendment date was paid in cash, and warrants to purchase 2,000,000 ordinary shares at an exercise price of £0.150 per ordinary share were issued and are exercisable until February 10, 2028.</w:t>
      </w:r>
    </w:p>
    <w:p>
      <w:pPr>
        <w:spacing w:after="0" w:line="185" w:lineRule="exact"/>
        <w:rPr>
          <w:sz w:val="20"/>
          <w:szCs w:val="20"/>
          <w:color w:val="auto"/>
        </w:rPr>
      </w:pPr>
    </w:p>
    <w:p>
      <w:pPr>
        <w:jc w:val="both"/>
        <w:ind w:right="200" w:firstLine="720"/>
        <w:spacing w:after="0" w:line="259" w:lineRule="auto"/>
        <w:rPr>
          <w:sz w:val="20"/>
          <w:szCs w:val="20"/>
          <w:color w:val="auto"/>
        </w:rPr>
      </w:pPr>
      <w:r>
        <w:rPr>
          <w:rFonts w:ascii="Times New Roman" w:cs="Times New Roman" w:eastAsia="Times New Roman" w:hAnsi="Times New Roman"/>
          <w:sz w:val="20"/>
          <w:szCs w:val="20"/>
          <w:color w:val="auto"/>
        </w:rPr>
        <w:t>On February 7, 2025, the Company received a conversion notice and subsequently issued and allotted 17,105,450 ordinary shares (equivalent to 3,421,090 ADSs) on the non-cash conversion of the outstanding principal and accrued interest of the Novartis Loan Note.</w:t>
      </w:r>
    </w:p>
    <w:p>
      <w:pPr>
        <w:spacing w:after="0" w:line="185" w:lineRule="exact"/>
        <w:rPr>
          <w:sz w:val="20"/>
          <w:szCs w:val="20"/>
          <w:color w:val="auto"/>
        </w:rPr>
      </w:pPr>
    </w:p>
    <w:p>
      <w:pPr>
        <w:jc w:val="both"/>
        <w:ind w:right="200" w:firstLine="770"/>
        <w:spacing w:after="0" w:line="279" w:lineRule="auto"/>
        <w:rPr>
          <w:sz w:val="20"/>
          <w:szCs w:val="20"/>
          <w:color w:val="auto"/>
        </w:rPr>
      </w:pPr>
      <w:r>
        <w:rPr>
          <w:rFonts w:ascii="Times New Roman" w:cs="Times New Roman" w:eastAsia="Times New Roman" w:hAnsi="Times New Roman"/>
          <w:sz w:val="20"/>
          <w:szCs w:val="20"/>
          <w:color w:val="auto"/>
        </w:rPr>
        <w:t>In addition, on February 7, 2025, Novartis exercised 1,449,610 warrants (equivalent to 289,922 ADSs) and upon receipt of $0.5 million in satisfaction of the subscription price of £0.265 per ordinary share, the Company issued and allotted the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Cooperation Agreement with Rubric Capital Management LP</w:t>
      </w:r>
    </w:p>
    <w:p>
      <w:pPr>
        <w:spacing w:after="0" w:line="238"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On April 15, 2024, Mereo entered into an extension letter to the cooperation agreement dated October 28, 2022, (the “Cooperation Agreement”) with Rubric Capital Management LP, the Company’s largest shareholder. The extension letter waived the requirement under Section 1(f) of the Cooperation Agreement for Mr. Justin Roberts to offer to resign from the Company's Board of Directors and all applicable committees thereof upon the termination date of the Cooperation Agreement which was immediately following the conclusion of the Company’s 2024 annual shareholder meeting (the “Termination Date”) and extended the Termination Date of the Cooperation Agreement until immediately following the conclusion of the Company’s 2025 annual shareholder meeting.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3"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setrusumab and alvelestat, and we intend to enter into additional manufacturing agreements as necessary. Following our license of alvelestat, we acquired certain clinical trial materials and we subsequently outsourced production of further clinical supplies to our own manufacturing suppliers. We also outsource certain product formulation trials. We expect that drug product pre-validation and validation batches will be manufactured to satisfy regulatory requirements where we progress product candidates to late-stage trials.</w:t>
      </w:r>
    </w:p>
    <w:p>
      <w:pPr>
        <w:spacing w:after="0" w:line="20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In December 2024, we entered into the Ultragenyx Manufacturing and Supply Agreement under which Ultragenyx is responsible for the manufacture and supply of setrusumab to Mereo in our territories. We intend to enter into contractual relationships for the packaging and labeling of commercial supplies for setrusumab and for the manufacture, packaging and labeling of commercial supplies for alvelestat, if approved.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Commercialization, Sales and Marketing</w:t>
      </w:r>
    </w:p>
    <w:p>
      <w:pPr>
        <w:spacing w:after="0" w:line="243"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We do not have our own marketing, sales, or distribution capabilities. In order to commercialize our product candidates, if approved for commercial sale, we must either develop a sales and marketing infrastructure or collaborate with third parties that have sales and marketing experience. In December 2020, we entered into a license and collaboration agreement with Ultragenyx for setrusumab and in December 2023, we entered into an exclusive global license agreement with ReproNovo for the development and commercialization of leflutrozole. For our other current and future product candidates we intend to take strategic decisions on whether to further develop them, potentially through to approval, directly commercializing globally or in certain territories, or to seek a partner for further development, co-development and/or commercialization. For product candidates we intend to commercialize or co-</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800"/>
          </w:cols>
          <w:pgMar w:left="540" w:top="748" w:right="540" w:bottom="0" w:gutter="0" w:footer="0" w:header="0"/>
          <w:type w:val="continuous"/>
        </w:sectPr>
      </w:pPr>
    </w:p>
    <w:bookmarkStart w:id="16" w:name="page17"/>
    <w:bookmarkEnd w:id="16"/>
    <w:p>
      <w:pPr>
        <w:ind w:right="600"/>
        <w:spacing w:after="0" w:line="279" w:lineRule="auto"/>
        <w:rPr>
          <w:sz w:val="20"/>
          <w:szCs w:val="20"/>
          <w:color w:val="auto"/>
        </w:rPr>
      </w:pPr>
      <w:r>
        <w:rPr>
          <w:rFonts w:ascii="Times New Roman" w:cs="Times New Roman" w:eastAsia="Times New Roman" w:hAnsi="Times New Roman"/>
          <w:sz w:val="20"/>
          <w:szCs w:val="20"/>
          <w:color w:val="auto"/>
        </w:rPr>
        <w:t>commercialize, we must either establish a sales and marketing organization with technical expertise and supporting distribution capabilities in major markets or potentially outsource aspects of these functions to third parties or partners.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3"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We compete directly with other biopharmaceutical and pharmaceutical companies that focus on the treatment of OI and AATD, as well as face competition in treatments for solid tumors and AECOPD potentially impacting our ability to partner our non-core programs. We may also face competition from academic research institutions, governmental agencies and other various public and private research institutions. We expect to face increasingly intense competition as new technologies become available. Any product candidates, including setrusumab, alvelestat, etigilimab and acumapimod that we or our partners successfully develop and commercialize will compete with existing therapies and new therapies that may become available in the future.</w:t>
      </w:r>
    </w:p>
    <w:p>
      <w:pPr>
        <w:spacing w:after="0" w:line="19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We consider setrusumab’s current closest potential competitors in development for the treatment of OI to be Amgen and UCB’s anti-sclerostin antibody, romosozumab (Evenity), which was approved for osteoporosis in the U.S. in April 2019 and in December 2019 in Europe. In addition, Transcenta Holding has licensed the Chinese rights to the anti-sclerostin antibody blosozumab from Eli Lilly and Company (“Lilly”) and plans to develop it for osteoporosis. Amgen has also terminated a Phase 3 study and an open label extension study of denosumab (Prolia) an anti-resorptive agent in pediatric patients with OI. Academics at the University of Edinburgh are conducting a Phase IV trial to determine the efficacy of teriparatide (parathyroid hormone) in adult patients with OI. BOOST Pharma has conducted a Phase I/II trial of its fetal-derived mesenchymal stem cell therapy in prenatal &amp; postnatal patients with severe OI. Furthermore, Angitia Biopharmaceuticals has commenced a Phase I trial of its Sclerostin &amp; Dickkopf-1 bi-specific antibody.</w:t>
      </w:r>
    </w:p>
    <w:p>
      <w:pPr>
        <w:spacing w:after="0" w:line="196"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We consider alvelestat’s current closest potential competitors for the treatment of severe AATD to be alpha-1 proteinase inhibitors that are administered intravenously in AAT augmentation therapy. Currently, there are four inhibitors on the market in the U.S. and the EU: Prolastin-C from Grifols, S.A. (“Grifols”), Aralast from Shire plc, now a subsidiary of Takeda Pharmaceutical Company Ltd (“Shire”), Zemaira from CSL Limited (“CSL”), and Glassia from Kamada Ltd. (“Kamada”). Kamada is also developing an inhaled version of augmentation therapy which is in Phase 3 and has a recombinant alpha-1 antitrypsin in early development. Sanofi S.A. ("Sanofi") has initiated a Phase 2 registrational trial of SAR-447537, a recombinant human alpha-1 antitrypsin Fc fusion protein (rhAAT-Fc) for replacement therapy. Wave Life Sciences has initiated a Phase 2 study of RNA base-editing oligonucleotide (WVE-0006) to restore wild-type protein in lung and liver disease, a program that has been partnered with GSK. Intellia Therapeutics has initiated a Phase 1/2 study with a CRISPR/Cas9 -based insertion of normal SERPINA1 gene, targeting lung disease (NTLA-3001). Beam Therapeutics commenced a Phase 1/2 study of BEAM-302, a genome editing therapy to correct mutant Z-AAT. Krystal Biotech commenced a Phase 1 study of KB-408, an inhaled gene therapy. Korro Bio are in preliminary stages of clinical development of an RNA Base editing oligonucleotide therapy. There are no therapies with regulatory approval for Bronchiolitis Obliterans Syndrome (“BOS”) following SCT or lung transplant. We consider alvelestat’s closest potential competitors to be the Janus Kinase (JAK2) inhibitor, ruxolitinib, Incyte Corporation's ruxolitinib in Phase 1/Phase2 studies in SCT-associated BOS, Boehringer Ingelheim’s tyrosine protein kinase inhibitor, nintendanib, in Phase 3 studies for both post-lung transplantation BOS and SCT-associated BOS, OrphAI Therapeutics inhaled formulation of sirolimus (LAM-001) in Phase 1 for BOS in lung transplant, and liposomal inhaled cyclosporin-A (Zambon) in two Phase 3 global pivotal trials in BOS.</w:t>
      </w:r>
    </w:p>
    <w:p>
      <w:pPr>
        <w:spacing w:after="0" w:line="220"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We consider etigilimab’s current closest potential competitors to include other anti-TIGIT agents being developed by companies including Roche, Merck, iTeos and GSK, Beigene (BeOne), Arcus/Gilead, and Compugen amongst others. In addition, there are other combinations of existing cancer therapies available commercially for example, Yervoy and Opdivo and Opdivo or Keytruda in combination with chemotherapeutic targeted agents. There are a number of bispecific antibodies with an anti-TIGIT arm in development including a Phase 3 program in NSCLC being developed by AstraZeneca. There are also a number of other agents in development to other immuno-oncology targets that could compete with an anti-TIGIT approach, for example anti-LAG3.</w:t>
      </w:r>
    </w:p>
    <w:p>
      <w:pPr>
        <w:spacing w:after="0" w:line="190"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For acumapimod, although we are not aware of any approved therapies for the treatment of AECOPD, there are a wide range of established therapies available for the treatment of COPD as well as a number of product candidates in development. We consider acumapimod’s current closest potential competitor for the treatment of AECOPD to be Verona Pharma’s (“Verona”) nebulized and inhaled ensifentrine (Ohtuvayre), a PDE3 / PDE4 dual inhibitor that recently received regulatory approval as a bronchodilator and anti-inflammatory agent for COPD, Asthma and Cystic Fibrosis patients. Pulmatrix, Inc. (“Pulmatrix”), who recently announced a planned merger with Cullgen, has PUR1800, a narrow-spectrum kinase inhibitor (NSKI) that completed a Phase 1b trial in COPD. In addition to Pulmatrix, there are several compounds, which directly or indirectly target the p38 MAP Kinase pathway in clinical development by Poolbeg Pharma Plc (“Poolbeg), Fulcrum Therapeutics Inc (“Fulcrum”), GEn1E Lifesciences Inc (“GEn1E Lifesciences”), CervoMed Inc (“CervoMed”), Kinarus AG (“Kinarus”), Neurokine Therapeutics (“Neurokine”), and Inovio Pharmaceuticals Inc (“Inovio”), among others, for therapeutic indications outside the COPD setting. In addition, ReAlta Life Sciences commenced a Phase II clinical trial evaluating its complement 1 sub-component inhibitor for the treatment of AECOPD.</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800"/>
          </w:cols>
          <w:pgMar w:left="540" w:top="748" w:right="540" w:bottom="0" w:gutter="0" w:footer="0" w:header="0"/>
          <w:type w:val="continuous"/>
        </w:sectPr>
      </w:pPr>
    </w:p>
    <w:bookmarkStart w:id="17" w:name="page18"/>
    <w:bookmarkEnd w:id="17"/>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We may face increasing competition for additional new product acquisitions from pharmaceutical companies as new companies emerge with a similar business model and other more established companies focus on acquiring product candidates to develop their pipelines. Many of our competitors have significantly greater name recognition, financial, manufacturing, marketing, drug development, technical and human resources than we do. Mergers and acquisitions in the biopharmaceutical and pharmaceutical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establishing clinical trial sites and patient registration for clinical trials and in acquiring technologies complementary to, or necessary for, our programs.</w:t>
      </w:r>
    </w:p>
    <w:p>
      <w:pPr>
        <w:spacing w:after="0" w:line="196"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19"/>
          <w:szCs w:val="19"/>
          <w:color w:val="auto"/>
        </w:rPr>
        <w:t>The key competitive factors affecting the success of setrusumab, alvelestat, etigilimab and acumapimod,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15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Our commercial opportunity could be reduced or eliminated if our competitors develop and commercialize product candidates that are safer, more effective, less expensive, convenient or easier to administer or have fewer or less severe side effects than any product candidates that we may develop.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Even if setrusumab, alvelestat, etigilimab, or acumapimod achieve marketing approval, they may be priced at a significant premium over competing product candidates if any have been approved by then, potentially reducing our market opportunity. For more information, see “Item 1A. Risk Factors—Risks Related to Commercialization—We operate in a highly competitive and rapidly changing industry, which may result in others acquiring, developing, or commercializing competing product candidates before or more successfully than we or our partners do.”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3"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have acquired or exclusively licensed our intellectual property portfolio from Novartis, AstraZeneca and Mereo BioPharma 5 (formerly OncoMed).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U.S. and in jurisdictions outside of the U.S. related to our proprietary technology, inventions, improvements, platforms and our product candidates that are important to the development and implementation of our business.</w:t>
      </w:r>
    </w:p>
    <w:p>
      <w:pPr>
        <w:spacing w:after="0" w:line="200" w:lineRule="exact"/>
        <w:rPr>
          <w:sz w:val="20"/>
          <w:szCs w:val="20"/>
          <w:color w:val="auto"/>
        </w:rPr>
      </w:pPr>
    </w:p>
    <w:p>
      <w:pPr>
        <w:ind w:right="100" w:firstLine="720"/>
        <w:spacing w:after="0" w:line="279" w:lineRule="auto"/>
        <w:rPr>
          <w:sz w:val="20"/>
          <w:szCs w:val="20"/>
          <w:color w:val="auto"/>
        </w:rPr>
      </w:pPr>
      <w:r>
        <w:rPr>
          <w:rFonts w:ascii="Times New Roman" w:cs="Times New Roman" w:eastAsia="Times New Roman" w:hAnsi="Times New Roman"/>
          <w:sz w:val="20"/>
          <w:szCs w:val="20"/>
          <w:color w:val="auto"/>
        </w:rPr>
        <w:t>Our intellectual property is held by our wholly owned subsidiaries. As of December 31, 2024, our patent portfolio comprises approximately 549 issued patents and approximately 89 pending patent applications on a global basis.</w:t>
      </w:r>
    </w:p>
    <w:p>
      <w:pPr>
        <w:spacing w:after="0" w:line="165" w:lineRule="exact"/>
        <w:rPr>
          <w:sz w:val="20"/>
          <w:szCs w:val="20"/>
          <w:color w:val="auto"/>
        </w:rPr>
      </w:pPr>
    </w:p>
    <w:p>
      <w:pPr>
        <w:ind w:right="320" w:firstLine="720"/>
        <w:spacing w:after="0" w:line="245" w:lineRule="auto"/>
        <w:rPr>
          <w:sz w:val="20"/>
          <w:szCs w:val="20"/>
          <w:color w:val="auto"/>
        </w:rPr>
      </w:pPr>
      <w:r>
        <w:rPr>
          <w:rFonts w:ascii="Times New Roman" w:cs="Times New Roman" w:eastAsia="Times New Roman" w:hAnsi="Times New Roman"/>
          <w:sz w:val="20"/>
          <w:szCs w:val="20"/>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w:t>
      </w:r>
    </w:p>
    <w:p>
      <w:pPr>
        <w:spacing w:after="0" w:line="202"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185"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19"/>
          <w:szCs w:val="19"/>
          <w:color w:val="auto"/>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ectPr>
          <w:pgSz w:w="11880" w:h="15480" w:orient="portrait"/>
          <w:cols w:equalWidth="0" w:num="1">
            <w:col w:w="10800"/>
          </w:cols>
          <w:pgMar w:left="540" w:top="978" w:right="540" w:bottom="0"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800"/>
          </w:cols>
          <w:pgMar w:left="540" w:top="978" w:right="540" w:bottom="0" w:gutter="0" w:footer="0" w:header="0"/>
          <w:type w:val="continuous"/>
        </w:sectPr>
      </w:pPr>
    </w:p>
    <w:bookmarkStart w:id="18" w:name="page19"/>
    <w:bookmarkEnd w:id="18"/>
    <w:p>
      <w:pPr>
        <w:ind w:right="180" w:firstLine="720"/>
        <w:spacing w:after="0" w:line="246" w:lineRule="auto"/>
        <w:rPr>
          <w:sz w:val="20"/>
          <w:szCs w:val="20"/>
          <w:color w:val="auto"/>
        </w:rPr>
      </w:pPr>
      <w:r>
        <w:rPr>
          <w:rFonts w:ascii="Times New Roman" w:cs="Times New Roman" w:eastAsia="Times New Roman" w:hAnsi="Times New Roman"/>
          <w:sz w:val="20"/>
          <w:szCs w:val="20"/>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U.S., that also claim technology to which we have rights, we may have to participate in interference proceedings in the USPTO, to determine priority of invention. For more information, please see “Item 1A. Risk Factors—Risks Related to Intellectual Property.”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Setrusumab (BPS-804/UX143)</w:t>
      </w:r>
    </w:p>
    <w:p>
      <w:pPr>
        <w:spacing w:after="0" w:line="238"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As of December 31, 2024, we have 128 patents globally (including five issued U.S. patents) and 33 patent applications globally (including three pending U.S. patent applications) relating to setrusumab and its use for the treatment of OI. A first patent family includes three issued U.S. patents and 86 corresponding issued foreign patents that relate to the setrusumab antibody, nucleic acids encoding setrusumab, processes for producing setrusumab, and setrusumab’s use as a medicament. Patents emanating from this first patent family expire in 2028 (not accounting for any available patent term extension). We also have two additional patent families, including two issued U.S. patents and 37 issued foreign patents that relate to methods of using anti-sclerostin antibodies, including setrusumab, for the treatment of OI. Patents emanating from these additional patent families expire in 2037 (not accounting for any available patent term extension). Beyond these patents and patent applications, we jointly own with Ultragenyx one additional patent family relating to dosing regimens for the use of anti-sclerostin antibodies, including setrusumab, in the treatment of OI; we expect any patents emanating from this patent family to expire in 2042 (not accounting for any available patent term extension). In December 2020, we entered into a license and collaboration agreement with Ultragenyx for setrusumab for OI, under which Ultragenyx have exclusive rights under all setrusumab patent families outside of Europe. See “—Licensing Agreements with Ultragenyx for Setrusumab.”</w:t>
      </w:r>
    </w:p>
    <w:p>
      <w:pPr>
        <w:spacing w:after="0" w:line="203"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auto"/>
        </w:rPr>
        <w:t>On February 3, 2023, Ultragenyx, Mereo BioPharma 3 Limited, UCB Pharma SA (“</w:t>
      </w:r>
      <w:r>
        <w:rPr>
          <w:rFonts w:ascii="Times New Roman" w:cs="Times New Roman" w:eastAsia="Times New Roman" w:hAnsi="Times New Roman"/>
          <w:sz w:val="20"/>
          <w:szCs w:val="20"/>
          <w:u w:val="single" w:color="auto"/>
          <w:color w:val="auto"/>
        </w:rPr>
        <w:t>UCB</w:t>
      </w:r>
      <w:r>
        <w:rPr>
          <w:rFonts w:ascii="Times New Roman" w:cs="Times New Roman" w:eastAsia="Times New Roman" w:hAnsi="Times New Roman"/>
          <w:sz w:val="20"/>
          <w:szCs w:val="20"/>
          <w:color w:val="auto"/>
        </w:rPr>
        <w:t>”) and Amgen Inc. (“</w:t>
      </w:r>
      <w:r>
        <w:rPr>
          <w:rFonts w:ascii="Times New Roman" w:cs="Times New Roman" w:eastAsia="Times New Roman" w:hAnsi="Times New Roman"/>
          <w:sz w:val="20"/>
          <w:szCs w:val="20"/>
          <w:u w:val="single" w:color="auto"/>
          <w:color w:val="auto"/>
        </w:rPr>
        <w:t>Amgen</w:t>
      </w:r>
      <w:r>
        <w:rPr>
          <w:rFonts w:ascii="Times New Roman" w:cs="Times New Roman" w:eastAsia="Times New Roman" w:hAnsi="Times New Roman"/>
          <w:sz w:val="20"/>
          <w:szCs w:val="20"/>
          <w:color w:val="auto"/>
        </w:rPr>
        <w:t>”) entered into a non-exclusive worldwide, royalty-free license to research, develop, and commercialize setrusumab in OI under certain UCB/Amgen-owned patent rights related to anti-sclerostin compounds and their uses.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Alvelestat (MPH-966)</w:t>
      </w:r>
    </w:p>
    <w:p>
      <w:pPr>
        <w:spacing w:after="0" w:line="23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2024, our patent portfolio relating to our product candidate alvelestat consisted of two issued U.S. patents, no pending U.S. patent applications, 17 issued or allowed foreign patents and one pending foreign patent application,licensed under our agreement with AstraZeneca. See “—Material Agreements—Licensing Agreement with AstraZeneca.” These issued patents and patent applications, if issued, include claims directed to 2-pyridone derivatives as NE inhibitors and their uses as well as claims to a specific polymorph of a tosylate salt of alvelestat, with expected expiry dates between 2027 and 2030.</w:t>
      </w:r>
    </w:p>
    <w:p>
      <w:pPr>
        <w:spacing w:after="0" w:line="197"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Our patent portfolio relating to our product candidate alvelestat also includes three pending international patent applications filed under the PCT, four pending U.S. patent applications, two U.S. provisional patent applications, 34 granted foreign patents and 27 pending foreign patent applications which have been filed subsequent to the license agreement with AstraZeneca. These patent applications, if issued, include claims directed to dosing regimens of alvelestat, methods of treatment using alvelestat, and dosage forms of alvelestat with expected expiry dates between 2040 and 2044.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Etigilimab (MPH-313)</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2024, our patent portfolio relating to our product candidate etigilimab consisted of four granted U.S.</w:t>
      </w:r>
    </w:p>
    <w:p>
      <w:pPr>
        <w:spacing w:after="0"/>
        <w:rPr>
          <w:sz w:val="20"/>
          <w:szCs w:val="20"/>
          <w:color w:val="auto"/>
        </w:rPr>
      </w:pPr>
      <w:r>
        <w:rPr>
          <w:rFonts w:ascii="Times New Roman" w:cs="Times New Roman" w:eastAsia="Times New Roman" w:hAnsi="Times New Roman"/>
          <w:sz w:val="20"/>
          <w:szCs w:val="20"/>
          <w:color w:val="auto"/>
        </w:rPr>
        <w:t>patents and one pending U.S. patent application, as well as corresponding patent applications in major foreign jurisdictions.</w:t>
      </w:r>
    </w:p>
    <w:p>
      <w:pPr>
        <w:spacing w:after="0" w:line="240"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The patent portfolio relating to our product candidate etigilimab contains one core patent family that covers the product per se as well as medical uses thereof. This patent family currently consists of two granted U.S. patents, 34 granted or allowed foreign patents and four pending foreign patent applications. Patents that issue from this core family are generally expected to expire in 2036.</w:t>
      </w:r>
    </w:p>
    <w:p>
      <w:pPr>
        <w:spacing w:after="0" w:line="185" w:lineRule="exact"/>
        <w:rPr>
          <w:sz w:val="20"/>
          <w:szCs w:val="20"/>
          <w:color w:val="auto"/>
        </w:rPr>
      </w:pPr>
    </w:p>
    <w:p>
      <w:pPr>
        <w:jc w:val="both"/>
        <w:ind w:right="160" w:firstLine="720"/>
        <w:spacing w:after="0" w:line="259" w:lineRule="auto"/>
        <w:rPr>
          <w:sz w:val="20"/>
          <w:szCs w:val="20"/>
          <w:color w:val="auto"/>
        </w:rPr>
      </w:pPr>
      <w:r>
        <w:rPr>
          <w:rFonts w:ascii="Times New Roman" w:cs="Times New Roman" w:eastAsia="Times New Roman" w:hAnsi="Times New Roman"/>
          <w:sz w:val="20"/>
          <w:szCs w:val="20"/>
          <w:color w:val="auto"/>
        </w:rPr>
        <w:t>The portfolio also includes a second patent family that relates to specific methods of treatment using etigilimab. This patent family currently consists of two granted U.S. patents, one U.S. pending patent application, and six granted or allowed foreign patents and one pending foreign patent application. Any patents that issue from this family are generally expected to expire in 2037.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Navicixizumab (OMP-305B83)</w:t>
      </w:r>
    </w:p>
    <w:p>
      <w:pPr>
        <w:spacing w:after="0" w:line="238" w:lineRule="exact"/>
        <w:rPr>
          <w:sz w:val="20"/>
          <w:szCs w:val="20"/>
          <w:color w:val="auto"/>
        </w:rPr>
      </w:pPr>
    </w:p>
    <w:p>
      <w:pPr>
        <w:ind w:right="280" w:firstLine="720"/>
        <w:spacing w:after="0" w:line="279" w:lineRule="auto"/>
        <w:rPr>
          <w:sz w:val="20"/>
          <w:szCs w:val="20"/>
          <w:color w:val="auto"/>
        </w:rPr>
      </w:pPr>
      <w:r>
        <w:rPr>
          <w:rFonts w:ascii="Times New Roman" w:cs="Times New Roman" w:eastAsia="Times New Roman" w:hAnsi="Times New Roman"/>
          <w:sz w:val="20"/>
          <w:szCs w:val="20"/>
          <w:color w:val="auto"/>
        </w:rPr>
        <w:t>As of December 31, 2024, our patent portfolio relating to navicixizumb consisted of 21 issued or allowed U.S. patents and two pending U.S. patent applications, as well as corresponding patents or patent applications in major foreign jurisdictions.</w:t>
      </w:r>
    </w:p>
    <w:p>
      <w:pPr>
        <w:sectPr>
          <w:pgSz w:w="11880" w:h="15480" w:orient="portrait"/>
          <w:cols w:equalWidth="0" w:num="1">
            <w:col w:w="10800"/>
          </w:cols>
          <w:pgMar w:left="540" w:top="748" w:right="540" w:bottom="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800"/>
          </w:cols>
          <w:pgMar w:left="540" w:top="748" w:right="540" w:bottom="0" w:gutter="0" w:footer="0" w:header="0"/>
          <w:type w:val="continuous"/>
        </w:sectPr>
      </w:pPr>
    </w:p>
    <w:bookmarkStart w:id="19" w:name="page20"/>
    <w:bookmarkEnd w:id="19"/>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The patent portfolio relating to navicixizumb contains two core patent families, both of which cover the product per se as well as medical uses thereof. Patents and patent applications, if issued, in these core families are expected to expire between 2030 and 2032.</w:t>
      </w:r>
    </w:p>
    <w:p>
      <w:pPr>
        <w:spacing w:after="0" w:line="185"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The portfolio also includes several other patent families including issued U.S. and foreign patents and pending applications that relate to specific methods of treatment using navicixizumb. Patents and patent applications, if issued, in these families are expected to expire between 2030 and 2039. Navicixizumb was licensed to Feng Biosciences in January 2020 pursuant to the terms of a global licensing agreement. See “—Material Agreements—Licensing Agreement for Navicixizumab.”</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Acumapimod (BCT-197)</w:t>
      </w:r>
    </w:p>
    <w:p>
      <w:pPr>
        <w:spacing w:after="0" w:line="238"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As of December 31, 2024, our patent portfolio relating to our product acumapimod consisted of 11 issued or allowed U.S. patents, no pending U.S. patent applications, 198 issued or allowed foreign patents and 11 pending foreign applications. These issued patents and patent applications, if issued, include claims directed to 5-membered heterocycle-based p38 kinase inhibitors, the use of acumapimod in the treatment of AECOPD, dosage regimens of acumapimod, the use of acumapimod in the treatment of specific patient subpopulations, specific polymorphs of acumapimod, methods of producing specific polymorphs of acumapimod and synthetic methods of production of acumapimod with expected expiry dates between 2025 and 2039.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Leflutrozole (BGS-649)</w:t>
      </w:r>
    </w:p>
    <w:p>
      <w:pPr>
        <w:spacing w:after="0" w:line="238"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2024, our patent portfolio relating to our product leflutrozole consisted of four issued U.S. patents and 90 issued foreign patents. These issued patents include claims directed to leflutrozole formulations and the use of leflutrozole in treating hypogonadism according to a specific dosing regimen, with expected expiry dates in 2032 and 2037. Leflutrozole was licensed to ReproNovo in December 2023 pursuant to the terms of global licensing agreement. See "—Material Agreements— Licensing Agreement for Leflutrozole".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Among others, the FDA, U.S. Department of Health and Human Services Office of Inspector General, Centers for Medicare</w:t>
      </w:r>
    </w:p>
    <w:p>
      <w:pPr>
        <w:ind w:right="160"/>
        <w:spacing w:after="0" w:line="247" w:lineRule="auto"/>
        <w:tabs>
          <w:tab w:leader="none" w:pos="20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Medicaid Services ("CMS") and comparable regulatory authorities in state, local and foreign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Government Regulation</w:t>
      </w:r>
    </w:p>
    <w:p>
      <w:pPr>
        <w:spacing w:after="0" w:line="238" w:lineRule="exact"/>
        <w:rPr>
          <w:sz w:val="20"/>
          <w:szCs w:val="20"/>
          <w:color w:val="auto"/>
        </w:rPr>
      </w:pPr>
    </w:p>
    <w:p>
      <w:pPr>
        <w:ind w:right="220" w:firstLine="720"/>
        <w:spacing w:after="0" w:line="259" w:lineRule="auto"/>
        <w:rPr>
          <w:sz w:val="20"/>
          <w:szCs w:val="20"/>
          <w:color w:val="auto"/>
        </w:rPr>
      </w:pPr>
      <w:r>
        <w:rPr>
          <w:rFonts w:ascii="Times New Roman" w:cs="Times New Roman" w:eastAsia="Times New Roman" w:hAnsi="Times New Roman"/>
          <w:sz w:val="20"/>
          <w:szCs w:val="20"/>
          <w:color w:val="auto"/>
        </w:rPr>
        <w:t>In the U.S., the FDA regulates drugs under the Federal Food, Drug, and Cosmetic Act ("FDCA") and its implementing regulations, and biological product candidates (“biologics”), under both the FDCA and the Public Health Service Act ("PHSA") and its implementing regulations.</w:t>
      </w:r>
    </w:p>
    <w:p>
      <w:pPr>
        <w:spacing w:after="0" w:line="185"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process required by the FDA before a drug or biologic may be marketed in the U.S. generally involves the following:</w:t>
      </w:r>
    </w:p>
    <w:p>
      <w:pPr>
        <w:spacing w:after="0" w:line="254" w:lineRule="exact"/>
        <w:rPr>
          <w:sz w:val="20"/>
          <w:szCs w:val="20"/>
          <w:color w:val="auto"/>
        </w:rPr>
      </w:pPr>
    </w:p>
    <w:p>
      <w:pPr>
        <w:ind w:left="1080" w:right="20" w:hanging="360"/>
        <w:spacing w:after="0" w:line="278"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certain of which must be conducted in compliance with the FDA’s Good Laboratory Practice (“GLP”) regulations and other applicable regulations;</w:t>
      </w:r>
    </w:p>
    <w:p>
      <w:pPr>
        <w:spacing w:after="0" w:line="180" w:lineRule="exact"/>
        <w:rPr>
          <w:rFonts w:ascii="Arial" w:cs="Arial" w:eastAsia="Arial" w:hAnsi="Arial"/>
          <w:sz w:val="20"/>
          <w:szCs w:val="20"/>
          <w:color w:val="auto"/>
        </w:rPr>
      </w:pPr>
    </w:p>
    <w:p>
      <w:pPr>
        <w:ind w:left="1080" w:right="480" w:hanging="360"/>
        <w:spacing w:after="0" w:line="278"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investigational new drug application (an “IND”), which must become effective before human clinical trials may begin;</w:t>
      </w:r>
    </w:p>
    <w:p>
      <w:pPr>
        <w:spacing w:after="0" w:line="180" w:lineRule="exact"/>
        <w:rPr>
          <w:rFonts w:ascii="Arial" w:cs="Arial" w:eastAsia="Arial" w:hAnsi="Arial"/>
          <w:sz w:val="20"/>
          <w:szCs w:val="20"/>
          <w:color w:val="auto"/>
        </w:rPr>
      </w:pPr>
    </w:p>
    <w:p>
      <w:pPr>
        <w:ind w:left="1080" w:right="40" w:hanging="360"/>
        <w:spacing w:after="0" w:line="278"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independent Institutional Review Board (“IRB”) or ethics committee at each clinical site before each trial may be initiated;</w:t>
      </w:r>
    </w:p>
    <w:p>
      <w:pPr>
        <w:sectPr>
          <w:pgSz w:w="11880" w:h="15480" w:orient="portrait"/>
          <w:cols w:equalWidth="0" w:num="1">
            <w:col w:w="10800"/>
          </w:cols>
          <w:pgMar w:left="540" w:top="748" w:right="540" w:bottom="0" w:gutter="0" w:footer="0" w:header="0"/>
        </w:sectPr>
      </w:pP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800"/>
          </w:cols>
          <w:pgMar w:left="540" w:top="748" w:right="540" w:bottom="0" w:gutter="0" w:footer="0" w:header="0"/>
          <w:type w:val="continuous"/>
        </w:sectPr>
      </w:pPr>
    </w:p>
    <w:bookmarkStart w:id="20" w:name="page21"/>
    <w:bookmarkEnd w:id="20"/>
    <w:p>
      <w:pPr>
        <w:ind w:left="1080" w:right="560" w:hanging="360"/>
        <w:spacing w:after="0" w:line="278"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Good Clinical Practice (“GCP”) requirements to evaluate the safety, purity, potency and/or efficacy of the product candidate for its intended use;</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NDA or BLA after completion of all pivotal trials;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253" w:lineRule="exact"/>
        <w:rPr>
          <w:rFonts w:ascii="Arial" w:cs="Arial" w:eastAsia="Arial" w:hAnsi="Arial"/>
          <w:sz w:val="20"/>
          <w:szCs w:val="20"/>
          <w:color w:val="auto"/>
        </w:rPr>
      </w:pPr>
    </w:p>
    <w:p>
      <w:pPr>
        <w:jc w:val="both"/>
        <w:ind w:left="1080" w:right="80" w:hanging="360"/>
        <w:spacing w:after="0" w:line="259"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product’s identity, strength, quality and purity;</w:t>
      </w:r>
    </w:p>
    <w:p>
      <w:pPr>
        <w:spacing w:after="0" w:line="198" w:lineRule="exact"/>
        <w:rPr>
          <w:rFonts w:ascii="Arial" w:cs="Arial" w:eastAsia="Arial" w:hAnsi="Arial"/>
          <w:sz w:val="20"/>
          <w:szCs w:val="20"/>
          <w:color w:val="auto"/>
        </w:rPr>
      </w:pPr>
    </w:p>
    <w:p>
      <w:pPr>
        <w:ind w:left="1080" w:right="320" w:hanging="360"/>
        <w:spacing w:after="0" w:line="278"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potential FDA audits of clinical trials sites and the sponsor’s clinical trial records to assure compliance with GCPs and the integrity of the clinical data; and</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payment of user fees, if applicable, and FDA review and approval of the NDA or BLA.</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w:t>
      </w:r>
    </w:p>
    <w:p>
      <w:pPr>
        <w:spacing w:after="0" w:line="23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Once a product candidate is identified for development, it enters the pre-clinical testing stage. 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Trials</w:t>
      </w:r>
    </w:p>
    <w:p>
      <w:pPr>
        <w:spacing w:after="0" w:line="23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new drug or biologic to human subjects under the supervision of qualified investigators in accordance with GCP requirements, which among other things,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208"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 xml:space="preserve">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Information about certain clinical trials must also be submitted within specific timeframes to the National Institutes of Health for public dissemination on their website, </w:t>
      </w:r>
      <w:r>
        <w:rPr>
          <w:rFonts w:ascii="Times New Roman" w:cs="Times New Roman" w:eastAsia="Times New Roman" w:hAnsi="Times New Roman"/>
          <w:sz w:val="20"/>
          <w:szCs w:val="20"/>
          <w:u w:val="single" w:color="auto"/>
          <w:color w:val="auto"/>
        </w:rPr>
        <w:t>www.clinicaltrials.gov.</w:t>
      </w:r>
    </w:p>
    <w:p>
      <w:pPr>
        <w:sectPr>
          <w:pgSz w:w="11880" w:h="15480" w:orient="portrait"/>
          <w:cols w:equalWidth="0" w:num="1">
            <w:col w:w="10780"/>
          </w:cols>
          <w:pgMar w:left="540" w:top="763"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780"/>
          </w:cols>
          <w:pgMar w:left="540" w:top="763" w:right="560" w:bottom="0" w:gutter="0" w:footer="0" w:header="0"/>
          <w:type w:val="continuous"/>
        </w:sectPr>
      </w:pPr>
    </w:p>
    <w:bookmarkStart w:id="21" w:name="page22"/>
    <w:bookmarkEnd w:id="21"/>
    <w:p>
      <w:pPr>
        <w:ind w:left="720"/>
        <w:spacing w:after="0"/>
        <w:rPr>
          <w:sz w:val="20"/>
          <w:szCs w:val="20"/>
          <w:color w:val="auto"/>
        </w:rPr>
      </w:pPr>
      <w:r>
        <w:rPr>
          <w:rFonts w:ascii="Times New Roman" w:cs="Times New Roman" w:eastAsia="Times New Roman" w:hAnsi="Times New Roman"/>
          <w:sz w:val="20"/>
          <w:szCs w:val="20"/>
          <w:color w:val="auto"/>
        </w:rPr>
        <w:t>Human clinical trials are typically conducted in three sequential phases, which may overlap or be combined:</w:t>
      </w:r>
    </w:p>
    <w:p>
      <w:pPr>
        <w:spacing w:after="0" w:line="254" w:lineRule="exact"/>
        <w:rPr>
          <w:sz w:val="20"/>
          <w:szCs w:val="20"/>
          <w:color w:val="auto"/>
        </w:rPr>
      </w:pPr>
    </w:p>
    <w:p>
      <w:pPr>
        <w:ind w:left="1080" w:right="80" w:hanging="360"/>
        <w:spacing w:after="0" w:line="259" w:lineRule="auto"/>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98" w:lineRule="exact"/>
        <w:rPr>
          <w:rFonts w:ascii="Arial" w:cs="Arial" w:eastAsia="Arial" w:hAnsi="Arial"/>
          <w:sz w:val="20"/>
          <w:szCs w:val="20"/>
          <w:color w:val="auto"/>
        </w:rPr>
      </w:pPr>
    </w:p>
    <w:p>
      <w:pPr>
        <w:ind w:left="1080" w:right="220" w:hanging="360"/>
        <w:spacing w:after="0" w:line="259" w:lineRule="auto"/>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98" w:lineRule="exact"/>
        <w:rPr>
          <w:rFonts w:ascii="Arial" w:cs="Arial" w:eastAsia="Arial" w:hAnsi="Arial"/>
          <w:sz w:val="20"/>
          <w:szCs w:val="20"/>
          <w:color w:val="auto"/>
        </w:rPr>
      </w:pPr>
    </w:p>
    <w:p>
      <w:pPr>
        <w:ind w:left="1080" w:right="20" w:hanging="360"/>
        <w:spacing w:after="0" w:line="252" w:lineRule="auto"/>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93"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185"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or similar foreign requirements.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Rare Pediatric Disease Priority Review Voucher Program</w:t>
      </w:r>
    </w:p>
    <w:p>
      <w:pPr>
        <w:spacing w:after="0" w:line="23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w:t>
      </w:r>
    </w:p>
    <w:p>
      <w:pPr>
        <w:spacing w:after="0" w:line="197" w:lineRule="exact"/>
        <w:rPr>
          <w:sz w:val="20"/>
          <w:szCs w:val="20"/>
          <w:color w:val="auto"/>
        </w:rPr>
      </w:pPr>
    </w:p>
    <w:p>
      <w:pPr>
        <w:ind w:right="140" w:firstLine="720"/>
        <w:spacing w:after="0" w:line="270" w:lineRule="auto"/>
        <w:rPr>
          <w:sz w:val="20"/>
          <w:szCs w:val="20"/>
          <w:color w:val="auto"/>
        </w:rPr>
      </w:pPr>
      <w:r>
        <w:rPr>
          <w:rFonts w:ascii="Times New Roman" w:cs="Times New Roman" w:eastAsia="Times New Roman" w:hAnsi="Times New Roman"/>
          <w:sz w:val="19"/>
          <w:szCs w:val="19"/>
          <w:color w:val="auto"/>
        </w:rPr>
        <w:t>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7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 (b) rare diseases or conditions within the meaning of the Orphan Drug Act. Congress has only authorized the Rare Pediatric Disease Priority Review Voucher program until December 20, 2024. Consequently, sponsors of marketing applications approved after that date will not receive the voucher unless Congress reauthorizes the Rare Pediatric Disease Priority Review Voucher program. However, even if the program is not reauthorized, if a drug candidate received Rare Pediatric Disease Designation before December 21, 2024, the sponsor of the marketing application for such drug will be eligible to receive a voucher if the application for the designated drug is approved by the FDA before October 1, 2026. Setrusumab has received Rare Pediatric Disease Designation and, subject to the provisions stipulated, is eligible for a Priority Review Voucher.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Product Designation and Exclusivity</w:t>
      </w:r>
    </w:p>
    <w:p>
      <w:pPr>
        <w:spacing w:after="0" w:line="238"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Under the Orphan Drug Act, the FDA may grant orphan designation to a drug or biologic product if it is intended to treat a rare disease or condition (generally meaning that it affects fewer than 200,000 individuals in the U.S., or more in cases in which there is no reasonable expectation that the cost of developing and making a drug product available in the U.S.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Orphan product designation does not convey any advantage in or shorten the duration of the regulatory review and approval process.</w:t>
      </w:r>
    </w:p>
    <w:p>
      <w:pPr>
        <w:sectPr>
          <w:pgSz w:w="11880" w:h="15480" w:orient="portrait"/>
          <w:cols w:equalWidth="0" w:num="1">
            <w:col w:w="10780"/>
          </w:cols>
          <w:pgMar w:left="540" w:top="748" w:right="56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780"/>
          </w:cols>
          <w:pgMar w:left="540" w:top="748" w:right="560" w:bottom="0" w:gutter="0" w:footer="0" w:header="0"/>
          <w:type w:val="continuous"/>
        </w:sectPr>
      </w:pPr>
    </w:p>
    <w:bookmarkStart w:id="22" w:name="page23"/>
    <w:bookmarkEnd w:id="22"/>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If a product with orphan status receives the first FDA approval for the disease or condition for which it has such designation or for a select disease or condition or use within the rare disease or condition for which it was designated, the product is entitled to orphan-product exclusivity. Orphan-product exclusivity means that the FDA may not approve any other applications for the same product for the same disease or condition for seven years, except in certain limited circumstances. If a product designated as an orphan product ultimately receives marketing approval for disease or condition broader than what was designated in its orphan-product application, it may not be entitled to exclusivity. Orphan exclusivity will not bar approval of another product under certain circumstances, including if a subsequent product with the same active ingredient for the same disease or condition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disease or condition as long as the product candidates contain different active ingredients. Moreover, competitors may receive approval of different product candidates for the disease or condition for which the orphan product has exclusivity or obtain approval for the same product but for a different indication for which the orphan product has exclusivity.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Marketing Approval</w:t>
      </w:r>
    </w:p>
    <w:p>
      <w:pPr>
        <w:spacing w:after="0" w:line="238"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w:t>
      </w:r>
    </w:p>
    <w:p>
      <w:pPr>
        <w:spacing w:after="0" w:line="190"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19"/>
          <w:szCs w:val="19"/>
          <w:color w:val="auto"/>
        </w:rPr>
        <w:t>In addition, under the Pediatric Research Equity Act of 2003, as amended and reauthorized (“PREA”), certain NDAs, BLAs or supplements to an NDA or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unless the sponsor has received a deferral or waiver. The required assessments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91"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This review typically takes 12 months from the date the NDA or BLA is submitted to the FDA, because the FDA has approximately two months to make a “filing” decision.</w:t>
      </w:r>
    </w:p>
    <w:p>
      <w:pPr>
        <w:spacing w:after="0" w:line="206"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90"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197" w:lineRule="exact"/>
        <w:rPr>
          <w:sz w:val="20"/>
          <w:szCs w:val="20"/>
          <w:color w:val="auto"/>
        </w:rPr>
      </w:pPr>
    </w:p>
    <w:p>
      <w:pPr>
        <w:ind w:right="40" w:firstLine="720"/>
        <w:spacing w:after="0" w:line="270" w:lineRule="auto"/>
        <w:rPr>
          <w:sz w:val="20"/>
          <w:szCs w:val="20"/>
          <w:color w:val="auto"/>
        </w:rPr>
      </w:pPr>
      <w:r>
        <w:rPr>
          <w:rFonts w:ascii="Times New Roman" w:cs="Times New Roman" w:eastAsia="Times New Roman" w:hAnsi="Times New Roman"/>
          <w:sz w:val="19"/>
          <w:szCs w:val="19"/>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that the application will not be approved in its present form. A complete response letter generally details specific conditions that must be met</w:t>
      </w:r>
    </w:p>
    <w:p>
      <w:pPr>
        <w:sectPr>
          <w:pgSz w:w="11880" w:h="15480" w:orient="portrait"/>
          <w:cols w:equalWidth="0" w:num="1">
            <w:col w:w="10800"/>
          </w:cols>
          <w:pgMar w:left="540" w:top="748" w:right="540" w:bottom="0"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800"/>
          </w:cols>
          <w:pgMar w:left="540" w:top="748" w:right="540" w:bottom="0" w:gutter="0" w:footer="0" w:header="0"/>
          <w:type w:val="continuous"/>
        </w:sectPr>
      </w:pPr>
    </w:p>
    <w:bookmarkStart w:id="23" w:name="page24"/>
    <w:bookmarkEnd w:id="23"/>
    <w:p>
      <w:pPr>
        <w:ind w:right="80"/>
        <w:spacing w:after="0" w:line="249" w:lineRule="auto"/>
        <w:rPr>
          <w:sz w:val="20"/>
          <w:szCs w:val="20"/>
          <w:color w:val="auto"/>
        </w:rPr>
      </w:pPr>
      <w:r>
        <w:rPr>
          <w:rFonts w:ascii="Times New Roman" w:cs="Times New Roman" w:eastAsia="Times New Roman" w:hAnsi="Times New Roman"/>
          <w:sz w:val="20"/>
          <w:szCs w:val="20"/>
          <w:color w:val="auto"/>
        </w:rPr>
        <w:t>in order to secure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97"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23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 candidates and the establishments at which such product candidates are manufactured, as well as new application fees for supplemental applications with clinical data.</w:t>
      </w:r>
    </w:p>
    <w:p>
      <w:pPr>
        <w:spacing w:after="0" w:line="200"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20"/>
          <w:szCs w:val="20"/>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85"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In addition, manufacturers and other entities involved in the manufacture and distribution of approved product candidates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0"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14" w:lineRule="exact"/>
        <w:rPr>
          <w:sz w:val="20"/>
          <w:szCs w:val="20"/>
          <w:color w:val="auto"/>
        </w:rPr>
      </w:pPr>
    </w:p>
    <w:p>
      <w:pPr>
        <w:ind w:left="1080" w:right="300" w:hanging="360"/>
        <w:spacing w:after="0" w:line="278" w:lineRule="auto"/>
        <w:tabs>
          <w:tab w:leader="none" w:pos="10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253" w:lineRule="exact"/>
        <w:rPr>
          <w:rFonts w:ascii="Arial" w:cs="Arial" w:eastAsia="Arial" w:hAnsi="Arial"/>
          <w:sz w:val="20"/>
          <w:szCs w:val="20"/>
          <w:color w:val="auto"/>
        </w:rPr>
      </w:pPr>
    </w:p>
    <w:p>
      <w:pPr>
        <w:ind w:left="1080" w:right="40" w:hanging="360"/>
        <w:spacing w:after="0" w:line="278" w:lineRule="auto"/>
        <w:tabs>
          <w:tab w:leader="none" w:pos="10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approvals;</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 candidates;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ectPr>
          <w:pgSz w:w="11880" w:h="15480" w:orient="portrait"/>
          <w:cols w:equalWidth="0" w:num="1">
            <w:col w:w="10780"/>
          </w:cols>
          <w:pgMar w:left="540" w:top="748" w:right="56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780"/>
          </w:cols>
          <w:pgMar w:left="540" w:top="748" w:right="560" w:bottom="0" w:gutter="0" w:footer="0" w:header="0"/>
          <w:type w:val="continuous"/>
        </w:sectPr>
      </w:pPr>
    </w:p>
    <w:bookmarkStart w:id="24" w:name="page25"/>
    <w:bookmarkEnd w:id="24"/>
    <w:p>
      <w:pPr>
        <w:ind w:left="1080" w:hanging="360"/>
        <w:spacing w:after="0"/>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mandated modification of promotional materials and labeling and the issuance of corrective information; or</w:t>
      </w:r>
    </w:p>
    <w:p>
      <w:pPr>
        <w:spacing w:after="0" w:line="253" w:lineRule="exact"/>
        <w:rPr>
          <w:rFonts w:ascii="Arial" w:cs="Arial" w:eastAsia="Arial" w:hAnsi="Arial"/>
          <w:sz w:val="20"/>
          <w:szCs w:val="20"/>
          <w:color w:val="auto"/>
        </w:rPr>
      </w:pPr>
    </w:p>
    <w:p>
      <w:pPr>
        <w:ind w:left="1080" w:right="420" w:hanging="360"/>
        <w:spacing w:after="0" w:line="278"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other regulatory authorities may issue safety alerts, “Dear Healthcare Provider” letters, press releases or other communications containing warnings or other safety information about the product.</w:t>
      </w:r>
    </w:p>
    <w:p>
      <w:pPr>
        <w:spacing w:after="0" w:line="166"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The FDA strictly regulates marketing, labeling, advertising and promotion of product candidates that are placed on the market. Product candidates may be promoted only for the approved indications and in accordance with the provisions of the approved label. Physicians may prescribe legally available products for uses that are not described in the product’s labeling and that differ from those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FDA and other agencies actively enforce the laws and regulations prohibiting the promotion of off-label uses, and a company that is found to have improperly promoted off-label uses may be subject to significant liability.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Special FDA Expedited Review and Approval</w:t>
      </w:r>
    </w:p>
    <w:p>
      <w:pPr>
        <w:spacing w:after="0" w:line="238" w:lineRule="exact"/>
        <w:rPr>
          <w:sz w:val="20"/>
          <w:szCs w:val="20"/>
          <w:color w:val="auto"/>
        </w:rPr>
      </w:pPr>
    </w:p>
    <w:p>
      <w:pPr>
        <w:ind w:right="280" w:firstLine="720"/>
        <w:spacing w:after="0" w:line="253" w:lineRule="auto"/>
        <w:rPr>
          <w:sz w:val="20"/>
          <w:szCs w:val="20"/>
          <w:color w:val="auto"/>
        </w:rPr>
      </w:pPr>
      <w:r>
        <w:rPr>
          <w:rFonts w:ascii="Times New Roman" w:cs="Times New Roman" w:eastAsia="Times New Roman" w:hAnsi="Times New Roman"/>
          <w:sz w:val="20"/>
          <w:szCs w:val="20"/>
          <w:color w:val="auto"/>
        </w:rPr>
        <w:t>The FDA has various programs, such as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w:t>
      </w:r>
    </w:p>
    <w:p>
      <w:pPr>
        <w:spacing w:after="0" w:line="190"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To be eligible for a Fast Track designation, the FDA must determine, based on the request of a sponsor, that a product candidate is intended to treat a serious or life-threatening disease or condition and demonstrates the potential to address an unmet medical need for such disease or condition. Fast Track designation provides opportunities for frequent interactions with the FDA review team to expedite development and review of the product. The FDA may also review sections of the NDA or BLA for a Fast Track-designated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20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In addition, a sponsor can request designation of a product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200"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Depending on the design of the relevant clinical studies, product candidates studied for their safety and effectiveness in treating serious or life-threatening illnesses and that have the potential to provide meaningful therapeutic benefit over existing treatments may be eligible for accelerated approval upon a determination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generally require a sponsor of a product receiving accelerated approval to perform adequate and well-controlled confirmatory trials to verify and describe the predicted clinical benefit, and may require that such confirmatory trails be underway prior to granting any accelerated approval. Products receiving accelerated approval may be subject to expedited withdrawal procedures if the sponsor fails to conduct the required confirmatory trials in a timely manner or if such trials fail to verify the predicted clinical benefit. Sponsors of such products are also required to send updates to the FDA every 180 days regarding the progress of any required confirmatory studies. In addition, the FDA requires pre-approval of promotional materials a condition of accelerated approval, which could adversely impact the timing of the commercial launch of the product.</w:t>
      </w:r>
    </w:p>
    <w:p>
      <w:pPr>
        <w:spacing w:after="0" w:line="20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Once an NDA or BLA is submitted for a product intended to treat a serious condition, the FDA may assign a priority review designation to the application if the FDA determines that the product candidate, if approved, would provide a significant improvement in safety or effectiveness. The FDA will attempt to direct additional resources to the evaluation of an NDA or BLA designated for priority review in an effort to facilitate the review. The FDA endeavors to review NDAs for new molecular entities and original BLAs with priority review designations within six months of the filing date as compared to ten months under its current review goals.</w:t>
      </w:r>
    </w:p>
    <w:p>
      <w:pPr>
        <w:sectPr>
          <w:pgSz w:w="11880" w:h="15480" w:orient="portrait"/>
          <w:cols w:equalWidth="0" w:num="1">
            <w:col w:w="10760"/>
          </w:cols>
          <w:pgMar w:left="540" w:top="763" w:right="58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760"/>
          </w:cols>
          <w:pgMar w:left="540" w:top="763" w:right="580" w:bottom="0" w:gutter="0" w:footer="0" w:header="0"/>
          <w:type w:val="continuous"/>
        </w:sectPr>
      </w:pPr>
    </w:p>
    <w:bookmarkStart w:id="25" w:name="page26"/>
    <w:bookmarkEnd w:id="25"/>
    <w:p>
      <w:pPr>
        <w:ind w:right="200" w:firstLine="720"/>
        <w:spacing w:after="0" w:line="253" w:lineRule="auto"/>
        <w:rPr>
          <w:sz w:val="20"/>
          <w:szCs w:val="20"/>
          <w:color w:val="auto"/>
        </w:rPr>
      </w:pPr>
      <w:r>
        <w:rPr>
          <w:rFonts w:ascii="Times New Roman" w:cs="Times New Roman" w:eastAsia="Times New Roman" w:hAnsi="Times New Roman"/>
          <w:sz w:val="20"/>
          <w:szCs w:val="20"/>
          <w:color w:val="auto"/>
        </w:rPr>
        <w:t>Fast Track designation, Breakthrough Therapy designation, priority review, and accelerated approval do not change the standards for approval but may ultimately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Drug and Biological Product Exclusivities</w:t>
      </w:r>
    </w:p>
    <w:p>
      <w:pPr>
        <w:spacing w:after="0" w:line="238"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Market exclusivity provisions authorized under the FDCA can delay the submission or the approval of some marketing applications. For example, the FDCA provides a five-year period of non-patent data exclusivity within the U.S. to the first applicant to obtain approval of an NDA for a new chemical entity. A drug is a new chemical entity if the FDA has not previously approved any other new drug containing the same active moiety, which is the molecule or ion, excluding those appended portions of the molecule that cause the drug to be an ester, salt, including a salt with hydrogen or coordination bonds, or other noncovalent derivative, such as a complex, chelate, or clathrate,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208"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of approval for which the drug received approval on the basis of the new clinical investigations and does not prohibit the FDA from approving ANDAs or 505(b) (2)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20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 addition, the Biologics Price Competition and Innovation Act of 2009, or BPCIA, created an abbreviated approval pathway for biological products that are highly similar, or “biosimilar,” to or interchangeable with an FDA-approved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spacing w:after="0" w:line="206" w:lineRule="exact"/>
        <w:rPr>
          <w:sz w:val="20"/>
          <w:szCs w:val="20"/>
          <w:color w:val="auto"/>
        </w:rPr>
      </w:pPr>
    </w:p>
    <w:p>
      <w:pPr>
        <w:ind w:right="260" w:firstLine="720"/>
        <w:spacing w:after="0" w:line="247" w:lineRule="auto"/>
        <w:rPr>
          <w:sz w:val="20"/>
          <w:szCs w:val="20"/>
          <w:color w:val="auto"/>
        </w:rPr>
      </w:pPr>
      <w:r>
        <w:rPr>
          <w:rFonts w:ascii="Times New Roman" w:cs="Times New Roman" w:eastAsia="Times New Roman" w:hAnsi="Times New Roman"/>
          <w:sz w:val="20"/>
          <w:szCs w:val="20"/>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w:t>
      </w:r>
    </w:p>
    <w:p>
      <w:pPr>
        <w:spacing w:after="0" w:line="200" w:lineRule="exact"/>
        <w:rPr>
          <w:sz w:val="20"/>
          <w:szCs w:val="20"/>
          <w:color w:val="auto"/>
        </w:rPr>
      </w:pPr>
    </w:p>
    <w:p>
      <w:pPr>
        <w:ind w:right="180" w:firstLine="720"/>
        <w:spacing w:after="0" w:line="253" w:lineRule="auto"/>
        <w:rPr>
          <w:sz w:val="20"/>
          <w:szCs w:val="20"/>
          <w:color w:val="auto"/>
        </w:rPr>
      </w:pPr>
      <w:r>
        <w:rPr>
          <w:rFonts w:ascii="Times New Roman" w:cs="Times New Roman" w:eastAsia="Times New Roman" w:hAnsi="Times New Roman"/>
          <w:sz w:val="20"/>
          <w:szCs w:val="20"/>
          <w:color w:val="auto"/>
        </w:rPr>
        <w:t>Pediatric exclusivity is another type of regulatory exclusivity available in the U.S. Pediatric exclusivity provides for an additional six months of exclusivity attached to another existing patent term or period of regulatory exclusivity if a sponsor conducts clinical trials in children in response to a “written request” from the FDA. The issuance of a written request does not require the sponsor to undertake the described clinical trials.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Government Regulation</w:t>
      </w:r>
    </w:p>
    <w:p>
      <w:pPr>
        <w:spacing w:after="0" w:line="238" w:lineRule="exact"/>
        <w:rPr>
          <w:sz w:val="20"/>
          <w:szCs w:val="20"/>
          <w:color w:val="auto"/>
        </w:rPr>
      </w:pPr>
    </w:p>
    <w:p>
      <w:pPr>
        <w:ind w:right="140" w:firstLine="720"/>
        <w:spacing w:after="0" w:line="279" w:lineRule="auto"/>
        <w:rPr>
          <w:sz w:val="20"/>
          <w:szCs w:val="20"/>
          <w:color w:val="auto"/>
        </w:rPr>
      </w:pPr>
      <w:r>
        <w:rPr>
          <w:rFonts w:ascii="Times New Roman" w:cs="Times New Roman" w:eastAsia="Times New Roman" w:hAnsi="Times New Roman"/>
          <w:sz w:val="19"/>
          <w:szCs w:val="19"/>
          <w:color w:val="auto"/>
        </w:rPr>
        <w:t>Our product candidates are subject to similar laws and regulations imposed by jurisdictions outside of the U.S., and, in particular, the European Union (“EU”), governing, among other things, clinical trials, marketing authorization (“MA”), commercial sales and distribution of our products. The foreign regulatory approval process includes all of the risks associated with FDA approval</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800"/>
          </w:cols>
          <w:pgMar w:left="540" w:top="748" w:right="540" w:bottom="0" w:gutter="0" w:footer="0" w:header="0"/>
          <w:type w:val="continuous"/>
        </w:sectPr>
      </w:pPr>
    </w:p>
    <w:bookmarkStart w:id="26" w:name="page27"/>
    <w:bookmarkEnd w:id="26"/>
    <w:p>
      <w:pPr>
        <w:ind w:right="320"/>
        <w:spacing w:after="0" w:line="279" w:lineRule="auto"/>
        <w:rPr>
          <w:sz w:val="20"/>
          <w:szCs w:val="20"/>
          <w:color w:val="auto"/>
        </w:rPr>
      </w:pPr>
      <w:r>
        <w:rPr>
          <w:rFonts w:ascii="Times New Roman" w:cs="Times New Roman" w:eastAsia="Times New Roman" w:hAnsi="Times New Roman"/>
          <w:sz w:val="20"/>
          <w:szCs w:val="20"/>
          <w:color w:val="auto"/>
        </w:rPr>
        <w:t>set forth above, as well as additional country-specific regulation. Because biologically sourced, raw materials are subject to unique contamination risks, their use may be restricted in some countries.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Non-clinical Studies and Clinical Trials</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Similarly to the U.S., the various phases of non-clinical and clinical research in the EU, are subject to significant regulatory</w:t>
      </w:r>
    </w:p>
    <w:p>
      <w:pPr>
        <w:spacing w:after="0"/>
        <w:rPr>
          <w:sz w:val="20"/>
          <w:szCs w:val="20"/>
          <w:color w:val="auto"/>
        </w:rPr>
      </w:pPr>
      <w:r>
        <w:rPr>
          <w:rFonts w:ascii="Times New Roman" w:cs="Times New Roman" w:eastAsia="Times New Roman" w:hAnsi="Times New Roman"/>
          <w:sz w:val="20"/>
          <w:szCs w:val="20"/>
          <w:color w:val="auto"/>
        </w:rPr>
        <w:t>controls.</w:t>
      </w:r>
    </w:p>
    <w:p>
      <w:pPr>
        <w:spacing w:after="0" w:line="24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20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Clinical trials of medicinal products in the EU must be conducted in accordance with EU and national regulations and the International Council for Harmonization of Technical Requirements for Pharmaceuticals for Human Use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96"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97" w:lineRule="exact"/>
        <w:rPr>
          <w:sz w:val="20"/>
          <w:szCs w:val="20"/>
          <w:color w:val="auto"/>
        </w:rPr>
      </w:pPr>
    </w:p>
    <w:p>
      <w:pPr>
        <w:ind w:right="20" w:firstLine="720"/>
        <w:spacing w:after="0" w:line="239" w:lineRule="auto"/>
        <w:rPr>
          <w:sz w:val="20"/>
          <w:szCs w:val="20"/>
          <w:color w:val="auto"/>
        </w:rPr>
      </w:pPr>
      <w:r>
        <w:rPr>
          <w:rFonts w:ascii="Times New Roman" w:cs="Times New Roman" w:eastAsia="Times New Roman" w:hAnsi="Times New Roman"/>
          <w:sz w:val="20"/>
          <w:szCs w:val="20"/>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202" w:lineRule="exact"/>
        <w:rPr>
          <w:sz w:val="20"/>
          <w:szCs w:val="20"/>
          <w:color w:val="auto"/>
        </w:rPr>
      </w:pPr>
    </w:p>
    <w:p>
      <w:pPr>
        <w:ind w:firstLine="720"/>
        <w:spacing w:after="0" w:line="274" w:lineRule="auto"/>
        <w:rPr>
          <w:sz w:val="20"/>
          <w:szCs w:val="20"/>
          <w:color w:val="auto"/>
        </w:rPr>
      </w:pPr>
      <w:r>
        <w:rPr>
          <w:rFonts w:ascii="Times New Roman" w:cs="Times New Roman" w:eastAsia="Times New Roman" w:hAnsi="Times New Roman"/>
          <w:sz w:val="20"/>
          <w:szCs w:val="20"/>
          <w:color w:val="auto"/>
        </w:rPr>
        <w:t>The CTR transition period ended on January 31, 2025, and all clinical trials (and related applications) are now fully subject to the provisions of the CTR.</w:t>
      </w:r>
    </w:p>
    <w:p>
      <w:pPr>
        <w:spacing w:after="0" w:line="165" w:lineRule="exact"/>
        <w:rPr>
          <w:sz w:val="20"/>
          <w:szCs w:val="20"/>
          <w:color w:val="auto"/>
        </w:rPr>
      </w:pPr>
    </w:p>
    <w:p>
      <w:pPr>
        <w:ind w:right="320" w:firstLine="720"/>
        <w:spacing w:after="0" w:line="274" w:lineRule="auto"/>
        <w:rPr>
          <w:sz w:val="20"/>
          <w:szCs w:val="20"/>
          <w:color w:val="auto"/>
        </w:rPr>
      </w:pPr>
      <w:r>
        <w:rPr>
          <w:rFonts w:ascii="Times New Roman" w:cs="Times New Roman" w:eastAsia="Times New Roman" w:hAnsi="Times New Roman"/>
          <w:sz w:val="20"/>
          <w:szCs w:val="20"/>
          <w:color w:val="auto"/>
        </w:rPr>
        <w:t>Medicines used in clinical trials must be manufactured in accordance with Good Manufacturing Practice, ("GMP"). Other national and EU-wide regulatory requirements may also apply.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Marketing Authorization</w:t>
      </w:r>
    </w:p>
    <w:p>
      <w:pPr>
        <w:spacing w:after="0" w:line="232" w:lineRule="exact"/>
        <w:rPr>
          <w:sz w:val="20"/>
          <w:szCs w:val="20"/>
          <w:color w:val="auto"/>
        </w:rPr>
      </w:pPr>
    </w:p>
    <w:p>
      <w:pPr>
        <w:ind w:right="20" w:firstLine="720"/>
        <w:spacing w:after="0" w:line="265" w:lineRule="auto"/>
        <w:rPr>
          <w:sz w:val="20"/>
          <w:szCs w:val="20"/>
          <w:color w:val="auto"/>
        </w:rPr>
      </w:pPr>
      <w:r>
        <w:rPr>
          <w:rFonts w:ascii="Times New Roman" w:cs="Times New Roman" w:eastAsia="Times New Roman" w:hAnsi="Times New Roman"/>
          <w:sz w:val="19"/>
          <w:szCs w:val="19"/>
          <w:color w:val="auto"/>
        </w:rPr>
        <w:t>In order to market our product candidates in the EU, and many other foreign jurisdictions, we must obtain separate regulatory approvals. More concretely, in the EU, medicinal product candidates can only be commercialized after obtaining a Marketing MA. To obtain regulatory approval of a product candidate under EU regulatory systems, we must submit a MA application (“MAA”). The process for doing this depends, among other things, on the nature of the medicinal product. There are two types of MAs:</w:t>
      </w:r>
    </w:p>
    <w:p>
      <w:pPr>
        <w:spacing w:after="0" w:line="190" w:lineRule="exact"/>
        <w:rPr>
          <w:sz w:val="20"/>
          <w:szCs w:val="20"/>
          <w:color w:val="auto"/>
        </w:rPr>
      </w:pPr>
    </w:p>
    <w:p>
      <w:pPr>
        <w:ind w:left="1080" w:right="20" w:hanging="360"/>
        <w:spacing w:after="0" w:line="241" w:lineRule="auto"/>
        <w:tabs>
          <w:tab w:leader="none" w:pos="10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“Centralized MAs” are issued by the EC through the centralized procedure, based on the opinion of the Committee for Medicinal Products for Human Use (“CHMP”) of the European Medicine Agency ("EMA") and are valid throughout the EU. The centralized procedure is mandatory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neurodegenerative diseases, diabetes, autoimmune diseases and other immune dysfunctions, and viral diseases. The</w:t>
      </w:r>
    </w:p>
    <w:p>
      <w:pPr>
        <w:sectPr>
          <w:pgSz w:w="11880" w:h="15480" w:orient="portrait"/>
          <w:cols w:equalWidth="0" w:num="1">
            <w:col w:w="10780"/>
          </w:cols>
          <w:pgMar w:left="540" w:top="748" w:right="560" w:bottom="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780"/>
          </w:cols>
          <w:pgMar w:left="540" w:top="748" w:right="560" w:bottom="0" w:gutter="0" w:footer="0" w:header="0"/>
          <w:type w:val="continuous"/>
        </w:sectPr>
      </w:pPr>
    </w:p>
    <w:bookmarkStart w:id="27" w:name="page28"/>
    <w:bookmarkEnd w:id="27"/>
    <w:p>
      <w:pPr>
        <w:ind w:left="1080" w:right="200"/>
        <w:spacing w:after="0" w:line="254" w:lineRule="auto"/>
        <w:rPr>
          <w:sz w:val="20"/>
          <w:szCs w:val="20"/>
          <w:color w:val="auto"/>
        </w:rPr>
      </w:pPr>
      <w:r>
        <w:rPr>
          <w:rFonts w:ascii="Times New Roman" w:cs="Times New Roman" w:eastAsia="Times New Roman" w:hAnsi="Times New Roman"/>
          <w:sz w:val="20"/>
          <w:szCs w:val="20"/>
          <w:color w:val="auto"/>
        </w:rPr>
        <w:t>centralized procedure is optional for products containing a new active substance not yet authorized in the EU, or for products that constitute a significant therapeutic, scientific or technical innovation or which are in the interest of public health in the EU; and</w:t>
      </w:r>
    </w:p>
    <w:p>
      <w:pPr>
        <w:spacing w:after="0" w:line="200" w:lineRule="exact"/>
        <w:rPr>
          <w:sz w:val="20"/>
          <w:szCs w:val="20"/>
          <w:color w:val="auto"/>
        </w:rPr>
      </w:pPr>
    </w:p>
    <w:p>
      <w:pPr>
        <w:ind w:left="1080" w:hanging="360"/>
        <w:spacing w:after="0" w:line="256" w:lineRule="auto"/>
        <w:tabs>
          <w:tab w:leader="none" w:pos="108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84" w:lineRule="exact"/>
        <w:rPr>
          <w:sz w:val="20"/>
          <w:szCs w:val="20"/>
          <w:color w:val="auto"/>
        </w:rPr>
      </w:pPr>
    </w:p>
    <w:p>
      <w:pPr>
        <w:ind w:right="20" w:firstLine="720"/>
        <w:spacing w:after="0" w:line="238" w:lineRule="auto"/>
        <w:rPr>
          <w:sz w:val="20"/>
          <w:szCs w:val="20"/>
          <w:color w:val="auto"/>
        </w:rPr>
      </w:pPr>
      <w:r>
        <w:rPr>
          <w:rFonts w:ascii="Times New Roman" w:cs="Times New Roman" w:eastAsia="Times New Roman" w:hAnsi="Times New Roman"/>
          <w:sz w:val="20"/>
          <w:szCs w:val="20"/>
          <w:color w:val="auto"/>
        </w:rPr>
        <w:t>Under the centralized procedure the maximum timeframe for the evaluation of an MAA by the EMA is 210 days, excluding clock stops.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PRIority MEdicine ("PRIME") scheme, which provides incentives similar to the Breakthrough Therapy designation in the U.S. In March 2016, the EMA launched the PRIME scheme.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An initial meeting initiates these relationships and includes a team of multidisciplinary experts at the EMA to provide guidance on the overall development and regulatory strategies. The benefits of a PRIME designation includes, but not limited to, the appointment of a dedicated contact and rapporteur from the CHMP before submission of an MAA, early and proactive dialogue and scientific advice at key development milestones, and the ability to request for accelerated review earlier in the application process, however this is at the discretion of the CHMP. Setrusumab was granted PRIME designation in November 2017.</w:t>
      </w:r>
    </w:p>
    <w:p>
      <w:pPr>
        <w:spacing w:after="0" w:line="200" w:lineRule="exact"/>
        <w:rPr>
          <w:sz w:val="20"/>
          <w:szCs w:val="20"/>
          <w:color w:val="auto"/>
        </w:rPr>
      </w:pPr>
    </w:p>
    <w:p>
      <w:pPr>
        <w:ind w:right="60" w:firstLine="720"/>
        <w:spacing w:after="0"/>
        <w:rPr>
          <w:sz w:val="20"/>
          <w:szCs w:val="20"/>
          <w:color w:val="auto"/>
        </w:rPr>
      </w:pPr>
      <w:r>
        <w:rPr>
          <w:rFonts w:ascii="Times New Roman" w:cs="Times New Roman" w:eastAsia="Times New Roman" w:hAnsi="Times New Roman"/>
          <w:sz w:val="20"/>
          <w:szCs w:val="20"/>
          <w:color w:val="auto"/>
        </w:rPr>
        <w:t>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(timelines may be re-negotiated with CHMP approval if appropriate) set by the EMA, the MA ceases to be renewed. The EMA may also grant a MA in absence of comprehensive data under "exceptional circumstances". Unlike a conditional MA, where MA is granted in the likelihood that the sponsor will provide such data within an agreed timeframe, the EMA can grant authorization under exceptional circumstances when comprehensive data cannot be obtained even after authorization.</w:t>
      </w:r>
    </w:p>
    <w:p>
      <w:pPr>
        <w:spacing w:after="0" w:line="202" w:lineRule="exact"/>
        <w:rPr>
          <w:sz w:val="20"/>
          <w:szCs w:val="20"/>
          <w:color w:val="auto"/>
        </w:rPr>
      </w:pPr>
    </w:p>
    <w:p>
      <w:pPr>
        <w:ind w:right="80" w:firstLine="720"/>
        <w:spacing w:after="0" w:line="248" w:lineRule="auto"/>
        <w:rPr>
          <w:sz w:val="20"/>
          <w:szCs w:val="20"/>
          <w:color w:val="auto"/>
        </w:rPr>
      </w:pPr>
      <w:r>
        <w:rPr>
          <w:rFonts w:ascii="Times New Roman" w:cs="Times New Roman" w:eastAsia="Times New Roman" w:hAnsi="Times New Roman"/>
          <w:sz w:val="20"/>
          <w:szCs w:val="20"/>
          <w:color w:val="auto"/>
        </w:rPr>
        <w:t>Under the above described procedures, before granting the MA, the CHMP or the competent authorities of the EU member states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Adaptive pathways</w:t>
      </w:r>
    </w:p>
    <w:p>
      <w:pPr>
        <w:spacing w:after="0" w:line="232" w:lineRule="exact"/>
        <w:rPr>
          <w:sz w:val="20"/>
          <w:szCs w:val="20"/>
          <w:color w:val="auto"/>
        </w:rPr>
      </w:pPr>
    </w:p>
    <w:p>
      <w:pPr>
        <w:ind w:right="40" w:firstLine="720"/>
        <w:spacing w:after="0" w:line="239" w:lineRule="auto"/>
        <w:rPr>
          <w:sz w:val="20"/>
          <w:szCs w:val="20"/>
          <w:color w:val="auto"/>
        </w:rPr>
      </w:pPr>
      <w:r>
        <w:rPr>
          <w:rFonts w:ascii="Times New Roman" w:cs="Times New Roman" w:eastAsia="Times New Roman" w:hAnsi="Times New Roman"/>
          <w:sz w:val="20"/>
          <w:szCs w:val="20"/>
          <w:color w:val="auto"/>
        </w:rPr>
        <w:t>The EMA has an adaptive pathways program which allows for early and progressive patient access to a 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198" w:lineRule="exact"/>
        <w:rPr>
          <w:sz w:val="20"/>
          <w:szCs w:val="20"/>
          <w:color w:val="auto"/>
        </w:rPr>
      </w:pPr>
    </w:p>
    <w:p>
      <w:pPr>
        <w:ind w:right="220" w:firstLine="720"/>
        <w:spacing w:after="0" w:line="254" w:lineRule="auto"/>
        <w:rPr>
          <w:sz w:val="20"/>
          <w:szCs w:val="20"/>
          <w:color w:val="auto"/>
        </w:rPr>
      </w:pPr>
      <w:r>
        <w:rPr>
          <w:rFonts w:ascii="Times New Roman" w:cs="Times New Roman" w:eastAsia="Times New Roman" w:hAnsi="Times New Roman"/>
          <w:sz w:val="20"/>
          <w:szCs w:val="20"/>
          <w:color w:val="auto"/>
        </w:rPr>
        <w:t>The adaptive pathways program does not change the standards for the evaluation of benefits and risks or the requirement to demonstrate a positive benefit-risk balance to obtain MA. In February 2017, setrusumab was accepted into the adaptive pathways program.</w:t>
      </w:r>
    </w:p>
    <w:p>
      <w:pPr>
        <w:sectPr>
          <w:pgSz w:w="11880" w:h="15480" w:orient="portrait"/>
          <w:cols w:equalWidth="0" w:num="1">
            <w:col w:w="10800"/>
          </w:cols>
          <w:pgMar w:left="540" w:top="7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800"/>
          </w:cols>
          <w:pgMar w:left="540" w:top="744" w:right="54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i w:val="1"/>
          <w:iCs w:val="1"/>
          <w:color w:val="auto"/>
        </w:rPr>
        <w:t>Data and marketing exclusivity</w:t>
      </w:r>
    </w:p>
    <w:p>
      <w:pPr>
        <w:spacing w:after="0" w:line="232" w:lineRule="exact"/>
        <w:rPr>
          <w:sz w:val="20"/>
          <w:szCs w:val="20"/>
          <w:color w:val="auto"/>
        </w:rPr>
      </w:pPr>
    </w:p>
    <w:p>
      <w:pPr>
        <w:ind w:firstLine="720"/>
        <w:spacing w:after="0" w:line="239" w:lineRule="auto"/>
        <w:rPr>
          <w:sz w:val="20"/>
          <w:szCs w:val="20"/>
          <w:color w:val="auto"/>
        </w:rPr>
      </w:pPr>
      <w:r>
        <w:rPr>
          <w:rFonts w:ascii="Times New Roman" w:cs="Times New Roman" w:eastAsia="Times New Roman" w:hAnsi="Times New Roman"/>
          <w:sz w:val="20"/>
          <w:szCs w:val="20"/>
          <w:color w:val="auto"/>
        </w:rPr>
        <w:t>In the EU, new product candidates authorized for marketing, or reference product candidates,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ten-years have elapsed from the initial MA of the reference product in the EU. The overall 10-year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198" w:lineRule="exact"/>
        <w:rPr>
          <w:sz w:val="20"/>
          <w:szCs w:val="20"/>
          <w:color w:val="auto"/>
        </w:rPr>
      </w:pPr>
    </w:p>
    <w:p>
      <w:pPr>
        <w:ind w:right="100" w:firstLine="720"/>
        <w:spacing w:after="0" w:line="241" w:lineRule="auto"/>
        <w:rPr>
          <w:sz w:val="20"/>
          <w:szCs w:val="20"/>
          <w:color w:val="auto"/>
        </w:rPr>
      </w:pPr>
      <w:r>
        <w:rPr>
          <w:rFonts w:ascii="Times New Roman" w:cs="Times New Roman" w:eastAsia="Times New Roman" w:hAnsi="Times New Roman"/>
          <w:sz w:val="20"/>
          <w:szCs w:val="20"/>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Orphan Medicinal Products</w:t>
      </w:r>
    </w:p>
    <w:p>
      <w:pPr>
        <w:spacing w:after="0" w:line="237"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criteria for designating an “orphan medicinal product” in the EU are similar in principle to those in the U.S. A medicinal product can be designated as an orphan if its sponsor can establish that: (1) the product is intended for the diagnosis, prevention or treatment of a life threatening or chronically debilitating condition, (2) either (a) affecting not more than five in 10,000 persons in the EU when the application is made, or (b) that the product without the benefits derived from the orphan status, would generate sufficient return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200" w:lineRule="exact"/>
        <w:rPr>
          <w:sz w:val="20"/>
          <w:szCs w:val="20"/>
          <w:color w:val="auto"/>
        </w:rPr>
      </w:pPr>
    </w:p>
    <w:p>
      <w:pPr>
        <w:ind w:right="200" w:firstLine="720"/>
        <w:spacing w:after="0" w:line="247" w:lineRule="auto"/>
        <w:rPr>
          <w:sz w:val="20"/>
          <w:szCs w:val="20"/>
          <w:color w:val="auto"/>
        </w:rPr>
      </w:pPr>
      <w:r>
        <w:rPr>
          <w:rFonts w:ascii="Times New Roman" w:cs="Times New Roman" w:eastAsia="Times New Roman" w:hAnsi="Times New Roman"/>
          <w:sz w:val="20"/>
          <w:szCs w:val="20"/>
          <w:color w:val="auto"/>
        </w:rPr>
        <w:t>Orphan designation must be requested before submitting an MAA. Orphan designation entitles a party to incentives such as reduction of fees or fee waivers, protocol assistance, and access to the centralized procedure. Upon grant of a MA for an orphan medicinal product, applicants are entitled to a ten-year period of market exclusivity for the approved indication. During this market exclusivity period, the competent authorities cannot accept another application for a MA, or grant a MA, or accept an application to extend a MA for a similar medicinal product for the same indication. The period of market exclusivity is extended by two years for orphan medicinal products that have also complied with an agreed pediatric investigation plan (“PIP”).</w:t>
      </w:r>
    </w:p>
    <w:p>
      <w:pPr>
        <w:spacing w:after="0" w:line="200"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19"/>
          <w:szCs w:val="19"/>
          <w:color w:val="auto"/>
        </w:rPr>
        <w:t>This period of orphan market exclusivity may, however, be reduced to six years if, at the end of the fifth year, it is established that the product no longer meets the criteria for which it received orphan destination, i.e. the prevalence of the condition has increased above the threshold or it is judged that the product is sufficiently profitable not to justify maintenance of market exclusivity.</w:t>
      </w:r>
    </w:p>
    <w:p>
      <w:pPr>
        <w:spacing w:after="0" w:line="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Additionally, MA may be granted for another similar product for the same indication at any time if (i) the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Pediatric Development</w:t>
      </w:r>
    </w:p>
    <w:p>
      <w:pPr>
        <w:spacing w:after="0" w:line="237"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In the EU MAA for new medicinal product candidates have to include the results of studies conducted in the pediatric population, in compliance with a PIP, agreed with the EMA’s Pediatric Committee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of the EU and study results are included in the product information, even when negative, the product is eligible for a six-month supplementary protection certificate extension (if any is in effect at the time of approval) or, in the case of orphan medicinal products, a two-year extension of orphan market exclusivity.</w:t>
      </w:r>
    </w:p>
    <w:p>
      <w:pPr>
        <w:sectPr>
          <w:pgSz w:w="11880" w:h="15480" w:orient="portrait"/>
          <w:cols w:equalWidth="0" w:num="1">
            <w:col w:w="10800"/>
          </w:cols>
          <w:pgMar w:left="540" w:top="748" w:right="540" w:bottom="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800"/>
          </w:cols>
          <w:pgMar w:left="540" w:top="748" w:right="54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i w:val="1"/>
          <w:iCs w:val="1"/>
          <w:color w:val="auto"/>
        </w:rPr>
        <w:t>Post-Approval Requirements</w:t>
      </w:r>
    </w:p>
    <w:p>
      <w:pPr>
        <w:spacing w:after="0" w:line="237" w:lineRule="exact"/>
        <w:rPr>
          <w:sz w:val="20"/>
          <w:szCs w:val="20"/>
          <w:color w:val="auto"/>
        </w:rPr>
      </w:pPr>
    </w:p>
    <w:p>
      <w:pPr>
        <w:ind w:right="240" w:firstLine="720"/>
        <w:spacing w:after="0" w:line="247" w:lineRule="auto"/>
        <w:rPr>
          <w:sz w:val="20"/>
          <w:szCs w:val="20"/>
          <w:color w:val="auto"/>
        </w:rPr>
      </w:pPr>
      <w:r>
        <w:rPr>
          <w:rFonts w:ascii="Times New Roman" w:cs="Times New Roman" w:eastAsia="Times New Roman" w:hAnsi="Times New Roman"/>
          <w:sz w:val="20"/>
          <w:szCs w:val="20"/>
          <w:color w:val="auto"/>
        </w:rPr>
        <w:t>Similar to the U.S., both MA holders and manufacturers of medicinal products are subject to comprehensive regulatory oversight by the EMA, the EC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200"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All new MAA must include a risk management plan (“RMP”) describing the risk management system that the company will put in place and documenting measures to prevent or minimize the risks associated with the product. The RMP must be updated any time new information on the medicinal product becomes available which has a significant impact on the content of the RMP.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20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96" w:lineRule="exact"/>
        <w:rPr>
          <w:sz w:val="20"/>
          <w:szCs w:val="20"/>
          <w:color w:val="auto"/>
        </w:rPr>
      </w:pPr>
    </w:p>
    <w:p>
      <w:pPr>
        <w:ind w:right="280" w:firstLine="720"/>
        <w:spacing w:after="0" w:line="274" w:lineRule="auto"/>
        <w:rPr>
          <w:sz w:val="20"/>
          <w:szCs w:val="20"/>
          <w:color w:val="auto"/>
        </w:rPr>
      </w:pPr>
      <w:r>
        <w:rPr>
          <w:rFonts w:ascii="Times New Roman" w:cs="Times New Roman" w:eastAsia="Times New Roman" w:hAnsi="Times New Roman"/>
          <w:sz w:val="20"/>
          <w:szCs w:val="20"/>
          <w:color w:val="auto"/>
        </w:rPr>
        <w:t>The aforementioned EU rules are generally applicable in the European Economic Area, (“EEA”), which consists of the 27 EU member states plus Norway, Liechtenstein and Iceland.</w:t>
      </w:r>
    </w:p>
    <w:p>
      <w:pPr>
        <w:spacing w:after="0" w:line="165" w:lineRule="exact"/>
        <w:rPr>
          <w:sz w:val="20"/>
          <w:szCs w:val="20"/>
          <w:color w:val="auto"/>
        </w:rPr>
      </w:pPr>
    </w:p>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in the United Kingdom (“U.K”).</w:t>
      </w:r>
    </w:p>
    <w:p>
      <w:pPr>
        <w:spacing w:after="0" w:line="234" w:lineRule="exact"/>
        <w:rPr>
          <w:sz w:val="20"/>
          <w:szCs w:val="20"/>
          <w:color w:val="auto"/>
        </w:rPr>
      </w:pPr>
    </w:p>
    <w:p>
      <w:pPr>
        <w:ind w:right="40" w:firstLine="720"/>
        <w:spacing w:after="0" w:line="248" w:lineRule="auto"/>
        <w:rPr>
          <w:sz w:val="20"/>
          <w:szCs w:val="20"/>
          <w:color w:val="auto"/>
        </w:rPr>
      </w:pPr>
      <w:r>
        <w:rPr>
          <w:rFonts w:ascii="Times New Roman" w:cs="Times New Roman" w:eastAsia="Times New Roman" w:hAnsi="Times New Roman"/>
          <w:sz w:val="20"/>
          <w:szCs w:val="20"/>
          <w:color w:val="auto"/>
        </w:rPr>
        <w:t>Since the end of the Brexit transition period on January 1, 2021, Great Britain (England, Scotland and Wales) ("GB") has not been directly subject to EU laws, however under the terms of the Ireland/Northern Ireland Protocol, EU laws generally apply to Northern Ireland. The EU laws that have been transposed into U.K. law through secondary legislation remain applicable in Great Britain however, new legislation such as the (EU) CTS is not applicable in Great Britain.</w:t>
      </w:r>
    </w:p>
    <w:p>
      <w:pPr>
        <w:spacing w:after="0" w:line="190" w:lineRule="exact"/>
        <w:rPr>
          <w:sz w:val="20"/>
          <w:szCs w:val="20"/>
          <w:color w:val="auto"/>
        </w:rPr>
      </w:pPr>
    </w:p>
    <w:p>
      <w:pPr>
        <w:ind w:right="200" w:firstLine="720"/>
        <w:spacing w:after="0" w:line="248" w:lineRule="auto"/>
        <w:rPr>
          <w:sz w:val="20"/>
          <w:szCs w:val="20"/>
          <w:color w:val="auto"/>
        </w:rPr>
      </w:pPr>
      <w:r>
        <w:rPr>
          <w:rFonts w:ascii="Times New Roman" w:cs="Times New Roman" w:eastAsia="Times New Roman" w:hAnsi="Times New Roman"/>
          <w:sz w:val="20"/>
          <w:szCs w:val="20"/>
          <w:color w:val="auto"/>
        </w:rPr>
        <w:t>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90" w:lineRule="exact"/>
        <w:rPr>
          <w:sz w:val="20"/>
          <w:szCs w:val="20"/>
          <w:color w:val="auto"/>
        </w:rPr>
      </w:pPr>
    </w:p>
    <w:p>
      <w:pPr>
        <w:ind w:right="40" w:firstLine="720"/>
        <w:spacing w:after="0" w:line="239" w:lineRule="auto"/>
        <w:rPr>
          <w:sz w:val="20"/>
          <w:szCs w:val="20"/>
          <w:color w:val="auto"/>
        </w:rPr>
      </w:pPr>
      <w:r>
        <w:rPr>
          <w:rFonts w:ascii="Times New Roman" w:cs="Times New Roman" w:eastAsia="Times New Roman" w:hAnsi="Times New Roman"/>
          <w:sz w:val="20"/>
          <w:szCs w:val="20"/>
          <w:color w:val="auto"/>
        </w:rPr>
        <w:t>Since January 1, 2021, the Medicines and Healthcare products Regulatory Agency (“MHRA”), has been the U.K.’s standalone medicines and medical devices regulator. As a result of the Northern Ireland protocol, different rules apply in Northern Ireland than in England, Wales, and Scotland, together, GB; broadly, Northern Ireland will continue to follow the EU regulatory regime, but its national competent authority will remain the MHRA. On February 27, 2023, the U.K. Government and the EC reached a political agreement on the “Windsor Framework” which will revise the Northern Ireland protocol in order to address some of the perceived shortcomings in its operation. Under the changes, Northern Ireland will be reintegrated under the regulatory authority of the MHRA with respect to medicinal products.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206" w:lineRule="exact"/>
        <w:rPr>
          <w:sz w:val="20"/>
          <w:szCs w:val="20"/>
          <w:color w:val="auto"/>
        </w:rPr>
      </w:pPr>
    </w:p>
    <w:p>
      <w:pPr>
        <w:ind w:firstLine="720"/>
        <w:spacing w:after="0" w:line="265" w:lineRule="auto"/>
        <w:rPr>
          <w:sz w:val="20"/>
          <w:szCs w:val="20"/>
          <w:color w:val="auto"/>
        </w:rPr>
      </w:pPr>
      <w:r>
        <w:rPr>
          <w:rFonts w:ascii="Times New Roman" w:cs="Times New Roman" w:eastAsia="Times New Roman" w:hAnsi="Times New Roman"/>
          <w:sz w:val="19"/>
          <w:szCs w:val="19"/>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opted-out. In order to use the centralized procedure to obtain a MA that will be valid throughout the</w:t>
      </w:r>
    </w:p>
    <w:p>
      <w:pPr>
        <w:sectPr>
          <w:pgSz w:w="11880" w:h="15480" w:orient="portrait"/>
          <w:cols w:equalWidth="0" w:num="1">
            <w:col w:w="10780"/>
          </w:cols>
          <w:pgMar w:left="540" w:top="752" w:right="560" w:bottom="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780"/>
          </w:cols>
          <w:pgMar w:left="540" w:top="752" w:right="560" w:bottom="0" w:gutter="0" w:footer="0" w:header="0"/>
          <w:type w:val="continuous"/>
        </w:sectPr>
      </w:pPr>
    </w:p>
    <w:bookmarkStart w:id="30" w:name="page31"/>
    <w:bookmarkEnd w:id="30"/>
    <w:p>
      <w:pPr>
        <w:spacing w:after="0" w:line="239" w:lineRule="auto"/>
        <w:rPr>
          <w:sz w:val="20"/>
          <w:szCs w:val="20"/>
          <w:color w:val="auto"/>
        </w:rPr>
      </w:pPr>
      <w:r>
        <w:rPr>
          <w:rFonts w:ascii="Times New Roman" w:cs="Times New Roman" w:eastAsia="Times New Roman" w:hAnsi="Times New Roman"/>
          <w:sz w:val="20"/>
          <w:szCs w:val="20"/>
          <w:color w:val="auto"/>
        </w:rPr>
        <w:t>EEA, companies must be established in the EEA. Therefore, since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A new international recognition framework has been in place from January 1, 2024, whereby the MHRA will have regard to decisions on the approval of MAs made by the EMA and certain other regulators when determining an application for a new GB MA. There is no pre-MA orphan designation. Instead, the MHRA will review applications for orphan designation in parallel to the corresponding MAA. The criteria are essentially the same, but have been tailored for the market, i.e., the prevalence of the condition in GB, rather than the EU, must not be more than five in 10,000. Should an orphan designation be granted, the period or market exclusivity will be set from the date of first approval of the product in GB.</w:t>
      </w:r>
    </w:p>
    <w:p>
      <w:pPr>
        <w:spacing w:after="0" w:line="202" w:lineRule="exact"/>
        <w:rPr>
          <w:sz w:val="20"/>
          <w:szCs w:val="20"/>
          <w:color w:val="auto"/>
        </w:rPr>
      </w:pPr>
    </w:p>
    <w:p>
      <w:pPr>
        <w:ind w:right="40" w:firstLine="720"/>
        <w:spacing w:after="0" w:line="241" w:lineRule="auto"/>
        <w:rPr>
          <w:sz w:val="20"/>
          <w:szCs w:val="20"/>
          <w:color w:val="auto"/>
        </w:rPr>
      </w:pPr>
      <w:r>
        <w:rPr>
          <w:rFonts w:ascii="Times New Roman" w:cs="Times New Roman" w:eastAsia="Times New Roman" w:hAnsi="Times New Roman"/>
          <w:sz w:val="20"/>
          <w:szCs w:val="20"/>
          <w:color w:val="auto"/>
        </w:rPr>
        <w:t>The U.K. regulatory framework in relation to clinical trials is derived from existing EU legislation (as implemented into U.K. law, through secondary legislation). On January 17, 2022, the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whether the U.K. clinical trials framework aligns with or diverges from with the (EU) CTR.</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Other U.S. Healthcare Laws</w:t>
      </w:r>
    </w:p>
    <w:p>
      <w:pPr>
        <w:spacing w:after="0" w:line="238"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In addition to FDA restrictions on marketing of pharmaceutical and biologic product candidates,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19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00" w:lineRule="exact"/>
        <w:rPr>
          <w:sz w:val="20"/>
          <w:szCs w:val="20"/>
          <w:color w:val="auto"/>
        </w:rPr>
      </w:pPr>
    </w:p>
    <w:p>
      <w:pPr>
        <w:ind w:right="160" w:firstLine="720"/>
        <w:spacing w:after="0" w:line="259" w:lineRule="auto"/>
        <w:rPr>
          <w:sz w:val="20"/>
          <w:szCs w:val="20"/>
          <w:color w:val="auto"/>
        </w:rPr>
      </w:pPr>
      <w:r>
        <w:rPr>
          <w:rFonts w:ascii="Times New Roman" w:cs="Times New Roman" w:eastAsia="Times New Roman" w:hAnsi="Times New Roman"/>
          <w:sz w:val="20"/>
          <w:szCs w:val="20"/>
          <w:color w:val="auto"/>
        </w:rPr>
        <w:t>Additionally,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 or to self-pay patients.</w:t>
      </w:r>
    </w:p>
    <w:p>
      <w:pPr>
        <w:spacing w:after="0" w:line="185"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 federal false claims laws, including the civil FCA,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FCA may be brought by the Attorney General or as a qui tam action by a private individual in the name of the government.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 candidates for unapproved, or off-label, uses. The government may also assert that a claim including items or services resulting from a violation of the U.S. federal Anti-Kickback Statute constitutes a false or fraudulent claim for purposes of the federal civil FCA. Many states also have similar fraud and abuse statutes or regulations that apply to items and services reimbursed under Medicaid and other state programs, or, in several states, apply regardless of the payor.</w:t>
      </w:r>
    </w:p>
    <w:p>
      <w:pPr>
        <w:sectPr>
          <w:pgSz w:w="11880" w:h="15480" w:orient="portrait"/>
          <w:cols w:equalWidth="0" w:num="1">
            <w:col w:w="10800"/>
          </w:cols>
          <w:pgMar w:left="540" w:top="744" w:right="54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800"/>
          </w:cols>
          <w:pgMar w:left="540" w:top="744" w:right="540" w:bottom="0" w:gutter="0" w:footer="0" w:header="0"/>
          <w:type w:val="continuous"/>
        </w:sectPr>
      </w:pPr>
    </w:p>
    <w:bookmarkStart w:id="31" w:name="page32"/>
    <w:bookmarkEnd w:id="31"/>
    <w:p>
      <w:pPr>
        <w:ind w:firstLine="720"/>
        <w:spacing w:after="0" w:line="246" w:lineRule="auto"/>
        <w:rPr>
          <w:sz w:val="20"/>
          <w:szCs w:val="20"/>
          <w:color w:val="auto"/>
        </w:rPr>
      </w:pPr>
      <w:r>
        <w:rPr>
          <w:rFonts w:ascii="Times New Roman" w:cs="Times New Roman" w:eastAsia="Times New Roman" w:hAnsi="Times New Roman"/>
          <w:sz w:val="20"/>
          <w:szCs w:val="20"/>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In addition, there has been a trend of increased federal and state regulation of payments made to physicians and certain other healthcare providers. The Physician Payments Sunshine Act requires applicable manufacturers to report certain payments and “transfers of value” provided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as well as ownership and investment interests held by physicians and their immediate family members.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02" w:lineRule="exact"/>
        <w:rPr>
          <w:sz w:val="20"/>
          <w:szCs w:val="20"/>
          <w:color w:val="auto"/>
        </w:rPr>
      </w:pPr>
    </w:p>
    <w:p>
      <w:pPr>
        <w:ind w:right="520" w:firstLine="720"/>
        <w:spacing w:after="0" w:line="259" w:lineRule="auto"/>
        <w:rPr>
          <w:sz w:val="20"/>
          <w:szCs w:val="20"/>
          <w:color w:val="auto"/>
        </w:rPr>
      </w:pPr>
      <w:r>
        <w:rPr>
          <w:rFonts w:ascii="Times New Roman" w:cs="Times New Roman" w:eastAsia="Times New Roman" w:hAnsi="Times New Roman"/>
          <w:sz w:val="20"/>
          <w:szCs w:val="20"/>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185"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Privacy and Data Protection Laws in the U.S. and Europe</w:t>
      </w:r>
    </w:p>
    <w:p>
      <w:pPr>
        <w:spacing w:after="0" w:line="238"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we are subject to European laws relating to our and our suppliers’, partners’ and subcontractors’ collection, control, processing and other use of personal data (i.e., any data relating to an identifiable living individual, whether that individual can be identified directly or indirectly). We are subject to the data protection laws in those jurisdictions where we are established and processing personal data. We are also subject to such laws, when outside the EU or U.K. (as the case may be), where we process personal data relating to individuals in the EU or U.K. “in the context of” an establishment in those markets, where we specifically target goods or services to EU or U.K. residents or where we monitor the behavior of individuals in the EU or U.K. (e.g., undertaking clinical trials). We and our suppliers, partners and subcontractors process personal data including in relation to our employees, employees of customers, clinical trial patients, healthcare professionals and employees of suppliers including health and medical information. The data privacy regime in the EU includes the General Data Protection Regulation (“GDPR”), the e-Privacy Directive and the national laws and regulations implementing or supplementing each of them. In the U.K., we are subject to the U.K. Data Protection Act 2018, the GDPR as implemented into U.K. law (the “U.K. GDPR”), along with U.K. regulations implementing the e-Privacy Directive. The U.K.’s data protection regime, while currently closely aligned with the EU’s, may diverge over time. The U.K. courts also recognize a civil tort for misuse of private information, distinct from a claim for breach of confidence. Additionally, in the EU and U.K., there are strict regulations on electronic marketing communications and the use of cookies and related technologies, with which we are required to adhere.</w:t>
      </w:r>
    </w:p>
    <w:p>
      <w:pPr>
        <w:spacing w:after="0" w:line="202"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GDPR and U.K. GDPR impose comprehensive data privacy compliance obligations in relation to our collection and use of personal data, including a principal of accountability and the obligation to demonstrate compliance through policies, procedures, training and audit. In addition, some of the personal data we process in respect of clinical trial participants is considered special category or sensitive personal data under the GDPR and U.K. GDPR, and subject to additional compliance obligations. We may be subject to diverging requirements under EU member state laws and U.K. law, such as whether consent can be used as the legal basis for processing of clinical trial data and the roles, responsibilities and liabilities as between CROs and sponsors.</w:t>
      </w:r>
    </w:p>
    <w:p>
      <w:pPr>
        <w:sectPr>
          <w:pgSz w:w="11880" w:h="15480" w:orient="portrait"/>
          <w:cols w:equalWidth="0" w:num="1">
            <w:col w:w="10780"/>
          </w:cols>
          <w:pgMar w:left="540" w:top="748" w:right="560" w:bottom="0"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780"/>
          </w:cols>
          <w:pgMar w:left="540" w:top="748" w:right="560" w:bottom="0" w:gutter="0" w:footer="0" w:header="0"/>
          <w:type w:val="continuous"/>
        </w:sectPr>
      </w:pPr>
    </w:p>
    <w:bookmarkStart w:id="32" w:name="page33"/>
    <w:bookmarkEnd w:id="32"/>
    <w:p>
      <w:pPr>
        <w:ind w:right="60" w:firstLine="720"/>
        <w:spacing w:after="0" w:line="252" w:lineRule="auto"/>
        <w:rPr>
          <w:sz w:val="20"/>
          <w:szCs w:val="20"/>
          <w:color w:val="auto"/>
        </w:rPr>
      </w:pPr>
      <w:r>
        <w:rPr>
          <w:rFonts w:ascii="Times New Roman" w:cs="Times New Roman" w:eastAsia="Times New Roman" w:hAnsi="Times New Roman"/>
          <w:sz w:val="19"/>
          <w:szCs w:val="19"/>
          <w:color w:val="auto"/>
        </w:rPr>
        <w:t>In relation to cross-border transfers, case law from the Court of Justice of the European Union (“CJEU”) states that reliance on the standard contractual clauses - a standard form of contract approved by the EU as an adequate personal data transfer mechanism</w:t>
      </w:r>
    </w:p>
    <w:p>
      <w:pPr>
        <w:spacing w:after="0" w:line="1" w:lineRule="exact"/>
        <w:rPr>
          <w:sz w:val="20"/>
          <w:szCs w:val="20"/>
          <w:color w:val="auto"/>
        </w:rPr>
      </w:pPr>
    </w:p>
    <w:p>
      <w:pPr>
        <w:ind w:right="40"/>
        <w:spacing w:after="0" w:line="249" w:lineRule="auto"/>
        <w:tabs>
          <w:tab w:leader="none" w:pos="11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alone may not necessarily be sufficient in all circumstances and that transfers must be assessed on a case-by-case basis. In relation to data transfers from the EEA to the United States, the EU-US Data Privacy Framework (“DPF”) was approved by the EC in July 2023 as an effective EU GDPR data transfer mechanism to U.S. entities self-certified under the DPF. The U.K. Extension to the DPF followed in October 2023, as an effective U.K. GDPR data transfer mechanism to U.S. entities self-certified under the U.K. Extension to the DPF.</w:t>
      </w:r>
    </w:p>
    <w:p>
      <w:pPr>
        <w:spacing w:after="0" w:line="197"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19"/>
          <w:szCs w:val="19"/>
          <w:color w:val="auto"/>
        </w:rPr>
        <w:t>There are costs and administrative burdens associated with compliance with the GDPR and U.K. GDPR and the resultant changes in the EU and EEA member states’ national laws. Any failure to comply with global privacy laws carries with it the risk of significant penalties and sanctions, Penalties for certain breaches of the GDPR or U.K. GDPR are up to the greater of 20 million euros</w:t>
      </w:r>
    </w:p>
    <w:p>
      <w:pPr>
        <w:spacing w:after="0" w:line="2" w:lineRule="exact"/>
        <w:rPr>
          <w:sz w:val="20"/>
          <w:szCs w:val="20"/>
          <w:color w:val="auto"/>
        </w:rPr>
      </w:pPr>
    </w:p>
    <w:p>
      <w:pPr>
        <w:jc w:val="both"/>
        <w:spacing w:after="0" w:line="259" w:lineRule="auto"/>
        <w:tabs>
          <w:tab w:leader="none" w:pos="10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17.5 million pounds sterling or 4% of global annual turnover. In addition to fines, a breach of the GDPR or U.K. GDPR may result in regulatory investigations, reputational damage, orders to cease/ change our data processing activities, enforcement notices, assessment notices (for a compulsory audit) and/ or civil claims (including class actions).</w:t>
      </w:r>
    </w:p>
    <w:p>
      <w:pPr>
        <w:spacing w:after="0" w:line="185" w:lineRule="exact"/>
        <w:rPr>
          <w:sz w:val="20"/>
          <w:szCs w:val="20"/>
          <w:color w:val="auto"/>
        </w:rPr>
      </w:pPr>
    </w:p>
    <w:p>
      <w:pPr>
        <w:ind w:right="320" w:firstLine="720"/>
        <w:spacing w:after="0" w:line="259" w:lineRule="auto"/>
        <w:rPr>
          <w:sz w:val="20"/>
          <w:szCs w:val="20"/>
          <w:color w:val="auto"/>
        </w:rPr>
      </w:pPr>
      <w:r>
        <w:rPr>
          <w:rFonts w:ascii="Times New Roman" w:cs="Times New Roman" w:eastAsia="Times New Roman" w:hAnsi="Times New Roman"/>
          <w:sz w:val="20"/>
          <w:szCs w:val="20"/>
          <w:color w:val="auto"/>
        </w:rPr>
        <w:t>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Coverage and Reimbursement</w:t>
      </w:r>
    </w:p>
    <w:p>
      <w:pPr>
        <w:spacing w:after="0" w:line="243" w:lineRule="exact"/>
        <w:rPr>
          <w:sz w:val="20"/>
          <w:szCs w:val="20"/>
          <w:color w:val="auto"/>
        </w:rPr>
      </w:pPr>
    </w:p>
    <w:p>
      <w:pPr>
        <w:ind w:right="300" w:firstLine="720"/>
        <w:spacing w:after="0" w:line="245" w:lineRule="auto"/>
        <w:rPr>
          <w:sz w:val="20"/>
          <w:szCs w:val="20"/>
          <w:color w:val="auto"/>
        </w:rPr>
      </w:pPr>
      <w:r>
        <w:rPr>
          <w:rFonts w:ascii="Times New Roman" w:cs="Times New Roman" w:eastAsia="Times New Roman" w:hAnsi="Times New Roman"/>
          <w:sz w:val="20"/>
          <w:szCs w:val="20"/>
          <w:color w:val="auto"/>
        </w:rPr>
        <w:t>Significant uncertainty exists as to the coverage and reimbursement status of any pharmaceutical or biological product for which we obtain regulatory approval. In the U.S. and markets in other countries, patients who are prescribed treatments for their 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any product candidates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02"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In the U.S.,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 candidates on an approved list, also known as a formulary, which might not include all of the FDA-approved product candidates for a particular indication. A decision by a third-party payor not to cover our product candidates could reduce physician utilization of our product candidates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 candidates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 candidates to each payor separately and will be a time-consuming process.</w:t>
      </w:r>
    </w:p>
    <w:p>
      <w:pPr>
        <w:spacing w:after="0" w:line="203"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In the EU, governments set the price of product candidates through their health technology assessment, and reimbursement rules and control of national health care systems that fund a large part of the cost of those product candidates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 candidates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might compare the new product to an existing standard of care, including other treatments aimed at the same disease, if they exist. Health technology assessments (“HTA”),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w:t>
      </w:r>
    </w:p>
    <w:p>
      <w:pPr>
        <w:sectPr>
          <w:pgSz w:w="11880" w:h="15480" w:orient="portrait"/>
          <w:cols w:equalWidth="0" w:num="1">
            <w:col w:w="10780"/>
          </w:cols>
          <w:pgMar w:left="540" w:top="748" w:right="560" w:bottom="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780"/>
          </w:cols>
          <w:pgMar w:left="540" w:top="748" w:right="560" w:bottom="0" w:gutter="0" w:footer="0" w:header="0"/>
          <w:type w:val="continuous"/>
        </w:sectPr>
      </w:pPr>
    </w:p>
    <w:bookmarkStart w:id="33" w:name="page34"/>
    <w:bookmarkEnd w:id="33"/>
    <w:p>
      <w:pPr>
        <w:ind w:right="140"/>
        <w:spacing w:after="0" w:line="246" w:lineRule="auto"/>
        <w:rPr>
          <w:sz w:val="20"/>
          <w:szCs w:val="20"/>
          <w:color w:val="auto"/>
        </w:rPr>
      </w:pPr>
      <w:r>
        <w:rPr>
          <w:rFonts w:ascii="Times New Roman" w:cs="Times New Roman" w:eastAsia="Times New Roman" w:hAnsi="Times New Roman"/>
          <w:sz w:val="20"/>
          <w:szCs w:val="20"/>
          <w:color w:val="auto"/>
        </w:rPr>
        <w:t>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The downward pressure on health care costs in general, particularly prescription product candidates, has become very intense. As a result, increasingly high barriers are being erected to the entry of new product candidates. In addition, in some countries, legally permissible cross-border imports from low-priced markets within the EU single market exert a commercial pressure on pricing within a country.</w:t>
      </w:r>
    </w:p>
    <w:p>
      <w:pPr>
        <w:spacing w:after="0" w:line="200"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containment of healthcare costs has become a priority of federal, state and foreign governments, and the prices of pharmaceutical or biological product candidates have been a focus in this effort. Third-party payors are increasingly challenging the prices charged for medical product candidates and services, examining the medical necessity and reviewing the cost-effectiveness of pharmaceutical or biological product candidates, medical devices and medical services, in addition to questioning safety and efficacy. If these third-party payors do not consider our product candidates to be cost effective compared to other available therapies, they may not cover our product candidates after approval, if any, or, if they do, the level of payment may not be sufficient to allow us to sell our product candidates at a profit.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Healthcare Reform</w:t>
      </w:r>
    </w:p>
    <w:p>
      <w:pPr>
        <w:spacing w:after="0" w:line="24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A primary trend in the U.S. healthcare industry and elsewhere is cost containment. Government authorities and other third-party payors have attempted to control costs by limiting coverage and the amount of reimbursement for particular medical product candidates. For example, the ACA, among other things, increased the minimum Medicaid rebates owed by most manufacturers under the Medicaid Drug Rebate Program; introduced a new methodology by which rebates owed by manufacturers under the Medicaid Drug Rebate Program are calculated for product candidates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200" w:lineRule="exact"/>
        <w:rPr>
          <w:sz w:val="20"/>
          <w:szCs w:val="20"/>
          <w:color w:val="auto"/>
        </w:rPr>
      </w:pPr>
    </w:p>
    <w:p>
      <w:pPr>
        <w:ind w:right="140" w:firstLine="720"/>
        <w:spacing w:after="0" w:line="259"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since the ACA was enacted. In March 2021, the American Rescue Plan Act of 2021 was signed into law, which eliminated the statutory Medicaid drug rebate cap, beginning January 1, 2024. The rebate was previously capped at 100% of a drug’s average manufacturer price.</w:t>
      </w:r>
    </w:p>
    <w:p>
      <w:pPr>
        <w:spacing w:after="0" w:line="185" w:lineRule="exact"/>
        <w:rPr>
          <w:sz w:val="20"/>
          <w:szCs w:val="20"/>
          <w:color w:val="auto"/>
        </w:rPr>
      </w:pPr>
    </w:p>
    <w:p>
      <w:pPr>
        <w:ind w:right="240" w:firstLine="720"/>
        <w:spacing w:after="0" w:line="253" w:lineRule="auto"/>
        <w:rPr>
          <w:sz w:val="20"/>
          <w:szCs w:val="20"/>
          <w:color w:val="auto"/>
        </w:rPr>
      </w:pPr>
      <w:r>
        <w:rPr>
          <w:rFonts w:ascii="Times New Roman" w:cs="Times New Roman" w:eastAsia="Times New Roman" w:hAnsi="Times New Roman"/>
          <w:sz w:val="20"/>
          <w:szCs w:val="20"/>
          <w:color w:val="auto"/>
        </w:rPr>
        <w:t>Moreover, there has been heightened governmental scrutiny over the manner in which manufacturers set prices for their marketed product candidates,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 candidates.</w:t>
      </w:r>
    </w:p>
    <w:p>
      <w:pPr>
        <w:spacing w:after="0" w:line="190"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19"/>
          <w:szCs w:val="19"/>
          <w:color w:val="auto"/>
        </w:rPr>
        <w:t>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cannot yet be fully determined, it is likely to be significant.</w:t>
      </w:r>
    </w:p>
    <w:p>
      <w:pPr>
        <w:spacing w:after="0" w:line="186" w:lineRule="exact"/>
        <w:rPr>
          <w:sz w:val="20"/>
          <w:szCs w:val="20"/>
          <w:color w:val="auto"/>
        </w:rPr>
      </w:pPr>
    </w:p>
    <w:p>
      <w:pPr>
        <w:ind w:right="60" w:firstLine="720"/>
        <w:spacing w:after="0" w:line="263" w:lineRule="auto"/>
        <w:rPr>
          <w:sz w:val="20"/>
          <w:szCs w:val="20"/>
          <w:color w:val="auto"/>
        </w:rPr>
      </w:pPr>
      <w:r>
        <w:rPr>
          <w:rFonts w:ascii="Times New Roman" w:cs="Times New Roman" w:eastAsia="Times New Roman" w:hAnsi="Times New Roman"/>
          <w:sz w:val="19"/>
          <w:szCs w:val="19"/>
          <w:color w:val="auto"/>
        </w:rPr>
        <w:t>Individual states in the U.S. have also become increasingly active in implementing state laws and regulations addressing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ectPr>
          <w:pgSz w:w="11880" w:h="15480" w:orient="portrait"/>
          <w:cols w:equalWidth="0" w:num="1">
            <w:col w:w="10780"/>
          </w:cols>
          <w:pgMar w:left="540" w:top="74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780"/>
          </w:cols>
          <w:pgMar w:left="540" w:top="748" w:right="560" w:bottom="0" w:gutter="0" w:footer="0" w:header="0"/>
          <w:type w:val="continuous"/>
        </w:sectPr>
      </w:pPr>
    </w:p>
    <w:bookmarkStart w:id="34" w:name="page35"/>
    <w:bookmarkEnd w:id="34"/>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On December 13, 2021, EU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oncology and advanced therapy medicinal products (“ATMPs”) as of 2025, orphan medicinal products as of 2028 and 2030 for all other medicinal products authorized centrally. This Regulation intends to boost cooperation among EU member states in assessing health technologies, including new medicinal products, and provide the basis for cooperation at the EU level for joint clinical assessments in these areas, using methodologies adapted to the specificities of the type of product in question.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03"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20"/>
          <w:szCs w:val="20"/>
          <w:color w:val="auto"/>
        </w:rPr>
        <w:t>We expect that additional state, federal or foreign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243"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 xml:space="preserve">As of December 31, 2024, Mereo had </w:t>
      </w:r>
      <w:r>
        <w:rPr>
          <w:rFonts w:ascii="Times New Roman" w:cs="Times New Roman" w:eastAsia="Times New Roman" w:hAnsi="Times New Roman"/>
          <w:sz w:val="19"/>
          <w:szCs w:val="19"/>
          <w:color w:val="auto"/>
        </w:rPr>
        <w:t>36</w:t>
      </w:r>
      <w:r>
        <w:rPr>
          <w:rFonts w:ascii="Times New Roman" w:cs="Times New Roman" w:eastAsia="Times New Roman" w:hAnsi="Times New Roman"/>
          <w:sz w:val="20"/>
          <w:szCs w:val="20"/>
          <w:color w:val="auto"/>
        </w:rPr>
        <w:t xml:space="preserve"> employees. As of December 31, 2024, </w:t>
      </w:r>
      <w:r>
        <w:rPr>
          <w:rFonts w:ascii="Times New Roman" w:cs="Times New Roman" w:eastAsia="Times New Roman" w:hAnsi="Times New Roman"/>
          <w:sz w:val="19"/>
          <w:szCs w:val="19"/>
          <w:color w:val="auto"/>
        </w:rPr>
        <w:t>31</w:t>
      </w:r>
      <w:r>
        <w:rPr>
          <w:rFonts w:ascii="Times New Roman" w:cs="Times New Roman" w:eastAsia="Times New Roman" w:hAnsi="Times New Roman"/>
          <w:sz w:val="20"/>
          <w:szCs w:val="20"/>
          <w:color w:val="auto"/>
        </w:rPr>
        <w:t xml:space="preserve"> employees are employed in the U.K. and </w:t>
      </w:r>
      <w:r>
        <w:rPr>
          <w:rFonts w:ascii="Times New Roman" w:cs="Times New Roman" w:eastAsia="Times New Roman" w:hAnsi="Times New Roman"/>
          <w:sz w:val="19"/>
          <w:szCs w:val="19"/>
          <w:color w:val="auto"/>
        </w:rPr>
        <w:t>5</w:t>
      </w:r>
      <w:r>
        <w:rPr>
          <w:rFonts w:ascii="Times New Roman" w:cs="Times New Roman" w:eastAsia="Times New Roman" w:hAnsi="Times New Roman"/>
          <w:sz w:val="20"/>
          <w:szCs w:val="20"/>
          <w:color w:val="auto"/>
        </w:rPr>
        <w:t xml:space="preserve"> employees are employed in the U.S.</w:t>
      </w:r>
    </w:p>
    <w:p>
      <w:pPr>
        <w:spacing w:after="0" w:line="165" w:lineRule="exact"/>
        <w:rPr>
          <w:sz w:val="20"/>
          <w:szCs w:val="20"/>
          <w:color w:val="auto"/>
        </w:rPr>
      </w:pPr>
    </w:p>
    <w:p>
      <w:pPr>
        <w:ind w:right="280" w:firstLine="720"/>
        <w:spacing w:after="0" w:line="279" w:lineRule="auto"/>
        <w:rPr>
          <w:sz w:val="20"/>
          <w:szCs w:val="20"/>
          <w:color w:val="auto"/>
        </w:rPr>
      </w:pPr>
      <w:r>
        <w:rPr>
          <w:rFonts w:ascii="Times New Roman" w:cs="Times New Roman" w:eastAsia="Times New Roman" w:hAnsi="Times New Roman"/>
          <w:sz w:val="20"/>
          <w:szCs w:val="20"/>
          <w:color w:val="auto"/>
        </w:rPr>
        <w:t>All of our employees are engaged in either general and administrative or research and development functions. None of our employees are covered by a collective bargaining agreement. We consider our relationship with our employees to be good.</w:t>
      </w:r>
    </w:p>
    <w:p>
      <w:pPr>
        <w:spacing w:after="0" w:line="165" w:lineRule="exact"/>
        <w:rPr>
          <w:sz w:val="20"/>
          <w:szCs w:val="20"/>
          <w:color w:val="auto"/>
        </w:rPr>
      </w:pPr>
    </w:p>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Our human capital resources objectives include, as applicable, identifying, recruiting, retaining, incentivizing and integrating our existing and potential employees. The principal purposes of our share based payment plans are to attract, retain and motivate selected employees and directors through the granting of equity-based compensation awards.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243"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There are no governmental, legal or arbitration proceedings (including any such proceedings which are pending or threatened of which we are aware) that may have, or have had in the recent past (covering the 12 months immediately preceding the date of this Annual Report), significant effects on our financial position or profitability.</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800"/>
          </w:cols>
          <w:pgMar w:left="540" w:top="748" w:right="54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7" w:lineRule="exact"/>
        <w:rPr>
          <w:sz w:val="20"/>
          <w:szCs w:val="20"/>
          <w:color w:val="auto"/>
        </w:rPr>
      </w:pPr>
    </w:p>
    <w:p>
      <w:pPr>
        <w:ind w:right="100" w:firstLine="720"/>
        <w:spacing w:after="0" w:line="265" w:lineRule="auto"/>
        <w:rPr>
          <w:sz w:val="20"/>
          <w:szCs w:val="20"/>
          <w:color w:val="auto"/>
        </w:rPr>
      </w:pPr>
      <w:r>
        <w:rPr>
          <w:rFonts w:ascii="Times New Roman" w:cs="Times New Roman" w:eastAsia="Times New Roman" w:hAnsi="Times New Roman"/>
          <w:sz w:val="19"/>
          <w:szCs w:val="19"/>
          <w:i w:val="1"/>
          <w:iCs w:val="1"/>
          <w:color w:val="auto"/>
        </w:rPr>
        <w:t>Our business has significant risks. You should carefully consider the following risk factors as well as all other information contained in this report, including our consolidated financial statements and the related notes, before making an investment decision regarding our securities. The risks and uncertainties described below are those material risk factors currently known and specific to us that we believe are relevant to our business, results of operations and financial condition. Additional risks and uncertainties not currently known to us or that we now deem immaterial may also impair our business, results of operations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and have never generated any revenue from product sales.</w:t>
      </w:r>
    </w:p>
    <w:p>
      <w:pPr>
        <w:spacing w:after="0" w:line="238"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We are a multi-asset, clinical-stage biopharmaceutical company with a limited operating history, and have incurred significant operating losses since our formation. For the year-ended December 31, 2024 we had a net loss of $(43.3) million, and we had a net loss of $(29.5) million for the year ended December 31, 2023. As of December 31, 2024, we had an accumulated deficit of $462.9 million ($419.6 million as of December 31, 2023). Our losses have resulted principally from expenses incurred from the research and development of our product candidates and from general and administrative costs that we have incurred while building and operating our business infrastructure. We expect to continue to incur significant operating losses for the foreseeable future as we invest in our research and development efforts, and seek to obtain regulatory approval and potentially commercialize our product candidates. We anticipate that our expenses will increase substantially as we:</w:t>
      </w:r>
    </w:p>
    <w:p>
      <w:pPr>
        <w:spacing w:after="0" w:line="216" w:lineRule="exact"/>
        <w:rPr>
          <w:sz w:val="20"/>
          <w:szCs w:val="20"/>
          <w:color w:val="auto"/>
        </w:rPr>
      </w:pPr>
    </w:p>
    <w:p>
      <w:pPr>
        <w:ind w:left="1080" w:right="680" w:hanging="360"/>
        <w:spacing w:after="0" w:line="278" w:lineRule="auto"/>
        <w:tabs>
          <w:tab w:leader="none" w:pos="10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undertake the activities required as part of our collaboration with Ultragenyx and potential commercialization of setrusumab, if approved in the EU and the U.K.;</w:t>
      </w:r>
    </w:p>
    <w:p>
      <w:pPr>
        <w:spacing w:after="0" w:line="180" w:lineRule="exact"/>
        <w:rPr>
          <w:rFonts w:ascii="Arial" w:cs="Arial" w:eastAsia="Arial" w:hAnsi="Arial"/>
          <w:sz w:val="20"/>
          <w:szCs w:val="20"/>
          <w:color w:val="auto"/>
        </w:rPr>
      </w:pPr>
    </w:p>
    <w:p>
      <w:pPr>
        <w:ind w:left="1080" w:right="440" w:hanging="360"/>
        <w:spacing w:after="0" w:line="278" w:lineRule="auto"/>
        <w:tabs>
          <w:tab w:leader="none" w:pos="10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seek to secure a partnership and prepare for a potential Phase 3 clinical trial of alvelestat for the treatment of severe AATD-LD ;</w:t>
      </w:r>
    </w:p>
    <w:p>
      <w:pPr>
        <w:spacing w:after="0" w:line="180" w:lineRule="exact"/>
        <w:rPr>
          <w:rFonts w:ascii="Arial" w:cs="Arial" w:eastAsia="Arial" w:hAnsi="Arial"/>
          <w:sz w:val="20"/>
          <w:szCs w:val="20"/>
          <w:color w:val="auto"/>
        </w:rPr>
      </w:pPr>
    </w:p>
    <w:p>
      <w:pPr>
        <w:ind w:left="1080" w:right="200" w:hanging="360"/>
        <w:spacing w:after="0" w:line="278" w:lineRule="auto"/>
        <w:tabs>
          <w:tab w:leader="none" w:pos="10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potentially establish a commercial infrastructure to commercialize or co-commercialize selected product candidates, if approved;</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undertake development of our product candidates in any additional potential indications;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seek regulatory approvals for our product candidates;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work with CMOs to develop manufacturing processes and scale-up for Phase 3 studies and potential commercialization;</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secure, maintain, or obtain freedom to operate for our technologies and product candidates;</w:t>
      </w:r>
    </w:p>
    <w:p>
      <w:pPr>
        <w:spacing w:after="0" w:line="253" w:lineRule="exact"/>
        <w:rPr>
          <w:rFonts w:ascii="Arial" w:cs="Arial" w:eastAsia="Arial" w:hAnsi="Arial"/>
          <w:sz w:val="20"/>
          <w:szCs w:val="20"/>
          <w:color w:val="auto"/>
        </w:rPr>
      </w:pPr>
    </w:p>
    <w:p>
      <w:pPr>
        <w:ind w:left="1080" w:right="460" w:hanging="360"/>
        <w:spacing w:after="0" w:line="259" w:lineRule="auto"/>
        <w:tabs>
          <w:tab w:leader="none" w:pos="10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add clinical, scientific, operational, financial, legal and management personnel, including personnel to support the development of our product candidates and potential future commercialization or co-commercialization efforts and support our operations as a U.S. public company listed on Nasdaq;</w:t>
      </w:r>
    </w:p>
    <w:p>
      <w:pPr>
        <w:spacing w:after="0" w:line="198" w:lineRule="exact"/>
        <w:rPr>
          <w:rFonts w:ascii="Arial" w:cs="Arial" w:eastAsia="Arial" w:hAnsi="Arial"/>
          <w:sz w:val="20"/>
          <w:szCs w:val="20"/>
          <w:color w:val="auto"/>
        </w:rPr>
      </w:pPr>
    </w:p>
    <w:p>
      <w:pPr>
        <w:ind w:left="1080" w:right="260" w:hanging="360"/>
        <w:spacing w:after="0" w:line="278" w:lineRule="auto"/>
        <w:tabs>
          <w:tab w:leader="none" w:pos="10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expand our operations and potentially hire additional employees in the U.K., U.S. and in Europe, territories where we anticipate direct commercialization or commercialization with a partner; and</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seek to acquire additional novel product candidates to treat rare diseases in the future.</w:t>
      </w:r>
    </w:p>
    <w:p>
      <w:pPr>
        <w:spacing w:after="0" w:line="239" w:lineRule="exact"/>
        <w:rPr>
          <w:sz w:val="20"/>
          <w:szCs w:val="20"/>
          <w:color w:val="auto"/>
        </w:rPr>
      </w:pPr>
    </w:p>
    <w:p>
      <w:pPr>
        <w:ind w:right="380" w:firstLine="720"/>
        <w:spacing w:after="0" w:line="279" w:lineRule="auto"/>
        <w:rPr>
          <w:sz w:val="20"/>
          <w:szCs w:val="20"/>
          <w:color w:val="auto"/>
        </w:rPr>
      </w:pPr>
      <w:r>
        <w:rPr>
          <w:rFonts w:ascii="Times New Roman" w:cs="Times New Roman" w:eastAsia="Times New Roman" w:hAnsi="Times New Roman"/>
          <w:sz w:val="20"/>
          <w:szCs w:val="20"/>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65" w:lineRule="exact"/>
        <w:rPr>
          <w:sz w:val="20"/>
          <w:szCs w:val="20"/>
          <w:color w:val="auto"/>
        </w:rPr>
      </w:pPr>
    </w:p>
    <w:p>
      <w:pPr>
        <w:ind w:right="160" w:firstLine="720"/>
        <w:spacing w:after="0" w:line="259" w:lineRule="auto"/>
        <w:rPr>
          <w:sz w:val="20"/>
          <w:szCs w:val="20"/>
          <w:color w:val="auto"/>
        </w:rPr>
      </w:pPr>
      <w:r>
        <w:rPr>
          <w:rFonts w:ascii="Times New Roman" w:cs="Times New Roman" w:eastAsia="Times New Roman" w:hAnsi="Times New Roman"/>
          <w:sz w:val="20"/>
          <w:szCs w:val="20"/>
          <w:color w:val="auto"/>
        </w:rPr>
        <w:t>We have devoted substantially all of our financial resources and efforts to the acquisition and clinical development of our product candidates. We have not completed the clinical development of any product through approval and have never generated any revenue from product sales.</w:t>
      </w:r>
    </w:p>
    <w:p>
      <w:pPr>
        <w:spacing w:after="0" w:line="185" w:lineRule="exact"/>
        <w:rPr>
          <w:sz w:val="20"/>
          <w:szCs w:val="20"/>
          <w:color w:val="auto"/>
        </w:rPr>
      </w:pPr>
    </w:p>
    <w:p>
      <w:pPr>
        <w:ind w:firstLine="720"/>
        <w:spacing w:after="0" w:line="307" w:lineRule="auto"/>
        <w:rPr>
          <w:sz w:val="20"/>
          <w:szCs w:val="20"/>
          <w:color w:val="auto"/>
        </w:rPr>
      </w:pPr>
      <w:r>
        <w:rPr>
          <w:rFonts w:ascii="Times New Roman" w:cs="Times New Roman" w:eastAsia="Times New Roman" w:hAnsi="Times New Roman"/>
          <w:sz w:val="19"/>
          <w:szCs w:val="19"/>
          <w:color w:val="auto"/>
        </w:rPr>
        <w:t>To become and remain profitable, we must succeed in developing and commercializing product candidates that generate significant revenue. This will require us to be successful in a range of challenging activities, including completing clinical trials of our</w:t>
      </w:r>
    </w:p>
    <w:p>
      <w:pPr>
        <w:sectPr>
          <w:pgSz w:w="11880" w:h="15480" w:orient="portrait"/>
          <w:cols w:equalWidth="0" w:num="1">
            <w:col w:w="10740"/>
          </w:cols>
          <w:pgMar w:left="540" w:top="745" w:right="600" w:bottom="0" w:gutter="0" w:footer="0" w:header="0"/>
        </w:sectPr>
      </w:pP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740"/>
          </w:cols>
          <w:pgMar w:left="540" w:top="745" w:right="600" w:bottom="0" w:gutter="0" w:footer="0" w:header="0"/>
          <w:type w:val="continuous"/>
        </w:sectPr>
      </w:pPr>
    </w:p>
    <w:bookmarkStart w:id="36" w:name="page37"/>
    <w:bookmarkEnd w:id="36"/>
    <w:p>
      <w:pPr>
        <w:ind w:right="80"/>
        <w:spacing w:after="0" w:line="249" w:lineRule="auto"/>
        <w:rPr>
          <w:sz w:val="20"/>
          <w:szCs w:val="20"/>
          <w:color w:val="auto"/>
        </w:rPr>
      </w:pPr>
      <w:r>
        <w:rPr>
          <w:rFonts w:ascii="Times New Roman" w:cs="Times New Roman" w:eastAsia="Times New Roman" w:hAnsi="Times New Roman"/>
          <w:sz w:val="20"/>
          <w:szCs w:val="20"/>
          <w:color w:val="auto"/>
        </w:rPr>
        <w:t>current or any future product candidates, obtaining regulatory approval for our product candidates that successfully complete clinical trials, establishing manufacturing supplies and marketing capabilities, and ultimately commercializing, if approved, or entering into strategic relationships for our current and future product candidates. We are only in the preliminary stages of many of these activities. We may never succeed in these activities and, even if we do, we may never generate revenue that is significant enough to achieve profitability.</w:t>
      </w:r>
    </w:p>
    <w:p>
      <w:pPr>
        <w:spacing w:after="0" w:line="197"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20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Furthermore, adoption by the medical community of our product candidates, if approved, may be limited if third-party payors offer inadequate reimbursement coverage. Cost control initiatives may decrease coverage and payment levels for our product candidates, which in turn would negatively affect the price that we will be able to charge for such product candidates. We are unable to predict the coverage that will be provided by private or government payors for any product we have in development. Any denial of private or government payor coverage, inadequate reimbursement for our product candidates, or delay in receipt of reimbursement payments could harm our business and, even if we do generate product royalties or product sales, we may never achieve or sustain profitability. Our failure to sustain profitability would depress the market price of our ADSs and could impair our ability to raise capital, acquire new product candidates, expand our business, or continue our operations. A decline in the market price of our ADSs also could cause you to lose all or a part of your investment.</w:t>
      </w:r>
    </w:p>
    <w:p>
      <w:pPr>
        <w:spacing w:after="0" w:line="207"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192"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While we have raised approximately $259 million since 2020 through private placements of ordinary shares and convertible loan notes in 2020, a public offering of ADSs in February 2021, an “at-the-market” offering of ADSs in 2023, and an underwritten registered direct offering of ADSs in 2024, we expect our expenses to increase substantially in connection with our ongoing activities, particularly as we continue to advance our rare disease portfolio. In addition, if we obtain marketing approval for product candidates where we retain commercial rights, we expect to incur significant commercialization expenses related to product sales, marketing, distribution and manufacturing. Furthermore, we expect to continue to incur additional costs associated with operating as a publicly traded company in the U.S. and maintaining a listing on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206"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auto"/>
        </w:rPr>
        <w:t>We believe that our existing cash and cash equivalents will be sufficient to enable us to fund our operating expenses and capital expenditure requirements into 2027 at which point we will require additional capital. Our failure to obtain sufficient funds on acceptable terms when needed could have a material adverse effect on our business, results of operations and financial condition.</w:t>
      </w:r>
    </w:p>
    <w:p>
      <w:pPr>
        <w:spacing w:after="0" w:line="185" w:lineRule="exact"/>
        <w:rPr>
          <w:sz w:val="20"/>
          <w:szCs w:val="20"/>
          <w:color w:val="auto"/>
        </w:rPr>
      </w:pPr>
    </w:p>
    <w:p>
      <w:pPr>
        <w:ind w:right="460" w:firstLine="720"/>
        <w:spacing w:after="0" w:line="259" w:lineRule="auto"/>
        <w:rPr>
          <w:sz w:val="20"/>
          <w:szCs w:val="20"/>
          <w:color w:val="auto"/>
        </w:rPr>
      </w:pPr>
      <w:r>
        <w:rPr>
          <w:rFonts w:ascii="Times New Roman" w:cs="Times New Roman" w:eastAsia="Times New Roman" w:hAnsi="Times New Roman"/>
          <w:sz w:val="20"/>
          <w:szCs w:val="20"/>
          <w:color w:val="auto"/>
        </w:rPr>
        <w:t>We have based our liquidity and capital resources estimates on assumptions that may prove to be wrong. As a result, we could use our capital resources sooner than we currently expect, or our operating plan may change as a result of many factors unknown to us. These factors, among others, may necessitate that we seek additional capital sooner than currently planned.</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future capital requirements will depend on many factors, including:</w:t>
      </w:r>
    </w:p>
    <w:p>
      <w:pPr>
        <w:spacing w:after="0" w:line="254" w:lineRule="exact"/>
        <w:rPr>
          <w:sz w:val="20"/>
          <w:szCs w:val="20"/>
          <w:color w:val="auto"/>
        </w:rPr>
      </w:pPr>
    </w:p>
    <w:p>
      <w:pPr>
        <w:ind w:left="1080" w:right="80" w:hanging="360"/>
        <w:spacing w:after="0" w:line="259" w:lineRule="auto"/>
        <w:tabs>
          <w:tab w:leader="none" w:pos="10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for our activities related to our ongoing collaboration with Ultragenyx for setrusumab for the treatment of children and adults with OI, including the costs for our preparation for the potential commercialization of setrusumab, if approved, in Europe and the U.K, and costs for potential future clinical trials for alvelestat in AATD;</w:t>
      </w:r>
    </w:p>
    <w:p>
      <w:pPr>
        <w:spacing w:after="0" w:line="198" w:lineRule="exact"/>
        <w:rPr>
          <w:rFonts w:ascii="Arial" w:cs="Arial" w:eastAsia="Arial" w:hAnsi="Arial"/>
          <w:sz w:val="20"/>
          <w:szCs w:val="20"/>
          <w:color w:val="auto"/>
        </w:rPr>
      </w:pPr>
    </w:p>
    <w:p>
      <w:pPr>
        <w:ind w:left="1080" w:hanging="360"/>
        <w:spacing w:after="0"/>
        <w:tabs>
          <w:tab w:leader="none" w:pos="10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manufacturing clinical or commercial supplies of our product candidates;</w:t>
      </w:r>
    </w:p>
    <w:p>
      <w:pPr>
        <w:spacing w:after="0" w:line="253" w:lineRule="exact"/>
        <w:rPr>
          <w:rFonts w:ascii="Arial" w:cs="Arial" w:eastAsia="Arial" w:hAnsi="Arial"/>
          <w:sz w:val="20"/>
          <w:szCs w:val="20"/>
          <w:color w:val="auto"/>
        </w:rPr>
      </w:pPr>
    </w:p>
    <w:p>
      <w:pPr>
        <w:ind w:left="1080" w:right="420" w:hanging="360"/>
        <w:spacing w:after="0" w:line="278" w:lineRule="auto"/>
        <w:tabs>
          <w:tab w:leader="none" w:pos="10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timing, and outcome of regulatory review of our product candidates, including post-marketing studies that could be required by regulatory authorities;</w:t>
      </w:r>
    </w:p>
    <w:p>
      <w:pPr>
        <w:sectPr>
          <w:pgSz w:w="11880" w:h="15480" w:orient="portrait"/>
          <w:cols w:equalWidth="0" w:num="1">
            <w:col w:w="10780"/>
          </w:cols>
          <w:pgMar w:left="540" w:top="748" w:right="560" w:bottom="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780"/>
          </w:cols>
          <w:pgMar w:left="540" w:top="748" w:right="560" w:bottom="0" w:gutter="0" w:footer="0" w:header="0"/>
          <w:type w:val="continuous"/>
        </w:sectPr>
      </w:pPr>
    </w:p>
    <w:bookmarkStart w:id="37" w:name="page38"/>
    <w:bookmarkEnd w:id="37"/>
    <w:p>
      <w:pPr>
        <w:ind w:left="1080" w:right="420" w:hanging="360"/>
        <w:spacing w:after="0" w:line="306" w:lineRule="auto"/>
        <w:tabs>
          <w:tab w:leader="none" w:pos="108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timing, and outcome of potential future commercialization activities, including manufacturing, marketing, sales, life cycle management and distribution, for any of our product candidates that we commercialize directly;</w:t>
      </w:r>
    </w:p>
    <w:p>
      <w:pPr>
        <w:spacing w:after="0" w:line="156" w:lineRule="exact"/>
        <w:rPr>
          <w:rFonts w:ascii="Arial" w:cs="Arial" w:eastAsia="Arial" w:hAnsi="Arial"/>
          <w:sz w:val="19"/>
          <w:szCs w:val="19"/>
          <w:color w:val="auto"/>
        </w:rPr>
      </w:pPr>
    </w:p>
    <w:p>
      <w:pPr>
        <w:ind w:left="1080" w:hanging="360"/>
        <w:spacing w:after="0"/>
        <w:tabs>
          <w:tab w:leader="none" w:pos="10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amount of revenue, if any, received from commercial sales of our product candidates;</w:t>
      </w:r>
    </w:p>
    <w:p>
      <w:pPr>
        <w:spacing w:after="0" w:line="253" w:lineRule="exact"/>
        <w:rPr>
          <w:rFonts w:ascii="Arial" w:cs="Arial" w:eastAsia="Arial" w:hAnsi="Arial"/>
          <w:sz w:val="20"/>
          <w:szCs w:val="20"/>
          <w:color w:val="auto"/>
        </w:rPr>
      </w:pPr>
    </w:p>
    <w:p>
      <w:pPr>
        <w:jc w:val="both"/>
        <w:ind w:left="1080" w:right="140" w:hanging="360"/>
        <w:spacing w:after="0" w:line="259" w:lineRule="auto"/>
        <w:tabs>
          <w:tab w:leader="none" w:pos="10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 third party’s intellectual property rights;</w:t>
      </w:r>
    </w:p>
    <w:p>
      <w:pPr>
        <w:spacing w:after="0" w:line="198" w:lineRule="exact"/>
        <w:rPr>
          <w:rFonts w:ascii="Arial" w:cs="Arial" w:eastAsia="Arial" w:hAnsi="Arial"/>
          <w:sz w:val="20"/>
          <w:szCs w:val="20"/>
          <w:color w:val="auto"/>
        </w:rPr>
      </w:pPr>
    </w:p>
    <w:p>
      <w:pPr>
        <w:ind w:left="1080" w:hanging="360"/>
        <w:spacing w:after="0"/>
        <w:tabs>
          <w:tab w:leader="none" w:pos="10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sales price and availability of adequate third-party coverage and reimbursement for our product candidates;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competitors and market developments;</w:t>
      </w:r>
    </w:p>
    <w:p>
      <w:pPr>
        <w:spacing w:after="0" w:line="253" w:lineRule="exact"/>
        <w:rPr>
          <w:rFonts w:ascii="Arial" w:cs="Arial" w:eastAsia="Arial" w:hAnsi="Arial"/>
          <w:sz w:val="20"/>
          <w:szCs w:val="20"/>
          <w:color w:val="auto"/>
        </w:rPr>
      </w:pPr>
    </w:p>
    <w:p>
      <w:pPr>
        <w:ind w:left="1080" w:right="460" w:hanging="360"/>
        <w:spacing w:after="0" w:line="278" w:lineRule="auto"/>
        <w:tabs>
          <w:tab w:leader="none" w:pos="10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of our collaborators and partners under the existing agreements on setrusumab, navicixizumab and leflutrozole;</w:t>
      </w:r>
    </w:p>
    <w:p>
      <w:pPr>
        <w:spacing w:after="0" w:line="180" w:lineRule="exact"/>
        <w:rPr>
          <w:rFonts w:ascii="Arial" w:cs="Arial" w:eastAsia="Arial" w:hAnsi="Arial"/>
          <w:sz w:val="20"/>
          <w:szCs w:val="20"/>
          <w:color w:val="auto"/>
        </w:rPr>
      </w:pPr>
    </w:p>
    <w:p>
      <w:pPr>
        <w:ind w:left="1080" w:right="180" w:hanging="360"/>
        <w:spacing w:after="0" w:line="259" w:lineRule="auto"/>
        <w:tabs>
          <w:tab w:leader="none" w:pos="10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98" w:lineRule="exact"/>
        <w:rPr>
          <w:rFonts w:ascii="Arial" w:cs="Arial" w:eastAsia="Arial" w:hAnsi="Arial"/>
          <w:sz w:val="20"/>
          <w:szCs w:val="20"/>
          <w:color w:val="auto"/>
        </w:rPr>
      </w:pPr>
    </w:p>
    <w:p>
      <w:pPr>
        <w:ind w:left="1080" w:hanging="360"/>
        <w:spacing w:after="0"/>
        <w:tabs>
          <w:tab w:leader="none" w:pos="10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milestone and deferred payments under the Amended AstraZeneca Agreements; and</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tax liabilities or other assessments and our ability to claim R&amp;D tax credits or other reliefs.</w:t>
      </w:r>
    </w:p>
    <w:p>
      <w:pPr>
        <w:spacing w:after="0" w:line="239" w:lineRule="exact"/>
        <w:rPr>
          <w:sz w:val="20"/>
          <w:szCs w:val="20"/>
          <w:color w:val="auto"/>
        </w:rPr>
      </w:pPr>
    </w:p>
    <w:p>
      <w:pPr>
        <w:ind w:right="480" w:firstLine="720"/>
        <w:spacing w:after="0" w:line="253" w:lineRule="auto"/>
        <w:rPr>
          <w:sz w:val="20"/>
          <w:szCs w:val="20"/>
          <w:color w:val="auto"/>
        </w:rPr>
      </w:pPr>
      <w:r>
        <w:rPr>
          <w:rFonts w:ascii="Times New Roman" w:cs="Times New Roman" w:eastAsia="Times New Roman" w:hAnsi="Times New Roman"/>
          <w:sz w:val="20"/>
          <w:szCs w:val="20"/>
          <w:color w:val="auto"/>
        </w:rPr>
        <w:t>Fundraising and business development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w:t>
      </w:r>
    </w:p>
    <w:p>
      <w:pPr>
        <w:spacing w:after="0" w:line="190" w:lineRule="exact"/>
        <w:rPr>
          <w:sz w:val="20"/>
          <w:szCs w:val="20"/>
          <w:color w:val="auto"/>
        </w:rPr>
      </w:pPr>
    </w:p>
    <w:p>
      <w:pPr>
        <w:ind w:right="360" w:firstLine="720"/>
        <w:spacing w:after="0" w:line="259" w:lineRule="auto"/>
        <w:rPr>
          <w:sz w:val="20"/>
          <w:szCs w:val="20"/>
          <w:color w:val="auto"/>
        </w:rPr>
      </w:pPr>
      <w:r>
        <w:rPr>
          <w:rFonts w:ascii="Times New Roman" w:cs="Times New Roman" w:eastAsia="Times New Roman" w:hAnsi="Times New Roman"/>
          <w:sz w:val="20"/>
          <w:szCs w:val="20"/>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w:t>
      </w:r>
    </w:p>
    <w:p>
      <w:pPr>
        <w:spacing w:after="0" w:line="187"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may make it difficult for you to evaluate the success of our business to date and to assess our future viability.</w:t>
      </w:r>
    </w:p>
    <w:p>
      <w:pPr>
        <w:spacing w:after="0" w:line="16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Since our formation, we have devoted substantially all of our resources to acquiring our product candidates and developing setrusumab, alvelestat, etigilimab, acumapimod and leflutrozole; building our intellectual property portfolio; developing our supply chain; planning our business; raising capital; and providing general and administrative support for these operations. Additionally, prior to our acquisition of etigilimab and navicixizumab in the Merger, Mereo BioPharma 5 (formerly OncoMed) had invested significant resources to developing both product candidates. We have not yet demonstrated our ability to successfully complete any Phase 3 or other pivotal clinical trials, obtain regulatory approval, directly contract with third parties to manufacture commercial-scale product candidates,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from, and becoming a partner of choice for, pharmaceutical and biotechnology companies, nor have we demonstrated our ability to obtain approvals for or to commercialize or co-commercialize these product candidates. Consequently, any predictions you make about our future success or viability may not be as accurate as they could be if we had a longer operating history.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identify and acquire additional product candidates.</w:t>
      </w:r>
    </w:p>
    <w:p>
      <w:pPr>
        <w:spacing w:after="0" w:line="238" w:lineRule="exact"/>
        <w:rPr>
          <w:sz w:val="20"/>
          <w:szCs w:val="20"/>
          <w:color w:val="auto"/>
        </w:rPr>
      </w:pPr>
    </w:p>
    <w:p>
      <w:pPr>
        <w:ind w:right="340" w:firstLine="720"/>
        <w:spacing w:after="0" w:line="253" w:lineRule="auto"/>
        <w:rPr>
          <w:sz w:val="20"/>
          <w:szCs w:val="20"/>
          <w:color w:val="auto"/>
        </w:rPr>
      </w:pPr>
      <w:r>
        <w:rPr>
          <w:rFonts w:ascii="Times New Roman" w:cs="Times New Roman" w:eastAsia="Times New Roman" w:hAnsi="Times New Roman"/>
          <w:sz w:val="20"/>
          <w:szCs w:val="20"/>
          <w:color w:val="auto"/>
        </w:rPr>
        <w:t>Part of our strategy involves identifying and acquiring novel product candidates that have received significant investment from large pharmaceutical and biotechnology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w:t>
      </w:r>
    </w:p>
    <w:p>
      <w:pPr>
        <w:spacing w:after="0" w:line="205" w:lineRule="exact"/>
        <w:rPr>
          <w:sz w:val="20"/>
          <w:szCs w:val="20"/>
          <w:color w:val="auto"/>
        </w:rPr>
      </w:pPr>
    </w:p>
    <w:p>
      <w:pPr>
        <w:ind w:left="1080" w:right="80" w:hanging="360"/>
        <w:spacing w:after="0" w:line="278" w:lineRule="auto"/>
        <w:tabs>
          <w:tab w:leader="none" w:pos="10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any product candidates we acquire that have generated positive clinical data for our target indication or in diseases other than our target indications may not prove to be effective in treating our target indications;</w:t>
      </w:r>
    </w:p>
    <w:p>
      <w:pPr>
        <w:sectPr>
          <w:pgSz w:w="11880" w:h="15480" w:orient="portrait"/>
          <w:cols w:equalWidth="0" w:num="1">
            <w:col w:w="10780"/>
          </w:cols>
          <w:pgMar w:left="540" w:top="763" w:right="560" w:bottom="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780"/>
          </w:cols>
          <w:pgMar w:left="540" w:top="763" w:right="560" w:bottom="0" w:gutter="0" w:footer="0" w:header="0"/>
          <w:type w:val="continuous"/>
        </w:sectPr>
      </w:pPr>
    </w:p>
    <w:bookmarkStart w:id="38" w:name="page39"/>
    <w:bookmarkEnd w:id="38"/>
    <w:p>
      <w:pPr>
        <w:ind w:left="1080" w:right="60" w:hanging="360"/>
        <w:spacing w:after="0" w:line="259" w:lineRule="auto"/>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product candidates may, with further studies, be shown to have harmful side effects or other characteristics that indicate that they are unlikely to be product candidates that will receive marketing approval and achieve market acceptance;</w:t>
      </w:r>
    </w:p>
    <w:p>
      <w:pPr>
        <w:spacing w:after="0" w:line="198" w:lineRule="exact"/>
        <w:rPr>
          <w:rFonts w:ascii="Arial" w:cs="Arial" w:eastAsia="Arial" w:hAnsi="Arial"/>
          <w:sz w:val="20"/>
          <w:szCs w:val="20"/>
          <w:color w:val="auto"/>
        </w:rPr>
      </w:pPr>
    </w:p>
    <w:p>
      <w:pPr>
        <w:ind w:left="1080" w:right="1160" w:hanging="360"/>
        <w:spacing w:after="0" w:line="278" w:lineRule="auto"/>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regulatory pathway for a potential product may be too complex and difficult to navigate successfully or economically; and</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there may be competitive bids for potential product candidates which we do not seek to or are unable to match.</w:t>
      </w:r>
    </w:p>
    <w:p>
      <w:pPr>
        <w:spacing w:after="0" w:line="239"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In addition, we may choose to focus our efforts and resources on a potential product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98"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or adversely affect the rights of, our security holders, restrict our operations; or require us to relinquish rights to our technologies or product candidates.</w:t>
      </w:r>
    </w:p>
    <w:p>
      <w:pPr>
        <w:spacing w:after="0" w:line="166"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Until such time, if ever, as we can generate substantial product revenues, we may seek to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transactions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to decline.</w:t>
      </w:r>
    </w:p>
    <w:p>
      <w:pPr>
        <w:spacing w:after="0" w:line="2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depend heavily on the success of setrusumab and alvelestat. We cannot give any assurance that any of these product candidates will receive regulatory approval, which is necessary before they can be commercialized. If we are unable to commercialize setrusumab and alvelestat, whether on our own or through agreements with third parties, or experience significant delays in doing so, our ability to generate revenue and our financial condition will be adversely affected.</w:t>
      </w:r>
    </w:p>
    <w:p>
      <w:pPr>
        <w:spacing w:after="0" w:line="192" w:lineRule="exact"/>
        <w:rPr>
          <w:sz w:val="20"/>
          <w:szCs w:val="20"/>
          <w:color w:val="auto"/>
        </w:rPr>
      </w:pPr>
    </w:p>
    <w:p>
      <w:pPr>
        <w:ind w:right="200" w:firstLine="720"/>
        <w:spacing w:after="0" w:line="245" w:lineRule="auto"/>
        <w:rPr>
          <w:sz w:val="20"/>
          <w:szCs w:val="20"/>
          <w:color w:val="auto"/>
        </w:rPr>
      </w:pPr>
      <w:r>
        <w:rPr>
          <w:rFonts w:ascii="Times New Roman" w:cs="Times New Roman" w:eastAsia="Times New Roman" w:hAnsi="Times New Roman"/>
          <w:sz w:val="20"/>
          <w:szCs w:val="20"/>
          <w:color w:val="auto"/>
        </w:rPr>
        <w:t>We do not currently generate any revenue from sales of any product candidates, and we may never be able to develop or commercialize a marketable product. We have invested substantially all of our efforts and financial resources in the acquisition and development of setrusumab and alvelestat, among other product candidates in our portfolio. Our ability to generate royalty and product revenues, which we do not expect will occur for at least the next several years, if ever, will depend heavily on the successful development and potential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by us or our partners, and significant marketing efforts before we generate any revenue from product sales or royalties.</w:t>
      </w:r>
    </w:p>
    <w:p>
      <w:pPr>
        <w:spacing w:after="0" w:line="19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We are not permitted to market or promote any product candidates in the U.S., EU, U.K., or other countries before we receive regulatory approval from the FDA, the EMA, or comparable U.K. or foreign regulatory authorities, and we may never receive such regulatory approval for our current product candidates. We have not submitted a BLA or an NDA to the FDA, an application for a MA ("MAA') or a conditional MA to the EMA, or comparable applications to other regulatory authorities. The success of our current product candidates will depend on many factors, including the following:</w:t>
      </w:r>
    </w:p>
    <w:p>
      <w:pPr>
        <w:spacing w:after="0" w:line="211" w:lineRule="exact"/>
        <w:rPr>
          <w:sz w:val="20"/>
          <w:szCs w:val="20"/>
          <w:color w:val="auto"/>
        </w:rPr>
      </w:pPr>
    </w:p>
    <w:p>
      <w:pPr>
        <w:ind w:left="1080" w:right="180" w:hanging="360"/>
        <w:spacing w:after="0" w:line="273" w:lineRule="auto"/>
        <w:tabs>
          <w:tab w:leader="none" w:pos="10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initiation and completion of preclinical studies with favorable results, including toxicology and other studies designed to be compliant with GLP;</w:t>
      </w:r>
    </w:p>
    <w:p>
      <w:pPr>
        <w:spacing w:after="0" w:line="180" w:lineRule="exact"/>
        <w:rPr>
          <w:rFonts w:ascii="Arial" w:cs="Arial" w:eastAsia="Arial" w:hAnsi="Arial"/>
          <w:sz w:val="20"/>
          <w:szCs w:val="20"/>
          <w:color w:val="auto"/>
        </w:rPr>
      </w:pPr>
    </w:p>
    <w:p>
      <w:pPr>
        <w:jc w:val="both"/>
        <w:ind w:left="1080" w:right="540" w:hanging="360"/>
        <w:spacing w:after="0" w:line="254" w:lineRule="auto"/>
        <w:tabs>
          <w:tab w:leader="none" w:pos="10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allowance to proceed with clinical trials under Investigational New Drug applications (“INDs”), by the FDA, or of similar regulatory submissions by comparable foreign regulatory authorities for the conduct of clinical trials of our product candidates;</w:t>
      </w:r>
    </w:p>
    <w:p>
      <w:pPr>
        <w:spacing w:after="0" w:line="198" w:lineRule="exact"/>
        <w:rPr>
          <w:rFonts w:ascii="Arial" w:cs="Arial" w:eastAsia="Arial" w:hAnsi="Arial"/>
          <w:sz w:val="20"/>
          <w:szCs w:val="20"/>
          <w:color w:val="auto"/>
        </w:rPr>
      </w:pPr>
    </w:p>
    <w:p>
      <w:pPr>
        <w:ind w:left="1080" w:right="220" w:hanging="360"/>
        <w:spacing w:after="0" w:line="273" w:lineRule="auto"/>
        <w:tabs>
          <w:tab w:leader="none" w:pos="10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initiation, enrollment and completion of clinical studies in accordance with Good Clinical Practice (“GCP”) requirements and other applicable rules and regulations;</w:t>
      </w:r>
    </w:p>
    <w:p>
      <w:pPr>
        <w:sectPr>
          <w:pgSz w:w="11880" w:h="15480" w:orient="portrait"/>
          <w:cols w:equalWidth="0" w:num="1">
            <w:col w:w="10800"/>
          </w:cols>
          <w:pgMar w:left="540" w:top="763" w:right="540" w:bottom="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800"/>
          </w:cols>
          <w:pgMar w:left="540" w:top="763" w:right="540" w:bottom="0" w:gutter="0" w:footer="0" w:header="0"/>
          <w:type w:val="continuous"/>
        </w:sectPr>
      </w:pPr>
    </w:p>
    <w:bookmarkStart w:id="39" w:name="page40"/>
    <w:bookmarkEnd w:id="39"/>
    <w:p>
      <w:pPr>
        <w:ind w:left="1080" w:hanging="360"/>
        <w:spacing w:after="0"/>
        <w:tabs>
          <w:tab w:leader="none" w:pos="10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frequency and severity of adverse events observed in clinical trials;</w:t>
      </w:r>
    </w:p>
    <w:p>
      <w:pPr>
        <w:spacing w:after="0" w:line="248" w:lineRule="exact"/>
        <w:rPr>
          <w:rFonts w:ascii="Arial" w:cs="Arial" w:eastAsia="Arial" w:hAnsi="Arial"/>
          <w:sz w:val="20"/>
          <w:szCs w:val="20"/>
          <w:color w:val="auto"/>
        </w:rPr>
      </w:pPr>
    </w:p>
    <w:p>
      <w:pPr>
        <w:ind w:left="1080" w:right="480" w:hanging="360"/>
        <w:spacing w:after="0" w:line="273" w:lineRule="auto"/>
        <w:tabs>
          <w:tab w:leader="none" w:pos="10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and establishing relationships with CROs and clinical sites for the clinical development of our product candidates;</w:t>
      </w:r>
    </w:p>
    <w:p>
      <w:pPr>
        <w:spacing w:after="0" w:line="180" w:lineRule="exact"/>
        <w:rPr>
          <w:rFonts w:ascii="Arial" w:cs="Arial" w:eastAsia="Arial" w:hAnsi="Arial"/>
          <w:sz w:val="20"/>
          <w:szCs w:val="20"/>
          <w:color w:val="auto"/>
        </w:rPr>
      </w:pPr>
    </w:p>
    <w:p>
      <w:pPr>
        <w:ind w:left="1080" w:right="260" w:hanging="360"/>
        <w:spacing w:after="0" w:line="273" w:lineRule="auto"/>
        <w:tabs>
          <w:tab w:leader="none" w:pos="10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demonstrating the safety, purity, and potency, or efficacy of our product candidates to the satisfaction of the FDA and other applicable regulatory authorities;</w:t>
      </w:r>
    </w:p>
    <w:p>
      <w:pPr>
        <w:spacing w:after="0" w:line="180" w:lineRule="exact"/>
        <w:rPr>
          <w:rFonts w:ascii="Arial" w:cs="Arial" w:eastAsia="Arial" w:hAnsi="Arial"/>
          <w:sz w:val="20"/>
          <w:szCs w:val="20"/>
          <w:color w:val="auto"/>
        </w:rPr>
      </w:pPr>
    </w:p>
    <w:p>
      <w:pPr>
        <w:ind w:left="1080" w:right="200" w:hanging="360"/>
        <w:spacing w:after="0" w:line="273" w:lineRule="auto"/>
        <w:tabs>
          <w:tab w:leader="none" w:pos="10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receipt of regulatory approvals from applicable regulatory authorities, including approvals of NDAs or BLAs from the FDA, or MAAs from the EMA and maintaining any such approvals;</w:t>
      </w:r>
    </w:p>
    <w:p>
      <w:pPr>
        <w:spacing w:after="0" w:line="180" w:lineRule="exact"/>
        <w:rPr>
          <w:rFonts w:ascii="Arial" w:cs="Arial" w:eastAsia="Arial" w:hAnsi="Arial"/>
          <w:sz w:val="20"/>
          <w:szCs w:val="20"/>
          <w:color w:val="auto"/>
        </w:rPr>
      </w:pPr>
    </w:p>
    <w:p>
      <w:pPr>
        <w:ind w:left="1080" w:right="460" w:hanging="360"/>
        <w:spacing w:after="0" w:line="273" w:lineRule="auto"/>
        <w:tabs>
          <w:tab w:leader="none" w:pos="10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making arrangements with our third-party manufacturers for, or establishing, clinical or commercial manufacturing capabilities;</w:t>
      </w:r>
    </w:p>
    <w:p>
      <w:pPr>
        <w:spacing w:after="0" w:line="180" w:lineRule="exact"/>
        <w:rPr>
          <w:rFonts w:ascii="Arial" w:cs="Arial" w:eastAsia="Arial" w:hAnsi="Arial"/>
          <w:sz w:val="20"/>
          <w:szCs w:val="20"/>
          <w:color w:val="auto"/>
        </w:rPr>
      </w:pPr>
    </w:p>
    <w:p>
      <w:pPr>
        <w:ind w:left="1080" w:right="180" w:hanging="360"/>
        <w:spacing w:after="0" w:line="273" w:lineRule="auto"/>
        <w:tabs>
          <w:tab w:leader="none" w:pos="10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sales, marketing and distribution capabilities and launching commercial sales of our product candidates, if and when approved, whether alone or in collaboration with others;</w:t>
      </w:r>
    </w:p>
    <w:p>
      <w:pPr>
        <w:spacing w:after="0" w:line="180" w:lineRule="exact"/>
        <w:rPr>
          <w:rFonts w:ascii="Arial" w:cs="Arial" w:eastAsia="Arial" w:hAnsi="Arial"/>
          <w:sz w:val="20"/>
          <w:szCs w:val="20"/>
          <w:color w:val="auto"/>
        </w:rPr>
      </w:pPr>
    </w:p>
    <w:p>
      <w:pPr>
        <w:ind w:left="1080" w:right="540" w:hanging="360"/>
        <w:spacing w:after="0" w:line="273" w:lineRule="auto"/>
        <w:tabs>
          <w:tab w:leader="none" w:pos="10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establishing and maintaining patent and trade secret protection or regulatory exclusivity for our product candidates;</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an acceptable safety profile for our product candidates following regulatory approval, if any;</w:t>
      </w:r>
    </w:p>
    <w:p>
      <w:pPr>
        <w:spacing w:after="0" w:line="248" w:lineRule="exact"/>
        <w:rPr>
          <w:rFonts w:ascii="Arial" w:cs="Arial" w:eastAsia="Arial" w:hAnsi="Arial"/>
          <w:sz w:val="20"/>
          <w:szCs w:val="20"/>
          <w:color w:val="auto"/>
        </w:rPr>
      </w:pPr>
    </w:p>
    <w:p>
      <w:pPr>
        <w:ind w:left="1080" w:right="220" w:hanging="360"/>
        <w:spacing w:after="0" w:line="273" w:lineRule="auto"/>
        <w:tabs>
          <w:tab w:leader="none" w:pos="10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and growing an organization of people who can develop and, if approved, commercialize, market and sell our product candidates, if approved; and</w:t>
      </w:r>
    </w:p>
    <w:p>
      <w:pPr>
        <w:spacing w:after="0" w:line="180" w:lineRule="exact"/>
        <w:rPr>
          <w:rFonts w:ascii="Arial" w:cs="Arial" w:eastAsia="Arial" w:hAnsi="Arial"/>
          <w:sz w:val="20"/>
          <w:szCs w:val="20"/>
          <w:color w:val="auto"/>
        </w:rPr>
      </w:pPr>
    </w:p>
    <w:p>
      <w:pPr>
        <w:ind w:left="1080" w:right="140" w:hanging="360"/>
        <w:spacing w:after="0" w:line="247" w:lineRule="auto"/>
        <w:tabs>
          <w:tab w:leader="none" w:pos="10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if approved, acceptance of our current product candidates by patients, the medical community, and third-party payors; our ability to compete with other therapies to treat OI, AATD, BOS or certain oncology indications; continued acceptable safety profiles following approval of our current product candidates; and our ability to qualify for, maintain, enforce, and defend our intellectual property rights and claims.</w:t>
      </w:r>
    </w:p>
    <w:p>
      <w:pPr>
        <w:spacing w:after="0" w:line="193" w:lineRule="exact"/>
        <w:rPr>
          <w:sz w:val="20"/>
          <w:szCs w:val="20"/>
          <w:color w:val="auto"/>
        </w:rPr>
      </w:pPr>
    </w:p>
    <w:p>
      <w:pPr>
        <w:ind w:right="220" w:firstLine="720"/>
        <w:spacing w:after="0" w:line="274" w:lineRule="auto"/>
        <w:rPr>
          <w:sz w:val="20"/>
          <w:szCs w:val="20"/>
          <w:color w:val="auto"/>
        </w:rPr>
      </w:pPr>
      <w:r>
        <w:rPr>
          <w:rFonts w:ascii="Times New Roman" w:cs="Times New Roman" w:eastAsia="Times New Roman" w:hAnsi="Times New Roman"/>
          <w:sz w:val="20"/>
          <w:szCs w:val="20"/>
          <w:color w:val="auto"/>
        </w:rPr>
        <w:t>If we do not successfully manage one or more of these factors in a timely manner or at all, we could experience significant delays or may not be able to successfully commercialize our current product candidates.</w:t>
      </w:r>
    </w:p>
    <w:p>
      <w:pPr>
        <w:spacing w:after="0" w:line="165"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 candidates, if approved.</w:t>
      </w:r>
    </w:p>
    <w:p>
      <w:pPr>
        <w:spacing w:after="0" w:line="20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We plan to seek regulatory approval to commercialize, or co-commercialize, our current rare disease product candidates in the U.S., U.K. and the EU, and potentially in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rate fluctuations may materially affect our results of operations and financial condition.</w:t>
      </w:r>
    </w:p>
    <w:p>
      <w:pPr>
        <w:spacing w:after="0" w:line="238"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auto"/>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ectPr>
          <w:pgSz w:w="11880" w:h="15480" w:orient="portrait"/>
          <w:cols w:equalWidth="0" w:num="1">
            <w:col w:w="10760"/>
          </w:cols>
          <w:pgMar w:left="540" w:top="75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760"/>
          </w:cols>
          <w:pgMar w:left="540" w:top="759" w:right="580" w:bottom="0" w:gutter="0" w:footer="0" w:header="0"/>
          <w:type w:val="continuous"/>
        </w:sectPr>
      </w:pPr>
    </w:p>
    <w:bookmarkStart w:id="40" w:name="page41"/>
    <w:bookmarkEnd w:id="40"/>
    <w:p>
      <w:pPr>
        <w:ind w:right="5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U.K.’s withdrawal from the EU, commonly referred to as Brexit, could increase our cost of doing business or otherwise negatively impact our business, results of operations and financial condition.</w:t>
      </w:r>
    </w:p>
    <w:p>
      <w:pPr>
        <w:spacing w:after="0" w:line="166"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Brexit could increase our cost of doing business or otherwise negatively impact our business, results of operations and financial condition. Brexit continues to create uncertainty concerning the future relationship between the U.K. and the EU, following the U.K.’s withdrawal from the EU in January 2020. Our principal office is located in the U.K. and together with our partners we conduct clinical trials in the EU. Since a significant portion of the regulatory framework in the U.K. is derived from EU laws, Brexit materially impacts the regulatory regime with respect to the development, manufacture, importation, approval and commercialization of our product candidates in the U.K. or the EU.</w:t>
      </w:r>
    </w:p>
    <w:p>
      <w:pPr>
        <w:spacing w:after="0" w:line="20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EU laws that have been transposed into U.K. law through secondary legislation remain applicable in Great Britain, however new legislation such as the EU Clinical Trials Regulation (“CTR”) is not applicable in Great Britain. While the EU-U.K. Trade and Cooperation Agreement (“TCA”) includes the mutual recognition of Good Manufacturing Practice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in the future. Similarly, clinical trial submissions in the U.K. will not be able to be bundled with those of EU countries within the EMA Clinical Trial Information System (“CTIS”), adding further complexity, cost and potential risk to future clinical and development activity in the U.K. Significant political and economic uncertainty remains about how much the relationship between the U.K. and EU will differ as a result of the U.K.’s withdrawal.</w:t>
      </w:r>
    </w:p>
    <w:p>
      <w:pPr>
        <w:spacing w:after="0" w:line="202"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activities conducted by third parties and contract manufacturers on our behalf. In addition to the foregoing, our U.K. operations support our current and future operations and clinical activities in other countries in the EU and the EEA and these operations and clinical activities could be disrupted by the ongoing effects of Brexit.</w:t>
      </w:r>
    </w:p>
    <w:p>
      <w:pPr>
        <w:spacing w:after="0" w:line="19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Since the regulatory framework in the U.K. covering quality, safety and efficacy of pharmaceutical products, clinical trials, marketing authorization (“MA”), commercial sales and distribution of pharmaceutical products is derived from EU directives and regulations, Brexit could materially impact the future regulatory regime with respect to the potential commercialization of our products in the U.K. 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 Any delay in commercializing our products in the U.K. and/or the EU could restrict our ability to generate revenue. The uncertainty around the U.K.’s future relationship with the EU continues to cause economic uncertainty which could adversely affect our business, financial condition and results of operations and could adversely affect the market price of our ADSs.</w:t>
      </w:r>
    </w:p>
    <w:p>
      <w:pPr>
        <w:spacing w:after="0" w:line="203"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Following the licensing agreements for navicixizumab and leflutrozole, and the completion of a strategic partnership for setrusumab, and if we out-license or sell our non-core product candidates or out-license any of our core rare disease product candidates for any territories, we could be exposed to future liabilities.</w:t>
      </w:r>
    </w:p>
    <w:p>
      <w:pPr>
        <w:spacing w:after="0" w:line="184" w:lineRule="exact"/>
        <w:rPr>
          <w:sz w:val="20"/>
          <w:szCs w:val="20"/>
          <w:color w:val="auto"/>
        </w:rPr>
      </w:pPr>
    </w:p>
    <w:p>
      <w:pPr>
        <w:ind w:right="240" w:firstLine="720"/>
        <w:spacing w:after="0" w:line="253" w:lineRule="auto"/>
        <w:rPr>
          <w:sz w:val="20"/>
          <w:szCs w:val="20"/>
          <w:color w:val="auto"/>
        </w:rPr>
      </w:pPr>
      <w:r>
        <w:rPr>
          <w:rFonts w:ascii="Times New Roman" w:cs="Times New Roman" w:eastAsia="Times New Roman" w:hAnsi="Times New Roman"/>
          <w:sz w:val="20"/>
          <w:szCs w:val="20"/>
          <w:color w:val="auto"/>
        </w:rPr>
        <w:t>In January 2021, we completed a strategic partnership for setrusumab and completed the out-license of navicixizumab and leflutrozole in January 2020 and in December 2023, respectively. We plan to partner or sell or out-license our non-core product candidates, acumapimod for the treatment of AECOPD and etigilimab for the treatment of advanced solid tumors, recognizing the need for a larger sales infrastructure and greater resources to take these product candidates to market.</w:t>
      </w:r>
    </w:p>
    <w:p>
      <w:pPr>
        <w:spacing w:after="0" w:line="19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We may be exposed to future liabilities and/or obligations with respect to any such out-licensing or sale arrangements or partnerships. We may be required to set aside provisions for warranty claims or contingent liabilities in respect of such sales or out-licensing arrangements. We may be required to pay damages (including, but not limited to, litigation costs) to a purchaser or licensee to the extent that any representations or warranties that we had given to that purchaser or licensee prove to be inaccurate or to the extent that we have breached any of our covenants or obligations contained in the disposal documentation. In certain circumstances, it is possible that any incorrect representations and warranties could give rise to a right by the purchaser or licensee to unwind the contract in addition to receiving damages. Furthermore, we may become involved in disputes or litigation in connection with such product candidates. Certain obligations and liabilities associated with our prior management of the development of any disposed product candidate can also continue to exist notwithstanding any sale, such as liabilities arising from the infringement of intellectual property rights of others.</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760"/>
          </w:cols>
          <w:pgMar w:left="540" w:top="750" w:right="580" w:bottom="0" w:gutter="0" w:footer="0" w:header="0"/>
          <w:type w:val="continuous"/>
        </w:sectPr>
      </w:pPr>
    </w:p>
    <w:bookmarkStart w:id="41" w:name="page42"/>
    <w:bookmarkEnd w:id="41"/>
    <w:p>
      <w:pPr>
        <w:ind w:firstLine="720"/>
        <w:spacing w:after="0" w:line="259" w:lineRule="auto"/>
        <w:rPr>
          <w:sz w:val="20"/>
          <w:szCs w:val="20"/>
          <w:color w:val="auto"/>
        </w:rPr>
      </w:pPr>
      <w:r>
        <w:rPr>
          <w:rFonts w:ascii="Times New Roman" w:cs="Times New Roman" w:eastAsia="Times New Roman" w:hAnsi="Times New Roman"/>
          <w:sz w:val="20"/>
          <w:szCs w:val="20"/>
          <w:color w:val="auto"/>
        </w:rPr>
        <w:t>As a result of the above, the total amount of costs and expenses that may be incurred with respect to liabilities associated with an out-license or sale may exceed our expectations, and we may experience other unanticipated adverse effects, all of which could adversely affect our business, financial condition, results of operations, and prospects.</w:t>
      </w:r>
    </w:p>
    <w:p>
      <w:pPr>
        <w:spacing w:after="0" w:line="187"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unstable market, economic, political, regulatory and other risks in a number of international operations and business disruptions could seriously harm our financial condition and increase costs.</w:t>
      </w:r>
    </w:p>
    <w:p>
      <w:pPr>
        <w:spacing w:after="0" w:line="166"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The global credit and financial markets have experienced extreme volatility and disruptions (including as a result of the COVID-19 pandemic and actual or perceived changes in interest rates and economic inflation), which has included severely diminished liquidity and credit availability, declines in consumer confidence, declines in economic growth, high inflation, uncertainty about economic stability and swings in unemployment rates. The financial markets and the global economy may also be adversely affected by the current or anticipated impact of supply chain disruptions, labor shortages, fluctuations in currency exchange rates, changes in interest rates, trade barriers, military conflict, acts of terrorism or other geopolitical events.</w:t>
      </w:r>
    </w:p>
    <w:p>
      <w:pPr>
        <w:spacing w:after="0" w:line="200"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Our business is subject to many of these risks as we conduct business internationally. We source research and development, manufacturing, consulting, and other services from companies based throughout the U.S., the EU, the U.K., Switzerland, India and China and we conduct our clinical trials in the U.S., Canada, certain European countries, and other countries. Accordingly, our future results could be harmed by a variety of factors, any or all of which could disrupt our supply chain, adversely affect the cost of raw materials and other services, adversely affect our ability to conduct ongoing and future clinical trials of our product candidates, and adversely affect our ability to commercialize our products (subject to regulatory approval).</w:t>
      </w:r>
    </w:p>
    <w:p>
      <w:pPr>
        <w:spacing w:after="0" w:line="214" w:lineRule="exact"/>
        <w:rPr>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economic weakness, including inflation, or political instability in particular non-U.K. economies and markets;</w:t>
      </w:r>
    </w:p>
    <w:p>
      <w:pPr>
        <w:spacing w:after="0" w:line="253" w:lineRule="exact"/>
        <w:rPr>
          <w:rFonts w:ascii="Arial" w:cs="Arial" w:eastAsia="Arial" w:hAnsi="Arial"/>
          <w:sz w:val="20"/>
          <w:szCs w:val="20"/>
          <w:color w:val="auto"/>
        </w:rPr>
      </w:pPr>
    </w:p>
    <w:p>
      <w:pPr>
        <w:ind w:left="1080" w:right="180" w:hanging="360"/>
        <w:spacing w:after="0" w:line="278"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deteriorations in equity and credit markets making future equity or debt financing more difficult, more costly and more dilutive.</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regulatory requirements for drug approvals in non-U.K. countries;</w:t>
      </w:r>
    </w:p>
    <w:p>
      <w:pPr>
        <w:spacing w:after="0" w:line="253" w:lineRule="exact"/>
        <w:rPr>
          <w:rFonts w:ascii="Arial" w:cs="Arial" w:eastAsia="Arial" w:hAnsi="Arial"/>
          <w:sz w:val="20"/>
          <w:szCs w:val="20"/>
          <w:color w:val="auto"/>
        </w:rPr>
      </w:pPr>
    </w:p>
    <w:p>
      <w:pPr>
        <w:ind w:left="1080" w:right="280" w:hanging="360"/>
        <w:spacing w:after="0" w:line="278"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jurisdictions could present different issues for securing, maintaining, or obtaining freedom to operate for our intellectual property in such jurisdictions;</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potentially reduced protection for intellectual property rights;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compliance with non-U.K. laws and regulations;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non-U.K. regulations and customs, tariffs, and trade barriers;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non-U.K. currency exchange rates of the pound sterling and currency controls;</w:t>
      </w:r>
    </w:p>
    <w:p>
      <w:pPr>
        <w:spacing w:after="0" w:line="253" w:lineRule="exact"/>
        <w:rPr>
          <w:rFonts w:ascii="Arial" w:cs="Arial" w:eastAsia="Arial" w:hAnsi="Arial"/>
          <w:sz w:val="20"/>
          <w:szCs w:val="20"/>
          <w:color w:val="auto"/>
        </w:rPr>
      </w:pPr>
    </w:p>
    <w:p>
      <w:pPr>
        <w:ind w:left="1080" w:right="220" w:hanging="360"/>
        <w:spacing w:after="0" w:line="278"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 specific country’s or region’s political or economic environment, including the implications of the U.K.’s withdrawal from the EU;</w:t>
      </w:r>
    </w:p>
    <w:p>
      <w:pPr>
        <w:spacing w:after="0" w:line="180" w:lineRule="exact"/>
        <w:rPr>
          <w:rFonts w:ascii="Arial" w:cs="Arial" w:eastAsia="Arial" w:hAnsi="Arial"/>
          <w:sz w:val="20"/>
          <w:szCs w:val="20"/>
          <w:color w:val="auto"/>
        </w:rPr>
      </w:pPr>
    </w:p>
    <w:p>
      <w:pPr>
        <w:ind w:left="1080" w:right="520" w:hanging="360"/>
        <w:spacing w:after="0" w:line="278"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trade protection measures, import or export licensing requirements or other restrictive actions by U.K. or non-U.K. governments;</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reimbursement regimes and price controls in certain non-U.K. markets;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negative consequences from changes in tax laws;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tax, employment, immigration, and labor laws for employees living or traveling outside of the U.K.;</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workforce uncertainty in countries where labor unrest is more common than in the U.K.;</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associated with staffing and managing international operations, including differing labor relations;</w:t>
      </w:r>
    </w:p>
    <w:p>
      <w:pPr>
        <w:spacing w:after="0" w:line="253" w:lineRule="exact"/>
        <w:rPr>
          <w:rFonts w:ascii="Arial" w:cs="Arial" w:eastAsia="Arial" w:hAnsi="Arial"/>
          <w:sz w:val="20"/>
          <w:szCs w:val="20"/>
          <w:color w:val="auto"/>
        </w:rPr>
      </w:pPr>
    </w:p>
    <w:p>
      <w:pPr>
        <w:ind w:left="1080" w:right="60" w:hanging="360"/>
        <w:spacing w:after="0" w:line="278"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interruptions resulting from one or more of our current service providers, manufacturers and other partners not surviving an economic downturn,</w:t>
      </w:r>
    </w:p>
    <w:p>
      <w:pPr>
        <w:sectPr>
          <w:pgSz w:w="11880" w:h="15480" w:orient="portrait"/>
          <w:cols w:equalWidth="0" w:num="1">
            <w:col w:w="10780"/>
          </w:cols>
          <w:pgMar w:left="540" w:top="748" w:right="560" w:bottom="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780"/>
          </w:cols>
          <w:pgMar w:left="540" w:top="748" w:right="560" w:bottom="0" w:gutter="0" w:footer="0" w:header="0"/>
          <w:type w:val="continuous"/>
        </w:sectPr>
      </w:pPr>
    </w:p>
    <w:bookmarkStart w:id="42" w:name="page43"/>
    <w:bookmarkEnd w:id="42"/>
    <w:p>
      <w:pPr>
        <w:ind w:left="1080" w:hanging="360"/>
        <w:spacing w:after="0"/>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production shortages resulting from any events affecting raw material supply or manufacturing capabilities abroad;</w:t>
      </w:r>
    </w:p>
    <w:p>
      <w:pPr>
        <w:spacing w:after="0" w:line="253" w:lineRule="exact"/>
        <w:rPr>
          <w:rFonts w:ascii="Arial" w:cs="Arial" w:eastAsia="Arial" w:hAnsi="Arial"/>
          <w:sz w:val="20"/>
          <w:szCs w:val="20"/>
          <w:color w:val="auto"/>
        </w:rPr>
      </w:pPr>
    </w:p>
    <w:p>
      <w:pPr>
        <w:ind w:left="1080" w:right="40" w:hanging="360"/>
        <w:spacing w:after="0" w:line="259" w:lineRule="auto"/>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business interruptions resulting from geo-political actions, including war and terrorism, health epidemics and other widespread outbreaks of contagious disease, or natural disasters, including earthquakes, typhoons, hurricanes, floods and fires; and</w:t>
      </w:r>
    </w:p>
    <w:p>
      <w:pPr>
        <w:spacing w:after="0" w:line="198" w:lineRule="exact"/>
        <w:rPr>
          <w:rFonts w:ascii="Arial" w:cs="Arial" w:eastAsia="Arial" w:hAnsi="Arial"/>
          <w:sz w:val="20"/>
          <w:szCs w:val="20"/>
          <w:color w:val="auto"/>
        </w:rPr>
      </w:pPr>
    </w:p>
    <w:p>
      <w:pPr>
        <w:ind w:left="1080" w:hanging="360"/>
        <w:spacing w:after="0"/>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business interruptions resulting from health epidemics.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Unfavorable global economic, political and trade conditions could adversely affect our business, financial condition or results of operations and may exacerbate the effects of the risks described herein.</w:t>
      </w:r>
    </w:p>
    <w:p>
      <w:pPr>
        <w:spacing w:after="0" w:line="156" w:lineRule="exact"/>
        <w:rPr>
          <w:sz w:val="20"/>
          <w:szCs w:val="20"/>
          <w:color w:val="auto"/>
        </w:rPr>
      </w:pPr>
    </w:p>
    <w:p>
      <w:pPr>
        <w:ind w:right="20" w:firstLine="750"/>
        <w:spacing w:after="0" w:line="243" w:lineRule="auto"/>
        <w:rPr>
          <w:sz w:val="20"/>
          <w:szCs w:val="20"/>
          <w:color w:val="auto"/>
        </w:rPr>
      </w:pPr>
      <w:r>
        <w:rPr>
          <w:rFonts w:ascii="Times New Roman" w:cs="Times New Roman" w:eastAsia="Times New Roman" w:hAnsi="Times New Roman"/>
          <w:sz w:val="20"/>
          <w:szCs w:val="20"/>
          <w:color w:val="auto"/>
        </w:rPr>
        <w:t>Current global economic conditions are highly volatile due to a number of reasons, including geopolitical instability, such as the military conflicts between Russia and Ukraine, the conflicts between Israel and Hamas, recent inflation that increased our operating expenses and disruptions in the capital and credit markets that may reduce our ability to raise additional capital when needed on acceptable terms, if at all. Emerging international trade relations, new legislation and tariffs may also adversely impact our operations and/or financial condition by limiting or preventing the activities of third parties that we engage, increasing import costs or increasing the cost of our operations. New or increased tariffs, export controls or other trade barriers could result in higher prices for the materials we use and the investigational products we are developing and could materially impact our supply chain and manufacturing costs. Furthermore, the recent inflationary environment related to increased aggregate demand and supply chain constraints has increased our operating expenses and may continue to affect our operating expenses. Economic conditions may also strain our suppliers, possibly resulting in supply disruptions that impact our ongoing clinical trials and other operations. A significant worsening of global economic conditions could materially increase these risks we face. Any new or prolonged downturn of global economic conditions could harm our business operations, and we cannot anticipate all of the ways in which the current economic climate and financial market conditions could adversely impact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future growth and ability to compete depends on retaining our key personnel and recruiting additional qualified personnel.</w:t>
      </w:r>
    </w:p>
    <w:p>
      <w:pPr>
        <w:spacing w:after="0" w:line="23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Our success depends upon the continued contributions of our key management, including all of our senior management team, and scientific and technical personnel, many of whom have been instrumental for us and have substantial experience with rare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202" w:lineRule="exact"/>
        <w:rPr>
          <w:sz w:val="20"/>
          <w:szCs w:val="20"/>
          <w:color w:val="auto"/>
        </w:rPr>
      </w:pPr>
    </w:p>
    <w:p>
      <w:pPr>
        <w:ind w:right="500" w:firstLine="720"/>
        <w:spacing w:after="0" w:line="279" w:lineRule="auto"/>
        <w:rPr>
          <w:sz w:val="20"/>
          <w:szCs w:val="20"/>
          <w:color w:val="auto"/>
        </w:rPr>
      </w:pPr>
      <w:r>
        <w:rPr>
          <w:rFonts w:ascii="Times New Roman" w:cs="Times New Roman" w:eastAsia="Times New Roman" w:hAnsi="Times New Roman"/>
          <w:sz w:val="20"/>
          <w:szCs w:val="20"/>
          <w:color w:val="auto"/>
        </w:rPr>
        <w:t>We aim to expand our development, regulatory, and sales and marketing capabilities, and as a result, we may encounter difficulties in managing our planned growth, which could disrupt our operations.</w:t>
      </w:r>
    </w:p>
    <w:p>
      <w:pPr>
        <w:spacing w:after="0" w:line="165"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To manage our planned future growth, we must continue to implement and improve our managerial, operational and financial systems, expand our facilities or acquire new facilities, and continue to retain, recruit and train additional qualified personnel. Due to our limited financial resources and the limited experience of our management team in managing a company with such planned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1"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our tax rates, unavailability of certain tax credits or reliefs, or exposure to additional tax liabilities or assessments could adversely affect our results of operations and financial condition.</w:t>
      </w:r>
    </w:p>
    <w:p>
      <w:pPr>
        <w:spacing w:after="0" w:line="166"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As a U.K. resident trading entity, we are subject to U.K. corporate taxation. Due to the nature of our business, we have generated operating losses since formation. As of December 31, 2024 and 2023, we had cumulative carry-forward tax losses of $</w:t>
      </w:r>
      <w:r>
        <w:rPr>
          <w:rFonts w:ascii="Times New Roman" w:cs="Times New Roman" w:eastAsia="Times New Roman" w:hAnsi="Times New Roman"/>
          <w:sz w:val="19"/>
          <w:szCs w:val="19"/>
          <w:color w:val="auto"/>
        </w:rPr>
        <w:t>36.6</w:t>
      </w:r>
      <w:r>
        <w:rPr>
          <w:rFonts w:ascii="Times New Roman" w:cs="Times New Roman" w:eastAsia="Times New Roman" w:hAnsi="Times New Roman"/>
          <w:sz w:val="20"/>
          <w:szCs w:val="20"/>
          <w:color w:val="auto"/>
        </w:rPr>
        <w:t xml:space="preserve"> million and $122.2 million, respectively. The availability to carry forward and offset these tax loss carry-forwards against future operating profits is subject to certain restrictions.</w:t>
      </w:r>
    </w:p>
    <w:p>
      <w:pPr>
        <w:spacing w:after="0" w:line="190"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As a company that carries out extensive research and development (“R&amp;D”) activities, we benefit from the U.K. small and medium sized enterprises (“SME”) research and development relief (“SME R&amp;D Relief”), which provides relief against U.K. Corporation Tax and enables us to surrender some of our trading losses that arise from our R&amp;D activities for a cash rebate (the “R&amp;D</w:t>
      </w:r>
    </w:p>
    <w:p>
      <w:pPr>
        <w:sectPr>
          <w:pgSz w:w="11880" w:h="15480" w:orient="portrait"/>
          <w:cols w:equalWidth="0" w:num="1">
            <w:col w:w="10800"/>
          </w:cols>
          <w:pgMar w:left="540" w:top="763" w:right="540" w:bottom="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800"/>
          </w:cols>
          <w:pgMar w:left="540" w:top="763" w:right="540" w:bottom="0" w:gutter="0" w:footer="0" w:header="0"/>
          <w:type w:val="continuous"/>
        </w:sectPr>
      </w:pPr>
    </w:p>
    <w:bookmarkStart w:id="43" w:name="page44"/>
    <w:bookmarkEnd w:id="43"/>
    <w:p>
      <w:pPr>
        <w:spacing w:after="0" w:line="242" w:lineRule="auto"/>
        <w:rPr>
          <w:sz w:val="20"/>
          <w:szCs w:val="20"/>
          <w:color w:val="auto"/>
        </w:rPr>
      </w:pPr>
      <w:r>
        <w:rPr>
          <w:rFonts w:ascii="Times New Roman" w:cs="Times New Roman" w:eastAsia="Times New Roman" w:hAnsi="Times New Roman"/>
          <w:sz w:val="20"/>
          <w:szCs w:val="20"/>
          <w:color w:val="auto"/>
        </w:rPr>
        <w:t>tax credit”). Pursuant to changes made by the Finance Act 2023,s, a cash rebate of up to 27% of eligible R&amp;D expenditure is available, for R&amp;D intensive companies where at least 40% of their total expenditure is on qualifying R&amp;D, or up to 18.6% of eligible R&amp;D expenditure for other companies. for expenditure incurred on or after April 1, 2023, certain subcontracted qualifying research expenditures are eligible for a cash rebate of up 17.53% for R&amp;D intensive companies or 12.09% for other companies. The difference in cash rebate for qualifying subcontracted expenditure versus other qualifying expenditure is due to a statutory restriction of 65% being applied to unconnected qualifying subcontracted expenditure, thus restricting the benefit available. Pursuant to changes made by the Finance Act 2024, for accounting periods starting on or after April 1, 2024, the new merged scheme will come into effect for all companies, other than loss making R&amp;D intensive SMEs. For loss making R&amp;D intensive SMEs, the enhanced R&amp;D intensive support (“ERIS”) regime will be available (for companies where at least 30% of their total expenditure including any connected companies is on qualifying R&amp;D). Under the new merged scheme, we expect to benefit from the taxable credit for qualifying R&amp;D expenditure which may either be offset against corporation tax liabilities or paid net of tax as a cash credit where there is no liability in the future. Subcontracted expenditure in most cases is expected to be a qualifying cost (unless it relates to non-qualifying costs subcontracted overseas) under the new merged scheme. In the event we generate revenues in the future, we may also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(assuming the R&amp;D intensity threshold is still met at this stage), we expect a long-term lower rate of corporation tax to apply to us. If, however, there are unexpected adverse changes to the U.K. R&amp;D tax credit regime or the “patent box” regime, or for any reason we are unable to qualify for these regimes, or we are unable to use net operating loss and tax credit carry forwards and certain built-in losses to reduce future tax payments, our business, results of operations, and financial condition may be adversely affected.</w:t>
      </w:r>
    </w:p>
    <w:p>
      <w:pPr>
        <w:spacing w:after="0" w:line="202"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amount of SME payable R&amp;D tax credit that a business can receive in any one year is capped at £20,000 plus three times the Company’s total Pay As You Earn (PAYE) and National Insurance contributions (NIC) liability. Exemptions to the cap have been introduced which are available to companies that meet certain conditions. Based on the Company’s prior year claims, we do not believe these changes could have an impact on our tax credit for the year ending December 31, 2024, which would be payable in 2025. If tax authorities challenge our determinations and/or audit prior periods there could be adverse tax consequences to us that could adversely affect our results of operations and financial condition.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Development, Clinical Testing, Manufacturing and Regulatory Approval</w:t>
      </w:r>
    </w:p>
    <w:p>
      <w:pPr>
        <w:spacing w:after="0" w:line="24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Prior to our acquisition of setrusumab, alvelestat, etigilimab, acumapimod, leflutrozole and navicixizumab, we were not involved in the development of these product candidates and, as a result, we are dependent on Novartis, AstraZeneca and Mereo BioPharma 5 (formerly OncoMed) having accurately reported the results and correctly collected and interpreted the data from all clinical trials conducted prior to our acquisition.</w:t>
      </w:r>
    </w:p>
    <w:p>
      <w:pPr>
        <w:spacing w:after="0" w:line="192"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We were not involved in the development of our current product candidates prior to our acquisition of such product candidates from Novartis, AstraZeneca and Mereo BioPharma 5. For all of our current product candidates, we have had no involvement with or control over their manufacturing or pre-clinical and clinical development prior to our acquisition of them. We are dependent on Novartis, AstraZeneca and Mereo BioPharma 5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AstraZeneca or Mereo BioPharma 5 has not done this, the clinical development, regulatory approval, or commercialization of our product candidates may be adversely affected.</w:t>
      </w:r>
    </w:p>
    <w:p>
      <w:pPr>
        <w:spacing w:after="0" w:line="203"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Clinical and preclinical development involves a lengthy and expensive process with an uncertain outcome. Any difficulties or delays in the commencement or completion, or the termination or suspension, of our or our partners current or planned clinical trials could result in increased costs to us, delay or limit our ability to generate revenue or adversely affect our commercial prospects.</w:t>
      </w:r>
    </w:p>
    <w:p>
      <w:pPr>
        <w:spacing w:after="0" w:line="192"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19"/>
          <w:szCs w:val="19"/>
          <w:color w:val="auto"/>
        </w:rPr>
        <w:t>Before obtaining approval from regulatory authorities for the commercialization of any of our product candidates, we must conduct extensive clinical trials to demonstrate the safety and efficacy of the product candidate, or with respect to product candidates regulated as biologics, safety, purity and potency, in humans.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800"/>
          </w:cols>
          <w:pgMar w:left="540" w:top="748" w:right="540" w:bottom="0" w:gutter="0" w:footer="0" w:header="0"/>
          <w:type w:val="continuous"/>
        </w:sectPr>
      </w:pPr>
    </w:p>
    <w:bookmarkStart w:id="44" w:name="page45"/>
    <w:bookmarkEnd w:id="44"/>
    <w:p>
      <w:pPr>
        <w:ind w:right="260"/>
        <w:spacing w:after="0" w:line="279" w:lineRule="auto"/>
        <w:rPr>
          <w:sz w:val="20"/>
          <w:szCs w:val="20"/>
          <w:color w:val="auto"/>
        </w:rPr>
      </w:pPr>
      <w:r>
        <w:rPr>
          <w:rFonts w:ascii="Times New Roman" w:cs="Times New Roman" w:eastAsia="Times New Roman" w:hAnsi="Times New Roman"/>
          <w:sz w:val="20"/>
          <w:szCs w:val="20"/>
          <w:color w:val="auto"/>
        </w:rPr>
        <w:t>delays in the commencement or completion of our ongoing and planned clinical trials for our product candidates could significantly affect our product development timelines and product development costs and harm our financial position.</w:t>
      </w:r>
    </w:p>
    <w:p>
      <w:pPr>
        <w:spacing w:after="0" w:line="165"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results from preclinical studies or early clinical trials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Moreover, preclinical and clinical data are often susceptible to varying interpretations and analyses. A number of companies in the pharmaceutical and biotechnology industries have suffered significant setbacks in clinical development even after achieving promising results in earlier studies.</w:t>
      </w:r>
    </w:p>
    <w:p>
      <w:pPr>
        <w:spacing w:after="0" w:line="20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We do not know whether our planned clinical trials will begin on time or be completed on schedule, if at all. The</w:t>
      </w:r>
    </w:p>
    <w:p>
      <w:pPr>
        <w:jc w:val="center"/>
        <w:ind w:right="320"/>
        <w:spacing w:after="0"/>
        <w:rPr>
          <w:sz w:val="20"/>
          <w:szCs w:val="20"/>
          <w:color w:val="auto"/>
        </w:rPr>
      </w:pPr>
      <w:r>
        <w:rPr>
          <w:rFonts w:ascii="Times New Roman" w:cs="Times New Roman" w:eastAsia="Times New Roman" w:hAnsi="Times New Roman"/>
          <w:sz w:val="19"/>
          <w:szCs w:val="19"/>
          <w:color w:val="auto"/>
        </w:rPr>
        <w:t>commencement, data readouts and completion of clinical trials can be delayed for a number of reasons, including delays related to:</w:t>
      </w:r>
    </w:p>
    <w:p>
      <w:pPr>
        <w:spacing w:after="0" w:line="266" w:lineRule="exact"/>
        <w:rPr>
          <w:sz w:val="20"/>
          <w:szCs w:val="20"/>
          <w:color w:val="auto"/>
        </w:rPr>
      </w:pPr>
    </w:p>
    <w:p>
      <w:pPr>
        <w:ind w:left="1080" w:right="760" w:hanging="360"/>
        <w:spacing w:after="0" w:line="278" w:lineRule="auto"/>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generate sufficient preclinical, toxicology, or other in vivo or in vitro data to support the initiation or continuation of clinical trials;</w:t>
      </w:r>
    </w:p>
    <w:p>
      <w:pPr>
        <w:spacing w:after="0" w:line="180" w:lineRule="exact"/>
        <w:rPr>
          <w:rFonts w:ascii="Arial" w:cs="Arial" w:eastAsia="Arial" w:hAnsi="Arial"/>
          <w:sz w:val="20"/>
          <w:szCs w:val="20"/>
          <w:color w:val="auto"/>
        </w:rPr>
      </w:pPr>
    </w:p>
    <w:p>
      <w:pPr>
        <w:ind w:left="1080" w:right="20" w:hanging="360"/>
        <w:spacing w:after="0" w:line="278" w:lineRule="auto"/>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allowance or approval from regulatory authorities to commence a trial or reaching a consensus with regulatory authorities on trial design;</w:t>
      </w:r>
    </w:p>
    <w:p>
      <w:pPr>
        <w:spacing w:after="0" w:line="180" w:lineRule="exact"/>
        <w:rPr>
          <w:rFonts w:ascii="Arial" w:cs="Arial" w:eastAsia="Arial" w:hAnsi="Arial"/>
          <w:sz w:val="20"/>
          <w:szCs w:val="20"/>
          <w:color w:val="auto"/>
        </w:rPr>
      </w:pPr>
    </w:p>
    <w:p>
      <w:pPr>
        <w:ind w:left="1080" w:right="580" w:hanging="360"/>
        <w:spacing w:after="0" w:line="278" w:lineRule="auto"/>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FDA, EMA or comparable foreign regulatory authorities disagreeing as to the design or implementation of our clinical trials;</w:t>
      </w:r>
    </w:p>
    <w:p>
      <w:pPr>
        <w:spacing w:after="0" w:line="180" w:lineRule="exact"/>
        <w:rPr>
          <w:rFonts w:ascii="Arial" w:cs="Arial" w:eastAsia="Arial" w:hAnsi="Arial"/>
          <w:sz w:val="20"/>
          <w:szCs w:val="20"/>
          <w:color w:val="auto"/>
        </w:rPr>
      </w:pPr>
    </w:p>
    <w:p>
      <w:pPr>
        <w:ind w:left="1080" w:right="420" w:hanging="360"/>
        <w:spacing w:after="0" w:line="278" w:lineRule="auto"/>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any failure or delay in reaching an agreement with CROs and clinical trial sites, the terms of which can be subject to extensive negotiation and may vary significantly among different CROs and trial sites;</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identifying, recruiting and training suitable clinical investigators;</w:t>
      </w:r>
    </w:p>
    <w:p>
      <w:pPr>
        <w:spacing w:after="0" w:line="253" w:lineRule="exact"/>
        <w:rPr>
          <w:rFonts w:ascii="Arial" w:cs="Arial" w:eastAsia="Arial" w:hAnsi="Arial"/>
          <w:sz w:val="20"/>
          <w:szCs w:val="20"/>
          <w:color w:val="auto"/>
        </w:rPr>
      </w:pPr>
    </w:p>
    <w:p>
      <w:pPr>
        <w:ind w:left="1080" w:right="300" w:hanging="360"/>
        <w:spacing w:after="0" w:line="278" w:lineRule="auto"/>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approval or positive opinion from one or more institutional review boards (“IRBs”), or ethics committees at clinical trial sites;</w:t>
      </w:r>
    </w:p>
    <w:p>
      <w:pPr>
        <w:spacing w:after="0" w:line="180" w:lineRule="exact"/>
        <w:rPr>
          <w:rFonts w:ascii="Arial" w:cs="Arial" w:eastAsia="Arial" w:hAnsi="Arial"/>
          <w:sz w:val="20"/>
          <w:szCs w:val="20"/>
          <w:color w:val="auto"/>
        </w:rPr>
      </w:pPr>
    </w:p>
    <w:p>
      <w:pPr>
        <w:ind w:left="1080" w:right="780" w:hanging="360"/>
        <w:spacing w:after="0" w:line="278" w:lineRule="auto"/>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IRBs refusing to approve, suspending or terminating the trial at an investigational site, precluding enrollment of additional subjects, or withdrawing their approval of the trial;</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changes or amendments to the clinical trial protocol;</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clinical sites deviating from the trial protocol or dropping out of a trial;</w:t>
      </w:r>
    </w:p>
    <w:p>
      <w:pPr>
        <w:spacing w:after="0" w:line="253" w:lineRule="exact"/>
        <w:rPr>
          <w:rFonts w:ascii="Arial" w:cs="Arial" w:eastAsia="Arial" w:hAnsi="Arial"/>
          <w:sz w:val="20"/>
          <w:szCs w:val="20"/>
          <w:color w:val="auto"/>
        </w:rPr>
      </w:pPr>
    </w:p>
    <w:p>
      <w:pPr>
        <w:ind w:left="1080" w:right="280" w:hanging="360"/>
        <w:spacing w:after="0" w:line="278" w:lineRule="auto"/>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failure by our CROs to perform in accordance with GCP requirements or applicable regulatory rules and guidelines in other countries;</w:t>
      </w:r>
    </w:p>
    <w:p>
      <w:pPr>
        <w:spacing w:after="0" w:line="180" w:lineRule="exact"/>
        <w:rPr>
          <w:rFonts w:ascii="Arial" w:cs="Arial" w:eastAsia="Arial" w:hAnsi="Arial"/>
          <w:sz w:val="20"/>
          <w:szCs w:val="20"/>
          <w:color w:val="auto"/>
        </w:rPr>
      </w:pPr>
    </w:p>
    <w:p>
      <w:pPr>
        <w:ind w:left="1080" w:right="80" w:hanging="360"/>
        <w:spacing w:after="0" w:line="278" w:lineRule="auto"/>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sufficient quantities of our product candidates, or obtaining sufficient quantities of combination therapies for use in clinical trials;</w:t>
      </w:r>
    </w:p>
    <w:p>
      <w:pPr>
        <w:spacing w:after="0" w:line="180" w:lineRule="exact"/>
        <w:rPr>
          <w:rFonts w:ascii="Arial" w:cs="Arial" w:eastAsia="Arial" w:hAnsi="Arial"/>
          <w:sz w:val="20"/>
          <w:szCs w:val="20"/>
          <w:color w:val="auto"/>
        </w:rPr>
      </w:pPr>
    </w:p>
    <w:p>
      <w:pPr>
        <w:ind w:left="1080" w:right="340" w:hanging="360"/>
        <w:spacing w:after="0" w:line="278" w:lineRule="auto"/>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subjects failing to enroll or remain in our trials at the rate we expect, or failing to return for post-treatment follow-up, including subjects failing to remain in our trials;</w:t>
      </w:r>
    </w:p>
    <w:p>
      <w:pPr>
        <w:spacing w:after="0" w:line="180" w:lineRule="exact"/>
        <w:rPr>
          <w:rFonts w:ascii="Arial" w:cs="Arial" w:eastAsia="Arial" w:hAnsi="Arial"/>
          <w:sz w:val="20"/>
          <w:szCs w:val="20"/>
          <w:color w:val="auto"/>
        </w:rPr>
      </w:pPr>
    </w:p>
    <w:p>
      <w:pPr>
        <w:ind w:left="1080" w:right="560" w:hanging="360"/>
        <w:spacing w:after="0" w:line="278" w:lineRule="auto"/>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patients choosing an alternative product for the indications for which we are developing our product candidates, or participating in competing clinical trials;</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lack of adequate funding to continue a clinical trial, or costs being greater than we anticipate;</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subjects experiencing severe or serious unexpected drug-related adverse effects;</w:t>
      </w:r>
    </w:p>
    <w:p>
      <w:pPr>
        <w:spacing w:after="0" w:line="253" w:lineRule="exact"/>
        <w:rPr>
          <w:rFonts w:ascii="Arial" w:cs="Arial" w:eastAsia="Arial" w:hAnsi="Arial"/>
          <w:sz w:val="20"/>
          <w:szCs w:val="20"/>
          <w:color w:val="auto"/>
        </w:rPr>
      </w:pPr>
    </w:p>
    <w:p>
      <w:pPr>
        <w:ind w:left="1080" w:right="380" w:hanging="360"/>
        <w:spacing w:after="0" w:line="278" w:lineRule="auto"/>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occurrence of serious adverse events in trials of the same class of agents conducted by other companies that could be considered similar to our product candidates;</w:t>
      </w:r>
    </w:p>
    <w:p>
      <w:pPr>
        <w:sectPr>
          <w:pgSz w:w="11880" w:h="15480" w:orient="portrait"/>
          <w:cols w:equalWidth="0" w:num="1">
            <w:col w:w="10800"/>
          </w:cols>
          <w:pgMar w:left="540" w:top="748" w:right="540" w:bottom="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800"/>
          </w:cols>
          <w:pgMar w:left="540" w:top="748" w:right="540" w:bottom="0" w:gutter="0" w:footer="0" w:header="0"/>
          <w:type w:val="continuous"/>
        </w:sectPr>
      </w:pPr>
    </w:p>
    <w:bookmarkStart w:id="45" w:name="page46"/>
    <w:bookmarkEnd w:id="45"/>
    <w:p>
      <w:pPr>
        <w:ind w:left="1080" w:right="60" w:hanging="360"/>
        <w:spacing w:after="0" w:line="278" w:lineRule="auto"/>
        <w:tabs>
          <w:tab w:leader="none" w:pos="10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selection of clinical endpoints that require prolonged periods of clinical observation or extended analysis of the resulting data;</w:t>
      </w:r>
    </w:p>
    <w:p>
      <w:pPr>
        <w:spacing w:after="0" w:line="180" w:lineRule="exact"/>
        <w:rPr>
          <w:rFonts w:ascii="Arial" w:cs="Arial" w:eastAsia="Arial" w:hAnsi="Arial"/>
          <w:sz w:val="20"/>
          <w:szCs w:val="20"/>
          <w:color w:val="auto"/>
        </w:rPr>
      </w:pPr>
    </w:p>
    <w:p>
      <w:pPr>
        <w:ind w:left="1080" w:right="60" w:hanging="360"/>
        <w:spacing w:after="0" w:line="252" w:lineRule="auto"/>
        <w:tabs>
          <w:tab w:leader="none" w:pos="10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transfer of manufacturing processes to larger-scale facilities operated by a CMO delays or failure by our CMOs or us to make any necessary changes to such manufacturing process, or failure of our CMOs to produce clinical trial materials in accordance with current Good Manufacturing Practice (“cGMP”) or similar foreign requirements, regulations or other applicable requirements; and</w:t>
      </w:r>
    </w:p>
    <w:p>
      <w:pPr>
        <w:spacing w:after="0" w:line="207" w:lineRule="exact"/>
        <w:rPr>
          <w:rFonts w:ascii="Arial" w:cs="Arial" w:eastAsia="Arial" w:hAnsi="Arial"/>
          <w:sz w:val="20"/>
          <w:szCs w:val="20"/>
          <w:color w:val="auto"/>
        </w:rPr>
      </w:pPr>
    </w:p>
    <w:p>
      <w:pPr>
        <w:ind w:left="1080" w:hanging="360"/>
        <w:spacing w:after="0"/>
        <w:tabs>
          <w:tab w:leader="none" w:pos="10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third parties being unwilling or unable to satisfy their contractual obligations to us in a timely manner.</w:t>
      </w:r>
    </w:p>
    <w:p>
      <w:pPr>
        <w:spacing w:after="0" w:line="239"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EMA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w:t>
      </w:r>
    </w:p>
    <w:p>
      <w:pPr>
        <w:spacing w:after="0" w:line="206"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In addition, the FDA’s and other regulatory authorities’ policies with respect to clinical trials may change and additional government regulations may be enacted. For instance, the regulatory landscape related to clinical trials in the EU recently evolved. The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208"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spacing w:after="0" w:line="18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It is currently unclear to what extent the U.K., will seek to align its clinical trials legislation with the EU. The U.K. regulatory framework in relation to clinical trials is derived from EU clinical trials legislation which pre-dated the CTR (as implemented into U.K. law, through secondary legislation). On January 17, 2022, the U.K. Medicines and Healthcare products Regulatory Agency (“MHRA”) launched an eight-week consultation on reframing the U.K. legislation for clinical trials. The MHRA responded to the consultation on March 21, 2023 and confirmed that it would bring forward changes to the legislation. The final legal texts introduced by the U.K. Government will ultimately determine the extent to which whether the U.K. clinical trials framework aligns with or diverges from with the CTR. A decision by the U.K. Government not to closely align its regulations with the new approach that has been adopted in the EU may have an effect on the cost of conducting clinical trials in the U.K. as opposed to other countries. If there are divergent local requirements in Great Britain from the EU in the future, this may impact clinical and development activities that occur in the U.K. in the future. Similarly, clinical trial submissions in the U.K. will not be able to be bundled with those of EU countries within the EMA CTIS, adding further complexity, cost and potential risk to future clinical and development activity in the U.K.</w:t>
      </w:r>
    </w:p>
    <w:p>
      <w:pPr>
        <w:spacing w:after="0" w:line="206"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Further, conducting clinical trials in foreign countries, as we may do for our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90" w:lineRule="exact"/>
        <w:rPr>
          <w:sz w:val="20"/>
          <w:szCs w:val="20"/>
          <w:color w:val="auto"/>
        </w:rPr>
      </w:pPr>
    </w:p>
    <w:p>
      <w:pPr>
        <w:ind w:right="60" w:firstLine="720"/>
        <w:spacing w:after="0" w:line="279" w:lineRule="auto"/>
        <w:rPr>
          <w:sz w:val="20"/>
          <w:szCs w:val="20"/>
          <w:color w:val="auto"/>
        </w:rPr>
      </w:pPr>
      <w:r>
        <w:rPr>
          <w:rFonts w:ascii="Times New Roman" w:cs="Times New Roman" w:eastAsia="Times New Roman" w:hAnsi="Times New Roman"/>
          <w:sz w:val="20"/>
          <w:szCs w:val="20"/>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w:t>
      </w:r>
    </w:p>
    <w:p>
      <w:pPr>
        <w:sectPr>
          <w:pgSz w:w="11880" w:h="15480" w:orient="portrait"/>
          <w:cols w:equalWidth="0" w:num="1">
            <w:col w:w="10780"/>
          </w:cols>
          <w:pgMar w:left="540" w:top="763" w:right="560" w:bottom="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780"/>
          </w:cols>
          <w:pgMar w:left="540" w:top="763" w:right="560" w:bottom="0" w:gutter="0" w:footer="0" w:header="0"/>
          <w:type w:val="continuous"/>
        </w:sectPr>
      </w:pPr>
    </w:p>
    <w:bookmarkStart w:id="46" w:name="page47"/>
    <w:bookmarkEnd w:id="46"/>
    <w:p>
      <w:pPr>
        <w:ind w:right="40"/>
        <w:spacing w:after="0" w:line="247" w:lineRule="auto"/>
        <w:rPr>
          <w:sz w:val="20"/>
          <w:szCs w:val="20"/>
          <w:color w:val="auto"/>
        </w:rPr>
      </w:pPr>
      <w:r>
        <w:rPr>
          <w:rFonts w:ascii="Times New Roman" w:cs="Times New Roman" w:eastAsia="Times New Roman" w:hAnsi="Times New Roman"/>
          <w:sz w:val="20"/>
          <w:szCs w:val="20"/>
          <w:color w:val="auto"/>
        </w:rPr>
        <w:t>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0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and prospects.</w:t>
      </w:r>
    </w:p>
    <w:p>
      <w:pPr>
        <w:spacing w:after="0" w:line="19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206"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spacing w:after="0" w:line="19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195"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other foreign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ectPr>
          <w:pgSz w:w="11880" w:h="15480" w:orient="portrait"/>
          <w:cols w:equalWidth="0" w:num="1">
            <w:col w:w="10740"/>
          </w:cols>
          <w:pgMar w:left="540" w:top="748" w:right="60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740"/>
          </w:cols>
          <w:pgMar w:left="540" w:top="748" w:right="600" w:bottom="0" w:gutter="0" w:footer="0" w:header="0"/>
          <w:type w:val="continuous"/>
        </w:sectPr>
      </w:pPr>
    </w:p>
    <w:bookmarkStart w:id="47" w:name="page48"/>
    <w:bookmarkEnd w:id="47"/>
    <w:p>
      <w:pPr>
        <w:ind w:firstLine="720"/>
        <w:spacing w:after="0" w:line="246" w:lineRule="auto"/>
        <w:rPr>
          <w:sz w:val="20"/>
          <w:szCs w:val="20"/>
          <w:color w:val="auto"/>
        </w:rPr>
      </w:pPr>
      <w:r>
        <w:rPr>
          <w:rFonts w:ascii="Times New Roman" w:cs="Times New Roman" w:eastAsia="Times New Roman" w:hAnsi="Times New Roman"/>
          <w:sz w:val="20"/>
          <w:szCs w:val="20"/>
          <w:color w:val="auto"/>
        </w:rPr>
        <w:t>Results of our ongoing and future clinical trials, or results from clinical trials for other similar product candidates, could reveal a high and unacceptable severity and prevalence of adverse side effects. In such an event, development efforts of that product candidate altogether. We, our partners, the FDA, other comparable foreign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w:t>
      </w:r>
    </w:p>
    <w:p>
      <w:pPr>
        <w:spacing w:after="0" w:line="200"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Drug-related side effects could also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205" w:lineRule="exact"/>
        <w:rPr>
          <w:sz w:val="20"/>
          <w:szCs w:val="20"/>
          <w:color w:val="auto"/>
        </w:rPr>
      </w:pPr>
    </w:p>
    <w:p>
      <w:pPr>
        <w:ind w:left="1080" w:hanging="360"/>
        <w:spacing w:after="0"/>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withdraw or modify approvals of any such product and require us to take it off the market;</w:t>
      </w:r>
    </w:p>
    <w:p>
      <w:pPr>
        <w:spacing w:after="0" w:line="253" w:lineRule="exact"/>
        <w:rPr>
          <w:rFonts w:ascii="Arial" w:cs="Arial" w:eastAsia="Arial" w:hAnsi="Arial"/>
          <w:sz w:val="20"/>
          <w:szCs w:val="20"/>
          <w:color w:val="auto"/>
        </w:rPr>
      </w:pPr>
    </w:p>
    <w:p>
      <w:pPr>
        <w:ind w:left="1080" w:hanging="360"/>
        <w:spacing w:after="0" w:line="278"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require the addition of labeling statements, specific warnings, a contraindication or field alerts to physicians and pharmacies;</w:t>
      </w:r>
    </w:p>
    <w:p>
      <w:pPr>
        <w:spacing w:after="0" w:line="180" w:lineRule="exact"/>
        <w:rPr>
          <w:rFonts w:ascii="Arial" w:cs="Arial" w:eastAsia="Arial" w:hAnsi="Arial"/>
          <w:sz w:val="20"/>
          <w:szCs w:val="20"/>
          <w:color w:val="auto"/>
        </w:rPr>
      </w:pPr>
    </w:p>
    <w:p>
      <w:pPr>
        <w:ind w:left="1080" w:hanging="360"/>
        <w:spacing w:after="0" w:line="259"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198" w:lineRule="exact"/>
        <w:rPr>
          <w:rFonts w:ascii="Arial" w:cs="Arial" w:eastAsia="Arial" w:hAnsi="Arial"/>
          <w:sz w:val="20"/>
          <w:szCs w:val="20"/>
          <w:color w:val="auto"/>
        </w:rPr>
      </w:pPr>
    </w:p>
    <w:p>
      <w:pPr>
        <w:ind w:left="1080" w:right="60" w:hanging="360"/>
        <w:spacing w:after="0" w:line="278"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change the way a product is administered, conduct additional clinical trials or change the labeling of a product;</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subject to limitations on how we may promote the product;</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sales of the product may decrease significantly;</w:t>
      </w:r>
    </w:p>
    <w:p>
      <w:pPr>
        <w:spacing w:after="0" w:line="253" w:lineRule="exact"/>
        <w:rPr>
          <w:rFonts w:ascii="Arial" w:cs="Arial" w:eastAsia="Arial" w:hAnsi="Arial"/>
          <w:sz w:val="20"/>
          <w:szCs w:val="20"/>
          <w:color w:val="auto"/>
        </w:rPr>
      </w:pPr>
    </w:p>
    <w:p>
      <w:pPr>
        <w:ind w:left="1080" w:right="600" w:hanging="360"/>
        <w:spacing w:after="0" w:line="278"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private or government payors may not offer, or may offer inadequate, reimbursement coverage for our product candidates, or reimbursement payments may be delayed or impossible to recover;</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subject to litigation or product liability claims; and</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our reputation may suffer.</w:t>
      </w:r>
    </w:p>
    <w:p>
      <w:pPr>
        <w:spacing w:after="0" w:line="239" w:lineRule="exact"/>
        <w:rPr>
          <w:sz w:val="20"/>
          <w:szCs w:val="20"/>
          <w:color w:val="auto"/>
        </w:rPr>
      </w:pPr>
    </w:p>
    <w:p>
      <w:pPr>
        <w:ind w:right="240" w:firstLine="720"/>
        <w:spacing w:after="0" w:line="259" w:lineRule="auto"/>
        <w:rPr>
          <w:sz w:val="20"/>
          <w:szCs w:val="20"/>
          <w:color w:val="auto"/>
        </w:rPr>
      </w:pPr>
      <w:r>
        <w:rPr>
          <w:rFonts w:ascii="Times New Roman" w:cs="Times New Roman" w:eastAsia="Times New Roman" w:hAnsi="Times New Roman"/>
          <w:sz w:val="20"/>
          <w:szCs w:val="20"/>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Manufacturing tests of setrusumab have shown that it may cause an opalescence appearance to the liquid antibody formulation.</w:t>
      </w:r>
    </w:p>
    <w:p>
      <w:pPr>
        <w:spacing w:after="0" w:line="23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product candidate for treating OI, setrusumab, is of the IgG2 type subclass monoclonal antibody. The IgG2 subclass is known for having a tendency to reversibly self-associate and this can cause an opalescence appearance to the liquid antibody formulation that can be mediated by protein concentration, pH and temperature. The presence of an opalescence solution does not have an impact on product potency and effectiveness and does not generally correlate with the formation of aggregates or particles. We have conducted several large-scale manufacturing runs of drug substance and drug product at third-party CMOs without observing any opalescence and we have further conducted formulation studies in order to minimize any risk of significant opalescence or of aggregate formation. We have also conducted product stability studies and excipient optimization, resulting in a change in the methodology for product reconstitution; however, there can be no assurances that this opalescence will not occur in future manufacturing runs.</w:t>
      </w:r>
    </w:p>
    <w:p>
      <w:pPr>
        <w:spacing w:after="0" w:line="20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184" w:lineRule="exact"/>
        <w:rPr>
          <w:sz w:val="20"/>
          <w:szCs w:val="20"/>
          <w:color w:val="auto"/>
        </w:rPr>
      </w:pPr>
    </w:p>
    <w:p>
      <w:pPr>
        <w:ind w:right="140" w:firstLine="720"/>
        <w:spacing w:after="0" w:line="307" w:lineRule="auto"/>
        <w:rPr>
          <w:sz w:val="20"/>
          <w:szCs w:val="20"/>
          <w:color w:val="auto"/>
        </w:rPr>
      </w:pPr>
      <w:r>
        <w:rPr>
          <w:rFonts w:ascii="Times New Roman" w:cs="Times New Roman" w:eastAsia="Times New Roman" w:hAnsi="Times New Roman"/>
          <w:sz w:val="19"/>
          <w:szCs w:val="19"/>
          <w:color w:val="auto"/>
        </w:rPr>
        <w:t>Successful and timely completion of clinical trials for our product candidates will require that we enroll a sufficient number of patient candidates. Trials may be subject to delays as a result of the limited number of patients with the diseases that these product</w:t>
      </w:r>
    </w:p>
    <w:p>
      <w:pPr>
        <w:sectPr>
          <w:pgSz w:w="11880" w:h="15480" w:orient="portrait"/>
          <w:cols w:equalWidth="0" w:num="1">
            <w:col w:w="10780"/>
          </w:cols>
          <w:pgMar w:left="540" w:top="748" w:right="560" w:bottom="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780"/>
          </w:cols>
          <w:pgMar w:left="540" w:top="748" w:right="560" w:bottom="0" w:gutter="0" w:footer="0" w:header="0"/>
          <w:type w:val="continuous"/>
        </w:sectPr>
      </w:pPr>
    </w:p>
    <w:bookmarkStart w:id="48" w:name="page49"/>
    <w:bookmarkEnd w:id="48"/>
    <w:p>
      <w:pPr>
        <w:ind w:right="60"/>
        <w:spacing w:after="0" w:line="245" w:lineRule="auto"/>
        <w:rPr>
          <w:sz w:val="20"/>
          <w:szCs w:val="20"/>
          <w:color w:val="auto"/>
        </w:rPr>
      </w:pPr>
      <w:r>
        <w:rPr>
          <w:rFonts w:ascii="Times New Roman" w:cs="Times New Roman" w:eastAsia="Times New Roman" w:hAnsi="Times New Roman"/>
          <w:sz w:val="20"/>
          <w:szCs w:val="20"/>
          <w:color w:val="auto"/>
        </w:rPr>
        <w:t>candidates target, patient enrollment taking longer than anticipated or patient withdrawal. We will compete with other companies in enrolling the same limited population of patients, which may further challenge our ability to timely enroll patients in our clinical trials as there are a significant number of studies ongoing in oncology in the U.S. and Europe. Due to the small number of patients for any rare disease or tumor type, it may be difficult for us to enroll a sufficient number of patients in our clinical trials for our product candidates with indications in rare diseases or enrollment for these product candidates may take significantly longer than we anticipate. There are an estimated 50,000 and 60,000 persons in North America and Europe, respectively, with the genotypes that we could enroll in our clinical trials for AATD-LD, the target indication for alvelestat. However, due to underdiagnosis, there are estimated to be approximately 10,000 patients diagnosed in North America. Patient enrollment depends on many factors, including:</w:t>
      </w:r>
    </w:p>
    <w:p>
      <w:pPr>
        <w:spacing w:after="0" w:line="216" w:lineRule="exact"/>
        <w:rPr>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size and nature of the targeted patient population;</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severity of the disease or condition under investigation;</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and efficacy of approved therapies for the disease or condition under investigation;</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patient eligibility criteria for the trial in question as defined in the protocol;</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perceived risks and benefits of the product candidate under study;</w:t>
      </w:r>
    </w:p>
    <w:p>
      <w:pPr>
        <w:spacing w:after="0" w:line="253" w:lineRule="exact"/>
        <w:rPr>
          <w:rFonts w:ascii="Arial" w:cs="Arial" w:eastAsia="Arial" w:hAnsi="Arial"/>
          <w:sz w:val="20"/>
          <w:szCs w:val="20"/>
          <w:color w:val="auto"/>
        </w:rPr>
      </w:pPr>
    </w:p>
    <w:p>
      <w:pPr>
        <w:ind w:left="1080" w:hanging="360"/>
        <w:spacing w:after="0" w:line="259" w:lineRule="auto"/>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w:t>
      </w:r>
    </w:p>
    <w:p>
      <w:pPr>
        <w:spacing w:after="0" w:line="198"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efforts to facilitate timely enrollment in clinical trials;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patient referral practices of physicians;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proximity and availability of clinical trial sites for prospective patients;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continued enrollment of prospective patients by clinical trial sites; and</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patients enrolled in clinical trials will drop out of such trials before completion.</w:t>
      </w:r>
    </w:p>
    <w:p>
      <w:pPr>
        <w:spacing w:after="0" w:line="239"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These factors and others outside our control may make it difficult for us to enroll enough patients to complete our clinical trials in a timely and cost-effective manner. For example, the COVID-19 pandemic previously resulted in delays in our ability to enroll and treat patients and obtain data from clinical trials, particularly patients with severe AATD-LD.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w:t>
      </w:r>
    </w:p>
    <w:p>
      <w:pPr>
        <w:sectPr>
          <w:pgSz w:w="11880" w:h="15480" w:orient="portrait"/>
          <w:cols w:equalWidth="0" w:num="1">
            <w:col w:w="10780"/>
          </w:cols>
          <w:pgMar w:left="540" w:top="74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780"/>
          </w:cols>
          <w:pgMar w:left="540" w:top="748" w:right="560" w:bottom="0" w:gutter="0" w:footer="0" w:header="0"/>
          <w:type w:val="continuous"/>
        </w:sectPr>
      </w:pPr>
    </w:p>
    <w:bookmarkStart w:id="49" w:name="page50"/>
    <w:bookmarkEnd w:id="49"/>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66"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We are exposed to potential product liability and professional indemnity risks that are inherent in the development, manufacturing, marketing, and use of pharmaceutical product candidates. Currently, we have no product candidates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216" w:lineRule="exact"/>
        <w:rPr>
          <w:sz w:val="20"/>
          <w:szCs w:val="20"/>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our product candidates;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injury to our reputation;</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costs to defend related litigation;</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management’s time and our resources;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investigation, product recalls or withdrawals, or labeling, marketing or promotional restrictions;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 and</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co-commercialize or promote our product candidates.</w:t>
      </w:r>
    </w:p>
    <w:p>
      <w:pPr>
        <w:spacing w:after="0" w:line="239"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19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Although we maintain product liability insurance for our product candidates, it is possible that our liabilities could exceed our insurance coverage. We intend to expand our coverage to include the sale of commercial product candidates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0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84"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clinical development, manufacturing, labeling, storage, record-keeping, advertising, promotion, import, export, marketing and distribution of our product candidates are subject to extensive regulation by the FDA in the U.S. and by comparable foreign regulatory authorities in foreign markets, such as the EMA. In the U.S., we are not permitted to market our product candidates in the U.S. until we receive regulatory approval of a BLA or NDA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EMA and comparable foreign regulatory authorities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drugs in development, only a small percentage successfully complete the FDA or foreign regulatory approval processes and are commercialized.</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800"/>
          </w:cols>
          <w:pgMar w:left="540" w:top="750" w:right="540" w:bottom="0" w:gutter="0" w:footer="0" w:header="0"/>
          <w:type w:val="continuous"/>
        </w:sectPr>
      </w:pPr>
    </w:p>
    <w:bookmarkStart w:id="50" w:name="page51"/>
    <w:bookmarkEnd w:id="50"/>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Prior to obtaining approval to commercialize a product candidate in the U.S. or abroad, we must demonstrate with substantial evidence from adequate and well-controlled clinical trials, and to the satisfaction of the FDA or comparable foreign regulatory authorities, that such product candidates are safe and effective for their intended uses, and in the case of biological products, that such product candidates are safe, pure and potent. Results from nonclinical studies and clinical trials can be interpreted in different ways. Even if we believe available nonclinical or clinical data support the safety purity, potency, or efficacy, of our product candidates, such data may not be sufficient to obtain approval from the FDA and comparable foreign regulatory authorities. The FDA, EMA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202" w:lineRule="exact"/>
        <w:rPr>
          <w:sz w:val="20"/>
          <w:szCs w:val="20"/>
          <w:color w:val="auto"/>
        </w:rPr>
      </w:pPr>
    </w:p>
    <w:p>
      <w:pPr>
        <w:ind w:right="380" w:firstLine="720"/>
        <w:spacing w:after="0" w:line="279" w:lineRule="auto"/>
        <w:rPr>
          <w:sz w:val="20"/>
          <w:szCs w:val="20"/>
          <w:color w:val="auto"/>
        </w:rPr>
      </w:pPr>
      <w:r>
        <w:rPr>
          <w:rFonts w:ascii="Times New Roman" w:cs="Times New Roman" w:eastAsia="Times New Roman" w:hAnsi="Times New Roman"/>
          <w:sz w:val="20"/>
          <w:szCs w:val="20"/>
          <w:color w:val="auto"/>
        </w:rPr>
        <w:t>The FDA, EMA or comparable foreign regulatory authorities can delay, limit or deny approval of a product candidate for many reasons, including:</w:t>
      </w:r>
    </w:p>
    <w:p>
      <w:pPr>
        <w:spacing w:after="0" w:line="180" w:lineRule="exact"/>
        <w:rPr>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disagree with the design or execution of our clinical trials;</w:t>
      </w:r>
    </w:p>
    <w:p>
      <w:pPr>
        <w:spacing w:after="0" w:line="253" w:lineRule="exact"/>
        <w:rPr>
          <w:rFonts w:ascii="Arial" w:cs="Arial" w:eastAsia="Arial" w:hAnsi="Arial"/>
          <w:sz w:val="20"/>
          <w:szCs w:val="20"/>
          <w:color w:val="auto"/>
        </w:rPr>
      </w:pPr>
    </w:p>
    <w:p>
      <w:pPr>
        <w:ind w:left="1080" w:right="60" w:hanging="360"/>
        <w:spacing w:after="0" w:line="278" w:lineRule="auto"/>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negative or ambiguous results from our clinical trials or results may not meet the level of statistical significance required by the FDA, EMA or comparable foreign regulatory agencies for approval;</w:t>
      </w:r>
    </w:p>
    <w:p>
      <w:pPr>
        <w:spacing w:after="0" w:line="180" w:lineRule="exact"/>
        <w:rPr>
          <w:rFonts w:ascii="Arial" w:cs="Arial" w:eastAsia="Arial" w:hAnsi="Arial"/>
          <w:sz w:val="20"/>
          <w:szCs w:val="20"/>
          <w:color w:val="auto"/>
        </w:rPr>
      </w:pPr>
    </w:p>
    <w:p>
      <w:pPr>
        <w:ind w:left="1080" w:right="920" w:hanging="360"/>
        <w:spacing w:after="0" w:line="278" w:lineRule="auto"/>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serious and unexpected drug-related side effects may be experienced by participants in our clinical trials or by individuals using drugs similar to our product candidates;</w:t>
      </w:r>
    </w:p>
    <w:p>
      <w:pPr>
        <w:spacing w:after="0" w:line="180" w:lineRule="exact"/>
        <w:rPr>
          <w:rFonts w:ascii="Arial" w:cs="Arial" w:eastAsia="Arial" w:hAnsi="Arial"/>
          <w:sz w:val="20"/>
          <w:szCs w:val="20"/>
          <w:color w:val="auto"/>
        </w:rPr>
      </w:pPr>
    </w:p>
    <w:p>
      <w:pPr>
        <w:ind w:left="1080" w:right="520" w:hanging="360"/>
        <w:spacing w:after="0" w:line="278" w:lineRule="auto"/>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population studied in the clinical trial may not be sufficiently broad or representative to assure safety in the full population for which we seek approval;</w:t>
      </w:r>
    </w:p>
    <w:p>
      <w:pPr>
        <w:spacing w:after="0" w:line="180" w:lineRule="exact"/>
        <w:rPr>
          <w:rFonts w:ascii="Arial" w:cs="Arial" w:eastAsia="Arial" w:hAnsi="Arial"/>
          <w:sz w:val="20"/>
          <w:szCs w:val="20"/>
          <w:color w:val="auto"/>
        </w:rPr>
      </w:pPr>
    </w:p>
    <w:p>
      <w:pPr>
        <w:ind w:left="1080" w:right="160" w:hanging="360"/>
        <w:spacing w:after="0" w:line="278" w:lineRule="auto"/>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not accept clinical data from trials that are conducted at clinical facilities or in countries where the standard of care is potentially different from that of their own country;</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that a product candidate’s clinical and other benefits outweigh its safety risks;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disagree with our interpretation of data from preclinical studies or clinical trials;</w:t>
      </w:r>
    </w:p>
    <w:p>
      <w:pPr>
        <w:spacing w:after="0" w:line="253" w:lineRule="exact"/>
        <w:rPr>
          <w:rFonts w:ascii="Arial" w:cs="Arial" w:eastAsia="Arial" w:hAnsi="Arial"/>
          <w:sz w:val="20"/>
          <w:szCs w:val="20"/>
          <w:color w:val="auto"/>
        </w:rPr>
      </w:pPr>
    </w:p>
    <w:p>
      <w:pPr>
        <w:ind w:left="1080" w:right="240" w:hanging="360"/>
        <w:spacing w:after="0" w:line="279" w:lineRule="auto"/>
        <w:tabs>
          <w:tab w:leader="none" w:pos="108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such authorities may not agree that the data collected from clinical trials of our product candidates are acceptable or sufficient to support the submission of a BLA, NDA, MAA or other submission or to obtain regulatory approval in the U.S. or elsewhere, and such authorities may impose requirements for additional preclinical studies or clinical trials;</w:t>
      </w:r>
    </w:p>
    <w:p>
      <w:pPr>
        <w:spacing w:after="0" w:line="181" w:lineRule="exact"/>
        <w:rPr>
          <w:rFonts w:ascii="Arial" w:cs="Arial" w:eastAsia="Arial" w:hAnsi="Arial"/>
          <w:sz w:val="19"/>
          <w:szCs w:val="19"/>
          <w:color w:val="auto"/>
        </w:rPr>
      </w:pPr>
    </w:p>
    <w:p>
      <w:pPr>
        <w:ind w:left="1080" w:hanging="360"/>
        <w:spacing w:after="0" w:line="278" w:lineRule="auto"/>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disagree with us regarding the formulation, labeling and/or the product specifications of our product candidates;</w:t>
      </w:r>
    </w:p>
    <w:p>
      <w:pPr>
        <w:spacing w:after="0" w:line="180" w:lineRule="exact"/>
        <w:rPr>
          <w:rFonts w:ascii="Arial" w:cs="Arial" w:eastAsia="Arial" w:hAnsi="Arial"/>
          <w:sz w:val="20"/>
          <w:szCs w:val="20"/>
          <w:color w:val="auto"/>
        </w:rPr>
      </w:pPr>
    </w:p>
    <w:p>
      <w:pPr>
        <w:ind w:left="1080" w:right="420" w:hanging="360"/>
        <w:spacing w:after="0" w:line="278" w:lineRule="auto"/>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approval may be granted only for indications that are significantly more limited than those sought by us, and/or may include significant restrictions on distribution and use;</w:t>
      </w:r>
    </w:p>
    <w:p>
      <w:pPr>
        <w:spacing w:after="0" w:line="180" w:lineRule="exact"/>
        <w:rPr>
          <w:rFonts w:ascii="Arial" w:cs="Arial" w:eastAsia="Arial" w:hAnsi="Arial"/>
          <w:sz w:val="20"/>
          <w:szCs w:val="20"/>
          <w:color w:val="auto"/>
        </w:rPr>
      </w:pPr>
    </w:p>
    <w:p>
      <w:pPr>
        <w:ind w:left="1080" w:right="180" w:hanging="360"/>
        <w:spacing w:after="0" w:line="278" w:lineRule="auto"/>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find deficiencies in the manufacturing processes or facilities of the third-party manufacturers with which we contract for clinical and commercial supplies; or</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not accept a submission due to, among other reasons, the content or formatting of the submission.</w:t>
      </w:r>
    </w:p>
    <w:p>
      <w:pPr>
        <w:spacing w:after="0" w:line="239" w:lineRule="exact"/>
        <w:rPr>
          <w:sz w:val="20"/>
          <w:szCs w:val="20"/>
          <w:color w:val="auto"/>
        </w:rPr>
      </w:pPr>
    </w:p>
    <w:p>
      <w:pPr>
        <w:ind w:right="540" w:firstLine="720"/>
        <w:spacing w:after="0" w:line="279" w:lineRule="auto"/>
        <w:rPr>
          <w:sz w:val="20"/>
          <w:szCs w:val="20"/>
          <w:color w:val="auto"/>
        </w:rPr>
      </w:pPr>
      <w:r>
        <w:rPr>
          <w:rFonts w:ascii="Times New Roman" w:cs="Times New Roman" w:eastAsia="Times New Roman" w:hAnsi="Times New Roman"/>
          <w:sz w:val="20"/>
          <w:szCs w:val="20"/>
          <w:color w:val="auto"/>
        </w:rPr>
        <w:t>With respect to foreign markets, approval procedures vary among countries and, in addition to the foregoing risks, may involve additional product testing, administrative review periods and agreements with pricing authorities.</w:t>
      </w:r>
    </w:p>
    <w:p>
      <w:pPr>
        <w:spacing w:after="0" w:line="165" w:lineRule="exact"/>
        <w:rPr>
          <w:sz w:val="20"/>
          <w:szCs w:val="20"/>
          <w:color w:val="auto"/>
        </w:rPr>
      </w:pPr>
    </w:p>
    <w:p>
      <w:pPr>
        <w:ind w:right="280" w:firstLine="720"/>
        <w:spacing w:after="0" w:line="247" w:lineRule="auto"/>
        <w:rPr>
          <w:sz w:val="20"/>
          <w:szCs w:val="20"/>
          <w:color w:val="auto"/>
        </w:rPr>
      </w:pPr>
      <w:r>
        <w:rPr>
          <w:rFonts w:ascii="Times New Roman" w:cs="Times New Roman" w:eastAsia="Times New Roman" w:hAnsi="Times New Roman"/>
          <w:sz w:val="20"/>
          <w:szCs w:val="20"/>
          <w:color w:val="auto"/>
        </w:rPr>
        <w:t>Even if we eventually complete clinical trials and receive approval of a BLA, NDA, MAA or comparable marketing application for our product candidates, the FDA or a comparable regulatory authority may grant approval contingent on the performance of costly additional clinical trials and/or the implementation of a REMS, which may be required because the FDA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w:t>
      </w:r>
    </w:p>
    <w:p>
      <w:pPr>
        <w:spacing w:after="0" w:line="200"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20"/>
          <w:szCs w:val="20"/>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EC in November 2020. The EC’s proposal for revision of several</w:t>
      </w:r>
    </w:p>
    <w:p>
      <w:pPr>
        <w:sectPr>
          <w:pgSz w:w="11880" w:h="15480" w:orient="portrait"/>
          <w:cols w:equalWidth="0" w:num="1">
            <w:col w:w="10800"/>
          </w:cols>
          <w:pgMar w:left="540" w:top="748" w:right="540" w:bottom="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800"/>
          </w:cols>
          <w:pgMar w:left="540" w:top="748" w:right="540" w:bottom="0" w:gutter="0" w:footer="0" w:header="0"/>
          <w:type w:val="continuous"/>
        </w:sectPr>
      </w:pPr>
    </w:p>
    <w:bookmarkStart w:id="51" w:name="page52"/>
    <w:bookmarkEnd w:id="51"/>
    <w:p>
      <w:pPr>
        <w:ind w:right="60"/>
        <w:spacing w:after="0" w:line="249" w:lineRule="auto"/>
        <w:rPr>
          <w:sz w:val="20"/>
          <w:szCs w:val="20"/>
          <w:color w:val="auto"/>
        </w:rPr>
      </w:pPr>
      <w:r>
        <w:rPr>
          <w:rFonts w:ascii="Times New Roman" w:cs="Times New Roman" w:eastAsia="Times New Roman" w:hAnsi="Times New Roman"/>
          <w:sz w:val="20"/>
          <w:szCs w:val="20"/>
          <w:color w:val="auto"/>
        </w:rPr>
        <w:t>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biopharmaceutical industry in the long term.</w:t>
      </w:r>
    </w:p>
    <w:p>
      <w:pPr>
        <w:spacing w:after="0" w:line="19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19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We may in the future seek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20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FDA new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spacing w:after="0" w:line="202"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or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20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and other government agencies funding shortages, staffing limitations or other factors could hinder their ability to hire and retain key leadership and other personnel, delay or prevent new products from being developed or commercialized in a timely manner, or otherwise prevent those agencies from performing normal business functions on which the operation of our business may rely, which could negatively impact our business.</w:t>
      </w:r>
    </w:p>
    <w:p>
      <w:pPr>
        <w:spacing w:after="0" w:line="192" w:lineRule="exact"/>
        <w:rPr>
          <w:sz w:val="20"/>
          <w:szCs w:val="20"/>
          <w:color w:val="auto"/>
        </w:rPr>
      </w:pPr>
    </w:p>
    <w:p>
      <w:pPr>
        <w:ind w:right="420" w:firstLine="720"/>
        <w:spacing w:after="0" w:line="247" w:lineRule="auto"/>
        <w:rPr>
          <w:sz w:val="20"/>
          <w:szCs w:val="20"/>
          <w:color w:val="auto"/>
        </w:rPr>
      </w:pPr>
      <w:r>
        <w:rPr>
          <w:rFonts w:ascii="Times New Roman" w:cs="Times New Roman" w:eastAsia="Times New Roman" w:hAnsi="Times New Roman"/>
          <w:sz w:val="20"/>
          <w:szCs w:val="20"/>
          <w:color w:val="auto"/>
        </w:rPr>
        <w:t>The ability of the FDA to operate, including to review and approve new products, provide feedback on clinical trials and development programs, meet with sponsors and otherwise review regulatory submissions can be affected by a variety of factors, including government budget and funding levels, ability to hire and retain key personnel and accept the payment of user fees and statutory, regulatory, and policy changes, including as a result of shifting policy among other factors. Average review times at the FDA and other government agencies may fluctuate as a result. In addition, government funding of other government agencies on which our operations may rely is subject to the political process, which is inherently fluid and unpredictable.</w:t>
      </w:r>
    </w:p>
    <w:p>
      <w:pPr>
        <w:spacing w:after="0" w:line="200"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20"/>
          <w:szCs w:val="20"/>
          <w:color w:val="auto"/>
        </w:rPr>
        <w:t>Disruptions at the FDA and other agencies may also slow the time necessary for new drugs to be reviewed and/or approved by necessary government agencies or to otherwise respond to regulatory submissions, which would adversely affect our business. In</w:t>
      </w:r>
    </w:p>
    <w:p>
      <w:pPr>
        <w:sectPr>
          <w:pgSz w:w="11880" w:h="15480" w:orient="portrait"/>
          <w:cols w:equalWidth="0" w:num="1">
            <w:col w:w="10800"/>
          </w:cols>
          <w:pgMar w:left="540" w:top="748" w:right="540" w:bottom="0"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800"/>
          </w:cols>
          <w:pgMar w:left="540" w:top="748" w:right="540" w:bottom="0" w:gutter="0" w:footer="0" w:header="0"/>
          <w:type w:val="continuous"/>
        </w:sectPr>
      </w:pPr>
    </w:p>
    <w:bookmarkStart w:id="52" w:name="page53"/>
    <w:bookmarkEnd w:id="52"/>
    <w:p>
      <w:pPr>
        <w:ind w:right="160"/>
        <w:spacing w:after="0" w:line="249" w:lineRule="auto"/>
        <w:rPr>
          <w:sz w:val="20"/>
          <w:szCs w:val="20"/>
          <w:color w:val="auto"/>
        </w:rPr>
      </w:pPr>
      <w:r>
        <w:rPr>
          <w:rFonts w:ascii="Times New Roman" w:cs="Times New Roman" w:eastAsia="Times New Roman" w:hAnsi="Times New Roman"/>
          <w:sz w:val="20"/>
          <w:szCs w:val="20"/>
          <w:color w:val="auto"/>
        </w:rPr>
        <w:t>recent years, the U.S. government has shut down multiple times and certain regulatory agencies, such as the FDA, have had to furlough critical FDA and other government employees and stop critical activities. If a prolonged government shutdown occurs, or if staffing shortages, funding limitations or similar factors prevent the FDA and other government agencies from conducting their regular activities, it could significantly impact the ability of the FDA or such other governmental agencies to timely review and process our regulatory submissions, which could have a material adverse effect on our business.</w:t>
      </w:r>
    </w:p>
    <w:p>
      <w:pPr>
        <w:spacing w:after="0" w:line="198"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w:t>
      </w:r>
    </w:p>
    <w:p>
      <w:pPr>
        <w:spacing w:after="0" w:line="19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If the FDA or a comparable foreign regulatory authority approves any of our product candidates, the manufacturing processes, labeling, packaging, distribution, adverse event reporting, storage, advertising, promotion, and recordkeeping for such product will be subject to extensive and ongoing regulatory requirements. These requirements include submissions of safety and other post-marketing information and reports, facility registration, and drug listing, as well as continued compliance with cGMP or similar foreign requirements for manufacturing, good distribution practice, requirements for product distribution, and GCP requirements for any clinical trials that we conduct post-approval, all of which may result in significant expense and limit our ability to commercialize, or co-commercialize, a product. We and our contract manufacturers will also be subject to user fees and periodic inspection by the FDA, and other comparable foreign regulatory authorities to monitor compliance with these requirements and the terms of any product approval we may obtain. In addition, any regulatory approvals that we receive for a product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206"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216" w:lineRule="exact"/>
        <w:rPr>
          <w:sz w:val="20"/>
          <w:szCs w:val="20"/>
          <w:color w:val="auto"/>
        </w:rPr>
      </w:pPr>
    </w:p>
    <w:p>
      <w:pPr>
        <w:ind w:left="1080" w:right="180" w:hanging="360"/>
        <w:spacing w:after="0" w:line="278" w:lineRule="auto"/>
        <w:tabs>
          <w:tab w:leader="none" w:pos="10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our products, withdrawal of the product from the market or voluntary or mandatory product recalls;</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product distribution or use, or requirements to conduct post-marketing studies or clinical trials;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fines, restitutions, disgorgement of profits or revenues, warning letters, untitled letters or holds on clinical trials;</w:t>
      </w:r>
    </w:p>
    <w:p>
      <w:pPr>
        <w:spacing w:after="0" w:line="253" w:lineRule="exact"/>
        <w:rPr>
          <w:rFonts w:ascii="Arial" w:cs="Arial" w:eastAsia="Arial" w:hAnsi="Arial"/>
          <w:sz w:val="20"/>
          <w:szCs w:val="20"/>
          <w:color w:val="auto"/>
        </w:rPr>
      </w:pPr>
    </w:p>
    <w:p>
      <w:pPr>
        <w:ind w:left="1080" w:right="620" w:hanging="360"/>
        <w:spacing w:after="0" w:line="278" w:lineRule="auto"/>
        <w:tabs>
          <w:tab w:leader="none" w:pos="10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refusal by the FDA or comparable foreign regulatory authority to approve pending applications or supplements to approved applications submitted by us or suspension or revocation of approvals;</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our products; and</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39" w:lineRule="exact"/>
        <w:rPr>
          <w:sz w:val="20"/>
          <w:szCs w:val="20"/>
          <w:color w:val="auto"/>
        </w:rPr>
      </w:pPr>
    </w:p>
    <w:p>
      <w:pPr>
        <w:ind w:right="120" w:firstLine="720"/>
        <w:spacing w:after="0" w:line="307" w:lineRule="auto"/>
        <w:rPr>
          <w:sz w:val="20"/>
          <w:szCs w:val="20"/>
          <w:color w:val="auto"/>
        </w:rPr>
      </w:pPr>
      <w:r>
        <w:rPr>
          <w:rFonts w:ascii="Times New Roman" w:cs="Times New Roman" w:eastAsia="Times New Roman" w:hAnsi="Times New Roman"/>
          <w:sz w:val="19"/>
          <w:szCs w:val="19"/>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41"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the U.K., EU, or other jurisdictions.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800"/>
          </w:cols>
          <w:pgMar w:left="540" w:top="748" w:right="540" w:bottom="0" w:gutter="0" w:footer="0" w:header="0"/>
          <w:type w:val="continuous"/>
        </w:sectPr>
      </w:pPr>
    </w:p>
    <w:bookmarkStart w:id="53" w:name="page54"/>
    <w:bookmarkEnd w:id="53"/>
    <w:p>
      <w:pPr>
        <w:jc w:val="both"/>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Even if we obtain marketing approval of any of our product candidates in a major pharmaceutical market such as the U.S. or the EU, we may not be able to obtain approval or commercialize that product in other markets, which would limit our ability to realize our full market potential.</w:t>
      </w:r>
    </w:p>
    <w:p>
      <w:pPr>
        <w:spacing w:after="0" w:line="176" w:lineRule="exact"/>
        <w:rPr>
          <w:sz w:val="20"/>
          <w:szCs w:val="20"/>
          <w:color w:val="auto"/>
        </w:rPr>
      </w:pPr>
    </w:p>
    <w:p>
      <w:pPr>
        <w:ind w:firstLine="720"/>
        <w:spacing w:after="0" w:line="233" w:lineRule="auto"/>
        <w:rPr>
          <w:sz w:val="20"/>
          <w:szCs w:val="20"/>
          <w:color w:val="auto"/>
        </w:rPr>
      </w:pPr>
      <w:r>
        <w:rPr>
          <w:rFonts w:ascii="Times New Roman" w:cs="Times New Roman" w:eastAsia="Times New Roman" w:hAnsi="Times New Roman"/>
          <w:sz w:val="20"/>
          <w:szCs w:val="20"/>
          <w:color w:val="auto"/>
        </w:rPr>
        <w:t>In order to market any product candidates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may be subject to unanticipated delays. In addition, our failure to obtain regulatory approval in any country may delay or have negative effects on the process for regulatory approval in other countries. We currently do not have any product candidates approved for sale in the U.S., the EU, the U.K. or any other markets, and our management team does not have experience in obtaining regulatory approval in markets outside of the U.S., the EU and the U.K.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201"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192" w:lineRule="exact"/>
        <w:rPr>
          <w:sz w:val="20"/>
          <w:szCs w:val="20"/>
          <w:color w:val="auto"/>
        </w:rPr>
      </w:pPr>
    </w:p>
    <w:p>
      <w:pPr>
        <w:ind w:right="60" w:firstLine="720"/>
        <w:spacing w:after="0" w:line="232" w:lineRule="auto"/>
        <w:rPr>
          <w:sz w:val="20"/>
          <w:szCs w:val="20"/>
          <w:color w:val="auto"/>
        </w:rPr>
      </w:pPr>
      <w:r>
        <w:rPr>
          <w:rFonts w:ascii="Times New Roman" w:cs="Times New Roman" w:eastAsia="Times New Roman" w:hAnsi="Times New Roman"/>
          <w:sz w:val="20"/>
          <w:szCs w:val="20"/>
          <w:color w:val="auto"/>
        </w:rPr>
        <w:t>Misconduct by our employees and independent contractors, including principal investigators, CROs, CMOs, consultants, vendors, and any other third parties we may engage in connection with the development and commercialization of our product candidates,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We are also subject to the data privacy regime in the EU and U.K., which imposes obligations and restrictions on the collection and use of personal data relating to individuals located in the EU and U.K., respectively. If we do not comply with our obligations under these privacy regimes, we could be exposed to significant fines and may be the subject of litigation and/or adverse publicity, which could have a material adverse effect on our reputation and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Healthcare Laws and Other Legal Compliance Matters</w:t>
      </w:r>
    </w:p>
    <w:p>
      <w:pPr>
        <w:spacing w:after="0" w:line="235" w:lineRule="exact"/>
        <w:rPr>
          <w:sz w:val="20"/>
          <w:szCs w:val="20"/>
          <w:color w:val="auto"/>
        </w:rPr>
      </w:pPr>
    </w:p>
    <w:p>
      <w:pPr>
        <w:ind w:right="8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166" w:lineRule="exact"/>
        <w:rPr>
          <w:sz w:val="20"/>
          <w:szCs w:val="20"/>
          <w:color w:val="auto"/>
        </w:rPr>
      </w:pPr>
    </w:p>
    <w:p>
      <w:pPr>
        <w:ind w:right="80" w:firstLine="720"/>
        <w:spacing w:after="0" w:line="237" w:lineRule="auto"/>
        <w:rPr>
          <w:sz w:val="20"/>
          <w:szCs w:val="20"/>
          <w:color w:val="auto"/>
        </w:rPr>
      </w:pPr>
      <w:r>
        <w:rPr>
          <w:rFonts w:ascii="Times New Roman" w:cs="Times New Roman" w:eastAsia="Times New Roman" w:hAnsi="Times New Roman"/>
          <w:sz w:val="20"/>
          <w:szCs w:val="20"/>
          <w:color w:val="auto"/>
        </w:rPr>
        <w:t>In the U.S., EU, the U.K.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 and private insurers. Among the provisions of the ACA, those of greatest importance to the pharmaceutical and biotechnology industries include the following:</w:t>
      </w:r>
    </w:p>
    <w:p>
      <w:pPr>
        <w:sectPr>
          <w:pgSz w:w="11880" w:h="15480" w:orient="portrait"/>
          <w:cols w:equalWidth="0" w:num="1">
            <w:col w:w="10800"/>
          </w:cols>
          <w:pgMar w:left="540" w:top="750" w:right="540" w:bottom="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800"/>
          </w:cols>
          <w:pgMar w:left="540" w:top="750" w:right="540" w:bottom="0" w:gutter="0" w:footer="0" w:header="0"/>
          <w:type w:val="continuous"/>
        </w:sectPr>
      </w:pPr>
    </w:p>
    <w:bookmarkStart w:id="54" w:name="page55"/>
    <w:bookmarkEnd w:id="54"/>
    <w:p>
      <w:pPr>
        <w:ind w:left="1080" w:right="100" w:hanging="360"/>
        <w:spacing w:after="0" w:line="249"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206" w:lineRule="exact"/>
        <w:rPr>
          <w:rFonts w:ascii="Arial" w:cs="Arial" w:eastAsia="Arial" w:hAnsi="Arial"/>
          <w:sz w:val="20"/>
          <w:szCs w:val="20"/>
          <w:color w:val="auto"/>
        </w:rPr>
      </w:pPr>
    </w:p>
    <w:p>
      <w:pPr>
        <w:ind w:left="1080" w:right="480" w:hanging="360"/>
        <w:spacing w:after="0" w:line="278"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an increase in the statutory minimum rebates a manufacturer must pay under the Medicaid Drug Rebate Program to 23.1% and 13.0% of the average manufacturer price of branded and generic drugs, respectively;</w:t>
      </w:r>
    </w:p>
    <w:p>
      <w:pPr>
        <w:spacing w:after="0" w:line="180" w:lineRule="exact"/>
        <w:rPr>
          <w:rFonts w:ascii="Arial" w:cs="Arial" w:eastAsia="Arial" w:hAnsi="Arial"/>
          <w:sz w:val="20"/>
          <w:szCs w:val="20"/>
          <w:color w:val="auto"/>
        </w:rPr>
      </w:pPr>
    </w:p>
    <w:p>
      <w:pPr>
        <w:ind w:left="1080" w:right="340" w:hanging="360"/>
        <w:spacing w:after="0" w:line="278"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 methodology by which rebates owed by manufacturers under the Medicaid Drug Rebate Program are calculated for drugs and biologics, including our product candidates, that are inhaled, infused, instilled, implanted, or injected;</w:t>
      </w:r>
    </w:p>
    <w:p>
      <w:pPr>
        <w:spacing w:after="0" w:line="180" w:lineRule="exact"/>
        <w:rPr>
          <w:rFonts w:ascii="Arial" w:cs="Arial" w:eastAsia="Arial" w:hAnsi="Arial"/>
          <w:sz w:val="20"/>
          <w:szCs w:val="20"/>
          <w:color w:val="auto"/>
        </w:rPr>
      </w:pPr>
    </w:p>
    <w:p>
      <w:pPr>
        <w:ind w:left="1080" w:right="360" w:hanging="360"/>
        <w:spacing w:after="0" w:line="278"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extension of a manufacturer’s Medicaid rebate liability to covered drugs dispensed to individuals who are enrolled in Medicaid managed care organizations;</w:t>
      </w:r>
    </w:p>
    <w:p>
      <w:pPr>
        <w:spacing w:after="0" w:line="180" w:lineRule="exact"/>
        <w:rPr>
          <w:rFonts w:ascii="Arial" w:cs="Arial" w:eastAsia="Arial" w:hAnsi="Arial"/>
          <w:sz w:val="20"/>
          <w:szCs w:val="20"/>
          <w:color w:val="auto"/>
        </w:rPr>
      </w:pPr>
    </w:p>
    <w:p>
      <w:pPr>
        <w:ind w:left="1080" w:right="60" w:hanging="360"/>
        <w:spacing w:after="0" w:line="259"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98" w:lineRule="exact"/>
        <w:rPr>
          <w:rFonts w:ascii="Arial" w:cs="Arial" w:eastAsia="Arial" w:hAnsi="Arial"/>
          <w:sz w:val="20"/>
          <w:szCs w:val="20"/>
          <w:color w:val="auto"/>
        </w:rPr>
      </w:pPr>
    </w:p>
    <w:p>
      <w:pPr>
        <w:ind w:left="1080" w:right="580" w:hanging="360"/>
        <w:spacing w:after="0" w:line="278"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 Patient-Centered Outcomes Research Institute to oversee, identify priorities in, and conduct comparative clinical effectiveness research, along with funding for such research;</w:t>
      </w:r>
    </w:p>
    <w:p>
      <w:pPr>
        <w:spacing w:after="0" w:line="180" w:lineRule="exact"/>
        <w:rPr>
          <w:rFonts w:ascii="Arial" w:cs="Arial" w:eastAsia="Arial" w:hAnsi="Arial"/>
          <w:sz w:val="20"/>
          <w:szCs w:val="20"/>
          <w:color w:val="auto"/>
        </w:rPr>
      </w:pPr>
    </w:p>
    <w:p>
      <w:pPr>
        <w:ind w:left="1080" w:right="400" w:hanging="360"/>
        <w:spacing w:after="0" w:line="306" w:lineRule="auto"/>
        <w:tabs>
          <w:tab w:leader="none" w:pos="108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establishment of a Center for Medicare and Medicaid Innovation at the CMS, to test innovative payment and service delivery models to lower Medicare and Medicaid spending, potentially including prescription drug spending;</w:t>
      </w:r>
    </w:p>
    <w:p>
      <w:pPr>
        <w:spacing w:after="0" w:line="156" w:lineRule="exact"/>
        <w:rPr>
          <w:rFonts w:ascii="Arial" w:cs="Arial" w:eastAsia="Arial" w:hAnsi="Arial"/>
          <w:sz w:val="19"/>
          <w:szCs w:val="19"/>
          <w:color w:val="auto"/>
        </w:rPr>
      </w:pPr>
    </w:p>
    <w:p>
      <w:pPr>
        <w:ind w:left="1080" w:hanging="360"/>
        <w:spacing w:after="0"/>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expansion of the entities eligible for discounts under the Public Health Service program; and</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 licensure framework for follow on biologic product candidates.</w:t>
      </w:r>
    </w:p>
    <w:p>
      <w:pPr>
        <w:spacing w:after="0" w:line="23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In addition, other legislative changes have been proposed and adopted since the ACA was enacted. For example, on March 11, 2021, President Biden signed the American Rescue Plan Act of 2021 into law, which eliminated the statutory Medicaid drug rebate cap, beginning January 1, 2024. The rebate was previously capped at 100% of a drug’s average manufacturer price.</w:t>
      </w:r>
    </w:p>
    <w:p>
      <w:pPr>
        <w:spacing w:after="0" w:line="200"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Moreover, heightened governmental scrutiny is likely to continue over the manner in which manufacturers set prices for their marketed products, which has resulted in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or HHS, to implement many of these provisions through guidance, as opposed to regulation, for the initial years. HHS has issued and will continue to issue guidance implementing the IRA. 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the pharmaceutical industry cannot yet be fully determined, it is likely to be significant. We expect that additional U.S. federal healthcare reform measures will be adopted in the future, any of which could limit the amounts that the U.S. federal government will pay for healthcare product candidates and services, which could result in reduced demand for our product candidates or additional pricing pressures.</w:t>
      </w:r>
    </w:p>
    <w:p>
      <w:pPr>
        <w:spacing w:after="0" w:line="207"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Individual states in the U.S.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Legally-mandated price controls on payment amounts by third-party payors or other restrictions could harm our business, results of operations, financial condition, and prospects. In addition, regional healthcare authorities and individual hospitals are</w:t>
      </w:r>
    </w:p>
    <w:p>
      <w:pPr>
        <w:sectPr>
          <w:pgSz w:w="11880" w:h="15480" w:orient="portrait"/>
          <w:cols w:equalWidth="0" w:num="1">
            <w:col w:w="10800"/>
          </w:cols>
          <w:pgMar w:left="540" w:top="755" w:right="540" w:bottom="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800"/>
          </w:cols>
          <w:pgMar w:left="540" w:top="755" w:right="540" w:bottom="0" w:gutter="0" w:footer="0" w:header="0"/>
          <w:type w:val="continuous"/>
        </w:sectPr>
      </w:pPr>
    </w:p>
    <w:bookmarkStart w:id="55" w:name="page56"/>
    <w:bookmarkEnd w:id="55"/>
    <w:p>
      <w:pPr>
        <w:ind w:right="220"/>
        <w:spacing w:after="0" w:line="259" w:lineRule="auto"/>
        <w:rPr>
          <w:sz w:val="20"/>
          <w:szCs w:val="20"/>
          <w:color w:val="auto"/>
        </w:rPr>
      </w:pPr>
      <w:r>
        <w:rPr>
          <w:rFonts w:ascii="Times New Roman" w:cs="Times New Roman" w:eastAsia="Times New Roman" w:hAnsi="Times New Roman"/>
          <w:sz w:val="20"/>
          <w:szCs w:val="20"/>
          <w:color w:val="auto"/>
        </w:rPr>
        <w:t>increasingly using bidding procedures to determine what pharmaceutical product candidates and which suppliers will be included in their prescription drug and other healthcare programs. This could reduce the ultimate demand for our product candidates or put pressure on our product pricing.</w:t>
      </w:r>
    </w:p>
    <w:p>
      <w:pPr>
        <w:spacing w:after="0" w:line="185"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In the EU and U.K., similar political, economic and regulatory developments may affect our ability to profitably commercialize, or co-commercialize, our product candidates, if approved. In addition to continuing pressure on prices and cost containment measures, legislative developments at the EU member state level or in the U.K.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 candidates in that context. In general, however, the healthcare budgetary constraints in most EU member states have resulted in restrictions on the pricing and reimbursement of medicines by relevant health service providers. Coupled with ever- increasing EU and national regulatory burdens on those wishing to develop and market product candidates, this could prevent or delay marketing approval of our product candidates, restrict or regulate post-approval activities and affect our ability to commercialize, or co-commercialize, our product candidates, if approved.</w:t>
      </w:r>
    </w:p>
    <w:p>
      <w:pPr>
        <w:spacing w:after="0" w:line="20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On December 13, 2021, EU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oncology and advanced therapy medicinal products (“ATMPs”) as of 2025, orphan medicinal products as of 2028 and 2030 for all other medicinal products. This Regulation intends to boost cooperation among EU member states in assessing health technologies, including new medicinal products, and provide the basis for cooperation at the EU level for joint clinical assessments in these areas, using methodologies adapted to the specificities of the type of product in question.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06" w:lineRule="exact"/>
        <w:rPr>
          <w:sz w:val="20"/>
          <w:szCs w:val="20"/>
          <w:color w:val="auto"/>
        </w:rPr>
      </w:pPr>
    </w:p>
    <w:p>
      <w:pPr>
        <w:ind w:right="300" w:firstLine="720"/>
        <w:spacing w:after="0" w:line="279" w:lineRule="auto"/>
        <w:rPr>
          <w:sz w:val="20"/>
          <w:szCs w:val="20"/>
          <w:color w:val="auto"/>
        </w:rPr>
      </w:pPr>
      <w:r>
        <w:rPr>
          <w:rFonts w:ascii="Times New Roman" w:cs="Times New Roman" w:eastAsia="Times New Roman" w:hAnsi="Times New Roman"/>
          <w:sz w:val="20"/>
          <w:szCs w:val="20"/>
          <w:color w:val="auto"/>
        </w:rPr>
        <w:t>In markets outside of the U.S., the EU and the U.K., reimbursement and healthcare payment systems vary significantly by country, and many countries have instituted price ceilings on specific product candidates and therapies.</w:t>
      </w:r>
    </w:p>
    <w:p>
      <w:pPr>
        <w:spacing w:after="0" w:line="165"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We cannot predict the likelihood, nature, or extent of government regulation that may arise from future legislation or administrative action in the U.S., the EU, the U.K.,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97"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There have been, and likely will continue to be, additional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w:t>
      </w:r>
    </w:p>
    <w:p>
      <w:pPr>
        <w:spacing w:after="0" w:line="19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84"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205" w:lineRule="exact"/>
        <w:rPr>
          <w:sz w:val="20"/>
          <w:szCs w:val="20"/>
          <w:color w:val="auto"/>
        </w:rPr>
      </w:pPr>
    </w:p>
    <w:p>
      <w:pPr>
        <w:ind w:left="1080" w:right="40" w:hanging="360"/>
        <w:spacing w:after="0" w:line="261" w:lineRule="auto"/>
        <w:tabs>
          <w:tab w:leader="none" w:pos="108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w:t>
      </w:r>
    </w:p>
    <w:p>
      <w:pPr>
        <w:sectPr>
          <w:pgSz w:w="11880" w:h="15480" w:orient="portrait"/>
          <w:cols w:equalWidth="0" w:num="1">
            <w:col w:w="10780"/>
          </w:cols>
          <w:pgMar w:left="540" w:top="748" w:right="560" w:bottom="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780"/>
          </w:cols>
          <w:pgMar w:left="540" w:top="748" w:right="560" w:bottom="0" w:gutter="0" w:footer="0" w:header="0"/>
          <w:type w:val="continuous"/>
        </w:sectPr>
      </w:pPr>
    </w:p>
    <w:bookmarkStart w:id="56" w:name="page57"/>
    <w:bookmarkEnd w:id="56"/>
    <w:p>
      <w:pPr>
        <w:ind w:left="1080" w:right="440"/>
        <w:spacing w:after="0" w:line="279" w:lineRule="auto"/>
        <w:rPr>
          <w:sz w:val="20"/>
          <w:szCs w:val="20"/>
          <w:color w:val="auto"/>
        </w:rPr>
      </w:pPr>
      <w:r>
        <w:rPr>
          <w:rFonts w:ascii="Times New Roman" w:cs="Times New Roman" w:eastAsia="Times New Roman" w:hAnsi="Times New Roman"/>
          <w:sz w:val="20"/>
          <w:szCs w:val="20"/>
          <w:color w:val="auto"/>
        </w:rPr>
        <w:t>between pharmaceutical manufacturers on the one hand and prescribers, purchasers, and formulary managers on the other hand;</w:t>
      </w:r>
    </w:p>
    <w:p>
      <w:pPr>
        <w:spacing w:after="0" w:line="180" w:lineRule="exact"/>
        <w:rPr>
          <w:sz w:val="20"/>
          <w:szCs w:val="20"/>
          <w:color w:val="auto"/>
        </w:rPr>
      </w:pPr>
    </w:p>
    <w:p>
      <w:pPr>
        <w:ind w:left="1080" w:hanging="360"/>
        <w:spacing w:after="0" w:line="243" w:lineRule="auto"/>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U.S. federal false claims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221" w:lineRule="exact"/>
        <w:rPr>
          <w:rFonts w:ascii="Arial" w:cs="Arial" w:eastAsia="Arial" w:hAnsi="Arial"/>
          <w:sz w:val="20"/>
          <w:szCs w:val="20"/>
          <w:color w:val="auto"/>
        </w:rPr>
      </w:pPr>
    </w:p>
    <w:p>
      <w:pPr>
        <w:ind w:left="1080" w:right="120" w:hanging="360"/>
        <w:spacing w:after="0" w:line="245" w:lineRule="auto"/>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15" w:lineRule="exact"/>
        <w:rPr>
          <w:rFonts w:ascii="Arial" w:cs="Arial" w:eastAsia="Arial" w:hAnsi="Arial"/>
          <w:sz w:val="20"/>
          <w:szCs w:val="20"/>
          <w:color w:val="auto"/>
        </w:rPr>
      </w:pPr>
    </w:p>
    <w:p>
      <w:pPr>
        <w:ind w:left="1080" w:hanging="360"/>
        <w:spacing w:after="0" w:line="245" w:lineRule="auto"/>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as well as ownership and investment interests held by the physicians described above and their immediate family members;</w:t>
      </w:r>
    </w:p>
    <w:p>
      <w:pPr>
        <w:spacing w:after="0" w:line="215" w:lineRule="exact"/>
        <w:rPr>
          <w:rFonts w:ascii="Arial" w:cs="Arial" w:eastAsia="Arial" w:hAnsi="Arial"/>
          <w:sz w:val="20"/>
          <w:szCs w:val="20"/>
          <w:color w:val="auto"/>
        </w:rPr>
      </w:pPr>
    </w:p>
    <w:p>
      <w:pPr>
        <w:ind w:left="1080" w:hanging="360"/>
        <w:spacing w:after="0" w:line="245" w:lineRule="auto"/>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215" w:lineRule="exact"/>
        <w:rPr>
          <w:rFonts w:ascii="Arial" w:cs="Arial" w:eastAsia="Arial" w:hAnsi="Arial"/>
          <w:sz w:val="20"/>
          <w:szCs w:val="20"/>
          <w:color w:val="auto"/>
        </w:rPr>
      </w:pPr>
    </w:p>
    <w:p>
      <w:pPr>
        <w:ind w:left="1080" w:right="420" w:hanging="360"/>
        <w:spacing w:after="0" w:line="278" w:lineRule="auto"/>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similar healthcare laws and regulations in the EU, the U.K. and other jurisdictions, including reporting requirements detailing interactions with and payments to healthcare providers.</w:t>
      </w:r>
    </w:p>
    <w:p>
      <w:pPr>
        <w:spacing w:after="0" w:line="166"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200" w:lineRule="exact"/>
        <w:rPr>
          <w:sz w:val="20"/>
          <w:szCs w:val="20"/>
          <w:color w:val="auto"/>
        </w:rPr>
      </w:pPr>
    </w:p>
    <w:p>
      <w:pPr>
        <w:ind w:right="100" w:firstLine="720"/>
        <w:spacing w:after="0" w:line="263" w:lineRule="auto"/>
        <w:rPr>
          <w:sz w:val="20"/>
          <w:szCs w:val="20"/>
          <w:color w:val="auto"/>
        </w:rPr>
      </w:pPr>
      <w:r>
        <w:rPr>
          <w:rFonts w:ascii="Times New Roman" w:cs="Times New Roman" w:eastAsia="Times New Roman" w:hAnsi="Times New Roman"/>
          <w:sz w:val="19"/>
          <w:szCs w:val="19"/>
          <w:color w:val="auto"/>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government funded healthcare programs (including Medicare, Medicaid and other federal healthcare programs in the U.S.),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w:t>
      </w:r>
    </w:p>
    <w:p>
      <w:pPr>
        <w:sectPr>
          <w:pgSz w:w="11880" w:h="15480" w:orient="portrait"/>
          <w:cols w:equalWidth="0" w:num="1">
            <w:col w:w="10800"/>
          </w:cols>
          <w:pgMar w:left="540" w:top="748" w:right="540" w:bottom="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800"/>
          </w:cols>
          <w:pgMar w:left="540" w:top="748" w:right="540" w:bottom="0" w:gutter="0" w:footer="0" w:header="0"/>
          <w:type w:val="continuous"/>
        </w:sectPr>
      </w:pPr>
    </w:p>
    <w:bookmarkStart w:id="57" w:name="page58"/>
    <w:bookmarkEnd w:id="57"/>
    <w:p>
      <w:pPr>
        <w:ind w:right="140"/>
        <w:spacing w:after="0" w:line="247" w:lineRule="auto"/>
        <w:rPr>
          <w:sz w:val="20"/>
          <w:szCs w:val="20"/>
          <w:color w:val="auto"/>
        </w:rPr>
      </w:pPr>
      <w:r>
        <w:rPr>
          <w:rFonts w:ascii="Times New Roman" w:cs="Times New Roman" w:eastAsia="Times New Roman" w:hAnsi="Times New Roman"/>
          <w:sz w:val="20"/>
          <w:szCs w:val="20"/>
          <w:color w:val="auto"/>
        </w:rPr>
        <w:t>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01"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governmental regulation and other legal obligations related to privacy, data protection and data security. Our actual or perceived failure to comply with such obligations could harm our business.</w:t>
      </w:r>
    </w:p>
    <w:p>
      <w:pPr>
        <w:spacing w:after="0" w:line="166"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206"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Our operations abroad may also be subject to increased scrutiny or attention from data protection authorities. For example, we are subject to diverse laws and regulations relating to data privacy and security in the EU, and the U.K. including the GDPR and U.K. GDPR. New global privacy rules are being enacted and existing ones are being updated and strengthened. We are likely to be required to expend capital and other resources to ensure ongoing compliance with these laws and regulations. The GDPR and U.K. GDPR implement stringent operational requirements for controllers and processors of personal data, including comprehensive data privacy compliance obligations in relation to our collection, processing, sharing, disclosure, transfer and other use of personal data, including a principal of accountability and the obligation to demonstrate compliance through policies, procedures, training and audit. Failure by us, or our partners or service providers, to comply with the GDPR or U.K. GDPR could result in regulatory investigations, enforcement notices and/or fines of up to the higher of €20 million or £17.5 million or up to 4% of our total worldwide annual turnover. In addition to the foregoing, any breach of privacy laws or data security laws could have a material adverse effect on our business, reputation and financial condition. We may also face civil claims seeking compensation for both material and immaterial harms arising from a GDPR or U.K. GDPR violation. The GDPR and U.K. GDPR also regulate cross-border transfers of personal data to third countries that have not been found to provide adequate protection to such personal data, including the U.S., and the efficacy and longevity of current transfer mechanisms between the EEA, and the U.S. remains uncertain. Case law from the Court of Justice of the European Union (“CJEU”) states that reliance on the standard contractual clauses - a standard form of contract approved by the EU as an adequate personal data transfer mechanism - alone may not necessarily be sufficient in all circumstances and that transfers must be assessed on a case-by-case basis. On July 10, 2023, the EU adopted its Adequacy Decision in relation to the new EU-US Data Privacy Framework (“DPF”), rendering the DPF effective as a GDPR transfer mechanism to U.S. entities self-certified under the DPF.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15"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recent years, U.S. and European lawmakers and regulators have also expressed concern over the use of third-party cookies, web beacons and similar technology. In particular, recent European court and regulator decisions are driving increased attention to cookies and tracking technologies. If the trend of increasing enforcement by European regulators of the strict approach to opt-in consent for all but essential use cases, as seen in recent guidance and decisions continues, this could lead to substantial costs, require significant systems changes, divert the attention of our technology personnel, adversely affect our margins, and subject us to additional liabilities. In light of the complex and evolving nature of EU, EU member state and U.K. privacy laws on cookies and tracking technologies, there can be no assurances that we will be successful in our efforts to comply with such laws; violations of such laws could result in regulatory investigations, fines, orders to cease/ change our use of such technologies, as well as civil claims including class actions, and reputational damage.</w:t>
      </w:r>
    </w:p>
    <w:p>
      <w:pPr>
        <w:sectPr>
          <w:pgSz w:w="11880" w:h="15480" w:orient="portrait"/>
          <w:cols w:equalWidth="0" w:num="1">
            <w:col w:w="10800"/>
          </w:cols>
          <w:pgMar w:left="540" w:top="748" w:right="540" w:bottom="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800"/>
          </w:cols>
          <w:pgMar w:left="540" w:top="748" w:right="540" w:bottom="0" w:gutter="0" w:footer="0" w:header="0"/>
          <w:type w:val="continuous"/>
        </w:sectPr>
      </w:pPr>
    </w:p>
    <w:bookmarkStart w:id="58" w:name="page59"/>
    <w:bookmarkEnd w:id="58"/>
    <w:p>
      <w:pPr>
        <w:ind w:firstLine="720"/>
        <w:spacing w:after="0" w:line="247" w:lineRule="auto"/>
        <w:rPr>
          <w:sz w:val="20"/>
          <w:szCs w:val="20"/>
          <w:color w:val="auto"/>
        </w:rPr>
      </w:pPr>
      <w:r>
        <w:rPr>
          <w:rFonts w:ascii="Times New Roman" w:cs="Times New Roman" w:eastAsia="Times New Roman" w:hAnsi="Times New Roman"/>
          <w:sz w:val="20"/>
          <w:szCs w:val="20"/>
          <w:color w:val="auto"/>
        </w:rPr>
        <w:t>Further, in the U.S., numerous state and federal laws, regulations, standards and other legal obligations, including consumer protection laws and regulations, which govern the collection, dissemination, use, access to, confidentiality, security and processing of personal information, including health-related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20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Certain states have also adopted data privacy and security laws and regulations that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20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18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operations are subject to anti-corruption laws, including the U.K. Bribery Act 2010 (the “Bribery Act”); the U.S. Foreign Corrupt Practices Act (the “FCPA”); and other anti-corruption laws that apply in countries where we do business and may do business in the future. The Bribery Act, the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the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06"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We are also subject to other laws and regulations governing any international operations, such as applicable export controls, embargoes, economic, financial and trade sanctions laws and regulations, including those administered and enforced by the U.K., the U.S. and the EU (and its member states), (collectively, the “Trade Controls”). These Trade Controls prohibit or restrict dealings relating to certain countries, regions or persons.</w:t>
      </w:r>
    </w:p>
    <w:p>
      <w:pPr>
        <w:spacing w:after="0" w:line="190"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Compliance with Trade Controls, which are subject to frequent changes, may delay or hinder our business operations (particularly in respect of cross-border business), and, in some cases, prevent certain of our business operations altogether. It is difficult for us to predict how Trade Controls will change in the future and the impact they may have on our business. For example, as stated above, a result of Russia’s invasion of Ukraine, Trade Controls relating to Russia have been significantly expanded.</w:t>
      </w:r>
    </w:p>
    <w:p>
      <w:pPr>
        <w:spacing w:after="0" w:line="190"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200" w:lineRule="exact"/>
        <w:rPr>
          <w:sz w:val="20"/>
          <w:szCs w:val="20"/>
          <w:color w:val="auto"/>
        </w:rPr>
      </w:pPr>
    </w:p>
    <w:p>
      <w:pPr>
        <w:jc w:val="both"/>
        <w:ind w:right="240" w:firstLine="720"/>
        <w:spacing w:after="0" w:line="253" w:lineRule="auto"/>
        <w:rPr>
          <w:sz w:val="20"/>
          <w:szCs w:val="20"/>
          <w:color w:val="auto"/>
        </w:rPr>
      </w:pPr>
      <w:r>
        <w:rPr>
          <w:rFonts w:ascii="Times New Roman" w:cs="Times New Roman" w:eastAsia="Times New Roman" w:hAnsi="Times New Roman"/>
          <w:sz w:val="20"/>
          <w:szCs w:val="20"/>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collaborators or other person who performs services on our behalf and, as a result, we could be subject to fines, penalties, or prosecution.</w:t>
      </w:r>
    </w:p>
    <w:p>
      <w:pPr>
        <w:sectPr>
          <w:pgSz w:w="11880" w:h="15480" w:orient="portrait"/>
          <w:cols w:equalWidth="0" w:num="1">
            <w:col w:w="10760"/>
          </w:cols>
          <w:pgMar w:left="540" w:top="748" w:right="58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760"/>
          </w:cols>
          <w:pgMar w:left="540" w:top="748" w:right="580" w:bottom="0" w:gutter="0" w:footer="0" w:header="0"/>
          <w:type w:val="continuous"/>
        </w:sectPr>
      </w:pPr>
    </w:p>
    <w:bookmarkStart w:id="59" w:name="page60"/>
    <w:bookmarkEnd w:id="59"/>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operations may suffer in the event of information technology system failures, cyberattacks or deficiencies in our cybersecurity.</w:t>
      </w:r>
    </w:p>
    <w:p>
      <w:pPr>
        <w:spacing w:after="0" w:line="166"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We and our collaborators, CROs, service providers, and other contractors and consultants rely on information technology (“IT”) systems and networks to process, transmit and store electronic information, including but not limited to intellectual property, confidential information, proprietary business information, preclinical and clinical trial data and personal information, and health-related information, in connection with our business activities (collectively, “Confidential Information"). Our IT systems and those of current and future third parties on which we rely may fail and are vulnerable to breakdown, breach, interruption or damage from cyber incidents, employee error or malfeasance, misconfigurations, “bugs” or other vulnerabilities, theft or misuse, sophisticated nation-state and nation-state-supported actors, unauthorized access, natural disasters, terrorism, war, telecommunication and electrical failures or other compromises. As use of digital technologies has increased, cyber incidents, including third parties gaining access to employee accounts using stolen or inferred credentials, computer malware (e.g. ransomware), viruses, spamming, social engineering or phishing attacks, denial-of-service attacks or other means, and deliberate attacks and attempts to gain unauthorized access to computer systems and networks, have increased in frequency, intensity, and sophistication. These threats pose a risk to the security of our and our collaborators’, CROs’, service providers’, and other contractors’ and consultants’ systems and networks, and the confidentiality, availability and integrity of our Confidential Information. There can be no assurance that we will be successful in preventing cyberattacks or successfully mitigating their effects. There can also be no assurance that our or our collaborators’, CROs’, service providers’, and other contractors’ and consultants’ cybersecurity risk management program and processes, including policies, controls or procedures, will be fully implemented, complied with or effective in protecting our systems, networks and Confidential Information.</w:t>
      </w:r>
    </w:p>
    <w:p>
      <w:pPr>
        <w:spacing w:after="0" w:line="207"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varying parts of our workforce are currently working remotely on a part or full time basis. This could increase our cyber security risk, create data accessibility concerns, and make us more susceptible to communication disruptions.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Similarly, there can be no assurance that our collaborators, CROs, service providers, and other contractors and consultants will be successful in protecting our clinical and other data that is stored on their systems. Any loss of clinical trial data from our completed or ongoing clinical trials for any of our product candidates could result in delays in our development and regulatory approval efforts and significantly increase our costs to recover or reproduce the data. We and certain of our service providers are from time to time subject to cyberattacks and security incidents. We have experienced and expect to continue to experience attempted cyberattacks on our IT networks, such as through phishing scams and ransomware. Although we do not believe that we have experienced any significant system failure, accident or cybersecurity incidents to date, we cannot guarantee that we will not experience such incidents in the future.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adversely affect our business, results of operations, and financial condition.</w:t>
      </w:r>
    </w:p>
    <w:p>
      <w:pPr>
        <w:spacing w:after="0" w:line="219"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Any cyberattack that leads to unauthorized access, use, or disclosure of Confidential Information, data breach or destruction or loss of Confidential Information could result in a violation of applicable U.S. and international privacy, data protection and other laws and regulations, require us to notify affected individuals or supervisory authorities, subject us to litigation and governmental investigations, proceedings and regulatory actions by federal, state and local regulatory entities in the U.S. and by international regulatory entities, cause our exposure to material civil and/or criminal liability and cause us to breach our contractual obligations, which could result in significant legal and financial exposure and reputational damages. As cyber threats continue to evolve, we may be required to incur significant additional expenses in order to implement further data protection measures or to remediate any information security vulnerability. Further, our general liability insurance and corporate risk program may not cover all potential claims to which we are exposed and may not be adequate to indemnify us for all liability. There can be no assurance that the limitations of liability in our contracts would be enforceable or adequate or would otherwise protect us from liabilities or damages as a result of the events referenced above. We also cannot be certain that our existing insurance coverage will continue to be available on acceptable terms or in amounts sufficient to cover the potentially significant losses that may result from a security incident or breach or that the insurer will not deny coverage wholly or in part, of any future claim. Accordingly, if our cybersecurity measures, and those of our service providers, fail to protect against unauthorized access, attacks and the mishandling of data by our employees and third-party service providers, then our business, financial condition, results of operations and prospects could be adversely affected.</w:t>
      </w:r>
    </w:p>
    <w:p>
      <w:pPr>
        <w:sectPr>
          <w:pgSz w:w="11880" w:h="15480" w:orient="portrait"/>
          <w:cols w:equalWidth="0" w:num="1">
            <w:col w:w="10780"/>
          </w:cols>
          <w:pgMar w:left="540" w:top="750" w:right="560" w:bottom="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780"/>
          </w:cols>
          <w:pgMar w:left="540" w:top="750" w:right="560" w:bottom="0" w:gutter="0" w:footer="0" w:header="0"/>
          <w:type w:val="continuous"/>
        </w:sectPr>
      </w:pPr>
    </w:p>
    <w:bookmarkStart w:id="60" w:name="page61"/>
    <w:bookmarkEnd w:id="60"/>
    <w:p>
      <w:pPr>
        <w:ind w:right="280" w:firstLine="720"/>
        <w:spacing w:after="0" w:line="253" w:lineRule="auto"/>
        <w:rPr>
          <w:sz w:val="20"/>
          <w:szCs w:val="20"/>
          <w:color w:val="auto"/>
        </w:rPr>
      </w:pPr>
      <w:r>
        <w:rPr>
          <w:rFonts w:ascii="Times New Roman" w:cs="Times New Roman" w:eastAsia="Times New Roman" w:hAnsi="Times New Roman"/>
          <w:sz w:val="20"/>
          <w:szCs w:val="20"/>
          <w:color w:val="auto"/>
        </w:rPr>
        <w:t>The increasing use of artificial intelligence (“AI”)-based software (including machine learning) in our industry introduces additional risks that could impact our business. AI algorithms may be flawed, rely on insufficient or biased data, or involve unclear intellectual property rights, potentially exposing us to competitive harm, legal liability, or reputational damage. In addition, AI technology is rapidly evolving, making it difficult to anticipate all legal, operational, or technological risks.</w:t>
      </w:r>
    </w:p>
    <w:p>
      <w:pPr>
        <w:spacing w:after="0" w:line="190"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20"/>
          <w:szCs w:val="20"/>
          <w:color w:val="auto"/>
        </w:rPr>
        <w:t>AI-related vulnerabilities, along with cybersecurity threats and IT system failures, may also impact our partners, contractors, and consultants. If disruptions or security breaches result in data loss, intellectual property theft, or operational delays, it could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w:t>
      </w:r>
    </w:p>
    <w:p>
      <w:pPr>
        <w:spacing w:after="0" w:line="245" w:lineRule="exact"/>
        <w:rPr>
          <w:sz w:val="20"/>
          <w:szCs w:val="20"/>
          <w:color w:val="auto"/>
        </w:rPr>
      </w:pPr>
    </w:p>
    <w:p>
      <w:pPr>
        <w:ind w:right="9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operate in a highly competitive and rapidly changing industry, which may result in others acquiring, developing, or commercializing competing product candidates before or more successfully than we or our partners do.</w:t>
      </w:r>
    </w:p>
    <w:p>
      <w:pPr>
        <w:spacing w:after="0" w:line="156" w:lineRule="exact"/>
        <w:rPr>
          <w:sz w:val="20"/>
          <w:szCs w:val="20"/>
          <w:color w:val="auto"/>
        </w:rPr>
      </w:pPr>
    </w:p>
    <w:p>
      <w:pPr>
        <w:ind w:right="220" w:firstLine="720"/>
        <w:spacing w:after="0" w:line="263" w:lineRule="auto"/>
        <w:rPr>
          <w:sz w:val="20"/>
          <w:szCs w:val="20"/>
          <w:color w:val="auto"/>
        </w:rPr>
      </w:pPr>
      <w:r>
        <w:rPr>
          <w:rFonts w:ascii="Times New Roman" w:cs="Times New Roman" w:eastAsia="Times New Roman" w:hAnsi="Times New Roman"/>
          <w:sz w:val="20"/>
          <w:szCs w:val="20"/>
          <w:color w:val="auto"/>
        </w:rPr>
        <w:t>The biopharmaceutical and pharmaceutical industries are highly competitive and subject to significant and rapid technological change. Our success is highly dependent on our ability to acquire, develop, and obtain marketing approval for new product candidates on a cost-effective basis and to market them successfully. If setrusumab, alvelestat, etigilimab or acumapimod is approved, we will face intense competition from a variety of businesses, including large, fully integrated pharmaceutical and biopharmaceutical companies in the U.S., Europe, and other jurisdictions. These organizations may have significantly greater resources than we have and conduct similar research; seek patent protection; and establish collaborative arrangements for research, development, manufacturing, and marketing of product candidates that may compete with our product candidates.</w:t>
      </w:r>
    </w:p>
    <w:p>
      <w:pPr>
        <w:spacing w:after="0" w:line="2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We expect to face competition for each of our current product candidates, including specifically:</w:t>
      </w:r>
    </w:p>
    <w:p>
      <w:pPr>
        <w:spacing w:after="0" w:line="254" w:lineRule="exact"/>
        <w:rPr>
          <w:sz w:val="20"/>
          <w:szCs w:val="20"/>
          <w:color w:val="auto"/>
        </w:rPr>
      </w:pPr>
    </w:p>
    <w:p>
      <w:pPr>
        <w:ind w:left="1080" w:hanging="360"/>
        <w:spacing w:after="0" w:line="244" w:lineRule="auto"/>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consider setrusumab’s current closest potential competitors in development for the treatment of OI to be Amgen and UCB’s anti-sclerostin antibody, romosozumab (Evenity), which was approved for osteoporosis in the U.S. in April 2019 and in December 2019 in Europe. In addition, Jiangsu Hengrui has commenced Phase 1 development of an anti-sclerostin antibody for osteoporosis in China, and Transcenta Holding has licensed the Chinese rights to the anti-sclerostin antibody blosozumab from Lilly and plans to develop it for osteoporosis. Amgen has also terminated a Phase 3 study and an open label extension study of denosumab (Prolia) an anti-resorptive agent in pediatric patients with OI. Academics at the University of Edinburgh are conducting a Phase IV trial to determine the efficacy of teriparatide (parathyroid hormone) in adult patients with OI. BOOST Pharma has conducted a Phase I/II trial of its foetal-derived mesenchymal stem cell therapy in pre-natal &amp; post-natal patients with severe OI. Furthermore, Angitia Bio has commenced a Phase I trial of its Sclerostin &amp; Dickkopf-1 bi-specific antibody.</w:t>
      </w:r>
    </w:p>
    <w:p>
      <w:pPr>
        <w:spacing w:after="0" w:line="215" w:lineRule="exact"/>
        <w:rPr>
          <w:rFonts w:ascii="Arial" w:cs="Arial" w:eastAsia="Arial" w:hAnsi="Arial"/>
          <w:sz w:val="20"/>
          <w:szCs w:val="20"/>
          <w:color w:val="auto"/>
        </w:rPr>
      </w:pPr>
    </w:p>
    <w:p>
      <w:pPr>
        <w:ind w:left="1080" w:hanging="360"/>
        <w:spacing w:after="0" w:line="243" w:lineRule="auto"/>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We consider alvelestat’s current closest potential competitors for the treatment of severe AATD to be alpha-1- proteinase inhibitors that are administered intravenously in AAT augmentation therapy. Currently, there are four inhibitors on the market in the U.S. and the EU: Prolastin-C from Grifols, S.A. (“Grifols”), Aralast from Shire plc, now a subsidiary of Takeda Pharmaceutical Company Ltd (“Shire”), Zemaira from CSL Limited (“CSL”), and Glassia from Kamada Ltd. (“Kamada”). Kamada is also developing an inhaled version of augmentation therapy which is in Phase 3 and has a recombinant alpha-1 antitrypsin in early development. Sanofi has initiated a Phase 2 registrational trial of SAR-447537, a recombinant human alpha-1 antitrypsin Fc fusion protein (rhAAT-Fc), for replacement therapy. Wave Life Sciences has initiated a Phase 2 study of RNA base-editing oligonucleotide (WVE-0006) to restore wild-type protein in lung and liver disease, a program that has been partnered with GSK. Intellia Therapeutics has initiated a Phase 1/2 study with a CRISPR/Cas9 -based insertion of normal SERPINA1 gene, targeting lung disease (NTLA-3001). Beam Therapeutics commenced a Phase 1/2 study of BEAM-302, a genome editing therapy to correct mutant Z-AAT. Krystal Bio commenced a Phase 1 study of KB-408, an inhaled gene therapy. Korro Bio are in preliminary stages of clinical development of an RNA Base editing oligonucleotide therapy.</w:t>
      </w:r>
    </w:p>
    <w:p>
      <w:pPr>
        <w:spacing w:after="0" w:line="216" w:lineRule="exact"/>
        <w:rPr>
          <w:rFonts w:ascii="Arial" w:cs="Arial" w:eastAsia="Arial" w:hAnsi="Arial"/>
          <w:sz w:val="20"/>
          <w:szCs w:val="20"/>
          <w:color w:val="auto"/>
        </w:rPr>
      </w:pPr>
    </w:p>
    <w:p>
      <w:pPr>
        <w:ind w:left="1080" w:right="80" w:hanging="360"/>
        <w:spacing w:after="0" w:line="247" w:lineRule="auto"/>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There are no therapies with regulatory approval for Bronchiolitis Obliterans Syndrome (“BOS”) following SCT or lung transplant. We consider alvelestat’s closest potential competitors to be the Janus Kinase (JAK2) inhibitor, Incyte Corporation’s ruxolitinib, in Phase 1/Phase 2 studies in SCT-associated BOS; Boehringer Ingelheim’s tyrosine protein kinase inhibitor, nintendanib, in Phase 3 studies for both post-lung transplantation BOS and SCT-associated BOS. OrphAI Therapeutics inhaled formulation of sirolimus (LAM-001) in Phase 1 for BOS in lung transplant; and liposomal inhaled cyclosporin-A (Zambon) in two Phase 3 global pivotal trials in BOS.</w:t>
      </w:r>
    </w:p>
    <w:p>
      <w:pPr>
        <w:sectPr>
          <w:pgSz w:w="11880" w:h="15480" w:orient="portrait"/>
          <w:cols w:equalWidth="0" w:num="1">
            <w:col w:w="10780"/>
          </w:cols>
          <w:pgMar w:left="540" w:top="748" w:right="56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780"/>
          </w:cols>
          <w:pgMar w:left="540" w:top="748" w:right="560" w:bottom="0" w:gutter="0" w:footer="0" w:header="0"/>
          <w:type w:val="continuous"/>
        </w:sectPr>
      </w:pPr>
    </w:p>
    <w:bookmarkStart w:id="61" w:name="page62"/>
    <w:bookmarkEnd w:id="61"/>
    <w:p>
      <w:pPr>
        <w:ind w:left="1080" w:right="80" w:hanging="360"/>
        <w:spacing w:after="0" w:line="246" w:lineRule="auto"/>
        <w:tabs>
          <w:tab w:leader="none" w:pos="10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We consider etigilimab’s current closest potential competitors to include other clinical-stage anti-TIGIT agents being developed by companies including Roche, Merck, iTeos and GSK, Beigene (BeOne), Arcus/Gilead and Compugen amongst others. In addition, there are other combinations of existing cancer therapies available commercially for example, Yervoy and Opdivo and Opdivo or Keytruda in combination with chemotherapy agents. There are a number of bispecific antibodies with an anti-TIGIT arm in development including a Phase 3 program in NSCLC being developed by AstraZeneca. There are also a number of other agents in development to other immuno-oncology targets that could compete with an anti-TIGIT approach, for example anti-LAG3.</w:t>
      </w:r>
    </w:p>
    <w:p>
      <w:pPr>
        <w:spacing w:after="0" w:line="213" w:lineRule="exact"/>
        <w:rPr>
          <w:rFonts w:ascii="Arial" w:cs="Arial" w:eastAsia="Arial" w:hAnsi="Arial"/>
          <w:sz w:val="20"/>
          <w:szCs w:val="20"/>
          <w:color w:val="auto"/>
        </w:rPr>
      </w:pPr>
    </w:p>
    <w:p>
      <w:pPr>
        <w:ind w:left="1080" w:right="40" w:hanging="360"/>
        <w:spacing w:after="0" w:line="252" w:lineRule="auto"/>
        <w:tabs>
          <w:tab w:leader="none" w:pos="108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For acumapimod, although we are not aware of any approved therapies for the treatment of AECOPD, there are a wide range of established therapies available for the treatment of COPD as well as a number of product candidates in development. We consider acumapimod’s current closest potential competitor for the treatment of AECOPD to be Verona’s nebulized and inhaled ensifentrine (Ohtuvayre), a PDE3 / PDE4 dual inhibitor that recently received regulatory approval as a bronchodilator and anti-inflammatory agent for COPD, Asthma and Cystic Fibrosis patients. Pulmatrix has PUR1800, a narrow-spectrum kinase inhibitor (NSKI) that completed a Phase 1b trial in COPD. Pulmatrix recently merged with Cullgen. In addition to Pulmatrix, there are several compounds, which directly or indirectly target the p38 MAP Kinase pathway in clinical development by Poolbeg, Fulcrum, GEn1E Lifesciences, CervoMEd, Kinarus, Neurokine, and Inovio, among others, for therapeutic indications outside the COPD setting. In addition, ReAlta Life Sciences commenced a Phase II clinical trial evaluating its complement 1 sub-component inhibitor for the treatment of</w:t>
      </w:r>
    </w:p>
    <w:p>
      <w:pPr>
        <w:spacing w:after="0" w:line="4"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Times New Roman" w:cs="Times New Roman" w:eastAsia="Times New Roman" w:hAnsi="Times New Roman"/>
          <w:sz w:val="20"/>
          <w:szCs w:val="20"/>
          <w:color w:val="auto"/>
        </w:rPr>
        <w:t>AECOPD.</w:t>
      </w:r>
    </w:p>
    <w:p>
      <w:pPr>
        <w:spacing w:after="0" w:line="230"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auto"/>
        </w:rPr>
        <w:t>We also anticipate that new companies will enter these markets in the future. If we, or our partners, successfully develop and commercialize any of setrusumab, alvelestat, etigilimab, or acumapimod,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w:t>
      </w:r>
    </w:p>
    <w:p>
      <w:pPr>
        <w:spacing w:after="0" w:line="203" w:lineRule="exact"/>
        <w:rPr>
          <w:sz w:val="20"/>
          <w:szCs w:val="20"/>
          <w:color w:val="auto"/>
        </w:rPr>
      </w:pPr>
    </w:p>
    <w:p>
      <w:pPr>
        <w:ind w:left="1080" w:right="20" w:hanging="360"/>
        <w:spacing w:after="0" w:line="249"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198" w:lineRule="exact"/>
        <w:rPr>
          <w:rFonts w:ascii="Arial" w:cs="Arial" w:eastAsia="Arial" w:hAnsi="Arial"/>
          <w:sz w:val="20"/>
          <w:szCs w:val="20"/>
          <w:color w:val="auto"/>
        </w:rPr>
      </w:pPr>
    </w:p>
    <w:p>
      <w:pPr>
        <w:ind w:left="1080" w:right="160" w:hanging="360"/>
        <w:spacing w:after="0" w:line="268"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develop and commercialize product candidates that are safer, more effective, less expensive, more convenient, or easier to administer, or have fewer or less severe effects, or in certain cases could be curative for the condition;</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obtain quicker regulatory approval;</w:t>
      </w:r>
    </w:p>
    <w:p>
      <w:pPr>
        <w:spacing w:after="0" w:line="243"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superior proprietary positions covering our product candidates and technologies;</w:t>
      </w:r>
    </w:p>
    <w:p>
      <w:pPr>
        <w:spacing w:after="0" w:line="243"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implement more effective approaches to sales and marketing; or</w:t>
      </w:r>
    </w:p>
    <w:p>
      <w:pPr>
        <w:spacing w:after="0" w:line="243"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form more advantageous strategic alliances.</w:t>
      </w:r>
    </w:p>
    <w:p>
      <w:pPr>
        <w:spacing w:after="0" w:line="23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 candidates that are more effective, have fewer or less severe side effects, are more convenient or are less expensive than our product candidates. Our competitors may also obtain FDA, or other regulatory approval for their product candidates more rapidly than we may obtain approval for our own product candidates, which could result in our competitors establishing a strong market position before we are able to enter the market. In addition, existing products approved for other indications could be used off-label and may compete with our products. For example, the only treatments available to OI patients are drugs such as bisphosphonates, which are not approved for this indication but are commonly used off-label in children.</w:t>
      </w:r>
    </w:p>
    <w:p>
      <w:pPr>
        <w:spacing w:after="0" w:line="21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collaborator Ultragenyx has obtained orphan drug designation for setrusumab for the treatment of OI in the U.S. and we have obtained orphan designation for setrusumab for the treatment of OI in the EU. We have also obtained orphan drug designation for alvelestat for the treatment of AATD in the U.S. and in the EU. We may be unable to obtain or maintain the benefits associated with orphan drug designation, including the potential for orphan drug exclusivity, for setrusumab, alvelestat or any other product for which we obtain orphan drug designation.</w:t>
      </w:r>
    </w:p>
    <w:p>
      <w:pPr>
        <w:sectPr>
          <w:pgSz w:w="11880" w:h="15480" w:orient="portrait"/>
          <w:cols w:equalWidth="0" w:num="1">
            <w:col w:w="10800"/>
          </w:cols>
          <w:pgMar w:left="540" w:top="76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800"/>
          </w:cols>
          <w:pgMar w:left="540" w:top="763" w:right="540" w:bottom="0" w:gutter="0" w:footer="0" w:header="0"/>
          <w:type w:val="continuous"/>
        </w:sectPr>
      </w:pPr>
    </w:p>
    <w:bookmarkStart w:id="62" w:name="page63"/>
    <w:bookmarkEnd w:id="62"/>
    <w:p>
      <w:pPr>
        <w:ind w:right="660" w:firstLine="720"/>
        <w:spacing w:after="0" w:line="279" w:lineRule="auto"/>
        <w:rPr>
          <w:sz w:val="20"/>
          <w:szCs w:val="20"/>
          <w:color w:val="auto"/>
        </w:rPr>
      </w:pPr>
      <w:r>
        <w:rPr>
          <w:rFonts w:ascii="Times New Roman" w:cs="Times New Roman" w:eastAsia="Times New Roman" w:hAnsi="Times New Roman"/>
          <w:sz w:val="20"/>
          <w:szCs w:val="20"/>
          <w:color w:val="auto"/>
        </w:rPr>
        <w:t>Regulatory authorities in some jurisdictions, including the U.S., may designate biologics or drugs designed to address relatively small patient populations as “orphan drugs.”</w:t>
      </w:r>
    </w:p>
    <w:p>
      <w:pPr>
        <w:spacing w:after="0" w:line="165" w:lineRule="exact"/>
        <w:rPr>
          <w:sz w:val="20"/>
          <w:szCs w:val="20"/>
          <w:color w:val="auto"/>
        </w:rPr>
      </w:pPr>
    </w:p>
    <w:p>
      <w:pPr>
        <w:ind w:right="140" w:firstLine="720"/>
        <w:spacing w:after="0" w:line="244" w:lineRule="auto"/>
        <w:rPr>
          <w:sz w:val="20"/>
          <w:szCs w:val="20"/>
          <w:color w:val="auto"/>
        </w:rPr>
      </w:pPr>
      <w:r>
        <w:rPr>
          <w:rFonts w:ascii="Times New Roman" w:cs="Times New Roman" w:eastAsia="Times New Roman" w:hAnsi="Times New Roman"/>
          <w:sz w:val="20"/>
          <w:szCs w:val="20"/>
          <w:color w:val="auto"/>
        </w:rPr>
        <w:t>Under the Orphan Drug Act of 1983 (the “Orphan Drug Act”), the FDA may designate a product as an orphan drug if it is intended to treat a rare disease or condition, defined as one occurring in a patient population of fewer than 200,000 in the U.S., or a patient population greater than 200,000 in the U.S. where there is no reasonable expectation that the cost of developing the drug will be recovered from sales in the U.S. In the EU, the EC grants orphan designation after receiving the opinion of the EMA’s Committee for Orphan Medicinal Products (“COMP”). In the EU, orphan designation is intended to promote the development of medicinal products that (1) are intended for the diagnosis, prevention or treatment of a life-threatening or chronically debilitating condition; (2) either (a) such condition affects no more than five in 10,000 persons in the EU, or (b) the product, without the benefits derived from orphan status, would not generate sufficient return in the EU to justify investment; and (3) there exists no satisfactory method of diagnosis, prevention, or treatment has been authorized (or the product would be a significant benefit to those affected).</w:t>
      </w:r>
    </w:p>
    <w:p>
      <w:pPr>
        <w:spacing w:after="0" w:line="206" w:lineRule="exact"/>
        <w:rPr>
          <w:sz w:val="20"/>
          <w:szCs w:val="20"/>
          <w:color w:val="auto"/>
        </w:rPr>
      </w:pPr>
    </w:p>
    <w:p>
      <w:pPr>
        <w:ind w:right="240" w:firstLine="720"/>
        <w:spacing w:after="0" w:line="253" w:lineRule="auto"/>
        <w:rPr>
          <w:sz w:val="20"/>
          <w:szCs w:val="20"/>
          <w:color w:val="auto"/>
        </w:rPr>
      </w:pPr>
      <w:r>
        <w:rPr>
          <w:rFonts w:ascii="Times New Roman" w:cs="Times New Roman" w:eastAsia="Times New Roman" w:hAnsi="Times New Roman"/>
          <w:sz w:val="20"/>
          <w:szCs w:val="20"/>
          <w:color w:val="auto"/>
        </w:rPr>
        <w:t>Post-Brexit, the U.K. has retained the EU Regulation which governs the designation of medicinal products as orphan drugs and which establishes incentives thereto (Regulation (EC) No. 141/2000) as part of U.K. law by virtue of the EU (Withdrawal) Act 2018, however any future changes to the legal requirements could lead to greater regulatory complexity and increased costs to our business.</w:t>
      </w:r>
    </w:p>
    <w:p>
      <w:pPr>
        <w:spacing w:after="0" w:line="19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There is no pre-MA orphan designation in Great Britain. Instead, the MHRA will review applications for orphan designation in parallel to the corresponding MAA. The criteria are essentially the same, but have been tailored for the market, i.e., the prevalence of the condition in Great Britain, rather than the EU, must not be more than five in 10,000. Should an orphan designation be granted, the period or market exclusivity will be set from the date of first approval of the product in Great Britain. If a medicinal product has been designated orphan in the EU under Regulation (EC) 141/2000, a Great Britain orphan MAA can be made under regulation 50G of the Human Medicines Regulation 2012 (as amended). A U.K.-wide orphan MAA can only be considered in the absence of an active EU orphan designation.</w:t>
      </w:r>
    </w:p>
    <w:p>
      <w:pPr>
        <w:spacing w:after="0" w:line="200"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If a U.K.-wide orphan MA is granted and the medicinal product subsequently receives EU orphan designation, the MA holder would need to submit a variation to change this to a Great Britain orphan MA. In the U.S.,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disease or condition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In the EU, orphan designation entitles a party to financial incentives such as reduction of fees or fee waivers, protocol assistance, and access to the centralized MA procedure. Upon grant of MA, orphan medical products are entitled to a ten year period of market exclusivity. This period can be extended by two years if studies in children are performed in accordance with a pediatric investigation plan (“PIP”). This period may be reduced to six years if , at the end of the fifth year the orphan designation criteria are no longer met, including where it is shown that the drug is sufficiently profitable not to justify maintenance of market exclusivity. Additionally, a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209"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Our collaborator Ultragenyx has obtained orphan drug designation from the FDA, and we have obtained orphan drug designation from the EC for setrusumab, in each case for the treatment of OI. Additionally, we have obtained orphan drug designation for alvelestat for the treatment of AATD from the FDA and from the EC. Even with orphan drug designation, we may not be the first to obtain marketing approval for any particular orphan indication due to the uncertainties associated with developing pharmaceutical product candidates, which could prevent us from marketing our product candidates if another company is able to obtain orphan drug exclusivity before we do. In addition, exclusive marketing rights in the U.S. may be unavailable if we seek approval for disease or condition broader than the orphan-designated disease or condition or may be lost in the U.S., if the FDA later determines that the request for designation was materially defective or if we are unable to assure sufficient quantities of the drug to meet the needs of patients with the rare disease or condition following approval. Further, even if we obtain orphan drug exclusivity, that exclusivity may not effectively protect our product candidates from competition because different drugs can be approved for the same condition. In addition, the FDA and foreign regulatory authorities can subsequently approve product candidates with the same active ingredients for the same condition if the FDA or the foreign regulatory authority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alvelestat, we may never receive such designations.</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800"/>
          </w:cols>
          <w:pgMar w:left="540" w:top="748" w:right="540" w:bottom="0" w:gutter="0" w:footer="0" w:header="0"/>
          <w:type w:val="continuous"/>
        </w:sectPr>
      </w:pPr>
    </w:p>
    <w:bookmarkStart w:id="63" w:name="page64"/>
    <w:bookmarkEnd w:id="63"/>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Although we have obtained a rare pediatric disease designation for setrusumab, there is no guarantee that FDA approval of will result in issuance of a priority review voucher.</w:t>
      </w:r>
    </w:p>
    <w:p>
      <w:pPr>
        <w:spacing w:after="0" w:line="166"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206"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We have obtained a rare pediatric disease designation for setrusumab for osteogenesis imperfecta, however, there is no guarantee that we will be able to obtain a priority review voucher, even if setrusumab is approved by the FDA. For example, the FDA may determine that an a BLA or NDA, even if ultimately approved, does not meet the eligibility criteria for a priority review voucher, including for the following reasons:</w:t>
      </w:r>
    </w:p>
    <w:p>
      <w:pPr>
        <w:spacing w:after="0" w:line="205" w:lineRule="exact"/>
        <w:rPr>
          <w:sz w:val="20"/>
          <w:szCs w:val="20"/>
          <w:color w:val="auto"/>
        </w:rPr>
      </w:pPr>
    </w:p>
    <w:p>
      <w:pPr>
        <w:ind w:left="1080" w:hanging="360"/>
        <w:spacing w:after="0"/>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product no longer meets the definition of a rare pediatric disease;</w:t>
      </w:r>
    </w:p>
    <w:p>
      <w:pPr>
        <w:spacing w:after="0" w:line="253" w:lineRule="exact"/>
        <w:rPr>
          <w:rFonts w:ascii="Arial" w:cs="Arial" w:eastAsia="Arial" w:hAnsi="Arial"/>
          <w:sz w:val="20"/>
          <w:szCs w:val="20"/>
          <w:color w:val="auto"/>
        </w:rPr>
      </w:pPr>
    </w:p>
    <w:p>
      <w:pPr>
        <w:ind w:left="1080" w:right="320" w:hanging="360"/>
        <w:spacing w:after="0" w:line="278" w:lineRule="auto"/>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product contains an active ingredient (including any ester or salt of the active ingredient) that has been previously approved in another marketing application;</w:t>
      </w:r>
    </w:p>
    <w:p>
      <w:pPr>
        <w:spacing w:after="0" w:line="180" w:lineRule="exact"/>
        <w:rPr>
          <w:rFonts w:ascii="Arial" w:cs="Arial" w:eastAsia="Arial" w:hAnsi="Arial"/>
          <w:sz w:val="20"/>
          <w:szCs w:val="20"/>
          <w:color w:val="auto"/>
        </w:rPr>
      </w:pPr>
    </w:p>
    <w:p>
      <w:pPr>
        <w:ind w:left="1080" w:right="240" w:hanging="360"/>
        <w:spacing w:after="0" w:line="278" w:lineRule="auto"/>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application does not rely on clinical data derived from studies examining a pediatric population and dosages of the drug intended for that population; or</w:t>
      </w:r>
    </w:p>
    <w:p>
      <w:pPr>
        <w:spacing w:after="0" w:line="180" w:lineRule="exact"/>
        <w:rPr>
          <w:rFonts w:ascii="Arial" w:cs="Arial" w:eastAsia="Arial" w:hAnsi="Arial"/>
          <w:sz w:val="20"/>
          <w:szCs w:val="20"/>
          <w:color w:val="auto"/>
        </w:rPr>
      </w:pPr>
    </w:p>
    <w:p>
      <w:pPr>
        <w:ind w:left="1080" w:right="700" w:hanging="360"/>
        <w:spacing w:after="0" w:line="278" w:lineRule="auto"/>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application is approved for a different adult indication than the rare pediatric disease for which the product is designated.</w:t>
      </w:r>
    </w:p>
    <w:p>
      <w:pPr>
        <w:spacing w:after="0" w:line="166"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Moreover, Congress included a sunset provision in the statute authorizing the rare pediatric disease priority review voucher program. Under the current statutory sunset provisions, after December 20, 2024, FDA may only award a voucher for an approved rare pediatric disease product application if the sponsor has rare pediatric disease designation for the product candidate, and that designation was granted by December 20, 2024. After September 30, 2026, FDA may not award any rare pediatric disease priority review vouchers.</w:t>
      </w:r>
    </w:p>
    <w:p>
      <w:pPr>
        <w:spacing w:after="0" w:line="198"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 Fast Track Designation from the FDA, even if granted for any of our product candidates, may not lead to a faster development or regulatory review or approval process, and does not increase the likelihood that our product candidates will receive marketing approval.</w:t>
      </w:r>
    </w:p>
    <w:p>
      <w:pPr>
        <w:spacing w:after="0" w:line="184"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FDA has granted Fast Track designation for the investigation of alvelestat for the treatment of alpha-1-antitrypsin deficiency-associated lung disease. We intend to seek such designation for some or all of our other product candidates. The Fast Track program is intended to expedite or facilitate the process for reviewing new product candidates that meet certain criteria. Specifically, new drugs and biologic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or NDA is submitted, the application may be eligible for priority review. An NDA or BLA submitted for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application.</w:t>
      </w:r>
    </w:p>
    <w:p>
      <w:pPr>
        <w:spacing w:after="0" w:line="193" w:lineRule="exact"/>
        <w:rPr>
          <w:sz w:val="20"/>
          <w:szCs w:val="20"/>
          <w:color w:val="auto"/>
        </w:rPr>
      </w:pPr>
    </w:p>
    <w:p>
      <w:pPr>
        <w:ind w:right="80" w:firstLine="720"/>
        <w:spacing w:after="0" w:line="238" w:lineRule="auto"/>
        <w:rPr>
          <w:sz w:val="20"/>
          <w:szCs w:val="20"/>
          <w:color w:val="auto"/>
        </w:rPr>
      </w:pPr>
      <w:r>
        <w:rPr>
          <w:rFonts w:ascii="Times New Roman" w:cs="Times New Roman" w:eastAsia="Times New Roman" w:hAnsi="Times New Roman"/>
          <w:sz w:val="20"/>
          <w:szCs w:val="20"/>
          <w:color w:val="auto"/>
        </w:rPr>
        <w:t>The FDA has broad discretion whether or not to grant this designation. Even if we believe a particular product candidate is eligible for this designation, there is no certainty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780"/>
          </w:cols>
          <w:pgMar w:left="540" w:top="750" w:right="56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color w:val="auto"/>
        </w:rPr>
        <w:t>that alvelestat or any other product candidate that may be granted Fast Track designation will receive regulatory approval in the U.S.</w:t>
      </w:r>
    </w:p>
    <w:p>
      <w:pPr>
        <w:spacing w:after="0"/>
        <w:rPr>
          <w:sz w:val="20"/>
          <w:szCs w:val="20"/>
          <w:color w:val="auto"/>
        </w:rPr>
      </w:pPr>
      <w:r>
        <w:rPr>
          <w:rFonts w:ascii="Times New Roman" w:cs="Times New Roman" w:eastAsia="Times New Roman" w:hAnsi="Times New Roman"/>
          <w:sz w:val="20"/>
          <w:szCs w:val="20"/>
          <w:color w:val="auto"/>
        </w:rPr>
        <w:t>Many product candidates that have received Fast Track Designation have ultimately failed to obtain approval.</w:t>
      </w:r>
    </w:p>
    <w:p>
      <w:pPr>
        <w:spacing w:after="0" w:line="230" w:lineRule="exact"/>
        <w:rPr>
          <w:sz w:val="20"/>
          <w:szCs w:val="20"/>
          <w:color w:val="auto"/>
        </w:rPr>
      </w:pPr>
    </w:p>
    <w:p>
      <w:pPr>
        <w:jc w:val="both"/>
        <w:ind w:right="60"/>
        <w:spacing w:after="0"/>
        <w:rPr>
          <w:sz w:val="20"/>
          <w:szCs w:val="20"/>
          <w:color w:val="auto"/>
        </w:rPr>
      </w:pPr>
      <w:r>
        <w:rPr>
          <w:rFonts w:ascii="Times New Roman" w:cs="Times New Roman" w:eastAsia="Times New Roman" w:hAnsi="Times New Roman"/>
          <w:sz w:val="20"/>
          <w:szCs w:val="20"/>
          <w:b w:val="1"/>
          <w:bCs w:val="1"/>
          <w:i w:val="1"/>
          <w:iCs w:val="1"/>
          <w:color w:val="auto"/>
        </w:rPr>
        <w:t>We or our partners may seek and fail to obtain Breakthrough Therapy designation by the FDA for alvelestat or etigilimab or any future product candidates or access to the PRIME scheme by the EMA for alvelestat, etigilimab or any future product candidates. Even if we obtain such designation or access, the designation or access may not lead to faster development or regulatory review or approval, and it does not increase the likelihood that our product candidates will receive marketing approval.</w:t>
      </w:r>
    </w:p>
    <w:p>
      <w:pPr>
        <w:spacing w:after="0" w:line="192" w:lineRule="exact"/>
        <w:rPr>
          <w:sz w:val="20"/>
          <w:szCs w:val="20"/>
          <w:color w:val="auto"/>
        </w:rPr>
      </w:pPr>
    </w:p>
    <w:p>
      <w:pPr>
        <w:ind w:firstLine="720"/>
        <w:spacing w:after="0" w:line="233" w:lineRule="auto"/>
        <w:rPr>
          <w:sz w:val="20"/>
          <w:szCs w:val="20"/>
          <w:color w:val="auto"/>
        </w:rPr>
      </w:pPr>
      <w:r>
        <w:rPr>
          <w:rFonts w:ascii="Times New Roman" w:cs="Times New Roman" w:eastAsia="Times New Roman" w:hAnsi="Times New Roman"/>
          <w:sz w:val="20"/>
          <w:szCs w:val="20"/>
          <w:color w:val="auto"/>
        </w:rPr>
        <w:t>In 2012, the FDA established a Breakthrough Therapy designation which is intended to expedite the development and review of product candidates that treat serious or life-threatening diseases where preliminary clinical evidence indicates that the product may demonstrate substantial improvement over existing therapies on one or more clinically-significant endpoints, such as substantial treatment effects observed early in clinical development. The designation of a product as a Breakthrough Therapy provides potential benefits that include but are not limited to more frequent meetings with the FDA to discuss the development plan for the product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if the relevant criteria are met.</w:t>
      </w:r>
    </w:p>
    <w:p>
      <w:pPr>
        <w:spacing w:after="0" w:line="197" w:lineRule="exact"/>
        <w:rPr>
          <w:sz w:val="20"/>
          <w:szCs w:val="20"/>
          <w:color w:val="auto"/>
        </w:rPr>
      </w:pPr>
    </w:p>
    <w:p>
      <w:pPr>
        <w:ind w:firstLine="720"/>
        <w:spacing w:after="0" w:line="231" w:lineRule="auto"/>
        <w:rPr>
          <w:sz w:val="20"/>
          <w:szCs w:val="20"/>
          <w:color w:val="auto"/>
        </w:rPr>
      </w:pPr>
      <w:r>
        <w:rPr>
          <w:rFonts w:ascii="Times New Roman" w:cs="Times New Roman" w:eastAsia="Times New Roman" w:hAnsi="Times New Roman"/>
          <w:sz w:val="20"/>
          <w:szCs w:val="20"/>
          <w:color w:val="auto"/>
        </w:rPr>
        <w:t>In October 2024, Ultragenyx received Breakthrough Therapy designation from the FDA for setrsumab to reduce the risk of fracture associated with OI Type I, III or IV in patients two years of age and older. We may seek Breakthrough Therapy designation for other product candidates. 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 Similarly, access to the PRIority MEdicine (“PRIME”) scheme is at the discretion of the EMA, and we cannot be sure that alvelestat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203" w:lineRule="exact"/>
        <w:rPr>
          <w:sz w:val="20"/>
          <w:szCs w:val="20"/>
          <w:color w:val="auto"/>
        </w:rPr>
      </w:pPr>
    </w:p>
    <w:p>
      <w:pPr>
        <w:ind w:firstLine="720"/>
        <w:spacing w:after="0" w:line="233" w:lineRule="auto"/>
        <w:rPr>
          <w:sz w:val="20"/>
          <w:szCs w:val="20"/>
          <w:color w:val="auto"/>
        </w:rPr>
      </w:pPr>
      <w:r>
        <w:rPr>
          <w:rFonts w:ascii="Times New Roman" w:cs="Times New Roman" w:eastAsia="Times New Roman" w:hAnsi="Times New Roman"/>
          <w:sz w:val="20"/>
          <w:szCs w:val="20"/>
          <w:color w:val="auto"/>
        </w:rPr>
        <w:t>In November 2017, setrusumab was admitted to the PRIME scheme of the EMA. We may seek EMA PRIME designation or other designations, schemes or tools for other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MAA, early dialogue and scientific advice at key development milestones, and the potential to qualify products for accelerated review earlier in the application process.</w:t>
      </w:r>
    </w:p>
    <w:p>
      <w:pPr>
        <w:spacing w:after="0" w:line="197" w:lineRule="exact"/>
        <w:rPr>
          <w:sz w:val="20"/>
          <w:szCs w:val="20"/>
          <w:color w:val="auto"/>
        </w:rPr>
      </w:pPr>
    </w:p>
    <w:p>
      <w:pPr>
        <w:ind w:right="20" w:firstLine="720"/>
        <w:spacing w:after="0" w:line="236" w:lineRule="auto"/>
        <w:rPr>
          <w:sz w:val="20"/>
          <w:szCs w:val="20"/>
          <w:color w:val="auto"/>
        </w:rPr>
      </w:pPr>
      <w:r>
        <w:rPr>
          <w:rFonts w:ascii="Times New Roman" w:cs="Times New Roman" w:eastAsia="Times New Roman" w:hAnsi="Times New Roman"/>
          <w:sz w:val="20"/>
          <w:szCs w:val="20"/>
          <w:color w:val="auto"/>
        </w:rPr>
        <w:t>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w:t>
      </w:r>
    </w:p>
    <w:p>
      <w:pPr>
        <w:spacing w:after="0" w:line="194"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187" w:lineRule="exact"/>
        <w:rPr>
          <w:sz w:val="20"/>
          <w:szCs w:val="20"/>
          <w:color w:val="auto"/>
        </w:rPr>
      </w:pPr>
    </w:p>
    <w:p>
      <w:pPr>
        <w:ind w:right="100" w:firstLine="720"/>
        <w:spacing w:after="0" w:line="238" w:lineRule="auto"/>
        <w:rPr>
          <w:sz w:val="20"/>
          <w:szCs w:val="20"/>
          <w:color w:val="auto"/>
        </w:rPr>
      </w:pPr>
      <w:r>
        <w:rPr>
          <w:rFonts w:ascii="Times New Roman" w:cs="Times New Roman" w:eastAsia="Times New Roman" w:hAnsi="Times New Roman"/>
          <w:sz w:val="20"/>
          <w:szCs w:val="20"/>
          <w:color w:val="auto"/>
        </w:rPr>
        <w:t>The competent regulatory authorities in the EU have broad discretion whether to grant such an accelerated assessment, conditional MA or MA under exceptional circumstances, and, even if such assessment or authorization is granted, we may not experience a faster development process, review or authorization compared to conventional procedures. Moreover, the removal or threat of removal of such MAs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w:t>
      </w:r>
    </w:p>
    <w:p>
      <w:pPr>
        <w:sectPr>
          <w:pgSz w:w="11880" w:h="15480" w:orient="portrait"/>
          <w:cols w:equalWidth="0" w:num="1">
            <w:col w:w="10760"/>
          </w:cols>
          <w:pgMar w:left="540" w:top="72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760"/>
          </w:cols>
          <w:pgMar w:left="540" w:top="727" w:right="580" w:bottom="0" w:gutter="0" w:footer="0" w:header="0"/>
          <w:type w:val="continuous"/>
        </w:sectPr>
      </w:pPr>
    </w:p>
    <w:bookmarkStart w:id="65" w:name="page66"/>
    <w:bookmarkEnd w:id="65"/>
    <w:p>
      <w:pPr>
        <w:ind w:right="4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w:t>
      </w:r>
    </w:p>
    <w:p>
      <w:pPr>
        <w:spacing w:after="0" w:line="192" w:lineRule="exact"/>
        <w:rPr>
          <w:sz w:val="20"/>
          <w:szCs w:val="20"/>
          <w:color w:val="auto"/>
        </w:rPr>
      </w:pPr>
    </w:p>
    <w:p>
      <w:pPr>
        <w:ind w:firstLine="720"/>
        <w:spacing w:after="0" w:line="237" w:lineRule="auto"/>
        <w:rPr>
          <w:sz w:val="20"/>
          <w:szCs w:val="20"/>
          <w:color w:val="auto"/>
        </w:rPr>
      </w:pPr>
      <w:r>
        <w:rPr>
          <w:rFonts w:ascii="Times New Roman" w:cs="Times New Roman" w:eastAsia="Times New Roman" w:hAnsi="Times New Roman"/>
          <w:sz w:val="20"/>
          <w:szCs w:val="20"/>
          <w:color w:val="auto"/>
        </w:rPr>
        <w:t>We have no marketing, sales, or distribution capabilities and we currently have no experience with marketing, selling or distributing pharmaceutical product candidates. We have partnered setrusumab in a global licensing transaction with Ultragenyx, under which we retained EU and U.K. commercial rights. We have entered into a global out-licensing agreement with Feng Biosciences for development and commercialization of navicixizumab. We have entered into a global out-licensing agreement with ReproNovo for development and commercialization of leflutrozole. We currently intend to commercialize setrusumab for children and adults with OI in the EU and U.K. We may seek to partner or commercialize our other product candidates based on the outcome of clinical trials, cost of the registrational trials and other strategic considerations.</w:t>
      </w:r>
    </w:p>
    <w:p>
      <w:pPr>
        <w:spacing w:after="0" w:line="19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currently intend to enter into out-licensing or sales arrangements with pharmaceutical, biopharmaceutical or other partners for the continued development and commercialization of our non-core disease product candidates acumapimod and etigilimab and we may take the same approach for our other product candidates.</w:t>
      </w:r>
    </w:p>
    <w:p>
      <w:pPr>
        <w:spacing w:after="0" w:line="185"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19"/>
          <w:szCs w:val="19"/>
          <w:color w:val="auto"/>
        </w:rPr>
        <w:t>As a result of the entering into any such planned partnerships or arrangements, our revenue from product sales may be lower than if we directly marketed or sold these product candidates on our own. In addition, any revenue we receive will depend upon the terms of such partnership or arrangement, which may not be as favorable to us as possible, and the efforts of the other party, which may not be adequate or successful and are likely to be beyond our control. We may not be successful in identifying a suitable partner or partners, and we may not be able to reach agreement with them at all. If we are unable to enter into these partnerships or arrangements on acceptable terms or at all, we may not be able to successfully commercialize these product candidates.</w:t>
      </w:r>
    </w:p>
    <w:p>
      <w:pPr>
        <w:spacing w:after="0" w:line="186"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arrangements with third parties, our future product revenue will suffer, and we may incur significant losses.</w:t>
      </w:r>
    </w:p>
    <w:p>
      <w:pPr>
        <w:spacing w:after="0" w:line="192"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192" w:lineRule="exact"/>
        <w:rPr>
          <w:sz w:val="20"/>
          <w:szCs w:val="20"/>
          <w:color w:val="auto"/>
        </w:rPr>
      </w:pPr>
    </w:p>
    <w:p>
      <w:pPr>
        <w:ind w:right="60" w:firstLine="720"/>
        <w:spacing w:after="0" w:line="234" w:lineRule="auto"/>
        <w:rPr>
          <w:sz w:val="20"/>
          <w:szCs w:val="20"/>
          <w:color w:val="auto"/>
        </w:rPr>
      </w:pPr>
      <w:r>
        <w:rPr>
          <w:rFonts w:ascii="Times New Roman" w:cs="Times New Roman" w:eastAsia="Times New Roman" w:hAnsi="Times New Roman"/>
          <w:sz w:val="20"/>
          <w:szCs w:val="20"/>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 candidates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Third-party payors may also elect to restrict coverage to a subset of patients that could potentially be treated with our products, if approved. We cannot be sure that coverage and reimbursement in the U.S., the EU, or elsewhere will be available for our product candidates or any product that we may develop, and any reimbursement that may become available may be decreased or eliminated in the future.</w:t>
      </w:r>
    </w:p>
    <w:p>
      <w:pPr>
        <w:spacing w:after="0" w:line="202" w:lineRule="exact"/>
        <w:rPr>
          <w:sz w:val="20"/>
          <w:szCs w:val="20"/>
          <w:color w:val="auto"/>
        </w:rPr>
      </w:pPr>
    </w:p>
    <w:p>
      <w:pPr>
        <w:ind w:right="20" w:firstLine="720"/>
        <w:spacing w:after="0" w:line="248" w:lineRule="auto"/>
        <w:rPr>
          <w:sz w:val="20"/>
          <w:szCs w:val="20"/>
          <w:color w:val="auto"/>
        </w:rPr>
      </w:pPr>
      <w:r>
        <w:rPr>
          <w:rFonts w:ascii="Times New Roman" w:cs="Times New Roman" w:eastAsia="Times New Roman" w:hAnsi="Times New Roman"/>
          <w:sz w:val="19"/>
          <w:szCs w:val="19"/>
          <w:color w:val="auto"/>
        </w:rPr>
        <w:t>Third-party payors increasingly are challenging prices charged for pharmaceutical product candidates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 candidates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200" w:lineRule="exact"/>
        <w:rPr>
          <w:sz w:val="20"/>
          <w:szCs w:val="20"/>
          <w:color w:val="auto"/>
        </w:rPr>
      </w:pPr>
    </w:p>
    <w:p>
      <w:pPr>
        <w:ind w:right="120" w:firstLine="720"/>
        <w:spacing w:after="0" w:line="266" w:lineRule="auto"/>
        <w:rPr>
          <w:sz w:val="20"/>
          <w:szCs w:val="20"/>
          <w:color w:val="auto"/>
        </w:rPr>
      </w:pPr>
      <w:r>
        <w:rPr>
          <w:rFonts w:ascii="Times New Roman" w:cs="Times New Roman" w:eastAsia="Times New Roman" w:hAnsi="Times New Roman"/>
          <w:sz w:val="19"/>
          <w:szCs w:val="19"/>
          <w:color w:val="auto"/>
        </w:rPr>
        <w:t>There is significant uncertainty related to the insurance coverage and reimbursement of newly approved product candidates. In the U.S., third-party payors, including private and governmental payors, such as the Medicare and Medicaid programs, play an important role in determining the extent to which new drugs and biologics will be covered. The Medicare and Medicaid programs increasingly are used as models in the U.S. for how private payors and other governmental payors develop coverage and reimbursement policies for drugs and biologics. Some third-party payors may require pre-approval of coverage for new or innovative</w:t>
      </w:r>
    </w:p>
    <w:p>
      <w:pPr>
        <w:sectPr>
          <w:pgSz w:w="11880" w:h="15480" w:orient="portrait"/>
          <w:cols w:equalWidth="0" w:num="1">
            <w:col w:w="10780"/>
          </w:cols>
          <w:pgMar w:left="540" w:top="742" w:right="56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780"/>
          </w:cols>
          <w:pgMar w:left="540" w:top="742" w:right="560" w:bottom="0" w:gutter="0" w:footer="0" w:header="0"/>
          <w:type w:val="continuous"/>
        </w:sectPr>
      </w:pPr>
    </w:p>
    <w:bookmarkStart w:id="66" w:name="page67"/>
    <w:bookmarkEnd w:id="66"/>
    <w:p>
      <w:pPr>
        <w:ind w:right="180"/>
        <w:spacing w:after="0" w:line="279" w:lineRule="auto"/>
        <w:rPr>
          <w:sz w:val="20"/>
          <w:szCs w:val="20"/>
          <w:color w:val="auto"/>
        </w:rPr>
      </w:pPr>
      <w:r>
        <w:rPr>
          <w:rFonts w:ascii="Times New Roman" w:cs="Times New Roman" w:eastAsia="Times New Roman" w:hAnsi="Times New Roman"/>
          <w:sz w:val="20"/>
          <w:szCs w:val="20"/>
          <w:color w:val="auto"/>
        </w:rPr>
        <w:t>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165"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No uniform policy for coverage and reimbursement for product candidates exists among third-party payors in the U.S. Therefore, coverage and reimbursement for product candidates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0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Our operations are also subject to extensive governmental price controls and other market regulations in the U.K. and other countries outside of the U.S., and we believe the increasing emphasis on cost-containment initiatives in European and other countries will put pressure on the pricing and usage of our product candidates. In many countries, the prices of medical product candidates are subject to varying price control mechanisms as part of national health systems.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Additional foreign price controls or other changes in pricing regulation could restrict the amount that we are able to charge for our product candidates. Accordingly, in markets outside the U.S., the reimbursement for our product candidates may be reduced compared with the U.S. and may be insufficient to generate commercially reasonable revenue and profits.</w:t>
      </w:r>
    </w:p>
    <w:p>
      <w:pPr>
        <w:spacing w:after="0" w:line="207"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Moreover, increasing efforts by governmental and third-party payors in the U.S. and abroad to cap or reduce healthcare costs may cause such organizations to limit both coverage and the level of reimbursement for newly approved product candidates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 candidates.</w:t>
      </w:r>
    </w:p>
    <w:p>
      <w:pPr>
        <w:spacing w:after="0" w:line="201"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existing and future product candidates may not gain market acceptance, in which case our ability to generate revenues from product sales will be compromised.</w:t>
      </w:r>
    </w:p>
    <w:p>
      <w:pPr>
        <w:spacing w:after="0" w:line="166"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Even if the FDA,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211" w:lineRule="exact"/>
        <w:rPr>
          <w:sz w:val="20"/>
          <w:szCs w:val="20"/>
          <w:color w:val="auto"/>
        </w:rPr>
      </w:pPr>
    </w:p>
    <w:p>
      <w:pPr>
        <w:ind w:left="1080" w:hanging="360"/>
        <w:spacing w:after="0"/>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market introduction;</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clinical profile of competing product candidates;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clinical indications for which our product candidates are approved;</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provide acceptable evidence of safety and efficacy;</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relative convenience and ease of administration;</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cost-effectiveness;</w:t>
      </w:r>
    </w:p>
    <w:p>
      <w:pPr>
        <w:sectPr>
          <w:pgSz w:w="11880" w:h="15480" w:orient="portrait"/>
          <w:cols w:equalWidth="0" w:num="1">
            <w:col w:w="10780"/>
          </w:cols>
          <w:pgMar w:left="540" w:top="748" w:right="560" w:bottom="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780"/>
          </w:cols>
          <w:pgMar w:left="540" w:top="748" w:right="560" w:bottom="0" w:gutter="0" w:footer="0" w:header="0"/>
          <w:type w:val="continuous"/>
        </w:sectPr>
      </w:pPr>
    </w:p>
    <w:bookmarkStart w:id="67" w:name="page68"/>
    <w:bookmarkEnd w:id="67"/>
    <w:p>
      <w:pPr>
        <w:ind w:left="1080" w:hanging="360"/>
        <w:spacing w:after="0"/>
        <w:tabs>
          <w:tab w:leader="none" w:pos="10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marketing and distribution support;</w:t>
      </w:r>
    </w:p>
    <w:p>
      <w:pPr>
        <w:spacing w:after="0" w:line="253" w:lineRule="exact"/>
        <w:rPr>
          <w:rFonts w:ascii="Arial" w:cs="Arial" w:eastAsia="Arial" w:hAnsi="Arial"/>
          <w:sz w:val="20"/>
          <w:szCs w:val="20"/>
          <w:color w:val="auto"/>
        </w:rPr>
      </w:pPr>
    </w:p>
    <w:p>
      <w:pPr>
        <w:ind w:left="1080" w:right="360" w:hanging="360"/>
        <w:spacing w:after="0" w:line="278" w:lineRule="auto"/>
        <w:tabs>
          <w:tab w:leader="none" w:pos="10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of adequate coverage, reimbursement, and adequate payment from health maintenance organizations and other insurers, both public and private; and</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other potential advantages over alternative treatment methods.</w:t>
      </w:r>
    </w:p>
    <w:p>
      <w:pPr>
        <w:spacing w:after="0" w:line="239" w:lineRule="exact"/>
        <w:rPr>
          <w:sz w:val="20"/>
          <w:szCs w:val="20"/>
          <w:color w:val="auto"/>
        </w:rPr>
      </w:pPr>
    </w:p>
    <w:p>
      <w:pPr>
        <w:ind w:right="200" w:firstLine="720"/>
        <w:spacing w:after="0" w:line="259" w:lineRule="auto"/>
        <w:rPr>
          <w:sz w:val="20"/>
          <w:szCs w:val="20"/>
          <w:color w:val="auto"/>
        </w:rPr>
      </w:pPr>
      <w:r>
        <w:rPr>
          <w:rFonts w:ascii="Times New Roman" w:cs="Times New Roman" w:eastAsia="Times New Roman" w:hAnsi="Times New Roman"/>
          <w:sz w:val="20"/>
          <w:szCs w:val="20"/>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87"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Any product candidates for which we intend to seek approval as biologic product candidates in the U.S. may face competition sooner than anticipated.</w:t>
      </w:r>
    </w:p>
    <w:p>
      <w:pPr>
        <w:spacing w:after="0" w:line="166"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In the U.S., the Biologics Price Competition and Innovation Act of 2009 (the “BPCIA”) created an abbreviated approval pathway for biological product candidates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202"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We believe that if any product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 candidates for competing product candidates, potentially creating the opportunity for generic competition sooner than anticipated. Moreover, the extent to which a biosimilar, once approved, will be substituted for a reference product in a way that is similar to traditional generic substitution for non-biological product candidates is not yet clear, and will depend on a number of marketplace and regulatory factors that are still developing.</w:t>
      </w:r>
    </w:p>
    <w:p>
      <w:pPr>
        <w:spacing w:after="0" w:line="200"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In the EU, MAAs for product candidates that are biosimilar to an already authorized biological product, the so-called reference product, can rely on the safety and efficacy data contained in the dossier of the reference product. To qualify as a biosimilar product the MA applicant must demonstrate, through comprehensive comparability studies with the reference product, that its product is: (i) 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24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rely, and expect to continue to rely, on our partners to develop and commercialize our licensed or partnered product candidates. If our partners do not secure adequate funding or satisfy their obligations under our agreements with them, or if they terminate our licenses, partnerships or collaborations with them, we may not be able to develop or commercialize our licensed or partnered product candidates as planned.</w:t>
      </w:r>
    </w:p>
    <w:p>
      <w:pPr>
        <w:spacing w:after="0" w:line="192"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We have announced three out-licensing collaborations. On December 17, 2020, we announced a license and collaboration agreement with Ultragenyx, for setrusumab, a monoclonal antibody in clinical development for OI. Under the terms of the collaboration, Ultragenyx will lead future global development of setrusumab in both pediatric and adult patients. We granted Ultragenyx an exclusive license to develop and commercialize setrusumab in the U.S. and rest of the world, excluding Europe and the U.K. where we retain commercial rights. Under the terms of the agreement, Ultragenyx will pay up to $254 million in additional development, regulatory and commercial milestones and tiered double digit percentage royalties to us on net sales outside of Europe and we will pay a fixed double digit percentage royalty to Ultragenyx on net sales in Europe. On January 13, 2020, we announced a global out-licensing agreement with Feng Biosciences for development and commercialization of navicixizumab. Under the terms of the agreement Feng Biosciences will pay up to $300 million in future clinical, development and commercial milestones and royalties ranging from the mid-single digit to sub-teen percentages on global annual net sales of navicixizumab, as well as a negotiated percentage of sublicensing revenues from certain sublicensees. In December 2023, we entered into an exclusive global license agreement with ReproNovo for the development and commercialization of leflutrozole, a non-steroidal aromatase inhibitor. Under the terms of the License Agreement, ReproNovo, a reproductive medicine company, is responsible for all future development and</w:t>
      </w:r>
    </w:p>
    <w:p>
      <w:pPr>
        <w:sectPr>
          <w:pgSz w:w="11880" w:h="15480" w:orient="portrait"/>
          <w:cols w:equalWidth="0" w:num="1">
            <w:col w:w="10780"/>
          </w:cols>
          <w:pgMar w:left="540" w:top="763" w:right="560" w:bottom="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780"/>
          </w:cols>
          <w:pgMar w:left="540" w:top="763" w:right="560" w:bottom="0" w:gutter="0" w:footer="0" w:header="0"/>
          <w:type w:val="continuous"/>
        </w:sectPr>
      </w:pPr>
    </w:p>
    <w:bookmarkStart w:id="68" w:name="page69"/>
    <w:bookmarkEnd w:id="68"/>
    <w:p>
      <w:pPr>
        <w:ind w:right="260"/>
        <w:spacing w:after="0" w:line="253" w:lineRule="auto"/>
        <w:rPr>
          <w:sz w:val="20"/>
          <w:szCs w:val="20"/>
          <w:color w:val="auto"/>
        </w:rPr>
      </w:pPr>
      <w:r>
        <w:rPr>
          <w:rFonts w:ascii="Times New Roman" w:cs="Times New Roman" w:eastAsia="Times New Roman" w:hAnsi="Times New Roman"/>
          <w:sz w:val="20"/>
          <w:szCs w:val="20"/>
          <w:color w:val="auto"/>
        </w:rPr>
        <w:t>commercialization of leflutrozole. Mereo received an upfront payment and will be eligible to receive up to $64.3 million in future clinical, regulatory and commercial milestones as well as tiered mid-single digit royalties on global annual net sales of leflutrozole. Our future plans may include entering into out-licensing or collaboration agreements on some or all of our other development programs.</w:t>
      </w:r>
    </w:p>
    <w:p>
      <w:pPr>
        <w:spacing w:after="0" w:line="190" w:lineRule="exact"/>
        <w:rPr>
          <w:sz w:val="20"/>
          <w:szCs w:val="20"/>
          <w:color w:val="auto"/>
        </w:rPr>
      </w:pPr>
    </w:p>
    <w:p>
      <w:pPr>
        <w:ind w:right="60" w:firstLine="720"/>
        <w:spacing w:after="0" w:line="259" w:lineRule="auto"/>
        <w:rPr>
          <w:sz w:val="20"/>
          <w:szCs w:val="20"/>
          <w:color w:val="auto"/>
        </w:rPr>
      </w:pPr>
      <w:r>
        <w:rPr>
          <w:rFonts w:ascii="Times New Roman" w:cs="Times New Roman" w:eastAsia="Times New Roman" w:hAnsi="Times New Roman"/>
          <w:sz w:val="20"/>
          <w:szCs w:val="20"/>
          <w:color w:val="auto"/>
        </w:rPr>
        <w:t>We also have existing acquisition agreements with Novartis which we entered into in 2015 in respect of our purchase of setrusumab, leflutrozole and acumapimod, and an existing in-licensing agreement with AstraZeneca which we entered into in 2017 in respect of our exclusive license of alvelestat.</w:t>
      </w:r>
    </w:p>
    <w:p>
      <w:pPr>
        <w:spacing w:after="0" w:line="185"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partners might not fulfill all of their obligations under these agreements, and, in certain circumstances, including our licensing agreement with AstraZeneca, they or we may terminate our partnerships with them. In either event, we may be unable to assume the development and commercialization responsibilities covered by these agreements or enter into alternative arrangements with a third-party to develop and commercialize product candidates. If a partner elected to promote alternative products and product candidates such as its own products and product candidates in preference to those licensed from us, is unable to secure adequate funding to develop our product candidates, does not devote an adequate amount of time and resources to our product candidates or is otherwise unsuccessful in its efforts with respect to our product candidates, the development and commercialization of product candidates covered by the agreements could be delayed or terminated and our business and financial condition could be materially and adversely affected. Accordingly, our ability to receive any revenue from the product candidates covered by these agreements is dependent on the efforts of our partners.</w:t>
      </w:r>
    </w:p>
    <w:p>
      <w:pPr>
        <w:spacing w:after="0" w:line="202"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If a partner terminates or breaches its agreements with us, otherwise fails to complete its obligations in a timely manner or alleges that we have breached our contractual obligations under these agreements, the chances of successfully developing or commercializing product candidates under the collaboration could be materially and adversely affected.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ADSs.</w:t>
      </w:r>
    </w:p>
    <w:p>
      <w:pPr>
        <w:spacing w:after="0" w:line="19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19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have relied upon and plan to continue to rely upon independent clinical investigators and CROs to conduct our clinical trials and to monitor and manage data for our planned and ongoing clinical programs. We rely on these parties for the execution of our clinical trials and control only certain aspects of these parties’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GCP requirements, which are regulations and guidelines enforced by the FDA, the competent authorities of the EU member states, and comparable foreign regulatory authorities for all of our product candidates in clinical development. Regulatory authorities enforce these GCP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GCP requirements. Our failure to comply with these regulations may require us to repeat clinical trials, which would delay the regulatory approval process.</w:t>
      </w:r>
    </w:p>
    <w:p>
      <w:pPr>
        <w:spacing w:after="0" w:line="20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200"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w:t>
      </w:r>
    </w:p>
    <w:p>
      <w:pPr>
        <w:sectPr>
          <w:pgSz w:w="11880" w:h="15480" w:orient="portrait"/>
          <w:cols w:equalWidth="0" w:num="1">
            <w:col w:w="10760"/>
          </w:cols>
          <w:pgMar w:left="540" w:top="748" w:right="580" w:bottom="0" w:gutter="0" w:footer="0" w:header="0"/>
        </w:sect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760"/>
          </w:cols>
          <w:pgMar w:left="540" w:top="748" w:right="580" w:bottom="0" w:gutter="0" w:footer="0" w:header="0"/>
          <w:type w:val="continuous"/>
        </w:sectPr>
      </w:pPr>
    </w:p>
    <w:bookmarkStart w:id="69" w:name="page70"/>
    <w:bookmarkEnd w:id="69"/>
    <w:p>
      <w:pPr>
        <w:ind w:firstLine="720"/>
        <w:spacing w:after="0" w:line="247" w:lineRule="auto"/>
        <w:rPr>
          <w:sz w:val="20"/>
          <w:szCs w:val="20"/>
          <w:color w:val="auto"/>
        </w:rPr>
      </w:pPr>
      <w:r>
        <w:rPr>
          <w:rFonts w:ascii="Times New Roman" w:cs="Times New Roman" w:eastAsia="Times New Roman" w:hAnsi="Times New Roman"/>
          <w:sz w:val="20"/>
          <w:szCs w:val="20"/>
          <w:color w:val="auto"/>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9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192"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We have limited personnel with experience in manufacturing and CMC development requirements and we do not own facilities for manufacturing and testing of our product candidates. Instead, we rely on and expect to continue to rely on CMOs for the supply, testing and release of cGMP, or similar foreign requirements, grade clinical trial materials, performance of process and product development activities to facilitate supply of commercial quantities of our product candidates, if approved. Reliance on CMOs may expose us to more risk than if we were to manufacture our product candidates ourselves. Novartis previously provided clinical supplies for setrusumab, acumapimod, and leflutrozole and certain transitional services. We have transitioned the clinical supply manufacture for these product candidates to CMOs while demonstrating the manufactured product is equivalent to the Novartis form. We have also contracted with CMOs for the clinical supply of etigilimab and alvelestat.</w:t>
      </w:r>
    </w:p>
    <w:p>
      <w:pPr>
        <w:spacing w:after="0" w:line="202" w:lineRule="exact"/>
        <w:rPr>
          <w:sz w:val="20"/>
          <w:szCs w:val="20"/>
          <w:color w:val="auto"/>
        </w:rPr>
      </w:pPr>
    </w:p>
    <w:p>
      <w:pPr>
        <w:ind w:right="20" w:firstLine="720"/>
        <w:spacing w:after="0" w:line="241" w:lineRule="auto"/>
        <w:rPr>
          <w:sz w:val="20"/>
          <w:szCs w:val="20"/>
          <w:color w:val="auto"/>
        </w:rPr>
      </w:pPr>
      <w:r>
        <w:rPr>
          <w:rFonts w:ascii="Times New Roman" w:cs="Times New Roman" w:eastAsia="Times New Roman" w:hAnsi="Times New Roman"/>
          <w:sz w:val="20"/>
          <w:szCs w:val="20"/>
          <w:color w:val="auto"/>
        </w:rPr>
        <w:t>The facilities used to manufacture and test our product candidates must be approved by the FDA, and comparable foreign authorities pursuant to inspections. While we provide oversight of manufacturing activities, we do not and will not control the execution of our manufacturing activities by, and are or will be essentially dependent on, our CMOs for compliance with cGMP or similar foreign requirements for the manufacture of our product candidates. We aim to minimize this risk by entering into quality agreements, by auditing of the CMOs and by ongoing review of all activities linked to product manufacture. Due to this dependence on CMOs, we are potentially subject to the risk that our product candidates may have manufacturing defects that we have limited ability to prevent. If a CMO cannot successfully manufacture material that conforms to our specifications and the regulatory requirements it may delay ongoing clinical studies as we will not be able to secure or maintain regulatory approval for the use of our investigational medicinal product candidates in clinical trials, or for commercial distribution of our product candidates, if approved. In addition, while we have limited direct control over the ability of our CMOs to maintain adequate quality control, quality assurance and qualified personnel, we aim to maintain control through the use of quality agreements and manufacturing supply agreements. If the FDA or the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recall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Novartis has a contractual right to approve or reject any additional CMO we wish to engage for the manufacture of setrusumab, other than those CMOs that we and Novartis have already agreed upon. Following the license of setrusumab to Ultragenyx, CMO capacity in relation to the manufacture of clinical trial and commercial supplies is a key focus and most likely means additional CMO capacity will be a future priority to secure sufficient supplies. If we or our partners were unable to find an acceptable CMO within a reasonable timeframe, our clinical trials could be delayed, or our commercial activities could be negatively impacted.</w:t>
      </w:r>
    </w:p>
    <w:p>
      <w:pPr>
        <w:spacing w:after="0" w:line="21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We rely on and will continue to rely on CMOs to purchase from third-party suppliers the raw materials meeting for our specifications that are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w:t>
      </w:r>
    </w:p>
    <w:p>
      <w:pPr>
        <w:spacing w:after="0" w:line="202" w:lineRule="exact"/>
        <w:rPr>
          <w:sz w:val="20"/>
          <w:szCs w:val="20"/>
          <w:color w:val="auto"/>
        </w:rPr>
      </w:pPr>
    </w:p>
    <w:p>
      <w:pPr>
        <w:ind w:right="20" w:firstLine="720"/>
        <w:spacing w:after="0" w:line="307" w:lineRule="auto"/>
        <w:rPr>
          <w:sz w:val="20"/>
          <w:szCs w:val="20"/>
          <w:color w:val="auto"/>
        </w:rPr>
      </w:pPr>
      <w:r>
        <w:rPr>
          <w:rFonts w:ascii="Times New Roman" w:cs="Times New Roman" w:eastAsia="Times New Roman" w:hAnsi="Times New Roman"/>
          <w:sz w:val="19"/>
          <w:szCs w:val="19"/>
          <w:color w:val="auto"/>
        </w:rPr>
        <w:t>We rely on our CMOs to conduct all product and process development activities necessary to support regulatory submissions. These activities are critical to the meeting the regulatory expectations and if these studies are not considered adequate by FDA, the</w:t>
      </w:r>
    </w:p>
    <w:p>
      <w:pPr>
        <w:sectPr>
          <w:pgSz w:w="11880" w:h="15480" w:orient="portrait"/>
          <w:cols w:equalWidth="0" w:num="1">
            <w:col w:w="10800"/>
          </w:cols>
          <w:pgMar w:left="540" w:top="748" w:right="540" w:bottom="0" w:gutter="0" w:footer="0" w:header="0"/>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800"/>
          </w:cols>
          <w:pgMar w:left="540" w:top="748" w:right="540" w:bottom="0" w:gutter="0" w:footer="0" w:header="0"/>
          <w:type w:val="continuous"/>
        </w:sectPr>
      </w:pPr>
    </w:p>
    <w:bookmarkStart w:id="70" w:name="page71"/>
    <w:bookmarkEnd w:id="70"/>
    <w:p>
      <w:pPr>
        <w:jc w:val="both"/>
        <w:ind w:right="260"/>
        <w:spacing w:after="0" w:line="259" w:lineRule="auto"/>
        <w:rPr>
          <w:sz w:val="20"/>
          <w:szCs w:val="20"/>
          <w:color w:val="auto"/>
        </w:rPr>
      </w:pPr>
      <w:r>
        <w:rPr>
          <w:rFonts w:ascii="Times New Roman" w:cs="Times New Roman" w:eastAsia="Times New Roman" w:hAnsi="Times New Roman"/>
          <w:sz w:val="20"/>
          <w:szCs w:val="20"/>
          <w:color w:val="auto"/>
        </w:rPr>
        <w:t>EMA or comparable foreign regulatory authority then significant delays could be encountered as a result. This risk is mitigated by following all relevant guidance’s and using staff knowledge and previous experience to guide the product and process development programs but is still a potential risk of regulatory non-compliance.</w:t>
      </w:r>
    </w:p>
    <w:p>
      <w:pPr>
        <w:spacing w:after="0" w:line="185"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197"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19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184" w:lineRule="exact"/>
        <w:rPr>
          <w:sz w:val="20"/>
          <w:szCs w:val="20"/>
          <w:color w:val="auto"/>
        </w:rPr>
      </w:pPr>
    </w:p>
    <w:p>
      <w:pPr>
        <w:ind w:right="220" w:firstLine="720"/>
        <w:spacing w:after="0" w:line="253" w:lineRule="auto"/>
        <w:rPr>
          <w:sz w:val="20"/>
          <w:szCs w:val="20"/>
          <w:color w:val="auto"/>
        </w:rPr>
      </w:pPr>
      <w:r>
        <w:rPr>
          <w:rFonts w:ascii="Times New Roman" w:cs="Times New Roman" w:eastAsia="Times New Roman" w:hAnsi="Times New Roman"/>
          <w:sz w:val="20"/>
          <w:szCs w:val="20"/>
          <w:color w:val="auto"/>
        </w:rPr>
        <w:t>Our development program for our product candidates, particularly those entering late-stage development, will require substantial additional funds. We currently intend to enter into out-licensing or sales arrangements with pharmaceutical, biopharmaceutical or other partners for the continued development of our product candidates, acumapimod and leflutrozole, and we may take the same approach for other product candidates.</w:t>
      </w:r>
    </w:p>
    <w:p>
      <w:pPr>
        <w:spacing w:after="0" w:line="19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The types of development arrangements referred to above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200"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If we are unable to enter into an appropriate arrangement for the development of our selected product candidates, we may have to reduce, delay, or terminate the development of such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4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184"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 candidates, and methods of using our product candidates for the treatment of the indications we are developing or plan to develop, or on in-licensing such rights. Our patent portfolio comprises patents and patent applications which cover navicixizumab (which was licensed to Feng Biosciences in January 2020), and our etigilimab product candidate (solely owned by Mereo BioPharma 5 (formerly OncoMed)), patents and patent applications which cover our setrusumab, acumapimod, and leflutrozole product candidates acquired from Novartis and patents and patent applications which cover our alvelestat product candidate exclusively licensed (with the option to purchase) from AstraZeneca. The assignments of those patents and patent applications which we acquired from Novartis have been registered with the relevant authorities in key territories. The patent and patent applications for setrusumab and leflutrozole are subject to a license agreement with Ultragenyx from January 2021 and a license agreement with ReproNovo from December 2023 respectively.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w:t>
      </w:r>
    </w:p>
    <w:p>
      <w:pPr>
        <w:sectPr>
          <w:pgSz w:w="11880" w:h="15480" w:orient="portrait"/>
          <w:cols w:equalWidth="0" w:num="1">
            <w:col w:w="10780"/>
          </w:cols>
          <w:pgMar w:left="540" w:top="748" w:right="560" w:bottom="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780"/>
          </w:cols>
          <w:pgMar w:left="540" w:top="748" w:right="560" w:bottom="0" w:gutter="0" w:footer="0" w:header="0"/>
          <w:type w:val="continuous"/>
        </w:sectPr>
      </w:pPr>
    </w:p>
    <w:bookmarkStart w:id="71" w:name="page72"/>
    <w:bookmarkEnd w:id="71"/>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for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20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 issued from such patent applications, and then only to the extent the issued claims cover the technology.</w:t>
      </w:r>
    </w:p>
    <w:p>
      <w:pPr>
        <w:spacing w:after="0" w:line="203"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Because patent applications are confidential for a period of time after filing, and some remain so until issued, we cannot be certain that we or our licensors were the first to file any patent application related to our product candidates. Furthermore, in the U.S., if third parties have filed such patent applications on or before March 15, 2013, the date on which the U.S. changed from a first to invent to a first to file patent system,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such third parties’ product candidates.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207"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enjoy only limited geographical protection with respect to certain patents and may not be able to protect our intellectual property rights throughout the world.</w:t>
      </w:r>
    </w:p>
    <w:p>
      <w:pPr>
        <w:spacing w:after="0" w:line="166"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Filing and prosecuting patent applications and maintaining and defending patents covering our product candidates in all countries throughout the world would be prohibitively expensive. Competitors may use our and our licensors’ technologies in jurisdictions where we have not obtained patent protection to develop their competitor’s own product candidates and, further, may export otherwise infringing product candidates to territories where we and our licensors have patent protection, but enforcement rights are not as strong as that in the U.S. or Europe. These product candidates may compete with our product candidates, and our and our licensors’ patents or other intellectual property rights may not be effective or sufficient to prevent them from competing.</w:t>
      </w:r>
    </w:p>
    <w:p>
      <w:pPr>
        <w:spacing w:after="0" w:line="200" w:lineRule="exact"/>
        <w:rPr>
          <w:sz w:val="20"/>
          <w:szCs w:val="20"/>
          <w:color w:val="auto"/>
        </w:rPr>
      </w:pPr>
    </w:p>
    <w:p>
      <w:pPr>
        <w:ind w:right="200" w:firstLine="720"/>
        <w:spacing w:after="0" w:line="247" w:lineRule="auto"/>
        <w:rPr>
          <w:sz w:val="20"/>
          <w:szCs w:val="20"/>
          <w:color w:val="auto"/>
        </w:rPr>
      </w:pPr>
      <w:r>
        <w:rPr>
          <w:rFonts w:ascii="Times New Roman" w:cs="Times New Roman" w:eastAsia="Times New Roman" w:hAnsi="Times New Roman"/>
          <w:sz w:val="20"/>
          <w:szCs w:val="20"/>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or technology.</w:t>
      </w:r>
    </w:p>
    <w:p>
      <w:pPr>
        <w:spacing w:after="0" w:line="194" w:lineRule="exact"/>
        <w:rPr>
          <w:sz w:val="20"/>
          <w:szCs w:val="20"/>
          <w:color w:val="auto"/>
        </w:rPr>
      </w:pPr>
    </w:p>
    <w:p>
      <w:pPr>
        <w:ind w:firstLine="720"/>
        <w:spacing w:after="0" w:line="250" w:lineRule="auto"/>
        <w:rPr>
          <w:sz w:val="20"/>
          <w:szCs w:val="20"/>
          <w:color w:val="auto"/>
        </w:rPr>
      </w:pPr>
      <w:r>
        <w:rPr>
          <w:rFonts w:ascii="Times New Roman" w:cs="Times New Roman" w:eastAsia="Times New Roman" w:hAnsi="Times New Roman"/>
          <w:sz w:val="19"/>
          <w:szCs w:val="19"/>
          <w:color w:val="auto"/>
        </w:rPr>
        <w:t>The laws of some jurisdictions do not protect intellectual property rights to the same extent as the laws or rules and regulations in the U.S., U.K.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w:t>
      </w:r>
    </w:p>
    <w:p>
      <w:pPr>
        <w:sectPr>
          <w:pgSz w:w="11880" w:h="15480" w:orient="portrait"/>
          <w:cols w:equalWidth="0" w:num="1">
            <w:col w:w="10780"/>
          </w:cols>
          <w:pgMar w:left="540" w:top="748" w:right="560" w:bottom="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780"/>
          </w:cols>
          <w:pgMar w:left="540" w:top="748" w:right="560" w:bottom="0" w:gutter="0" w:footer="0" w:header="0"/>
          <w:type w:val="continuous"/>
        </w:sectPr>
      </w:pPr>
    </w:p>
    <w:bookmarkStart w:id="72" w:name="page73"/>
    <w:bookmarkEnd w:id="72"/>
    <w:p>
      <w:pPr>
        <w:ind w:right="20"/>
        <w:spacing w:after="0"/>
        <w:rPr>
          <w:sz w:val="20"/>
          <w:szCs w:val="20"/>
          <w:color w:val="auto"/>
        </w:rPr>
      </w:pPr>
      <w:r>
        <w:rPr>
          <w:rFonts w:ascii="Times New Roman" w:cs="Times New Roman" w:eastAsia="Times New Roman" w:hAnsi="Times New Roman"/>
          <w:sz w:val="20"/>
          <w:szCs w:val="20"/>
          <w:color w:val="auto"/>
        </w:rPr>
        <w:t>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0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99"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Our patents and other proprietary rights may not adequately protect our technologies and product candidates and may not necessarily address all potential threats to our competitive advantage.</w:t>
      </w:r>
    </w:p>
    <w:p>
      <w:pPr>
        <w:spacing w:after="0" w:line="166"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0" w:lineRule="exact"/>
        <w:rPr>
          <w:sz w:val="20"/>
          <w:szCs w:val="20"/>
          <w:color w:val="auto"/>
        </w:rPr>
      </w:pPr>
    </w:p>
    <w:p>
      <w:pPr>
        <w:ind w:left="1080" w:right="80" w:hanging="360"/>
        <w:spacing w:after="0" w:line="271" w:lineRule="auto"/>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be able to make compounds that are the same as or similar to our product candidates but that are not covered by the claims of the patents that we own or have exclusively licensed;</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third parties may impair our ability to develop or commercialize our product candidates;</w:t>
      </w:r>
    </w:p>
    <w:p>
      <w:pPr>
        <w:spacing w:after="0" w:line="246" w:lineRule="exact"/>
        <w:rPr>
          <w:rFonts w:ascii="Arial" w:cs="Arial" w:eastAsia="Arial" w:hAnsi="Arial"/>
          <w:sz w:val="20"/>
          <w:szCs w:val="20"/>
          <w:color w:val="auto"/>
        </w:rPr>
      </w:pPr>
    </w:p>
    <w:p>
      <w:pPr>
        <w:ind w:left="1080" w:right="100" w:hanging="360"/>
        <w:spacing w:after="0" w:line="271" w:lineRule="auto"/>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third parties may be extended beyond the expected patent term and thus may impair our ability to develop or commercialize our product candidates;</w:t>
      </w:r>
    </w:p>
    <w:p>
      <w:pPr>
        <w:spacing w:after="0" w:line="180" w:lineRule="exact"/>
        <w:rPr>
          <w:rFonts w:ascii="Arial" w:cs="Arial" w:eastAsia="Arial" w:hAnsi="Arial"/>
          <w:sz w:val="20"/>
          <w:szCs w:val="20"/>
          <w:color w:val="auto"/>
        </w:rPr>
      </w:pPr>
    </w:p>
    <w:p>
      <w:pPr>
        <w:jc w:val="both"/>
        <w:ind w:left="1080" w:right="280" w:hanging="360"/>
        <w:spacing w:after="0" w:line="298" w:lineRule="auto"/>
        <w:tabs>
          <w:tab w:leader="none" w:pos="108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we or our licensors or any future strategic collaborators might not have been the first to conceive or reduce to practice the inventions covered by the issued patents or pending patent applications that we own or have exclusively licensed;</w:t>
      </w:r>
    </w:p>
    <w:p>
      <w:pPr>
        <w:spacing w:after="0" w:line="157" w:lineRule="exact"/>
        <w:rPr>
          <w:rFonts w:ascii="Arial" w:cs="Arial" w:eastAsia="Arial" w:hAnsi="Arial"/>
          <w:sz w:val="19"/>
          <w:szCs w:val="19"/>
          <w:color w:val="auto"/>
        </w:rPr>
      </w:pPr>
    </w:p>
    <w:p>
      <w:pPr>
        <w:jc w:val="both"/>
        <w:ind w:left="1080" w:right="100" w:hanging="360"/>
        <w:spacing w:after="0" w:line="252" w:lineRule="auto"/>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198" w:lineRule="exact"/>
        <w:rPr>
          <w:rFonts w:ascii="Arial" w:cs="Arial" w:eastAsia="Arial" w:hAnsi="Arial"/>
          <w:sz w:val="20"/>
          <w:szCs w:val="20"/>
          <w:color w:val="auto"/>
        </w:rPr>
      </w:pPr>
    </w:p>
    <w:p>
      <w:pPr>
        <w:ind w:left="1080" w:right="620" w:hanging="360"/>
        <w:spacing w:after="0" w:line="271" w:lineRule="auto"/>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the pending patent applications that we own or have exclusively licensed may not lead to issued patents;</w:t>
      </w:r>
    </w:p>
    <w:p>
      <w:pPr>
        <w:spacing w:after="0" w:line="180" w:lineRule="exact"/>
        <w:rPr>
          <w:rFonts w:ascii="Arial" w:cs="Arial" w:eastAsia="Arial" w:hAnsi="Arial"/>
          <w:sz w:val="20"/>
          <w:szCs w:val="20"/>
          <w:color w:val="auto"/>
        </w:rPr>
      </w:pPr>
    </w:p>
    <w:p>
      <w:pPr>
        <w:ind w:left="1080" w:right="160" w:hanging="360"/>
        <w:spacing w:after="0" w:line="271" w:lineRule="auto"/>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issued patents that we own or have exclusively licensed may not provide us with any competitive advantage, or may be held invalid or unenforceable, as a result of legal challenges by our competitors;</w:t>
      </w:r>
    </w:p>
    <w:p>
      <w:pPr>
        <w:spacing w:after="0" w:line="180" w:lineRule="exact"/>
        <w:rPr>
          <w:rFonts w:ascii="Arial" w:cs="Arial" w:eastAsia="Arial" w:hAnsi="Arial"/>
          <w:sz w:val="20"/>
          <w:szCs w:val="20"/>
          <w:color w:val="auto"/>
        </w:rPr>
      </w:pPr>
    </w:p>
    <w:p>
      <w:pPr>
        <w:ind w:left="1080" w:right="180" w:hanging="360"/>
        <w:spacing w:after="0" w:line="252" w:lineRule="auto"/>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issued patents that we own or have exclusively licensed may not provide coverage for all aspects of our product candidates in all countries, such as for uses of our product candidates in the indications under our development or to be developed;</w:t>
      </w:r>
    </w:p>
    <w:p>
      <w:pPr>
        <w:spacing w:after="0" w:line="198" w:lineRule="exact"/>
        <w:rPr>
          <w:rFonts w:ascii="Arial" w:cs="Arial" w:eastAsia="Arial" w:hAnsi="Arial"/>
          <w:sz w:val="20"/>
          <w:szCs w:val="20"/>
          <w:color w:val="auto"/>
        </w:rPr>
      </w:pPr>
    </w:p>
    <w:p>
      <w:pPr>
        <w:ind w:left="1080" w:right="580" w:hanging="360"/>
        <w:spacing w:after="0" w:line="271" w:lineRule="auto"/>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our intellectual property rights;</w:t>
      </w:r>
    </w:p>
    <w:p>
      <w:pPr>
        <w:spacing w:after="0" w:line="180" w:lineRule="exact"/>
        <w:rPr>
          <w:rFonts w:ascii="Arial" w:cs="Arial" w:eastAsia="Arial" w:hAnsi="Arial"/>
          <w:sz w:val="20"/>
          <w:szCs w:val="20"/>
          <w:color w:val="auto"/>
        </w:rPr>
      </w:pPr>
    </w:p>
    <w:p>
      <w:pPr>
        <w:ind w:left="1080" w:right="160" w:hanging="360"/>
        <w:spacing w:after="0" w:line="252" w:lineRule="auto"/>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might conduct research and development activities in countries where we do not have patent rights and then use the information learned from such activities to develop competitive product candidates for sale in our major commercial markets;</w:t>
      </w:r>
    </w:p>
    <w:p>
      <w:pPr>
        <w:spacing w:after="0" w:line="198" w:lineRule="exact"/>
        <w:rPr>
          <w:rFonts w:ascii="Arial" w:cs="Arial" w:eastAsia="Arial" w:hAnsi="Arial"/>
          <w:sz w:val="20"/>
          <w:szCs w:val="20"/>
          <w:color w:val="auto"/>
        </w:rPr>
      </w:pPr>
    </w:p>
    <w:p>
      <w:pPr>
        <w:ind w:left="1080" w:right="60" w:hanging="360"/>
        <w:spacing w:after="0" w:line="271" w:lineRule="auto"/>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others performing manufacturing or testing for us using our product candidates or technologies could use the intellectual property of others without obtaining a proper license;</w:t>
      </w:r>
    </w:p>
    <w:p>
      <w:pPr>
        <w:spacing w:after="0" w:line="186" w:lineRule="exact"/>
        <w:rPr>
          <w:rFonts w:ascii="Arial" w:cs="Arial" w:eastAsia="Arial" w:hAnsi="Arial"/>
          <w:sz w:val="20"/>
          <w:szCs w:val="20"/>
          <w:color w:val="auto"/>
        </w:rPr>
      </w:pPr>
    </w:p>
    <w:p>
      <w:pPr>
        <w:ind w:left="1080" w:hanging="360"/>
        <w:spacing w:after="0"/>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our or our licensors’ inventions or technologies may be found to be not patentable; and</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develop additional technologies that are patentable.</w:t>
      </w:r>
    </w:p>
    <w:p>
      <w:pPr>
        <w:sectPr>
          <w:pgSz w:w="11880" w:h="15480" w:orient="portrait"/>
          <w:cols w:equalWidth="0" w:num="1">
            <w:col w:w="10780"/>
          </w:cols>
          <w:pgMar w:left="540" w:top="743" w:right="56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780"/>
          </w:cols>
          <w:pgMar w:left="540" w:top="743" w:right="560" w:bottom="0" w:gutter="0" w:footer="0" w:header="0"/>
          <w:type w:val="continuous"/>
        </w:sectPr>
      </w:pPr>
    </w:p>
    <w:bookmarkStart w:id="73" w:name="page74"/>
    <w:bookmarkEnd w:id="73"/>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192"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have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200"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 party patents are valid, enforceable and infringed, and the holders of any such patents may be able to block our ability to commercialize the applicable product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previously included a patent granted by the European Patent Office (“EPO”), containing claims that appeared to cover the use of etigilimab in the treatment of cancer. This patent has been revoked in its entirety, although a divisional application is pending in the same family. Regarding our anti-sclerostin antibody product candidate, setrusumab, we are aware of litigation involving patents owned by a third-party, OssiFi-Mab LLC (OMab), relating to methods of using sclerostin antagonists in combination with antiresorptive drugs to increase bone growth, bone formation, and/or bone density. Specifically, in the U.S., OMab has asserted certain patents expiring in 2027 or 2028 against Amgen based on Amgen’s commercialization of an anti-sclerostin antibody, Evenity®, for the treatment of osteoporosis in postmenopausal women at high risk for fracture; Amgen denies infringement and asserts the OMab patents are invalid. In Europe, OMab was granted two patents with related subject matter and a third patent application with related subject matter is pending; the first patent has been finally revoked while the second has been revoked subject to a pending appeal, following opposition by Amgen, UCB, and two anonymous parties.</w:t>
      </w:r>
    </w:p>
    <w:p>
      <w:pPr>
        <w:spacing w:after="0" w:line="22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Any of our patents may be challenged, narrowed, circumvented, or invalidated by third parties. The issuance of a patent is not conclusive as to its inventorship, scope, validity, or enforceability, and our patents may be challenged in the courts or patent offices in the U.S. and abroad. We may be subject to a third party pre-issuance submission of prior art to the USPTO or become involved in opposition, derivation, revocation, reexamination, post-grant and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206"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There is a risk that one or more third parties may choose to engage in litigation with us to enforce or to otherwise assert their patent rights against us. Even if we believe such claims are without merit, a court of competent jurisdiction could hold that one or more of these patents is valid, enforceable, and infringed, in which case the owners of any such patents may be able to block our ability to commercialize a product candidate unless we obtain a license under the applicable patents, or until such patents expire.</w:t>
      </w:r>
    </w:p>
    <w:p>
      <w:pPr>
        <w:sectPr>
          <w:pgSz w:w="11880" w:h="15480" w:orient="portrait"/>
          <w:cols w:equalWidth="0" w:num="1">
            <w:col w:w="10800"/>
          </w:cols>
          <w:pgMar w:left="540" w:top="750" w:right="540" w:bottom="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800"/>
          </w:cols>
          <w:pgMar w:left="540" w:top="750" w:right="540" w:bottom="0" w:gutter="0" w:footer="0" w:header="0"/>
          <w:type w:val="continuous"/>
        </w:sectPr>
      </w:pPr>
    </w:p>
    <w:bookmarkStart w:id="74" w:name="page75"/>
    <w:bookmarkEnd w:id="74"/>
    <w:p>
      <w:pPr>
        <w:ind w:right="700"/>
        <w:spacing w:after="0" w:line="279" w:lineRule="auto"/>
        <w:rPr>
          <w:sz w:val="20"/>
          <w:szCs w:val="20"/>
          <w:color w:val="auto"/>
        </w:rPr>
      </w:pPr>
      <w:r>
        <w:rPr>
          <w:rFonts w:ascii="Times New Roman" w:cs="Times New Roman" w:eastAsia="Times New Roman" w:hAnsi="Times New Roman"/>
          <w:sz w:val="20"/>
          <w:szCs w:val="20"/>
          <w:color w:val="auto"/>
        </w:rPr>
        <w:t>However, such a license may not be available on commercially reasonable terms or at all. Such proceedings also may result in substantial cost and require significant time from us, even if the eventual outcome is favorable to us.</w:t>
      </w:r>
    </w:p>
    <w:p>
      <w:pPr>
        <w:spacing w:after="0" w:line="165"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Further, if a patent infringement suit is brought against us or our third-party service providers, our development, manufacturing or sales activities relating to the product or product that is the subject of the suit may be delayed or terminated. As a result of patent infringement claims, or in order to avoid potential infringement claims, we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206"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If we were to initiate legal proceedings against a third party to enforce a patent covering one of our product candidates, the defendant could counterclaim that our patent is invalid or unenforceable. In patent litigation in the U.S.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competing product candidates. In addition, if the breadth or strength of protection provided by our patents is threatened, it could dissuade companies from collaborating with us to license, develop, or commercialize our current or future product candidates.</w:t>
      </w:r>
    </w:p>
    <w:p>
      <w:pPr>
        <w:spacing w:after="0" w:line="204"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Furthermore, our patents and other intellectual property rights also will not protect our technology if competitors and other third parties design around our protected technology without infringing our patents or other intellectual property rights. For example, a third party may develop a competitive product that provides benefits similar to our product candidates but that uses a technology that falls outside the scope of our patent protection. Our competitors may also seek approval to market generic versions of any approved products and in connection with seeking such approval may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20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 interim proceedings or developments. If securities analysts or investors view these announcements in a negative light, the price of our ADSs could be adversely affected.</w:t>
      </w:r>
    </w:p>
    <w:p>
      <w:pPr>
        <w:sectPr>
          <w:pgSz w:w="11880" w:h="15480" w:orient="portrait"/>
          <w:cols w:equalWidth="0" w:num="1">
            <w:col w:w="10800"/>
          </w:cols>
          <w:pgMar w:left="540" w:top="748" w:right="540" w:bottom="0" w:gutter="0" w:footer="0" w:header="0"/>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800"/>
          </w:cols>
          <w:pgMar w:left="540" w:top="748" w:right="540" w:bottom="0" w:gutter="0" w:footer="0" w:header="0"/>
          <w:type w:val="continuous"/>
        </w:sectPr>
      </w:pPr>
    </w:p>
    <w:bookmarkStart w:id="75" w:name="page76"/>
    <w:bookmarkEnd w:id="75"/>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not identify relevant third-party patents or may incorrectly interpret the relevance, scope or expiration of a third- party patent which might adversely affect our ability to develop, manufacture and market our product candidates.</w:t>
      </w:r>
    </w:p>
    <w:p>
      <w:pPr>
        <w:spacing w:after="0" w:line="166"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U.S., Europe and elsewhere that is relevant to or necessary for the commercialization of our product candidates in any jurisdiction. For example, in the U.S., patent applications filed before November 29, 2000 and, upon request, certain patent applications filed after that date that will not be filed outside the U.S., remain confidential until those patent applications issue as patents. Patent applications in the U.S.,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 candidates.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U.S, Europe, or elsewhere that we consider relevant also may be incorrect. Any of the foregoing circumstances, failures, or errors may negatively impact our ability to develop and market our product candidates.</w:t>
      </w:r>
    </w:p>
    <w:p>
      <w:pPr>
        <w:spacing w:after="0" w:line="222"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166" w:lineRule="exact"/>
        <w:rPr>
          <w:sz w:val="20"/>
          <w:szCs w:val="20"/>
          <w:color w:val="auto"/>
        </w:rPr>
      </w:pPr>
    </w:p>
    <w:p>
      <w:pPr>
        <w:ind w:right="280" w:firstLine="720"/>
        <w:spacing w:after="0" w:line="245" w:lineRule="auto"/>
        <w:rPr>
          <w:sz w:val="20"/>
          <w:szCs w:val="20"/>
          <w:color w:val="auto"/>
        </w:rPr>
      </w:pPr>
      <w:r>
        <w:rPr>
          <w:rFonts w:ascii="Times New Roman" w:cs="Times New Roman" w:eastAsia="Times New Roman" w:hAnsi="Times New Roman"/>
          <w:sz w:val="20"/>
          <w:szCs w:val="20"/>
          <w:color w:val="auto"/>
        </w:rPr>
        <w:t>We are party to agreements with licensors, including Novartis, AstraZeneca, and Ultragenyx under which we in-license certain intellectual property and were assigned, in the case of Novartis, or granted an option to acquire, in the case of AstraZeneca, certain patents and patent applications related to our business. In addition, we are party to agreements with Ultragenyx, ReproNovo and Feng Biosciences pursuant to which we have out-licensed certain intellectual property.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203"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maintaining necessary rights to our product candidates or obtaining patent or other intellectual property rights important to our business through acquisitions and in-licenses.</w:t>
      </w:r>
    </w:p>
    <w:p>
      <w:pPr>
        <w:spacing w:after="0" w:line="166"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19"/>
          <w:szCs w:val="19"/>
          <w:color w:val="auto"/>
        </w:rPr>
        <w:t>We currently own and have in-licensed rights to intellectual property, including patents, patent applications and know-how, relating to our product candidates, and our success will likely depend on 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91"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800"/>
          </w:cols>
          <w:pgMar w:left="540" w:top="750" w:right="540" w:bottom="0" w:gutter="0" w:footer="0" w:header="0"/>
          <w:type w:val="continuous"/>
        </w:sectPr>
      </w:pPr>
    </w:p>
    <w:bookmarkStart w:id="76" w:name="page77"/>
    <w:bookmarkEnd w:id="76"/>
    <w:p>
      <w:pPr>
        <w:ind w:right="5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of our patents and other intellectual property.</w:t>
      </w:r>
    </w:p>
    <w:p>
      <w:pPr>
        <w:spacing w:after="0" w:line="238"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19"/>
          <w:szCs w:val="19"/>
          <w:color w:val="auto"/>
        </w:rPr>
        <w:t>We may be subject to claims challenging the inventorship of our patents and patent applications or ownership of our intellectual property. In particular, we may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8"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patent laws or patent jurisprudence could diminish the value of patents in general, thereby impairing our ability to protect our product candidates.</w:t>
      </w:r>
    </w:p>
    <w:p>
      <w:pPr>
        <w:spacing w:after="0" w:line="166"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 An important change introduced by the AIA is that, as of March 16, 2013, the U.S.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202"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00"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780"/>
          </w:cols>
          <w:pgMar w:left="540" w:top="750" w:right="560" w:bottom="0" w:gutter="0" w:footer="0" w:header="0"/>
          <w:type w:val="continuous"/>
        </w:sectPr>
      </w:pPr>
    </w:p>
    <w:bookmarkStart w:id="77" w:name="page78"/>
    <w:bookmarkEnd w:id="77"/>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207"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protection under the Hatch-Waxman Amendments and similar non-U.S. legislation for extending the term of patents covering our product candidates, our ability to compete effectively could be impaired.</w:t>
      </w:r>
    </w:p>
    <w:p>
      <w:pPr>
        <w:spacing w:after="0" w:line="16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Depending upon the timing, duration and conditions of FDA marketing approval of our product candidates, one or more of our U.S. patents may be eligible for patent term extension under the Drug Price Competition and Patent Term Restoration Act of 1984, referred to as the “Hatch-Waxman Amendments.” The Hatch-Waxman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 candidates sooner. As a result, our revenue from applicable product candidates could be reduced, possibly materially.</w:t>
      </w:r>
    </w:p>
    <w:p>
      <w:pPr>
        <w:spacing w:after="0" w:line="20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we may not be able to build name recognition in our markets of interest and our competitive position may be adversely affected.</w:t>
      </w:r>
    </w:p>
    <w:p>
      <w:pPr>
        <w:spacing w:after="0" w:line="166"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maintain and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pacing w:after="0" w:line="201"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and know-how, our business and competitive position would be harmed.</w:t>
      </w:r>
    </w:p>
    <w:p>
      <w:pPr>
        <w:spacing w:after="0" w:line="166"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19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ectPr>
          <w:pgSz w:w="11880" w:h="15480" w:orient="portrait"/>
          <w:cols w:equalWidth="0" w:num="1">
            <w:col w:w="10800"/>
          </w:cols>
          <w:pgMar w:left="540" w:top="748" w:right="540" w:bottom="0"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800"/>
          </w:cols>
          <w:pgMar w:left="540" w:top="748" w:right="540" w:bottom="0" w:gutter="0" w:footer="0" w:header="0"/>
          <w:type w:val="continuous"/>
        </w:sectPr>
      </w:pPr>
    </w:p>
    <w:bookmarkStart w:id="78" w:name="page79"/>
    <w:bookmarkEnd w:id="78"/>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9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We may be subject to claims by third parties asserting that we or our employees have misappropriated third-party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169"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20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 candidates.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203"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operations may suffer, and proprietary information may be lost, in the event of information technology system failures, cyberattacks or deficiencies in our cybersecurity.</w:t>
      </w:r>
    </w:p>
    <w:p>
      <w:pPr>
        <w:spacing w:after="0" w:line="166" w:lineRule="exact"/>
        <w:rPr>
          <w:sz w:val="20"/>
          <w:szCs w:val="20"/>
          <w:color w:val="auto"/>
        </w:rPr>
      </w:pPr>
    </w:p>
    <w:p>
      <w:pPr>
        <w:ind w:right="80" w:firstLine="720"/>
        <w:spacing w:after="0" w:line="257" w:lineRule="auto"/>
        <w:rPr>
          <w:sz w:val="20"/>
          <w:szCs w:val="20"/>
          <w:color w:val="auto"/>
        </w:rPr>
      </w:pPr>
      <w:r>
        <w:rPr>
          <w:rFonts w:ascii="Times New Roman" w:cs="Times New Roman" w:eastAsia="Times New Roman" w:hAnsi="Times New Roman"/>
          <w:sz w:val="19"/>
          <w:szCs w:val="19"/>
          <w:color w:val="auto"/>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 or consultants may be vulnerable to attack and damage from computer viruses and malware (e.g., ransomware), cybersecurity threats, unauthorized access, natural disasters, terrorism, war and telecommunications and electrical failures or breached due to employee error, malfeasance, or other disruptions.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88" w:lineRule="exact"/>
        <w:rPr>
          <w:sz w:val="20"/>
          <w:szCs w:val="20"/>
          <w:color w:val="auto"/>
        </w:rPr>
      </w:pPr>
    </w:p>
    <w:p>
      <w:pPr>
        <w:ind w:right="400" w:firstLine="720"/>
        <w:spacing w:after="0" w:line="246" w:lineRule="auto"/>
        <w:rPr>
          <w:sz w:val="20"/>
          <w:szCs w:val="20"/>
          <w:color w:val="auto"/>
        </w:rPr>
      </w:pPr>
      <w:r>
        <w:rPr>
          <w:rFonts w:ascii="Times New Roman" w:cs="Times New Roman" w:eastAsia="Times New Roman" w:hAnsi="Times New Roman"/>
          <w:sz w:val="20"/>
          <w:szCs w:val="20"/>
          <w:color w:val="auto"/>
        </w:rPr>
        <w:t>We and certain of our service providers are from time to time subject to cyber security incidents. Although, to our knowledge, we have not experienced any significant system failure, accident or security breach to date, any such event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20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loss of clinical trial data from completed, ongoing, or planned trials could result in delays in our regulatory approval efforts and significantly increase our costs to recover or reproduce the data. We could also incur liability and the further development and commercialization of our product candidates could be delayed. In addition, we also rely on third parties to manufacture our product candidates, so similar events relating to their computer systems could also have a material adverse effect on our business. Further, our insurance coverage may not be sufficient to cover the financial, legal, business or reputational losses that may result from an interruption or breach of our systems.</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800"/>
          </w:cols>
          <w:pgMar w:left="540" w:top="748" w:right="540" w:bottom="0" w:gutter="0" w:footer="0" w:header="0"/>
          <w:type w:val="continuous"/>
        </w:sectPr>
      </w:pPr>
    </w:p>
    <w:bookmarkStart w:id="79" w:name="page80"/>
    <w:bookmarkEnd w:id="79"/>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In addition, due to continued hybrid working environment, varying parts of our workforce may work remotely on a part or full-time basis. This could increase our cyber security risk, create data accessibility concerns, and make us more susceptible to communication disruptions. Any of the foregoing could have a material adverse effect on our business, financial condition, results of operations or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ADSs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trading price of our ADSs may be volatile, and you could lose all or part of your investment.</w:t>
      </w:r>
    </w:p>
    <w:p>
      <w:pPr>
        <w:spacing w:after="0" w:line="23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trading price of our ADSs is likely to be highly volatile and could be subject to wide fluctuations in response to various factors, some of which are beyond our control.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report, factors that are expected to affect the market price of our ADSs include:</w:t>
      </w:r>
    </w:p>
    <w:p>
      <w:pPr>
        <w:spacing w:after="0" w:line="214" w:lineRule="exact"/>
        <w:rPr>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positive or negative results from, or delays in, testing or clinical trials conducted by our or our competitors;</w:t>
      </w:r>
    </w:p>
    <w:p>
      <w:pPr>
        <w:spacing w:after="0" w:line="253" w:lineRule="exact"/>
        <w:rPr>
          <w:rFonts w:ascii="Arial" w:cs="Arial" w:eastAsia="Arial" w:hAnsi="Arial"/>
          <w:sz w:val="20"/>
          <w:szCs w:val="20"/>
          <w:color w:val="auto"/>
        </w:rPr>
      </w:pPr>
    </w:p>
    <w:p>
      <w:pPr>
        <w:ind w:left="1080" w:right="860" w:hanging="360"/>
        <w:spacing w:after="0" w:line="278" w:lineRule="auto"/>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entering into strategic relationships with respect to development or commercialization of our product candidates or entry into strategic relationships on terms that are not deemed to be favorable to us;</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technological innovations or commercial product introductions by us or competitors;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government regulations;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concerning proprietary rights, including patents and litigation matters;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public health epidemics, such as the COVID-19 pandemic, and government efforts to slow their spread;</w:t>
      </w:r>
    </w:p>
    <w:p>
      <w:pPr>
        <w:spacing w:after="0" w:line="253" w:lineRule="exact"/>
        <w:rPr>
          <w:rFonts w:ascii="Arial" w:cs="Arial" w:eastAsia="Arial" w:hAnsi="Arial"/>
          <w:sz w:val="20"/>
          <w:szCs w:val="20"/>
          <w:color w:val="auto"/>
        </w:rPr>
      </w:pPr>
    </w:p>
    <w:p>
      <w:pPr>
        <w:ind w:left="1080" w:right="420" w:hanging="360"/>
        <w:spacing w:after="0" w:line="259" w:lineRule="auto"/>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economic, public health, financial or geopolitical events that affect us or the financial markets generally, such as the duration and severity of the impact of the COVID-19 pandemic, the conflicts between Ukraine and the Russian Federation, and Israel and Hamas and unexpected rises in inflation and interest rates;</w:t>
      </w:r>
    </w:p>
    <w:p>
      <w:pPr>
        <w:spacing w:after="0" w:line="198"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public concern relating to the commercial value or safety of our product candidates;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financing or other corporate transactions;</w:t>
      </w:r>
    </w:p>
    <w:p>
      <w:pPr>
        <w:spacing w:after="0" w:line="253" w:lineRule="exact"/>
        <w:rPr>
          <w:rFonts w:ascii="Arial" w:cs="Arial" w:eastAsia="Arial" w:hAnsi="Arial"/>
          <w:sz w:val="20"/>
          <w:szCs w:val="20"/>
          <w:color w:val="auto"/>
        </w:rPr>
      </w:pPr>
    </w:p>
    <w:p>
      <w:pPr>
        <w:ind w:left="1080" w:right="300" w:hanging="360"/>
        <w:spacing w:after="0" w:line="278" w:lineRule="auto"/>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publication of research reports or comments by securities or industry analysts, and variances in our periodic results of operations from securities analysts’ estimates;</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general market conditions in the biopharmaceutical and pharmaceutical industries or in the economy as a whole;</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loss of any of our key scientific or senior management personnel;</w:t>
      </w:r>
    </w:p>
    <w:p>
      <w:pPr>
        <w:spacing w:after="0" w:line="253" w:lineRule="exact"/>
        <w:rPr>
          <w:rFonts w:ascii="Arial" w:cs="Arial" w:eastAsia="Arial" w:hAnsi="Arial"/>
          <w:sz w:val="20"/>
          <w:szCs w:val="20"/>
          <w:color w:val="auto"/>
        </w:rPr>
      </w:pPr>
    </w:p>
    <w:p>
      <w:pPr>
        <w:ind w:left="1080" w:right="220" w:hanging="360"/>
        <w:spacing w:after="0" w:line="278" w:lineRule="auto"/>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sales of our ADSs by us, our senior management and board members, holders of ADSs or our other security holders in the future;</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actions by institutional shareholders;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speculation in the press or the investment community; or</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other events and factors, many of which are beyond our control.</w:t>
      </w:r>
    </w:p>
    <w:p>
      <w:pPr>
        <w:spacing w:after="0" w:line="239"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In the past in the U.S., when the market price of a security has been volatile, holders of that security have often instituted securities class action litigation against the issuer of such securities. If any of the holders of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ectPr>
          <w:pgSz w:w="11880" w:h="15480" w:orient="portrait"/>
          <w:cols w:equalWidth="0" w:num="1">
            <w:col w:w="10780"/>
          </w:cols>
          <w:pgMar w:left="540" w:top="748" w:right="560" w:bottom="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780"/>
          </w:cols>
          <w:pgMar w:left="540" w:top="748" w:right="56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i w:val="1"/>
          <w:iCs w:val="1"/>
          <w:color w:val="auto"/>
        </w:rPr>
        <w:t>You may be subject to limitations on the transfer of ADSs and the withdrawal of the underlying ordinary shares.</w:t>
      </w:r>
    </w:p>
    <w:p>
      <w:pPr>
        <w:spacing w:after="0" w:line="234" w:lineRule="exact"/>
        <w:rPr>
          <w:sz w:val="20"/>
          <w:szCs w:val="20"/>
          <w:color w:val="auto"/>
        </w:rPr>
      </w:pPr>
    </w:p>
    <w:p>
      <w:pPr>
        <w:ind w:right="120" w:firstLine="720"/>
        <w:spacing w:after="0" w:line="239" w:lineRule="auto"/>
        <w:rPr>
          <w:sz w:val="20"/>
          <w:szCs w:val="20"/>
          <w:color w:val="auto"/>
        </w:rPr>
      </w:pPr>
      <w:r>
        <w:rPr>
          <w:rFonts w:ascii="Times New Roman" w:cs="Times New Roman" w:eastAsia="Times New Roman" w:hAnsi="Times New Roman"/>
          <w:sz w:val="20"/>
          <w:szCs w:val="20"/>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pacing w:after="0" w:line="206"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auto"/>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rights of our shareholders may differ from the rights typically offered to shareholders of a U.S. corporation.</w:t>
      </w:r>
    </w:p>
    <w:p>
      <w:pPr>
        <w:spacing w:after="0" w:line="234"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We are incorporated under English law. The rights of holders of ordinary shares and, therefore, certain of the rights of holders of ADSs, are governed by English law, including the provisions of the U.K. Companies Act 2006, or the Companies Act, and by our articles of association. These rights differ in certain respects from the rights of shareholders in typical U.S. corporations.</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principal differences include the following:</w:t>
      </w:r>
    </w:p>
    <w:p>
      <w:pPr>
        <w:spacing w:after="0" w:line="250" w:lineRule="exact"/>
        <w:rPr>
          <w:sz w:val="20"/>
          <w:szCs w:val="20"/>
          <w:color w:val="auto"/>
        </w:rPr>
      </w:pPr>
    </w:p>
    <w:p>
      <w:pPr>
        <w:ind w:left="1080" w:right="120" w:hanging="360"/>
        <w:spacing w:after="0" w:line="244"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under English law, holders of ordinary shares generally have preemptive rights (in proportion to their existing holdings) in relation to ordinary shares or rights to subscribe for, or to convert securities into, ordinary shares proposed to be allotted for cash, unless an exception applies or a special resolution to the contrary has been passed by shareholders in a general meeting or the articles of association provide otherwise. Under U.S. law, shareholders generally do not have preemptive rights unless specifically granted in the certificate of incorporation or otherwise;</w:t>
      </w:r>
    </w:p>
    <w:p>
      <w:pPr>
        <w:spacing w:after="0" w:line="210" w:lineRule="exact"/>
        <w:rPr>
          <w:rFonts w:ascii="Arial" w:cs="Arial" w:eastAsia="Arial" w:hAnsi="Arial"/>
          <w:sz w:val="20"/>
          <w:szCs w:val="20"/>
          <w:color w:val="auto"/>
        </w:rPr>
      </w:pPr>
    </w:p>
    <w:p>
      <w:pPr>
        <w:ind w:left="1080" w:right="180" w:hanging="360"/>
        <w:spacing w:after="0" w:line="234"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under English law and our articles of association, certain matters require the approval of 75% of the shareholders who vote (in person or by proxy) on the relevant resolution (or, on a poll, the approval of shareholders representing 75% of the ordinary shares voting (in person or by proxy)), including changes to our name, permitting us to issue new ordinary shares for cash without the shareholders’ preemptive rights applying and amendments to the articles of association.</w:t>
      </w:r>
    </w:p>
    <w:p>
      <w:pPr>
        <w:spacing w:after="0" w:line="3" w:lineRule="exact"/>
        <w:rPr>
          <w:rFonts w:ascii="Arial" w:cs="Arial" w:eastAsia="Arial" w:hAnsi="Arial"/>
          <w:sz w:val="20"/>
          <w:szCs w:val="20"/>
          <w:color w:val="auto"/>
        </w:rPr>
      </w:pPr>
    </w:p>
    <w:p>
      <w:pPr>
        <w:ind w:left="1080" w:right="160"/>
        <w:spacing w:after="0" w:line="274" w:lineRule="auto"/>
        <w:rPr>
          <w:rFonts w:ascii="Arial" w:cs="Arial" w:eastAsia="Arial" w:hAnsi="Arial"/>
          <w:sz w:val="20"/>
          <w:szCs w:val="20"/>
          <w:color w:val="auto"/>
        </w:rPr>
      </w:pPr>
      <w:r>
        <w:rPr>
          <w:rFonts w:ascii="Times New Roman" w:cs="Times New Roman" w:eastAsia="Times New Roman" w:hAnsi="Times New Roman"/>
          <w:sz w:val="20"/>
          <w:szCs w:val="20"/>
          <w:color w:val="auto"/>
        </w:rPr>
        <w:t>Under U.S. law, generally only majority shareholder approval is required to amend the certificate of incorporation or to approve other significant matters;</w:t>
      </w:r>
    </w:p>
    <w:p>
      <w:pPr>
        <w:spacing w:after="0" w:line="179" w:lineRule="exact"/>
        <w:rPr>
          <w:rFonts w:ascii="Arial" w:cs="Arial" w:eastAsia="Arial" w:hAnsi="Arial"/>
          <w:sz w:val="20"/>
          <w:szCs w:val="20"/>
          <w:color w:val="auto"/>
        </w:rPr>
      </w:pPr>
    </w:p>
    <w:p>
      <w:pPr>
        <w:ind w:left="1080" w:right="60" w:hanging="360"/>
        <w:spacing w:after="0" w:line="239"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in the U.K., a takeover may be structured as takeover offers or as schemes of arrangement. Under English law, a bidder seeking to acquire a company by means of a takeover offer who has acquired or unconditionally contracted to acquire not less than 90% of the shares (not held by the bidder) to which the offer relates may complete a “squeeze out” on the same terms as the takeover offer to obtain 100% control of that company. Accordingly, acceptances in respect of 90% of our outstanding ordinary shares/ADSs will likely be a condition in any takeover offer to acquire us (albeit a condition that the bidder will typically reserve the right to waive down to anything above 50%),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not less than 75% of the ordinary shares voting at the meeting;</w:t>
      </w:r>
    </w:p>
    <w:p>
      <w:pPr>
        <w:spacing w:after="0" w:line="219" w:lineRule="exact"/>
        <w:rPr>
          <w:rFonts w:ascii="Arial" w:cs="Arial" w:eastAsia="Arial" w:hAnsi="Arial"/>
          <w:sz w:val="20"/>
          <w:szCs w:val="20"/>
          <w:color w:val="auto"/>
        </w:rPr>
      </w:pPr>
    </w:p>
    <w:p>
      <w:pPr>
        <w:ind w:left="1080" w:right="100" w:hanging="360"/>
        <w:spacing w:after="0" w:line="242" w:lineRule="auto"/>
        <w:tabs>
          <w:tab w:leader="none" w:pos="10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if a person defaults in providing the required information our directors may certain directions, including that the relevant shareholder will not be entitled to vote at general meetings, that dividends in respect of the default shares will be retained and that no transfers of the default shares may be registered. Comparable provisions generally do not exist under U.S. law; and</w:t>
      </w:r>
    </w:p>
    <w:p>
      <w:pPr>
        <w:spacing w:after="0" w:line="213" w:lineRule="exact"/>
        <w:rPr>
          <w:rFonts w:ascii="Arial" w:cs="Arial" w:eastAsia="Arial" w:hAnsi="Arial"/>
          <w:sz w:val="20"/>
          <w:szCs w:val="20"/>
          <w:color w:val="auto"/>
        </w:rPr>
      </w:pPr>
    </w:p>
    <w:p>
      <w:pPr>
        <w:ind w:left="1080" w:right="40" w:hanging="360"/>
        <w:spacing w:after="0" w:line="258" w:lineRule="auto"/>
        <w:tabs>
          <w:tab w:leader="none" w:pos="108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the quorum requirement for a shareholders’ meeting is a minimum of two shareholders entitled to vote at the meeting and present in person or by proxy or, in the case of a shareholder which is a corporation, represented by a duly authorized representative. In addition, in accordance with the applicable Nasdaq rules, under the articles of association for a shareholders’ meeting to be quorate at least 33 1/3 percent of the company’s issued and outstanding ordinary shares must be present at such meeting, whether represented in person (including, in the case of a corporate member, by a duly authorized representative) or by a duly appointed proxy. Under U.S. law, a majority of the shares eligible to vote must</w:t>
      </w:r>
    </w:p>
    <w:p>
      <w:pPr>
        <w:sectPr>
          <w:pgSz w:w="11880" w:h="15480" w:orient="portrait"/>
          <w:cols w:equalWidth="0" w:num="1">
            <w:col w:w="10800"/>
          </w:cols>
          <w:pgMar w:left="540" w:top="746" w:right="540" w:bottom="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800"/>
          </w:cols>
          <w:pgMar w:left="540" w:top="746" w:right="540" w:bottom="0" w:gutter="0" w:footer="0" w:header="0"/>
          <w:type w:val="continuous"/>
        </w:sectPr>
      </w:pPr>
    </w:p>
    <w:bookmarkStart w:id="81" w:name="page82"/>
    <w:bookmarkEnd w:id="81"/>
    <w:p>
      <w:pPr>
        <w:ind w:left="1080" w:right="240"/>
        <w:spacing w:after="0" w:line="254" w:lineRule="auto"/>
        <w:rPr>
          <w:sz w:val="20"/>
          <w:szCs w:val="20"/>
          <w:color w:val="auto"/>
        </w:rPr>
      </w:pPr>
      <w:r>
        <w:rPr>
          <w:rFonts w:ascii="Times New Roman" w:cs="Times New Roman" w:eastAsia="Times New Roman" w:hAnsi="Times New Roman"/>
          <w:sz w:val="20"/>
          <w:szCs w:val="20"/>
          <w:color w:val="auto"/>
        </w:rPr>
        <w:t>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91"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publish inaccurate research or unfavorable research about our business, the price and trading volume of ADSs could decline.</w:t>
      </w:r>
    </w:p>
    <w:p>
      <w:pPr>
        <w:spacing w:after="0" w:line="166"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trading market for our ADSs depends in part on the research and reports that securities or industry analysts publish about us or our business. If one or more of the analysts who covers us downgrades our ADSs or publishes incorrect or unfavorable research about our business, the price of our ADSs would likely decline. If one or more of these analysts ceases coverage of us or fails to publish reports on us regularly, or downgrades our ADSs, demand for ADSs could decrease, which could cause the price of ADSs and/or ordinary shares and/or trading volume to decline.</w:t>
      </w:r>
    </w:p>
    <w:p>
      <w:pPr>
        <w:spacing w:after="0" w:line="19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166"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202"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197"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You may not receive distributions on ordinary shares represented by ADSs or any value for them if it is unlawful or impractical to make them available to holders of ADSs.</w:t>
      </w:r>
    </w:p>
    <w:p>
      <w:pPr>
        <w:spacing w:after="0" w:line="166"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19"/>
          <w:szCs w:val="19"/>
          <w:color w:val="auto"/>
        </w:rPr>
        <w:t>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 in the deposit agreement, it may be unlawful or impractical to make a distribution available to holders of ADSs. We have no obligation to take any other action to permit the distribution of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ADSs.</w:t>
      </w:r>
    </w:p>
    <w:p>
      <w:pPr>
        <w:spacing w:after="0" w:line="18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Holders of ADSs may not have the same voting rights as holders of ordinary shares and may not receive voting materials in time to be able to exercise their right to vote.</w:t>
      </w:r>
    </w:p>
    <w:p>
      <w:pPr>
        <w:spacing w:after="0" w:line="166"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19"/>
          <w:szCs w:val="19"/>
          <w:color w:val="auto"/>
        </w:rPr>
        <w:t>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w:t>
      </w:r>
    </w:p>
    <w:p>
      <w:pPr>
        <w:sectPr>
          <w:pgSz w:w="11880" w:h="15480" w:orient="portrait"/>
          <w:cols w:equalWidth="0" w:num="1">
            <w:col w:w="10760"/>
          </w:cols>
          <w:pgMar w:left="540" w:top="744" w:right="58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760"/>
          </w:cols>
          <w:pgMar w:left="540" w:top="744" w:right="580" w:bottom="0" w:gutter="0" w:footer="0" w:header="0"/>
          <w:type w:val="continuous"/>
        </w:sectPr>
      </w:pPr>
    </w:p>
    <w:bookmarkStart w:id="82" w:name="page83"/>
    <w:bookmarkEnd w:id="82"/>
    <w:p>
      <w:pPr>
        <w:ind w:right="40"/>
        <w:spacing w:after="0" w:line="279" w:lineRule="auto"/>
        <w:rPr>
          <w:sz w:val="20"/>
          <w:szCs w:val="20"/>
          <w:color w:val="auto"/>
        </w:rPr>
      </w:pPr>
      <w:r>
        <w:rPr>
          <w:rFonts w:ascii="Times New Roman" w:cs="Times New Roman" w:eastAsia="Times New Roman" w:hAnsi="Times New Roman"/>
          <w:sz w:val="20"/>
          <w:szCs w:val="20"/>
          <w:color w:val="auto"/>
        </w:rPr>
        <w:t>voting materials in time to instruct the depositary to vote, and it is possible that they, or persons who hold their ADSs through brokers, dealers or other third parties, will not have the opportunity to exercise a right to vote.</w:t>
      </w:r>
    </w:p>
    <w:p>
      <w:pPr>
        <w:spacing w:after="0" w:line="167"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66"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20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It may be difficult for you to bring any action or enforce any judgment obtained in the U.S. against us or members of our Board, which may limit the remedies otherwise available to us.</w:t>
      </w:r>
    </w:p>
    <w:p>
      <w:pPr>
        <w:spacing w:after="0" w:line="166"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We are incorporated as a public limited company in England and Wales, and the majority of our assets are located outside the U.S. In addition, several members of our board of directors (our “Board”) are nationals and residents of countries, including the U.K., outside of the U.S. Most or all of the assets of these individuals are located outside the U.S. As a result, it may be difficult or impossible for you to bring an action against us or against these individuals in the U.S. if you believe your rights have been infringed under the securities laws or otherwise. In addition, a U.K. court may prevent you from enforcing a judgment of a U.S. court against us or these individuals based on the securities laws of the U.S. or any state thereof. A U.K. court may not allow you to bring an action against us or our directors based on the securities laws of the U.S.s or any state thereof.</w:t>
      </w:r>
    </w:p>
    <w:p>
      <w:pPr>
        <w:spacing w:after="0" w:line="201"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Shareholders in countries other than the U.K. will suffer dilution if they are unable to participate in future preemptive equity offerings.</w:t>
      </w:r>
    </w:p>
    <w:p>
      <w:pPr>
        <w:spacing w:after="0" w:line="16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U.K. may be restricted by applicable law or practice in the U.K. and overseas jurisdictions. In particular, the exercise of preemptive rights by U.S.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w:t>
      </w:r>
    </w:p>
    <w:p>
      <w:pPr>
        <w:spacing w:after="0" w:line="207"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Commencing January 1, 2024, we were required to comply with the domestic reporting regime under the Exchange Act and will continue to incur significant legal, accounting and other expenses, and our management must devote substantial time to public company compliance initiatives and corporate governance matters.</w:t>
      </w:r>
    </w:p>
    <w:p>
      <w:pPr>
        <w:spacing w:after="0" w:line="184"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19"/>
          <w:szCs w:val="19"/>
          <w:color w:val="auto"/>
        </w:rPr>
        <w:t>From January 1, 2024, we no longer qualified as a “foreign private issuer” under the rules and regulations of the SEC. While we were a foreign private issuer, we were exempt from compliance with certain laws and regulations of the SEC, including the proxy rules, the short-swing profits recapture rules and certain governance requirements, such as independent director oversight of the nomination of directors and executive compensation. In addition, we were not required to file annual, quarterly and current reports and financial statements with the SEC as frequently or as promptly as U.S. companies registered under the Exchange Act and were not required to present our financial statements in accordance with U.S. GAAP. Commencing January 1, 2024, we were no longer entitled to “foreign private issuer” exemptions and began reporting as a domestic U.S. filer, including filing annual reports on Form 10-K, quarterly reports on Form 10-Q, current reports on Form 8-K and proxy statements under Section 14 of the Exchange Act. In addition,</w:t>
      </w:r>
    </w:p>
    <w:p>
      <w:pPr>
        <w:sectPr>
          <w:pgSz w:w="11880" w:h="15480" w:orient="portrait"/>
          <w:cols w:equalWidth="0" w:num="1">
            <w:col w:w="10800"/>
          </w:cols>
          <w:pgMar w:left="540" w:top="748" w:right="540" w:bottom="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800"/>
          </w:cols>
          <w:pgMar w:left="540" w:top="748" w:right="540" w:bottom="0" w:gutter="0" w:footer="0" w:header="0"/>
          <w:type w:val="continuous"/>
        </w:sectPr>
      </w:pPr>
    </w:p>
    <w:bookmarkStart w:id="83" w:name="page84"/>
    <w:bookmarkEnd w:id="83"/>
    <w:p>
      <w:pPr>
        <w:ind w:right="120"/>
        <w:spacing w:after="0" w:line="253" w:lineRule="auto"/>
        <w:rPr>
          <w:sz w:val="20"/>
          <w:szCs w:val="20"/>
          <w:color w:val="auto"/>
        </w:rPr>
      </w:pPr>
      <w:r>
        <w:rPr>
          <w:rFonts w:ascii="Times New Roman" w:cs="Times New Roman" w:eastAsia="Times New Roman" w:hAnsi="Times New Roman"/>
          <w:sz w:val="20"/>
          <w:szCs w:val="20"/>
          <w:color w:val="auto"/>
        </w:rPr>
        <w:t>beginning January 1, 2024, our “insiders” are subject to the reporting and short-swing profit recovery provisions contained in Section 16 of the Exchange Act and the requirements of Regulation FD promulgated by the SEC under the Exchange Act. Moreover, beginning January 1, 2024, we were no longer permitted to follow our home country rules in lieu of the corporate governance obligations imposed by Nasdaq, and are required to comply with the governance practices required of U.S. domestic issuers.</w:t>
      </w:r>
    </w:p>
    <w:p>
      <w:pPr>
        <w:spacing w:after="0" w:line="190"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regulatory and compliance costs associated with the reporting and governance requirements applicable to U.S. domestic issuers may be significantly higher than the costs we previously incurred as a foreign private issuer. As a result, we expect that our legal and financial compliance costs will continue to increase and some compliance activities may be highly time consuming and costly. In addition, we need to further develop our reporting and compliance infrastructure and may face challenges in complying with the new requirements applicable to 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establish and maintain effective internal controls could have a material adverse effect on our business and stock price.</w:t>
      </w:r>
    </w:p>
    <w:p>
      <w:pPr>
        <w:spacing w:after="0" w:line="238"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Pursuant to Section 404, we are required to furnish a report by our senior management on our internal control over financial reporting. However, while we remain a smaller reporting company, we will not be required to include an attestation report on internal control over financial reporting issued by our independent registered public accounting firm. To achieve compliance with Section 404, we have been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As discussed in Item 9A. Controls and Procedures, we have not identified any material weaknesses, however if we do identify one or more material weaknesses in future, it could result in an adverse reaction in the financial markets due to a loss of confidence in the reliability of our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a passive foreign investment company (“PFIC”) for any taxable year, which could result in material adverse U.S.</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income tax consequences if you are a U.S. investor.</w:t>
      </w:r>
    </w:p>
    <w:p>
      <w:pPr>
        <w:spacing w:after="0" w:line="23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206"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Although we believe we have been treated as a PFIC in the past, based on our gross income, the average value of our assets, including goodwill, and the nature of the current state of our business, we do not believe we were a PFIC for the year ended December 31, 2024. There can be no assurance regarding our PFIC status for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In addition, we may, directly or indirectly, hold equity interests in other entities, including certain of our subsidiaries that are PFICs. Accordingly, U.S. investors should invest in our ADSs only if they are willing to bear the U.S. federal income tax consequences associated with investments in PFICs.</w:t>
      </w:r>
    </w:p>
    <w:p>
      <w:pPr>
        <w:spacing w:after="0" w:line="20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If we were a PFIC for any taxable year during which a U.S. investor owns ADSs, certain adverse U.S. federal income tax consequences could apply to such U.S. investor. We will provide the information necessary for a U.S. investor to make a qualified electing fund election with respect to us. U.S. investors should consult their tax advisers regarding our PFIC status for any taxable year and the potential application of the PFIC rules to an investment in our ADSs (including the potential implications of our prior PFIC status).</w:t>
      </w:r>
    </w:p>
    <w:p>
      <w:pPr>
        <w:sectPr>
          <w:pgSz w:w="11880" w:h="15480" w:orient="portrait"/>
          <w:cols w:equalWidth="0" w:num="1">
            <w:col w:w="10800"/>
          </w:cols>
          <w:pgMar w:left="540" w:top="748" w:right="540" w:bottom="0"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800"/>
          </w:cols>
          <w:pgMar w:left="540" w:top="748" w:right="540" w:bottom="0" w:gutter="0" w:footer="0" w:header="0"/>
          <w:type w:val="continuous"/>
        </w:sectPr>
      </w:pPr>
    </w:p>
    <w:bookmarkStart w:id="84" w:name="page85"/>
    <w:bookmarkEnd w:id="84"/>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Management and Strategy</w:t>
      </w:r>
    </w:p>
    <w:p>
      <w:pPr>
        <w:spacing w:after="0" w:line="274" w:lineRule="exact"/>
        <w:rPr>
          <w:sz w:val="20"/>
          <w:szCs w:val="20"/>
          <w:color w:val="auto"/>
        </w:rPr>
      </w:pPr>
    </w:p>
    <w:p>
      <w:pPr>
        <w:ind w:right="540" w:firstLine="720"/>
        <w:spacing w:after="0" w:line="279" w:lineRule="auto"/>
        <w:rPr>
          <w:sz w:val="20"/>
          <w:szCs w:val="20"/>
          <w:color w:val="auto"/>
        </w:rPr>
      </w:pPr>
      <w:r>
        <w:rPr>
          <w:rFonts w:ascii="Times New Roman" w:cs="Times New Roman" w:eastAsia="Times New Roman" w:hAnsi="Times New Roman"/>
          <w:sz w:val="20"/>
          <w:szCs w:val="20"/>
          <w:color w:val="auto"/>
        </w:rPr>
        <w:t>We have developed and implemented a cybersecurity risk management program intended to protect the confidentiality, integrity, and availability of our critical systems and information.</w:t>
      </w:r>
    </w:p>
    <w:p>
      <w:pPr>
        <w:spacing w:after="0" w:line="155" w:lineRule="exact"/>
        <w:rPr>
          <w:sz w:val="20"/>
          <w:szCs w:val="20"/>
          <w:color w:val="auto"/>
        </w:rPr>
      </w:pPr>
    </w:p>
    <w:p>
      <w:pPr>
        <w:ind w:right="340" w:firstLine="720"/>
        <w:spacing w:after="0" w:line="253" w:lineRule="auto"/>
        <w:rPr>
          <w:sz w:val="20"/>
          <w:szCs w:val="20"/>
          <w:color w:val="auto"/>
        </w:rPr>
      </w:pPr>
      <w:r>
        <w:rPr>
          <w:rFonts w:ascii="Times New Roman" w:cs="Times New Roman" w:eastAsia="Times New Roman" w:hAnsi="Times New Roman"/>
          <w:sz w:val="20"/>
          <w:szCs w:val="20"/>
          <w:color w:val="auto"/>
        </w:rPr>
        <w:t>We design and assess our program based on the U.K. Cyber Essentials and the National Institute of Standards and Technology Cybersecurity Framework (NIST CSF). This does not imply that we meet any particular technical standards, specifications, or requirements, only that we use these frameworks as a guide to help us identify, assess, and manage cybersecurity risks relevant to our business.</w:t>
      </w:r>
    </w:p>
    <w:p>
      <w:pPr>
        <w:spacing w:after="0" w:line="180" w:lineRule="exact"/>
        <w:rPr>
          <w:sz w:val="20"/>
          <w:szCs w:val="20"/>
          <w:color w:val="auto"/>
        </w:rPr>
      </w:pPr>
    </w:p>
    <w:p>
      <w:pPr>
        <w:jc w:val="both"/>
        <w:ind w:right="240" w:firstLine="720"/>
        <w:spacing w:after="0" w:line="259" w:lineRule="auto"/>
        <w:rPr>
          <w:sz w:val="20"/>
          <w:szCs w:val="20"/>
          <w:color w:val="auto"/>
        </w:rPr>
      </w:pPr>
      <w:r>
        <w:rPr>
          <w:rFonts w:ascii="Times New Roman" w:cs="Times New Roman" w:eastAsia="Times New Roman" w:hAnsi="Times New Roman"/>
          <w:sz w:val="20"/>
          <w:szCs w:val="20"/>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cybersecurity risk management program includes:</w:t>
      </w:r>
    </w:p>
    <w:p>
      <w:pPr>
        <w:spacing w:after="0" w:line="134" w:lineRule="exact"/>
        <w:rPr>
          <w:sz w:val="20"/>
          <w:szCs w:val="20"/>
          <w:color w:val="auto"/>
        </w:rPr>
      </w:pPr>
    </w:p>
    <w:p>
      <w:pPr>
        <w:ind w:left="980" w:right="60" w:hanging="491"/>
        <w:spacing w:after="0" w:line="249" w:lineRule="auto"/>
        <w:tabs>
          <w:tab w:leader="none" w:pos="9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Identification and Reporting: We have implemented a cross-functional approach to assessing, identifying and managing material cybersecurity threats and incidents to our critical systems, information and our enterprise information technology environment. Our program includes controls and procedures to identify, classify and escalate certain cybersecurity incidents to provide management visibility and obtain direction from management as to the public disclosure and reporting of material incidents in a timely manner.</w:t>
      </w:r>
    </w:p>
    <w:p>
      <w:pPr>
        <w:spacing w:after="0" w:line="90" w:lineRule="exact"/>
        <w:rPr>
          <w:rFonts w:ascii="Arial" w:cs="Arial" w:eastAsia="Arial" w:hAnsi="Arial"/>
          <w:sz w:val="20"/>
          <w:szCs w:val="20"/>
          <w:color w:val="auto"/>
        </w:rPr>
      </w:pPr>
    </w:p>
    <w:p>
      <w:pPr>
        <w:ind w:left="980" w:right="420" w:hanging="491"/>
        <w:spacing w:after="0" w:line="252" w:lineRule="auto"/>
        <w:tabs>
          <w:tab w:leader="none" w:pos="9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Technical Safeguards: We implement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87" w:lineRule="exact"/>
        <w:rPr>
          <w:rFonts w:ascii="Arial" w:cs="Arial" w:eastAsia="Arial" w:hAnsi="Arial"/>
          <w:sz w:val="20"/>
          <w:szCs w:val="20"/>
          <w:color w:val="auto"/>
        </w:rPr>
      </w:pPr>
    </w:p>
    <w:p>
      <w:pPr>
        <w:ind w:left="980" w:right="320" w:hanging="491"/>
        <w:spacing w:after="0" w:line="247" w:lineRule="auto"/>
        <w:tabs>
          <w:tab w:leader="none" w:pos="9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Third Party Risk Management: We use external service providers, where appropriate, to assess, test or otherwise assist with aspects of our security controls. We maintain a risk-based approach to identifying and overseeing material cybersecurity threats presented by third parties, including vendors, service providers, and other external users of our systems, as well as the systems of third parties that could adversely impact our business in the event of a material cybersecurity incident affecting those third party systems, including any service providers, suppliers, and vendors that have access to our critical systems and information.</w:t>
      </w:r>
    </w:p>
    <w:p>
      <w:pPr>
        <w:spacing w:after="0" w:line="93" w:lineRule="exact"/>
        <w:rPr>
          <w:rFonts w:ascii="Arial" w:cs="Arial" w:eastAsia="Arial" w:hAnsi="Arial"/>
          <w:sz w:val="20"/>
          <w:szCs w:val="20"/>
          <w:color w:val="auto"/>
        </w:rPr>
      </w:pPr>
    </w:p>
    <w:p>
      <w:pPr>
        <w:ind w:left="980" w:right="20" w:hanging="491"/>
        <w:spacing w:after="0" w:line="252" w:lineRule="auto"/>
        <w:tabs>
          <w:tab w:leader="none" w:pos="9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Education and Training: We provide annual cybersecurity awareness training and on-going phishing simulation testing for our employees, incident response personnel and senior management in order to communicate evolving information security policies, standards, processes and practices and to provide them with the tools to make them aware of processes on addressing cybersecurity threats.</w:t>
      </w:r>
    </w:p>
    <w:p>
      <w:pPr>
        <w:spacing w:after="0" w:line="87" w:lineRule="exact"/>
        <w:rPr>
          <w:rFonts w:ascii="Arial" w:cs="Arial" w:eastAsia="Arial" w:hAnsi="Arial"/>
          <w:sz w:val="20"/>
          <w:szCs w:val="20"/>
          <w:color w:val="auto"/>
        </w:rPr>
      </w:pPr>
    </w:p>
    <w:p>
      <w:pPr>
        <w:ind w:left="980" w:right="420" w:hanging="491"/>
        <w:spacing w:after="0" w:line="278" w:lineRule="auto"/>
        <w:tabs>
          <w:tab w:leader="none" w:pos="98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Incident Response and Recovery Planning: We maintain incident response, business continuity, and disaster recovery plans designed to address our response to a cybersecurity incident.</w:t>
      </w:r>
    </w:p>
    <w:p>
      <w:pPr>
        <w:spacing w:after="0" w:line="156"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have not identified any specific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“Item 1A. Risk Factor—Risks Related to Healthcare Laws and Other Legal Compliance Matters—Our business and operations may suffer in the event of information technology system failures, cyberattacks or deficiencies in our cybersecurity."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Cybersecurity Governance</w:t>
      </w:r>
    </w:p>
    <w:p>
      <w:pPr>
        <w:sectPr>
          <w:pgSz w:w="11880" w:h="15480" w:orient="portrait"/>
          <w:cols w:equalWidth="0" w:num="1">
            <w:col w:w="10800"/>
          </w:cols>
          <w:pgMar w:left="54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800"/>
          </w:cols>
          <w:pgMar w:left="540" w:top="1440" w:right="540" w:bottom="0" w:gutter="0" w:footer="0" w:header="0"/>
          <w:type w:val="continuous"/>
        </w:sectPr>
      </w:pPr>
    </w:p>
    <w:bookmarkStart w:id="85" w:name="page86"/>
    <w:bookmarkEnd w:id="85"/>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Our Board considers cybersecurity risk as part of its risk oversight function and has delegated to the audit and risk committee oversight of cybersecurity and other information technology risks. The audit and risk committee oversees management’s implementation of our cybersecurity risk management program.</w:t>
      </w:r>
    </w:p>
    <w:p>
      <w:pPr>
        <w:spacing w:after="0" w:line="175"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Material cybersecurity risks are identified by members of our team. Our Head of IT is primarily responsible for managing our cybersecurity risk assessment processes, including those described in “Cybersecurity Risk Management and Strategy” above, our security controls and our response to cybersecurity incidents, with assistance from third party service providers.</w:t>
      </w:r>
    </w:p>
    <w:p>
      <w:pPr>
        <w:spacing w:after="0" w:line="175" w:lineRule="exact"/>
        <w:rPr>
          <w:sz w:val="20"/>
          <w:szCs w:val="20"/>
          <w:color w:val="auto"/>
        </w:rPr>
      </w:pPr>
    </w:p>
    <w:p>
      <w:pPr>
        <w:ind w:right="240" w:firstLine="720"/>
        <w:spacing w:after="0" w:line="253" w:lineRule="auto"/>
        <w:rPr>
          <w:sz w:val="20"/>
          <w:szCs w:val="20"/>
          <w:color w:val="auto"/>
        </w:rPr>
      </w:pPr>
      <w:r>
        <w:rPr>
          <w:rFonts w:ascii="Times New Roman" w:cs="Times New Roman" w:eastAsia="Times New Roman" w:hAnsi="Times New Roman"/>
          <w:sz w:val="20"/>
          <w:szCs w:val="20"/>
          <w:color w:val="auto"/>
        </w:rPr>
        <w:t>The audit and risk committee receives periodic reports and briefings from management on our cybersecurity risks. In addition, management updates the audit and risk committee, as necessary, regarding any material cybersecurity incidents, as well as any incidents with lesser impact potential. The audit and risk committee reports to the full Board regarding its activities, including those related to cybersecurity.</w:t>
      </w:r>
    </w:p>
    <w:p>
      <w:pPr>
        <w:spacing w:after="0" w:line="180"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Our management team supervises efforts to prevent, detect, mitigate, and remediate cybersecurity risks and incidents through various means, which may include briefings from internal IT personnel; threat intelligence and other information obtained from governmental, public or private sources, including third party service providers engaged by us; and alerts and reports produced by security tools deployed in the information technology environment.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3" w:lineRule="exact"/>
        <w:rPr>
          <w:sz w:val="20"/>
          <w:szCs w:val="20"/>
          <w:color w:val="auto"/>
        </w:rPr>
      </w:pPr>
    </w:p>
    <w:p>
      <w:pPr>
        <w:jc w:val="both"/>
        <w:ind w:right="300" w:firstLine="720"/>
        <w:spacing w:after="0" w:line="307" w:lineRule="auto"/>
        <w:rPr>
          <w:sz w:val="20"/>
          <w:szCs w:val="20"/>
          <w:color w:val="auto"/>
        </w:rPr>
      </w:pPr>
      <w:r>
        <w:rPr>
          <w:rFonts w:ascii="Times New Roman" w:cs="Times New Roman" w:eastAsia="Times New Roman" w:hAnsi="Times New Roman"/>
          <w:sz w:val="19"/>
          <w:szCs w:val="19"/>
          <w:color w:val="auto"/>
        </w:rPr>
        <w:t>Mereo’s principal office is located at 4th Floor, One Cavendish Place, London W1G 0QF, United Kingdom, where Mereo leases approximately 7,400 square feet of office space. Mereo leases this office space under leases that terminate on June 24, 2026.</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2024, we were not a party to any material legal proceedings.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780"/>
          </w:cols>
          <w:pgMar w:left="540" w:top="74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780"/>
          </w:cols>
          <w:pgMar w:left="540" w:top="748" w:right="560" w:bottom="0" w:gutter="0" w:footer="0" w:header="0"/>
          <w:type w:val="continuous"/>
        </w:sectPr>
      </w:pPr>
    </w:p>
    <w:bookmarkStart w:id="86" w:name="page87"/>
    <w:bookmarkEnd w:id="86"/>
    <w:p>
      <w:pPr>
        <w:ind w:left="50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Market Information</w:t>
      </w:r>
    </w:p>
    <w:p>
      <w:pPr>
        <w:spacing w:after="0" w:line="233" w:lineRule="exact"/>
        <w:rPr>
          <w:sz w:val="20"/>
          <w:szCs w:val="20"/>
          <w:color w:val="auto"/>
        </w:rPr>
      </w:pPr>
    </w:p>
    <w:p>
      <w:pPr>
        <w:ind w:right="280" w:firstLine="720"/>
        <w:spacing w:after="0" w:line="253" w:lineRule="auto"/>
        <w:rPr>
          <w:sz w:val="20"/>
          <w:szCs w:val="20"/>
          <w:color w:val="auto"/>
        </w:rPr>
      </w:pPr>
      <w:r>
        <w:rPr>
          <w:rFonts w:ascii="Times New Roman" w:cs="Times New Roman" w:eastAsia="Times New Roman" w:hAnsi="Times New Roman"/>
          <w:sz w:val="20"/>
          <w:szCs w:val="20"/>
          <w:color w:val="auto"/>
        </w:rPr>
        <w:t>Our ordinary shares, par value £0.003 per share, are not publicly traded. Our American Depositary Shares, or ADSs, each represent five ordinary shares of Mereo BioPharma Group plc and began trading on The Nasdaq Global Select Market on April 24, 2019 under the symbol “MREO.” Prior to that date, there was no public trading market for our ADSs or our ordinary shares. On May 3, 2023, we transferred the listing of our ADSs to the Nasdaq Capital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Ordinary Shares</w:t>
      </w:r>
    </w:p>
    <w:p>
      <w:pPr>
        <w:spacing w:after="0" w:line="243"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As of December 31, 2024, assuming that all of our ordinary shares represented by ADSs are held by residents of the U.S., including ADSs held by the entities set forth in Item 12. Security Ownership of Certain Beneficial Owners and Management and Related Stockholder Matters, and excluding certain other holders that we know to be non-residents of the U.S., we estimate that approximately 96% of our outstanding ordinary shares (including ordinary shares underlying ADSs) were held in the U.S. The number of record holders in the U.S. is not representative of the number of beneficial holders nor is it representative of where such beneficial holders are resident since many of these shares were held by brokers or other nominees.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Distribution Policy</w:t>
      </w:r>
    </w:p>
    <w:p>
      <w:pPr>
        <w:spacing w:after="0" w:line="243"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Mereo has never paid or declared any cash dividends on its ordinary shares, and does not anticipate paying any cash dividends on its ordinary shares in the foreseeable future. Mereo intends to retain all available funds and any future earnings to fund the development and 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less its accumulated realized losses.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 of Unregistered Securities and Use of Proceeds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Share Repurchases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There was no share repurchase activity in the Company’s fourth quarter of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10780"/>
          </w:cols>
          <w:pgMar w:left="540" w:top="74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780"/>
          </w:cols>
          <w:pgMar w:left="540" w:top="745" w:right="56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2" w:lineRule="exact"/>
        <w:rPr>
          <w:sz w:val="20"/>
          <w:szCs w:val="20"/>
          <w:color w:val="auto"/>
        </w:rPr>
      </w:pPr>
    </w:p>
    <w:p>
      <w:pPr>
        <w:ind w:right="320" w:firstLine="720"/>
        <w:spacing w:after="0" w:line="257" w:lineRule="auto"/>
        <w:rPr>
          <w:sz w:val="20"/>
          <w:szCs w:val="20"/>
          <w:color w:val="auto"/>
        </w:rPr>
      </w:pPr>
      <w:r>
        <w:rPr>
          <w:rFonts w:ascii="Times New Roman" w:cs="Times New Roman" w:eastAsia="Times New Roman" w:hAnsi="Times New Roman"/>
          <w:sz w:val="19"/>
          <w:szCs w:val="19"/>
          <w:i w:val="1"/>
          <w:iCs w:val="1"/>
          <w:color w:val="auto"/>
        </w:rPr>
        <w:t>You should read the following discussion and analysis of our financial condition and results of operations in conjunction with our consolidated financial statements and the related notes to those statements included elsewhere in this Annual Report on Form 10-K. In addition to our historical consolidated financial information, the following discussion contains forward-looking statements that reflect our plans, estimates, beliefs and expectations.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Part I, Item 1A.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2"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We are a biopharmaceutical company focused on the development of innovative therapeutics for rare diseases. We have developed a portfolio of late-stage clinical product candidates. Our two rare disease product candidates are setrusumab for the treatment of osteogenesis imperfecta (OI) and alvelestat for the treatment of severe alpha-1 antitrypsin deficiency-associated lung disease (AATD-LD).Setrusumab has received orphan designation for OI from the EC and the FDA, PRIME designation from the EMA and has Breakthrough Therapy designation and rare pediatric disease designation from the FDA. Alvelestat has received orphan designation for AATD from the EC and the FDA, and Fast Track designation for the treatment of AATD-LD from the FDA.</w:t>
      </w:r>
    </w:p>
    <w:p>
      <w:pPr>
        <w:spacing w:after="0" w:line="20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this strategy by acquiring six clinical-stage product candidates of which four were in rare diseases and oncology. Four of our six clinical-stage product candidates were acquired from large pharmaceutical companies and two were acquired in our merger with OncoMed Pharmaceuticals Inc. in 2019. We have successfully completed large, randomized Phase 2 clinical trials for four of our product candidates and the Phase 1b portion of a Phase 1b/2 for a fifth product candidate.</w:t>
      </w:r>
    </w:p>
    <w:p>
      <w:pPr>
        <w:spacing w:after="0" w:line="200"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19"/>
          <w:szCs w:val="19"/>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 Where the Company has performed significant development activities for its product candidates, income from agreements with third parties are considered to be proceeds derived from the Company’s ordinary activities and therefore represent revenue.</w:t>
      </w:r>
    </w:p>
    <w:p>
      <w:pPr>
        <w:spacing w:after="0" w:line="20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No revenue was recognized in the year ended December 31, 2024, however in previous years revenue has included income from licensing and collaboration agreements. Consideration received up front is recognized at the point in time in which the right to use a license or intellectual property is transferred. Income from development, regulatory, commercial or similar milestones is recognized when considered probable that a significant reversal of cumulative revenue recognized will not occur when the uncertainty associated with the milestone is subsequently resolved.</w:t>
      </w:r>
    </w:p>
    <w:p>
      <w:pPr>
        <w:spacing w:after="0" w:line="197" w:lineRule="exact"/>
        <w:rPr>
          <w:sz w:val="20"/>
          <w:szCs w:val="20"/>
          <w:color w:val="auto"/>
        </w:rPr>
      </w:pPr>
    </w:p>
    <w:p>
      <w:pPr>
        <w:ind w:right="360" w:firstLine="720"/>
        <w:spacing w:after="0" w:line="259" w:lineRule="auto"/>
        <w:rPr>
          <w:sz w:val="20"/>
          <w:szCs w:val="20"/>
          <w:color w:val="auto"/>
        </w:rPr>
      </w:pPr>
      <w:r>
        <w:rPr>
          <w:rFonts w:ascii="Times New Roman" w:cs="Times New Roman" w:eastAsia="Times New Roman" w:hAnsi="Times New Roman"/>
          <w:sz w:val="20"/>
          <w:szCs w:val="20"/>
          <w:color w:val="auto"/>
        </w:rPr>
        <w:t>We do not currently have any approved product candidates. Accordingly, we have not generated any commercial sales revenue during the period. In the future, we expect to be able to generate revenues if we are able to obtain regulatory approval and commercialize one or more of our product candidates.</w:t>
      </w:r>
    </w:p>
    <w:p>
      <w:pPr>
        <w:sectPr>
          <w:pgSz w:w="11880" w:h="15480" w:orient="portrait"/>
          <w:cols w:equalWidth="0" w:num="1">
            <w:col w:w="10780"/>
          </w:cols>
          <w:pgMar w:left="540" w:top="741"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780"/>
          </w:cols>
          <w:pgMar w:left="540" w:top="741" w:right="560" w:bottom="0" w:gutter="0" w:footer="0" w:header="0"/>
          <w:type w:val="continuous"/>
        </w:sectPr>
      </w:pPr>
    </w:p>
    <w:bookmarkStart w:id="88" w:name="page89"/>
    <w:bookmarkEnd w:id="88"/>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Payments to third parties arising as a direct consequence of the revenue recognized are recorded within cost of revenue in the Company’s consolidated statements of operations and comprehensive loss. No cost of revenue was recognized in the year ended December 31, 2024, however for the year ended December 31, 2023, cost of revenue included amounts that we were obligated to pay to Novartis under the 2015 asset purchase agreements. In 2015, when we purchased acumapimod, leflutrozole and setrusumab from Novartis, we agreed to pay Novartis if certain events occurred in relation to these compounds. The events that warrant a payment to Novartis are sales related or when a change in control occurs. When it is probable that either of these events will occur, revenue is recognized, and the corresponding payment obligation to Novartis is recognized within cost of revenue.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(“R&amp;D”) expenses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R&amp;D expenses include:</w:t>
      </w:r>
    </w:p>
    <w:p>
      <w:pPr>
        <w:spacing w:after="0" w:line="254" w:lineRule="exact"/>
        <w:rPr>
          <w:sz w:val="20"/>
          <w:szCs w:val="20"/>
          <w:color w:val="auto"/>
        </w:rPr>
      </w:pPr>
    </w:p>
    <w:p>
      <w:pPr>
        <w:ind w:left="1080" w:right="360" w:hanging="360"/>
        <w:spacing w:after="0" w:line="278"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employee-related expenses, such as salaries, share-based compensation, and other benefits, for Mereo’s research and development personnel;</w:t>
      </w:r>
    </w:p>
    <w:p>
      <w:pPr>
        <w:spacing w:after="0" w:line="180" w:lineRule="exact"/>
        <w:rPr>
          <w:rFonts w:ascii="Arial" w:cs="Arial" w:eastAsia="Arial" w:hAnsi="Arial"/>
          <w:sz w:val="20"/>
          <w:szCs w:val="20"/>
          <w:color w:val="auto"/>
        </w:rPr>
      </w:pPr>
    </w:p>
    <w:p>
      <w:pPr>
        <w:ind w:left="1080" w:right="580" w:hanging="360"/>
        <w:spacing w:after="0" w:line="278"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costs for production of drug substance and drug product and development of Mereo’s manufacturing processes by CMOs;</w:t>
      </w:r>
    </w:p>
    <w:p>
      <w:pPr>
        <w:spacing w:after="0" w:line="180" w:lineRule="exact"/>
        <w:rPr>
          <w:rFonts w:ascii="Arial" w:cs="Arial" w:eastAsia="Arial" w:hAnsi="Arial"/>
          <w:sz w:val="20"/>
          <w:szCs w:val="20"/>
          <w:color w:val="auto"/>
        </w:rPr>
      </w:pPr>
    </w:p>
    <w:p>
      <w:pPr>
        <w:ind w:left="1080" w:right="40" w:hanging="360"/>
        <w:spacing w:after="0" w:line="278"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fees and other costs paid to CROs, consultants, and other suppliers to conduct Mereo’s clinical trials and pre-clinical and non-clinical studies; and</w:t>
      </w:r>
    </w:p>
    <w:p>
      <w:pPr>
        <w:spacing w:after="0" w:line="180" w:lineRule="exact"/>
        <w:rPr>
          <w:rFonts w:ascii="Arial" w:cs="Arial" w:eastAsia="Arial" w:hAnsi="Arial"/>
          <w:sz w:val="20"/>
          <w:szCs w:val="20"/>
          <w:color w:val="auto"/>
        </w:rPr>
      </w:pPr>
    </w:p>
    <w:p>
      <w:pPr>
        <w:ind w:left="1080" w:right="320" w:hanging="360"/>
        <w:spacing w:after="0" w:line="278" w:lineRule="auto"/>
        <w:tabs>
          <w:tab w:leader="none" w:pos="10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costs of facilities, materials, and equipment related to drug production and Mereo’s clinical trials and pre-clinical and non-clinical studies.</w:t>
      </w:r>
    </w:p>
    <w:p>
      <w:pPr>
        <w:spacing w:after="0" w:line="166"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Intellectual property costs incurred on each drug candidate and costs associated with pre-commercial activities to support pricing and reimbursement by health technology assessment (“HTA”) authorities and payor decision-makers in Europe are excluded from R&amp;D expenses and are recognized within general and administrative expenses. Our direct R&amp;D expenses are allocated on a product-candidate-by-product-candidate basis. We allocate employee-related expenses for our R&amp;D personnel and other related expenses to specific product candidate development programs.</w:t>
      </w:r>
    </w:p>
    <w:p>
      <w:pPr>
        <w:spacing w:after="0" w:line="197"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As we advance the clinical development of our product candidates, we expect that our R&amp;D expense will continue to include costs of inputting into development, regulatory and manufacturing plans with our partner, Ultragenyx, for setrusumab; and activities associated with preparation of alvelestat for the Phase 3 study, including CMC, regulatory and other activities required to initiate the study.</w:t>
      </w:r>
    </w:p>
    <w:p>
      <w:pPr>
        <w:spacing w:after="0" w:line="20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185" w:lineRule="exact"/>
        <w:rPr>
          <w:sz w:val="20"/>
          <w:szCs w:val="20"/>
          <w:color w:val="auto"/>
        </w:rPr>
      </w:pPr>
    </w:p>
    <w:p>
      <w:pPr>
        <w:ind w:right="60" w:firstLine="720"/>
        <w:spacing w:after="0" w:line="279" w:lineRule="auto"/>
        <w:rPr>
          <w:sz w:val="20"/>
          <w:szCs w:val="20"/>
          <w:color w:val="auto"/>
        </w:rPr>
      </w:pPr>
      <w:r>
        <w:rPr>
          <w:rFonts w:ascii="Times New Roman" w:cs="Times New Roman" w:eastAsia="Times New Roman" w:hAnsi="Times New Roman"/>
          <w:sz w:val="20"/>
          <w:szCs w:val="20"/>
          <w:color w:val="auto"/>
        </w:rPr>
        <w:t>Our future expenditure on developing our product candidates is therefore highly uncertain. This is due to numerous risks and uncertainties associated with developing our product candidates, including the uncertainty of:</w:t>
      </w:r>
    </w:p>
    <w:p>
      <w:pPr>
        <w:spacing w:after="0" w:line="180" w:lineRule="exact"/>
        <w:rPr>
          <w:sz w:val="20"/>
          <w:szCs w:val="20"/>
          <w:color w:val="auto"/>
        </w:rPr>
      </w:pPr>
    </w:p>
    <w:p>
      <w:pPr>
        <w:ind w:left="1080" w:hanging="360"/>
        <w:spacing w:after="0"/>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rate of progress, and expense of our R&amp;D activities;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progress and results of our clinical trials and our pre-clinical and non-clinical studies;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terms and timing of regulatory approvals, if any;</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establishment of arrangements with our third-party manufacturers to obtain manufacturing supply;</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protection of our rights in its intellectual property portfolio;</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launch of commercial sales of any of our product candidates, if approved, whether alone or in collaboration with others;</w:t>
      </w:r>
    </w:p>
    <w:p>
      <w:pPr>
        <w:spacing w:after="0" w:line="253" w:lineRule="exact"/>
        <w:rPr>
          <w:rFonts w:ascii="Arial" w:cs="Arial" w:eastAsia="Arial" w:hAnsi="Arial"/>
          <w:sz w:val="20"/>
          <w:szCs w:val="20"/>
          <w:color w:val="auto"/>
        </w:rPr>
      </w:pPr>
    </w:p>
    <w:p>
      <w:pPr>
        <w:ind w:left="1080" w:right="100" w:hanging="360"/>
        <w:spacing w:after="0" w:line="278" w:lineRule="auto"/>
        <w:tabs>
          <w:tab w:leader="none" w:pos="10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third party strategic relationships for clinical development and/or commercialization of our non-core product candidates and performance of our strategic partners under these arrangements;</w:t>
      </w:r>
    </w:p>
    <w:p>
      <w:pPr>
        <w:sectPr>
          <w:pgSz w:w="11880" w:h="15480" w:orient="portrait"/>
          <w:cols w:equalWidth="0" w:num="1">
            <w:col w:w="10780"/>
          </w:cols>
          <w:pgMar w:left="540" w:top="748" w:right="560" w:bottom="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780"/>
          </w:cols>
          <w:pgMar w:left="540" w:top="748" w:right="560" w:bottom="0" w:gutter="0" w:footer="0" w:header="0"/>
          <w:type w:val="continuous"/>
        </w:sectPr>
      </w:pPr>
    </w:p>
    <w:bookmarkStart w:id="89" w:name="page90"/>
    <w:bookmarkEnd w:id="89"/>
    <w:p>
      <w:pPr>
        <w:ind w:left="1080" w:hanging="360"/>
        <w:spacing w:after="0"/>
        <w:tabs>
          <w:tab w:leader="none" w:pos="10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sale, if any, of one or more of our non-core disease product candidates;</w:t>
      </w:r>
    </w:p>
    <w:p>
      <w:pPr>
        <w:spacing w:after="0" w:line="253" w:lineRule="exact"/>
        <w:rPr>
          <w:rFonts w:ascii="Arial" w:cs="Arial" w:eastAsia="Arial" w:hAnsi="Arial"/>
          <w:sz w:val="20"/>
          <w:szCs w:val="20"/>
          <w:color w:val="auto"/>
        </w:rPr>
      </w:pPr>
    </w:p>
    <w:p>
      <w:pPr>
        <w:ind w:left="1080" w:right="160" w:hanging="360"/>
        <w:spacing w:after="0" w:line="278" w:lineRule="auto"/>
        <w:tabs>
          <w:tab w:leader="none" w:pos="10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any of our product candidates, if approved, by patients, the medical community and payors at our desired pricing levels;</w:t>
      </w:r>
    </w:p>
    <w:p>
      <w:pPr>
        <w:spacing w:after="0" w:line="180" w:lineRule="exact"/>
        <w:rPr>
          <w:rFonts w:ascii="Arial" w:cs="Arial" w:eastAsia="Arial" w:hAnsi="Arial"/>
          <w:sz w:val="20"/>
          <w:szCs w:val="20"/>
          <w:color w:val="auto"/>
        </w:rPr>
      </w:pPr>
    </w:p>
    <w:p>
      <w:pPr>
        <w:ind w:left="1080" w:hanging="360"/>
        <w:spacing w:after="0"/>
        <w:tabs>
          <w:tab w:leader="none" w:pos="10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with other therapies; and</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continued acceptable safety profile of any of our product candidates following approval.</w:t>
      </w:r>
    </w:p>
    <w:p>
      <w:pPr>
        <w:spacing w:after="0" w:line="239"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3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Our general and administrative expenses principally consist of salaries and related benefits, including share-based compensation, for personnel in our executive, finance and other administrative functions as well as certain pre-commercial activities, including those to support pricing and reimbursement by HTA authorities and payor decision-makers in Europe, particularly in relation to setrusumab. Other general and administrative costs include facility-related costs, professional services fees for auditing, tax and general legal services, intellectual property costs, costs related to our requirements of being a public company listed on Nasdaq, and costs incurred relating to the issue of equity to the extent not capitalized.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Interest income comprises interest received on cash and short term deposits.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38"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Interest expense principally comprises interest on convertible loan notes, deferred consideration and bank charges. For further information on the terms of our convertible loan notes see “—Liquidity and Capital Resources—Indebtedness.”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the fair value of financial instruments/warrants</w:t>
      </w:r>
    </w:p>
    <w:p>
      <w:pPr>
        <w:spacing w:after="0" w:line="238" w:lineRule="exact"/>
        <w:rPr>
          <w:sz w:val="20"/>
          <w:szCs w:val="20"/>
          <w:color w:val="auto"/>
        </w:rPr>
      </w:pPr>
    </w:p>
    <w:p>
      <w:pPr>
        <w:ind w:right="780" w:firstLine="720"/>
        <w:spacing w:after="0" w:line="279" w:lineRule="auto"/>
        <w:rPr>
          <w:sz w:val="20"/>
          <w:szCs w:val="20"/>
          <w:color w:val="auto"/>
        </w:rPr>
      </w:pPr>
      <w:r>
        <w:rPr>
          <w:rFonts w:ascii="Times New Roman" w:cs="Times New Roman" w:eastAsia="Times New Roman" w:hAnsi="Times New Roman"/>
          <w:sz w:val="20"/>
          <w:szCs w:val="20"/>
          <w:color w:val="auto"/>
        </w:rPr>
        <w:t>The fair value changes in financial instruments principally comprises warrant liabilities, which are recognized in the statement of comprehensive loss.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transaction gain/(loss)</w:t>
      </w:r>
    </w:p>
    <w:p>
      <w:pPr>
        <w:spacing w:after="0" w:line="238" w:lineRule="exact"/>
        <w:rPr>
          <w:sz w:val="20"/>
          <w:szCs w:val="20"/>
          <w:color w:val="auto"/>
        </w:rPr>
      </w:pPr>
    </w:p>
    <w:p>
      <w:pPr>
        <w:ind w:right="240" w:firstLine="720"/>
        <w:spacing w:after="0" w:line="253" w:lineRule="auto"/>
        <w:rPr>
          <w:sz w:val="20"/>
          <w:szCs w:val="20"/>
          <w:color w:val="auto"/>
        </w:rPr>
      </w:pPr>
      <w:r>
        <w:rPr>
          <w:rFonts w:ascii="Times New Roman" w:cs="Times New Roman" w:eastAsia="Times New Roman" w:hAnsi="Times New Roman"/>
          <w:sz w:val="20"/>
          <w:szCs w:val="20"/>
          <w:color w:val="auto"/>
        </w:rPr>
        <w:t>Our consolidated financial statements are presented in U.S. dollars. We initially record transactions in foreign currencies at the rate prevailing on the date the transaction first qualifies for recognition. Foreign currency transaction gain/(loss) consists of the difference arising on settlement or translation of transactions denominated in currencies other than the functional currency of the transacting foreign entity, which are primarily held in U.S. dollars and British pound sterling.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w:t>
      </w:r>
    </w:p>
    <w:p>
      <w:pPr>
        <w:spacing w:after="0" w:line="238" w:lineRule="exact"/>
        <w:rPr>
          <w:sz w:val="20"/>
          <w:szCs w:val="20"/>
          <w:color w:val="auto"/>
        </w:rPr>
      </w:pPr>
    </w:p>
    <w:p>
      <w:pPr>
        <w:ind w:right="160" w:firstLine="720"/>
        <w:spacing w:after="0" w:line="279" w:lineRule="auto"/>
        <w:rPr>
          <w:sz w:val="20"/>
          <w:szCs w:val="20"/>
          <w:color w:val="auto"/>
        </w:rPr>
      </w:pPr>
      <w:r>
        <w:rPr>
          <w:rFonts w:ascii="Times New Roman" w:cs="Times New Roman" w:eastAsia="Times New Roman" w:hAnsi="Times New Roman"/>
          <w:sz w:val="20"/>
          <w:szCs w:val="20"/>
          <w:color w:val="auto"/>
        </w:rPr>
        <w:t>Other income consists of income that is derived from a third party which is not a customer and does not fall under the scope of ASC Topic 606, Revenue from Contracts with Customers (“ASC 606”).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Benefit from research and development tax credits</w:t>
      </w:r>
    </w:p>
    <w:p>
      <w:pPr>
        <w:spacing w:after="0" w:line="238" w:lineRule="exact"/>
        <w:rPr>
          <w:sz w:val="20"/>
          <w:szCs w:val="20"/>
          <w:color w:val="auto"/>
        </w:rPr>
      </w:pPr>
    </w:p>
    <w:p>
      <w:pPr>
        <w:ind w:right="20" w:firstLine="720"/>
        <w:spacing w:after="0" w:line="263" w:lineRule="auto"/>
        <w:rPr>
          <w:sz w:val="20"/>
          <w:szCs w:val="20"/>
          <w:color w:val="auto"/>
        </w:rPr>
      </w:pPr>
      <w:r>
        <w:rPr>
          <w:rFonts w:ascii="Times New Roman" w:cs="Times New Roman" w:eastAsia="Times New Roman" w:hAnsi="Times New Roman"/>
          <w:sz w:val="19"/>
          <w:szCs w:val="19"/>
          <w:color w:val="auto"/>
        </w:rPr>
        <w:t>As a U.K. resident trading entity, we are subject to U.K. corporate taxation. Due to the nature of our business, we have generated operating losses since formation. As of December 31, 2024 and 2023, we had cumulative carry-forward U.K. tax losses of $36.6 million and $30.6 million, respectively. Subject to any relevant restrictions, we expect these to be available to carry forward and offset against future operating profits. As a company that carries out extensive R&amp;D activities, we benefit from the U.K. R&amp;D small or medium-sized enterprise tax credit regime, or SME R&amp;D Relief, and are able to surrender some of our trading losses that arise from our research and development activities for a cash rebate (the "R&amp;D tax credit"). Pursuant to changes made by the Finance Act 2023,</w:t>
      </w:r>
    </w:p>
    <w:p>
      <w:pPr>
        <w:sectPr>
          <w:pgSz w:w="11880" w:h="15480" w:orient="portrait"/>
          <w:cols w:equalWidth="0" w:num="1">
            <w:col w:w="10800"/>
          </w:cols>
          <w:pgMar w:left="540" w:top="763" w:right="540" w:bottom="0" w:gutter="0" w:footer="0" w:header="0"/>
        </w:sectPr>
      </w:pP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800"/>
          </w:cols>
          <w:pgMar w:left="540" w:top="763" w:right="540" w:bottom="0" w:gutter="0" w:footer="0" w:header="0"/>
          <w:type w:val="continuous"/>
        </w:sectPr>
      </w:pPr>
    </w:p>
    <w:bookmarkStart w:id="90" w:name="page91"/>
    <w:bookmarkEnd w:id="90"/>
    <w:p>
      <w:pPr>
        <w:ind w:right="120"/>
        <w:spacing w:after="0" w:line="245" w:lineRule="auto"/>
        <w:rPr>
          <w:sz w:val="20"/>
          <w:szCs w:val="20"/>
          <w:color w:val="auto"/>
        </w:rPr>
      </w:pPr>
      <w:r>
        <w:rPr>
          <w:rFonts w:ascii="Times New Roman" w:cs="Times New Roman" w:eastAsia="Times New Roman" w:hAnsi="Times New Roman"/>
          <w:sz w:val="20"/>
          <w:szCs w:val="20"/>
          <w:color w:val="auto"/>
        </w:rPr>
        <w:t>from April 1, 2023, a cash rebate of up to 27% of eligible R&amp;D expenditure is available for R&amp;D intensive companies where at least 40% of their total expenditure is on qualifying R&amp;D, or for non-R&amp;D intensive companies, a cash rebate of up to 18.6% of eligible R&amp;D expenditure is available. From April 1, 2023, certain subcontracted qualifying research expenditures are eligible for a cash rebate of up to 17.53% for R&amp;D intensive companies or 12.09% for other companies. The difference in cash rebate for qualifying subcontracted expenditure versus other qualifying expenditure is due to a statutory restriction of 65% being applied to unconnected qualifying subcontracted expenditure, thus restricting the benefit available. Qualifying expenditures largely comprise employment costs for R&amp;D staff, subcontracted CRO and CMO costs, consumables and certain internal overhead cost incurred as part of research projects. We do not currently expect to qualify as an R&amp;D intensive company.</w:t>
      </w:r>
    </w:p>
    <w:p>
      <w:pPr>
        <w:spacing w:after="0" w:line="202"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In the event we generate revenues in the future, we may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these regimes, or we are unable to use net operating loss and tax credit carryforwards and certain built-in losses to reduce future tax payments, our business, results of operations, and financial condition may be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w:t>
      </w:r>
    </w:p>
    <w:p>
      <w:pPr>
        <w:spacing w:after="0" w:line="238"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We operate in the U.K. and in the U.S. and are subject to corporate taxation in those countries. We have generated losses since inception and have therefore not paid U.K. corporation tax except in 2021. The income tax benefit included in the consolidated statements of operations and comprehensive loss in the year ended December 31, 2023 represents tax refunds in respect of income taxes paid in 2021.</w:t>
      </w:r>
    </w:p>
    <w:p>
      <w:pPr>
        <w:spacing w:after="0" w:line="190" w:lineRule="exact"/>
        <w:rPr>
          <w:sz w:val="20"/>
          <w:szCs w:val="20"/>
          <w:color w:val="auto"/>
        </w:rPr>
      </w:pPr>
    </w:p>
    <w:p>
      <w:pPr>
        <w:jc w:val="both"/>
        <w:ind w:right="340" w:firstLine="720"/>
        <w:spacing w:after="0" w:line="259" w:lineRule="auto"/>
        <w:rPr>
          <w:sz w:val="20"/>
          <w:szCs w:val="20"/>
          <w:color w:val="auto"/>
        </w:rPr>
      </w:pPr>
      <w:r>
        <w:rPr>
          <w:rFonts w:ascii="Times New Roman" w:cs="Times New Roman" w:eastAsia="Times New Roman" w:hAnsi="Times New Roman"/>
          <w:sz w:val="20"/>
          <w:szCs w:val="20"/>
          <w:color w:val="auto"/>
        </w:rPr>
        <w:t xml:space="preserve">The U.K. corporation tax rate applied for 2024 was 25% (2023: 23.5%). The U.K. corporation tax for 2023 resulted from applying the enacted statutory rate of 19% from January 1, 2023 through April 1, 2023, and 25% for the remainder of 2023. U.K. deferred tax assets and liabilities have been measured at a rate of 25%. </w:t>
      </w:r>
      <w:r>
        <w:rPr>
          <w:rFonts w:ascii="Times New Roman" w:cs="Times New Roman" w:eastAsia="Times New Roman" w:hAnsi="Times New Roman"/>
          <w:sz w:val="20"/>
          <w:szCs w:val="20"/>
          <w:color w:val="1E1E1E"/>
        </w:rPr>
        <w:t>T</w:t>
      </w:r>
      <w:r>
        <w:rPr>
          <w:rFonts w:ascii="Times New Roman" w:cs="Times New Roman" w:eastAsia="Times New Roman" w:hAnsi="Times New Roman"/>
          <w:sz w:val="20"/>
          <w:szCs w:val="20"/>
          <w:color w:val="auto"/>
        </w:rPr>
        <w:t>he U.S federal income tax rate is 21%.</w:t>
      </w:r>
    </w:p>
    <w:p>
      <w:pPr>
        <w:spacing w:after="0" w:line="185"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As of December 31, 2024, the Company had U.K. net operating loss carryforwards of $36.6 million, that can be carried forward indefinitely. The Company had U.S. federal tax losses to be carried forward of approximately $66.3 million of which $19.5 million can be carried forward indefinitely and $46.8 million which will begin to expire in 2025. The Company also had $13.9 million of U.S. federal R&amp;D tax credits that begin to expire in 2025 and U.S. state tax losses to be carried forward of less than $0.1 million which begin to expire in 2027. The Company also had less than $0.1 million of state R&amp;D tax credits that do not have an expiration date.</w:t>
      </w:r>
    </w:p>
    <w:p>
      <w:pPr>
        <w:sectPr>
          <w:pgSz w:w="11880" w:h="15480" w:orient="portrait"/>
          <w:cols w:equalWidth="0" w:num="1">
            <w:col w:w="10760"/>
          </w:cols>
          <w:pgMar w:left="540" w:top="748"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760"/>
          </w:cols>
          <w:pgMar w:left="540" w:top="748" w:right="580" w:bottom="0" w:gutter="0" w:footer="0" w:header="0"/>
          <w:type w:val="continuous"/>
        </w:sectPr>
      </w:pPr>
    </w:p>
    <w:bookmarkStart w:id="91" w:name="page92"/>
    <w:bookmarkEnd w:id="91"/>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9600" w:type="dxa"/>
            <w:vAlign w:val="bottom"/>
            <w:gridSpan w:val="6"/>
          </w:tcPr>
          <w:p>
            <w:pPr>
              <w:ind w:left="720"/>
              <w:spacing w:after="0"/>
              <w:rPr>
                <w:sz w:val="20"/>
                <w:szCs w:val="20"/>
                <w:color w:val="auto"/>
              </w:rPr>
            </w:pPr>
            <w:r>
              <w:rPr>
                <w:rFonts w:ascii="Times New Roman" w:cs="Times New Roman" w:eastAsia="Times New Roman" w:hAnsi="Times New Roman"/>
                <w:sz w:val="20"/>
                <w:szCs w:val="20"/>
                <w:color w:val="auto"/>
              </w:rPr>
              <w:t>The following table sets forth Mereo’s results of operations for the years ended December 31, 2024 and 2023.</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FEFEFE"/>
          </w:tcPr>
          <w:p>
            <w:pPr>
              <w:spacing w:after="0"/>
              <w:rPr>
                <w:sz w:val="19"/>
                <w:szCs w:val="19"/>
                <w:color w:val="auto"/>
              </w:rPr>
            </w:pPr>
          </w:p>
        </w:tc>
        <w:tc>
          <w:tcPr>
            <w:tcW w:w="3280" w:type="dxa"/>
            <w:vAlign w:val="bottom"/>
            <w:gridSpan w:val="5"/>
            <w:shd w:val="clear" w:color="auto" w:fill="FEFEFE"/>
          </w:tcPr>
          <w:p>
            <w:pPr>
              <w:jc w:val="center"/>
              <w:ind w:right="460"/>
              <w:spacing w:after="0" w:line="220" w:lineRule="exact"/>
              <w:rPr>
                <w:sz w:val="20"/>
                <w:szCs w:val="20"/>
                <w:color w:val="auto"/>
              </w:rPr>
            </w:pPr>
            <w:r>
              <w:rPr>
                <w:rFonts w:ascii="Times New Roman" w:cs="Times New Roman" w:eastAsia="Times New Roman" w:hAnsi="Times New Roman"/>
                <w:sz w:val="20"/>
                <w:szCs w:val="20"/>
                <w:b w:val="1"/>
                <w:bCs w:val="1"/>
                <w:color w:val="auto"/>
                <w:w w:val="99"/>
              </w:rPr>
              <w:t>Year ended</w:t>
            </w:r>
          </w:p>
        </w:tc>
        <w:tc>
          <w:tcPr>
            <w:tcW w:w="12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320" w:type="dxa"/>
            <w:vAlign w:val="bottom"/>
            <w:shd w:val="clear" w:color="auto" w:fill="FEFEFE"/>
          </w:tcPr>
          <w:p>
            <w:pPr>
              <w:spacing w:after="0"/>
              <w:rPr>
                <w:sz w:val="22"/>
                <w:szCs w:val="22"/>
                <w:color w:val="auto"/>
              </w:rPr>
            </w:pPr>
          </w:p>
        </w:tc>
        <w:tc>
          <w:tcPr>
            <w:tcW w:w="3280" w:type="dxa"/>
            <w:vAlign w:val="bottom"/>
            <w:gridSpan w:val="5"/>
            <w:shd w:val="clear" w:color="auto" w:fill="FEFEFE"/>
          </w:tcPr>
          <w:p>
            <w:pPr>
              <w:jc w:val="center"/>
              <w:ind w:right="48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200" w:type="dxa"/>
            <w:vAlign w:val="bottom"/>
            <w:vMerge w:val="restart"/>
            <w:shd w:val="clear" w:color="auto" w:fill="FEFEFE"/>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34"/>
        </w:trPr>
        <w:tc>
          <w:tcPr>
            <w:tcW w:w="6320" w:type="dxa"/>
            <w:vAlign w:val="bottom"/>
            <w:tcBorders>
              <w:top w:val="single" w:sz="8" w:color="FEFEFE"/>
            </w:tcBorders>
            <w:shd w:val="clear" w:color="auto" w:fill="FEFEFE"/>
          </w:tcPr>
          <w:p>
            <w:pPr>
              <w:spacing w:after="0"/>
              <w:rPr>
                <w:sz w:val="20"/>
                <w:szCs w:val="20"/>
                <w:color w:val="auto"/>
              </w:rPr>
            </w:pPr>
          </w:p>
        </w:tc>
        <w:tc>
          <w:tcPr>
            <w:tcW w:w="1420" w:type="dxa"/>
            <w:vAlign w:val="bottom"/>
            <w:tcBorders>
              <w:top w:val="single" w:sz="8" w:color="auto"/>
            </w:tcBorders>
            <w:shd w:val="clear" w:color="auto" w:fill="FEFEFE"/>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520" w:type="dxa"/>
            <w:vAlign w:val="bottom"/>
            <w:tcBorders>
              <w:top w:val="single" w:sz="8" w:color="auto"/>
            </w:tcBorders>
            <w:gridSpan w:val="2"/>
            <w:shd w:val="clear" w:color="auto" w:fill="FEFEFE"/>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tcBorders>
              <w:top w:val="single" w:sz="8" w:color="FEFEFE"/>
            </w:tcBorders>
            <w:shd w:val="clear" w:color="auto" w:fill="FEFEFE"/>
          </w:tcPr>
          <w:p>
            <w:pPr>
              <w:spacing w:after="0"/>
              <w:rPr>
                <w:sz w:val="20"/>
                <w:szCs w:val="20"/>
                <w:color w:val="auto"/>
              </w:rPr>
            </w:pPr>
          </w:p>
        </w:tc>
        <w:tc>
          <w:tcPr>
            <w:tcW w:w="220" w:type="dxa"/>
            <w:vAlign w:val="bottom"/>
            <w:tcBorders>
              <w:top w:val="single" w:sz="8" w:color="FEFEFE"/>
            </w:tcBorders>
            <w:shd w:val="clear" w:color="auto" w:fill="FEFEFE"/>
          </w:tcPr>
          <w:p>
            <w:pPr>
              <w:spacing w:after="0"/>
              <w:rPr>
                <w:sz w:val="20"/>
                <w:szCs w:val="20"/>
                <w:color w:val="auto"/>
              </w:rPr>
            </w:pPr>
          </w:p>
        </w:tc>
        <w:tc>
          <w:tcPr>
            <w:tcW w:w="1200" w:type="dxa"/>
            <w:vAlign w:val="bottom"/>
            <w:tcBorders>
              <w:top w:val="single" w:sz="8" w:color="FEFEFE"/>
            </w:tcBorders>
            <w:vMerge w:val="continue"/>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320" w:type="dxa"/>
            <w:vAlign w:val="bottom"/>
            <w:tcBorders>
              <w:top w:val="single" w:sz="8" w:color="FEFEFE"/>
            </w:tcBorders>
            <w:shd w:val="clear" w:color="auto" w:fill="FEFEFE"/>
          </w:tcPr>
          <w:p>
            <w:pPr>
              <w:spacing w:after="0"/>
              <w:rPr>
                <w:sz w:val="20"/>
                <w:szCs w:val="20"/>
                <w:color w:val="auto"/>
              </w:rPr>
            </w:pPr>
          </w:p>
        </w:tc>
        <w:tc>
          <w:tcPr>
            <w:tcW w:w="1420" w:type="dxa"/>
            <w:vAlign w:val="bottom"/>
            <w:tcBorders>
              <w:top w:val="single" w:sz="8" w:color="auto"/>
            </w:tcBorders>
            <w:shd w:val="clear" w:color="auto" w:fill="FEFEFE"/>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($'000)</w:t>
            </w:r>
          </w:p>
        </w:tc>
        <w:tc>
          <w:tcPr>
            <w:tcW w:w="100" w:type="dxa"/>
            <w:vAlign w:val="bottom"/>
            <w:tcBorders>
              <w:top w:val="single" w:sz="8" w:color="FEFEFE"/>
            </w:tcBorders>
            <w:shd w:val="clear" w:color="auto" w:fill="FEFEFE"/>
          </w:tcPr>
          <w:p>
            <w:pPr>
              <w:spacing w:after="0"/>
              <w:rPr>
                <w:sz w:val="20"/>
                <w:szCs w:val="20"/>
                <w:color w:val="auto"/>
              </w:rPr>
            </w:pPr>
          </w:p>
        </w:tc>
        <w:tc>
          <w:tcPr>
            <w:tcW w:w="1420" w:type="dxa"/>
            <w:vAlign w:val="bottom"/>
            <w:tcBorders>
              <w:top w:val="single" w:sz="8" w:color="auto"/>
            </w:tcBorders>
            <w:shd w:val="clear" w:color="auto" w:fill="FEFEFE"/>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($'000)</w:t>
            </w:r>
          </w:p>
        </w:tc>
        <w:tc>
          <w:tcPr>
            <w:tcW w:w="120" w:type="dxa"/>
            <w:vAlign w:val="bottom"/>
            <w:tcBorders>
              <w:top w:val="single" w:sz="8" w:color="FEFEFE"/>
            </w:tcBorders>
            <w:shd w:val="clear" w:color="auto" w:fill="FEFEFE"/>
          </w:tcPr>
          <w:p>
            <w:pPr>
              <w:spacing w:after="0"/>
              <w:rPr>
                <w:sz w:val="20"/>
                <w:szCs w:val="20"/>
                <w:color w:val="auto"/>
              </w:rPr>
            </w:pPr>
          </w:p>
        </w:tc>
        <w:tc>
          <w:tcPr>
            <w:tcW w:w="220" w:type="dxa"/>
            <w:vAlign w:val="bottom"/>
            <w:tcBorders>
              <w:top w:val="single" w:sz="8" w:color="auto"/>
            </w:tcBorders>
            <w:shd w:val="clear" w:color="auto" w:fill="FEFEFE"/>
          </w:tcPr>
          <w:p>
            <w:pPr>
              <w:spacing w:after="0"/>
              <w:rPr>
                <w:sz w:val="20"/>
                <w:szCs w:val="20"/>
                <w:color w:val="auto"/>
              </w:rPr>
            </w:pPr>
          </w:p>
        </w:tc>
        <w:tc>
          <w:tcPr>
            <w:tcW w:w="1200" w:type="dxa"/>
            <w:vAlign w:val="bottom"/>
            <w:tcBorders>
              <w:top w:val="single" w:sz="8" w:color="auto"/>
            </w:tcBorders>
            <w:shd w:val="clear" w:color="auto" w:fill="FEFEFE"/>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($'000)</w:t>
            </w:r>
          </w:p>
        </w:tc>
        <w:tc>
          <w:tcPr>
            <w:tcW w:w="0" w:type="dxa"/>
            <w:vAlign w:val="bottom"/>
          </w:tcPr>
          <w:p>
            <w:pPr>
              <w:spacing w:after="0"/>
              <w:rPr>
                <w:sz w:val="1"/>
                <w:szCs w:val="1"/>
                <w:color w:val="auto"/>
              </w:rPr>
            </w:pPr>
          </w:p>
        </w:tc>
      </w:tr>
      <w:tr>
        <w:trPr>
          <w:trHeight w:val="244"/>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4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4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10,000</w:t>
            </w:r>
          </w:p>
        </w:tc>
        <w:tc>
          <w:tcPr>
            <w:tcW w:w="1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44"/>
        </w:trPr>
        <w:tc>
          <w:tcPr>
            <w:tcW w:w="63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4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4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Cost of revenue</w:t>
            </w:r>
          </w:p>
        </w:tc>
        <w:tc>
          <w:tcPr>
            <w:tcW w:w="14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(2,574)</w:t>
            </w:r>
          </w:p>
        </w:tc>
        <w:tc>
          <w:tcPr>
            <w:tcW w:w="1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2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2,574</w:t>
            </w:r>
          </w:p>
        </w:tc>
        <w:tc>
          <w:tcPr>
            <w:tcW w:w="0" w:type="dxa"/>
            <w:vAlign w:val="bottom"/>
          </w:tcPr>
          <w:p>
            <w:pPr>
              <w:spacing w:after="0"/>
              <w:rPr>
                <w:sz w:val="1"/>
                <w:szCs w:val="1"/>
                <w:color w:val="auto"/>
              </w:rPr>
            </w:pPr>
          </w:p>
        </w:tc>
      </w:tr>
      <w:tr>
        <w:trPr>
          <w:trHeight w:val="244"/>
        </w:trPr>
        <w:tc>
          <w:tcPr>
            <w:tcW w:w="63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4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(20,930)</w:t>
            </w:r>
          </w:p>
        </w:tc>
        <w:tc>
          <w:tcPr>
            <w:tcW w:w="15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(17,418)</w:t>
            </w:r>
          </w:p>
        </w:tc>
        <w:tc>
          <w:tcPr>
            <w:tcW w:w="1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(3,512)</w:t>
            </w:r>
          </w:p>
        </w:tc>
        <w:tc>
          <w:tcPr>
            <w:tcW w:w="0" w:type="dxa"/>
            <w:vAlign w:val="bottom"/>
          </w:tcPr>
          <w:p>
            <w:pPr>
              <w:spacing w:after="0"/>
              <w:rPr>
                <w:sz w:val="1"/>
                <w:szCs w:val="1"/>
                <w:color w:val="auto"/>
              </w:rPr>
            </w:pPr>
          </w:p>
        </w:tc>
      </w:tr>
      <w:tr>
        <w:trPr>
          <w:trHeight w:val="244"/>
        </w:trPr>
        <w:tc>
          <w:tcPr>
            <w:tcW w:w="63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(26,434)</w:t>
            </w:r>
          </w:p>
        </w:tc>
        <w:tc>
          <w:tcPr>
            <w:tcW w:w="15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(18,424)</w:t>
            </w:r>
          </w:p>
        </w:tc>
        <w:tc>
          <w:tcPr>
            <w:tcW w:w="1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(8,010)</w:t>
            </w:r>
          </w:p>
        </w:tc>
        <w:tc>
          <w:tcPr>
            <w:tcW w:w="0" w:type="dxa"/>
            <w:vAlign w:val="bottom"/>
          </w:tcPr>
          <w:p>
            <w:pPr>
              <w:spacing w:after="0"/>
              <w:rPr>
                <w:sz w:val="1"/>
                <w:szCs w:val="1"/>
                <w:color w:val="auto"/>
              </w:rPr>
            </w:pPr>
          </w:p>
        </w:tc>
      </w:tr>
      <w:tr>
        <w:trPr>
          <w:trHeight w:val="234"/>
        </w:trPr>
        <w:tc>
          <w:tcPr>
            <w:tcW w:w="6320" w:type="dxa"/>
            <w:vAlign w:val="bottom"/>
            <w:tcBorders>
              <w:top w:val="single" w:sz="8" w:color="FEFEFE"/>
            </w:tcBorders>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Loss from operations</w:t>
            </w:r>
          </w:p>
        </w:tc>
        <w:tc>
          <w:tcPr>
            <w:tcW w:w="142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(47,364)</w:t>
            </w:r>
          </w:p>
        </w:tc>
        <w:tc>
          <w:tcPr>
            <w:tcW w:w="100" w:type="dxa"/>
            <w:vAlign w:val="bottom"/>
            <w:tcBorders>
              <w:top w:val="single" w:sz="8" w:color="FEFEFE"/>
            </w:tcBorders>
            <w:shd w:val="clear" w:color="auto" w:fill="FEFEFE"/>
          </w:tcPr>
          <w:p>
            <w:pPr>
              <w:spacing w:after="0"/>
              <w:rPr>
                <w:sz w:val="20"/>
                <w:szCs w:val="20"/>
                <w:color w:val="auto"/>
              </w:rPr>
            </w:pPr>
          </w:p>
        </w:tc>
        <w:tc>
          <w:tcPr>
            <w:tcW w:w="142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(28,416)</w:t>
            </w:r>
          </w:p>
        </w:tc>
        <w:tc>
          <w:tcPr>
            <w:tcW w:w="120" w:type="dxa"/>
            <w:vAlign w:val="bottom"/>
            <w:tcBorders>
              <w:top w:val="single" w:sz="8" w:color="FEFEFE"/>
            </w:tcBorders>
            <w:shd w:val="clear" w:color="auto" w:fill="FEFEFE"/>
          </w:tcPr>
          <w:p>
            <w:pPr>
              <w:spacing w:after="0"/>
              <w:rPr>
                <w:sz w:val="20"/>
                <w:szCs w:val="20"/>
                <w:color w:val="auto"/>
              </w:rPr>
            </w:pPr>
          </w:p>
        </w:tc>
        <w:tc>
          <w:tcPr>
            <w:tcW w:w="220" w:type="dxa"/>
            <w:vAlign w:val="bottom"/>
            <w:tcBorders>
              <w:top w:val="single" w:sz="8" w:color="auto"/>
            </w:tcBorders>
            <w:shd w:val="clear" w:color="auto" w:fill="FEFEFE"/>
          </w:tcPr>
          <w:p>
            <w:pPr>
              <w:spacing w:after="0"/>
              <w:rPr>
                <w:sz w:val="20"/>
                <w:szCs w:val="20"/>
                <w:color w:val="auto"/>
              </w:rPr>
            </w:pPr>
          </w:p>
        </w:tc>
        <w:tc>
          <w:tcPr>
            <w:tcW w:w="120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(18,948)</w:t>
            </w:r>
          </w:p>
        </w:tc>
        <w:tc>
          <w:tcPr>
            <w:tcW w:w="0" w:type="dxa"/>
            <w:vAlign w:val="bottom"/>
          </w:tcPr>
          <w:p>
            <w:pPr>
              <w:spacing w:after="0"/>
              <w:rPr>
                <w:sz w:val="1"/>
                <w:szCs w:val="1"/>
                <w:color w:val="auto"/>
              </w:rPr>
            </w:pPr>
          </w:p>
        </w:tc>
      </w:tr>
      <w:tr>
        <w:trPr>
          <w:trHeight w:val="244"/>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Other income/(expenses)</w:t>
            </w:r>
          </w:p>
        </w:tc>
        <w:tc>
          <w:tcPr>
            <w:tcW w:w="14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4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2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42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3,041</w:t>
            </w:r>
          </w:p>
        </w:tc>
        <w:tc>
          <w:tcPr>
            <w:tcW w:w="152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2,131</w:t>
            </w:r>
          </w:p>
        </w:tc>
        <w:tc>
          <w:tcPr>
            <w:tcW w:w="1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910</w:t>
            </w:r>
          </w:p>
        </w:tc>
        <w:tc>
          <w:tcPr>
            <w:tcW w:w="0" w:type="dxa"/>
            <w:vAlign w:val="bottom"/>
          </w:tcPr>
          <w:p>
            <w:pPr>
              <w:spacing w:after="0"/>
              <w:rPr>
                <w:sz w:val="1"/>
                <w:szCs w:val="1"/>
                <w:color w:val="auto"/>
              </w:rPr>
            </w:pPr>
          </w:p>
        </w:tc>
      </w:tr>
      <w:tr>
        <w:trPr>
          <w:trHeight w:val="244"/>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(1,370)</w:t>
            </w:r>
          </w:p>
        </w:tc>
        <w:tc>
          <w:tcPr>
            <w:tcW w:w="15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(2,881)</w:t>
            </w:r>
          </w:p>
        </w:tc>
        <w:tc>
          <w:tcPr>
            <w:tcW w:w="1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2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1,511</w:t>
            </w:r>
          </w:p>
        </w:tc>
        <w:tc>
          <w:tcPr>
            <w:tcW w:w="0" w:type="dxa"/>
            <w:vAlign w:val="bottom"/>
          </w:tcPr>
          <w:p>
            <w:pPr>
              <w:spacing w:after="0"/>
              <w:rPr>
                <w:sz w:val="1"/>
                <w:szCs w:val="1"/>
                <w:color w:val="auto"/>
              </w:rPr>
            </w:pPr>
          </w:p>
        </w:tc>
      </w:tr>
      <w:tr>
        <w:trPr>
          <w:trHeight w:val="244"/>
        </w:trPr>
        <w:tc>
          <w:tcPr>
            <w:tcW w:w="63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Changes in the fair value of warrants</w:t>
            </w:r>
          </w:p>
        </w:tc>
        <w:tc>
          <w:tcPr>
            <w:tcW w:w="14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152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245</w:t>
            </w:r>
          </w:p>
        </w:tc>
        <w:tc>
          <w:tcPr>
            <w:tcW w:w="1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0" w:type="dxa"/>
            <w:vAlign w:val="bottom"/>
          </w:tcPr>
          <w:p>
            <w:pPr>
              <w:spacing w:after="0"/>
              <w:rPr>
                <w:sz w:val="1"/>
                <w:szCs w:val="1"/>
                <w:color w:val="auto"/>
              </w:rPr>
            </w:pPr>
          </w:p>
        </w:tc>
      </w:tr>
      <w:tr>
        <w:trPr>
          <w:trHeight w:val="244"/>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Foreign currency transaction gain/(loss), net</w:t>
            </w:r>
          </w:p>
        </w:tc>
        <w:tc>
          <w:tcPr>
            <w:tcW w:w="14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1,210</w:t>
            </w:r>
          </w:p>
        </w:tc>
        <w:tc>
          <w:tcPr>
            <w:tcW w:w="15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(2,347)</w:t>
            </w:r>
          </w:p>
        </w:tc>
        <w:tc>
          <w:tcPr>
            <w:tcW w:w="1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2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3,557</w:t>
            </w:r>
          </w:p>
        </w:tc>
        <w:tc>
          <w:tcPr>
            <w:tcW w:w="0" w:type="dxa"/>
            <w:vAlign w:val="bottom"/>
          </w:tcPr>
          <w:p>
            <w:pPr>
              <w:spacing w:after="0"/>
              <w:rPr>
                <w:sz w:val="1"/>
                <w:szCs w:val="1"/>
                <w:color w:val="auto"/>
              </w:rPr>
            </w:pPr>
          </w:p>
        </w:tc>
      </w:tr>
      <w:tr>
        <w:trPr>
          <w:trHeight w:val="244"/>
        </w:trPr>
        <w:tc>
          <w:tcPr>
            <w:tcW w:w="63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Other expenses, net</w:t>
            </w:r>
          </w:p>
        </w:tc>
        <w:tc>
          <w:tcPr>
            <w:tcW w:w="142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44"/>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Benefit from research and development tax credit</w:t>
            </w:r>
          </w:p>
        </w:tc>
        <w:tc>
          <w:tcPr>
            <w:tcW w:w="14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1,649</w:t>
            </w:r>
          </w:p>
        </w:tc>
        <w:tc>
          <w:tcPr>
            <w:tcW w:w="152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1,280</w:t>
            </w:r>
          </w:p>
        </w:tc>
        <w:tc>
          <w:tcPr>
            <w:tcW w:w="1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2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369</w:t>
            </w:r>
          </w:p>
        </w:tc>
        <w:tc>
          <w:tcPr>
            <w:tcW w:w="0" w:type="dxa"/>
            <w:vAlign w:val="bottom"/>
          </w:tcPr>
          <w:p>
            <w:pPr>
              <w:spacing w:after="0"/>
              <w:rPr>
                <w:sz w:val="1"/>
                <w:szCs w:val="1"/>
                <w:color w:val="auto"/>
              </w:rPr>
            </w:pPr>
          </w:p>
        </w:tc>
      </w:tr>
      <w:tr>
        <w:trPr>
          <w:trHeight w:val="234"/>
        </w:trPr>
        <w:tc>
          <w:tcPr>
            <w:tcW w:w="6320" w:type="dxa"/>
            <w:vAlign w:val="bottom"/>
            <w:tcBorders>
              <w:top w:val="single" w:sz="8" w:color="FEFEFE"/>
            </w:tcBorders>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Net loss before income tax</w:t>
            </w:r>
          </w:p>
        </w:tc>
        <w:tc>
          <w:tcPr>
            <w:tcW w:w="142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(43,253)</w:t>
            </w:r>
          </w:p>
        </w:tc>
        <w:tc>
          <w:tcPr>
            <w:tcW w:w="100" w:type="dxa"/>
            <w:vAlign w:val="bottom"/>
            <w:tcBorders>
              <w:top w:val="single" w:sz="8" w:color="FEFEFE"/>
            </w:tcBorders>
            <w:shd w:val="clear" w:color="auto" w:fill="FEFEFE"/>
          </w:tcPr>
          <w:p>
            <w:pPr>
              <w:spacing w:after="0"/>
              <w:rPr>
                <w:sz w:val="20"/>
                <w:szCs w:val="20"/>
                <w:color w:val="auto"/>
              </w:rPr>
            </w:pPr>
          </w:p>
        </w:tc>
        <w:tc>
          <w:tcPr>
            <w:tcW w:w="142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(29,998)</w:t>
            </w:r>
          </w:p>
        </w:tc>
        <w:tc>
          <w:tcPr>
            <w:tcW w:w="120" w:type="dxa"/>
            <w:vAlign w:val="bottom"/>
            <w:tcBorders>
              <w:top w:val="single" w:sz="8" w:color="FEFEFE"/>
            </w:tcBorders>
            <w:shd w:val="clear" w:color="auto" w:fill="FEFEFE"/>
          </w:tcPr>
          <w:p>
            <w:pPr>
              <w:spacing w:after="0"/>
              <w:rPr>
                <w:sz w:val="20"/>
                <w:szCs w:val="20"/>
                <w:color w:val="auto"/>
              </w:rPr>
            </w:pPr>
          </w:p>
        </w:tc>
        <w:tc>
          <w:tcPr>
            <w:tcW w:w="220" w:type="dxa"/>
            <w:vAlign w:val="bottom"/>
            <w:tcBorders>
              <w:top w:val="single" w:sz="8" w:color="auto"/>
            </w:tcBorders>
            <w:shd w:val="clear" w:color="auto" w:fill="FEFEFE"/>
          </w:tcPr>
          <w:p>
            <w:pPr>
              <w:spacing w:after="0"/>
              <w:rPr>
                <w:sz w:val="20"/>
                <w:szCs w:val="20"/>
                <w:color w:val="auto"/>
              </w:rPr>
            </w:pPr>
          </w:p>
        </w:tc>
        <w:tc>
          <w:tcPr>
            <w:tcW w:w="120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(13,255)</w:t>
            </w:r>
          </w:p>
        </w:tc>
        <w:tc>
          <w:tcPr>
            <w:tcW w:w="0" w:type="dxa"/>
            <w:vAlign w:val="bottom"/>
          </w:tcPr>
          <w:p>
            <w:pPr>
              <w:spacing w:after="0"/>
              <w:rPr>
                <w:sz w:val="1"/>
                <w:szCs w:val="1"/>
                <w:color w:val="auto"/>
              </w:rPr>
            </w:pPr>
          </w:p>
        </w:tc>
      </w:tr>
      <w:tr>
        <w:trPr>
          <w:trHeight w:val="244"/>
        </w:trPr>
        <w:tc>
          <w:tcPr>
            <w:tcW w:w="632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1420" w:type="dxa"/>
            <w:vAlign w:val="bottom"/>
            <w:tcBorders>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FEFEFE"/>
            </w:tcBorders>
            <w:shd w:val="clear" w:color="auto" w:fill="E6E6E6"/>
          </w:tcPr>
          <w:p>
            <w:pPr>
              <w:spacing w:after="0"/>
              <w:rPr>
                <w:sz w:val="21"/>
                <w:szCs w:val="21"/>
                <w:color w:val="auto"/>
              </w:rPr>
            </w:pPr>
          </w:p>
        </w:tc>
        <w:tc>
          <w:tcPr>
            <w:tcW w:w="1420" w:type="dxa"/>
            <w:vAlign w:val="bottom"/>
            <w:tcBorders>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532</w:t>
            </w:r>
          </w:p>
        </w:tc>
        <w:tc>
          <w:tcPr>
            <w:tcW w:w="120" w:type="dxa"/>
            <w:vAlign w:val="bottom"/>
            <w:tcBorders>
              <w:bottom w:val="single" w:sz="8" w:color="FEFEFE"/>
            </w:tcBorders>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(532)</w:t>
            </w:r>
          </w:p>
        </w:tc>
        <w:tc>
          <w:tcPr>
            <w:tcW w:w="0" w:type="dxa"/>
            <w:vAlign w:val="bottom"/>
          </w:tcPr>
          <w:p>
            <w:pPr>
              <w:spacing w:after="0"/>
              <w:rPr>
                <w:sz w:val="1"/>
                <w:szCs w:val="1"/>
                <w:color w:val="auto"/>
              </w:rPr>
            </w:pPr>
          </w:p>
        </w:tc>
      </w:tr>
      <w:tr>
        <w:trPr>
          <w:trHeight w:val="234"/>
        </w:trPr>
        <w:tc>
          <w:tcPr>
            <w:tcW w:w="6320" w:type="dxa"/>
            <w:vAlign w:val="bottom"/>
            <w:tcBorders>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loss</w:t>
            </w:r>
          </w:p>
        </w:tc>
        <w:tc>
          <w:tcPr>
            <w:tcW w:w="14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(43,253)</w:t>
            </w:r>
          </w:p>
        </w:tc>
        <w:tc>
          <w:tcPr>
            <w:tcW w:w="100" w:type="dxa"/>
            <w:vAlign w:val="bottom"/>
            <w:tcBorders>
              <w:bottom w:val="single" w:sz="8" w:color="E6E6E6"/>
            </w:tcBorders>
            <w:shd w:val="clear" w:color="auto" w:fill="FEFEFE"/>
          </w:tcPr>
          <w:p>
            <w:pPr>
              <w:spacing w:after="0"/>
              <w:rPr>
                <w:sz w:val="20"/>
                <w:szCs w:val="20"/>
                <w:color w:val="auto"/>
              </w:rPr>
            </w:pPr>
          </w:p>
        </w:tc>
        <w:tc>
          <w:tcPr>
            <w:tcW w:w="14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(29,466)</w:t>
            </w:r>
          </w:p>
        </w:tc>
        <w:tc>
          <w:tcPr>
            <w:tcW w:w="120" w:type="dxa"/>
            <w:vAlign w:val="bottom"/>
            <w:tcBorders>
              <w:bottom w:val="single" w:sz="8" w:color="E6E6E6"/>
            </w:tcBorders>
            <w:shd w:val="clear" w:color="auto" w:fill="FEFEFE"/>
          </w:tcPr>
          <w:p>
            <w:pPr>
              <w:spacing w:after="0"/>
              <w:rPr>
                <w:sz w:val="20"/>
                <w:szCs w:val="20"/>
                <w:color w:val="auto"/>
              </w:rPr>
            </w:pPr>
          </w:p>
        </w:tc>
        <w:tc>
          <w:tcPr>
            <w:tcW w:w="220" w:type="dxa"/>
            <w:vAlign w:val="bottom"/>
            <w:tcBorders>
              <w:bottom w:val="single" w:sz="8" w:color="auto"/>
            </w:tcBorders>
            <w:shd w:val="clear" w:color="auto" w:fill="FEFEFE"/>
          </w:tcPr>
          <w:p>
            <w:pPr>
              <w:spacing w:after="0"/>
              <w:rPr>
                <w:sz w:val="20"/>
                <w:szCs w:val="20"/>
                <w:color w:val="auto"/>
              </w:rPr>
            </w:pPr>
          </w:p>
        </w:tc>
        <w:tc>
          <w:tcPr>
            <w:tcW w:w="12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(13,787)</w:t>
            </w:r>
          </w:p>
        </w:tc>
        <w:tc>
          <w:tcPr>
            <w:tcW w:w="0" w:type="dxa"/>
            <w:vAlign w:val="bottom"/>
          </w:tcPr>
          <w:p>
            <w:pPr>
              <w:spacing w:after="0"/>
              <w:rPr>
                <w:sz w:val="1"/>
                <w:szCs w:val="1"/>
                <w:color w:val="auto"/>
              </w:rPr>
            </w:pPr>
          </w:p>
        </w:tc>
      </w:tr>
      <w:tr>
        <w:trPr>
          <w:trHeight w:val="213"/>
        </w:trPr>
        <w:tc>
          <w:tcPr>
            <w:tcW w:w="6320" w:type="dxa"/>
            <w:vAlign w:val="bottom"/>
            <w:shd w:val="clear" w:color="auto" w:fill="E6E6E6"/>
          </w:tcPr>
          <w:p>
            <w:pPr>
              <w:spacing w:after="0" w:line="212" w:lineRule="exact"/>
              <w:rPr>
                <w:sz w:val="20"/>
                <w:szCs w:val="20"/>
                <w:color w:val="auto"/>
              </w:rPr>
            </w:pPr>
            <w:r>
              <w:rPr>
                <w:rFonts w:ascii="Times New Roman" w:cs="Times New Roman" w:eastAsia="Times New Roman" w:hAnsi="Times New Roman"/>
                <w:sz w:val="20"/>
                <w:szCs w:val="20"/>
                <w:color w:val="auto"/>
              </w:rPr>
              <w:t>Other comprehensive (loss)/income – Foreign currency translation</w:t>
            </w:r>
          </w:p>
        </w:tc>
        <w:tc>
          <w:tcPr>
            <w:tcW w:w="14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4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2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32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adjustments, net of tax</w:t>
            </w:r>
          </w:p>
        </w:tc>
        <w:tc>
          <w:tcPr>
            <w:tcW w:w="14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(1,364)</w:t>
            </w:r>
          </w:p>
        </w:tc>
        <w:tc>
          <w:tcPr>
            <w:tcW w:w="100" w:type="dxa"/>
            <w:vAlign w:val="bottom"/>
            <w:tcBorders>
              <w:bottom w:val="single" w:sz="8" w:color="FEFEFE"/>
            </w:tcBorders>
            <w:shd w:val="clear" w:color="auto" w:fill="E6E6E6"/>
          </w:tcPr>
          <w:p>
            <w:pPr>
              <w:spacing w:after="0"/>
              <w:rPr>
                <w:sz w:val="21"/>
                <w:szCs w:val="21"/>
                <w:color w:val="auto"/>
              </w:rPr>
            </w:pPr>
          </w:p>
        </w:tc>
        <w:tc>
          <w:tcPr>
            <w:tcW w:w="1420" w:type="dxa"/>
            <w:vAlign w:val="bottom"/>
            <w:tcBorders>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4,202</w:t>
            </w:r>
          </w:p>
        </w:tc>
        <w:tc>
          <w:tcPr>
            <w:tcW w:w="120" w:type="dxa"/>
            <w:vAlign w:val="bottom"/>
            <w:tcBorders>
              <w:bottom w:val="single" w:sz="8" w:color="FEFEFE"/>
            </w:tcBorders>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(5,566)</w:t>
            </w:r>
          </w:p>
        </w:tc>
        <w:tc>
          <w:tcPr>
            <w:tcW w:w="0" w:type="dxa"/>
            <w:vAlign w:val="bottom"/>
          </w:tcPr>
          <w:p>
            <w:pPr>
              <w:spacing w:after="0"/>
              <w:rPr>
                <w:sz w:val="1"/>
                <w:szCs w:val="1"/>
                <w:color w:val="auto"/>
              </w:rPr>
            </w:pPr>
          </w:p>
        </w:tc>
      </w:tr>
      <w:tr>
        <w:trPr>
          <w:trHeight w:val="234"/>
        </w:trPr>
        <w:tc>
          <w:tcPr>
            <w:tcW w:w="63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Total comprehensive loss</w:t>
            </w:r>
          </w:p>
        </w:tc>
        <w:tc>
          <w:tcPr>
            <w:tcW w:w="14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(44,617)</w:t>
            </w:r>
          </w:p>
        </w:tc>
        <w:tc>
          <w:tcPr>
            <w:tcW w:w="100" w:type="dxa"/>
            <w:vAlign w:val="bottom"/>
            <w:shd w:val="clear" w:color="auto" w:fill="FEFEFE"/>
          </w:tcPr>
          <w:p>
            <w:pPr>
              <w:spacing w:after="0"/>
              <w:rPr>
                <w:sz w:val="20"/>
                <w:szCs w:val="20"/>
                <w:color w:val="auto"/>
              </w:rPr>
            </w:pPr>
          </w:p>
        </w:tc>
        <w:tc>
          <w:tcPr>
            <w:tcW w:w="14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(25,264)</w:t>
            </w:r>
          </w:p>
        </w:tc>
        <w:tc>
          <w:tcPr>
            <w:tcW w:w="120" w:type="dxa"/>
            <w:vAlign w:val="bottom"/>
            <w:shd w:val="clear" w:color="auto" w:fill="FEFEFE"/>
          </w:tcPr>
          <w:p>
            <w:pPr>
              <w:spacing w:after="0"/>
              <w:rPr>
                <w:sz w:val="20"/>
                <w:szCs w:val="20"/>
                <w:color w:val="auto"/>
              </w:rPr>
            </w:pPr>
          </w:p>
        </w:tc>
        <w:tc>
          <w:tcPr>
            <w:tcW w:w="220" w:type="dxa"/>
            <w:vAlign w:val="bottom"/>
            <w:tcBorders>
              <w:bottom w:val="single" w:sz="8" w:color="auto"/>
            </w:tcBorders>
            <w:shd w:val="clear" w:color="auto" w:fill="FEFEFE"/>
          </w:tcPr>
          <w:p>
            <w:pPr>
              <w:spacing w:after="0"/>
              <w:rPr>
                <w:sz w:val="20"/>
                <w:szCs w:val="20"/>
                <w:color w:val="auto"/>
              </w:rPr>
            </w:pPr>
          </w:p>
        </w:tc>
        <w:tc>
          <w:tcPr>
            <w:tcW w:w="12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(19,353)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Years Ended December 31, 2024 and 2023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237"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No revenue was recognized in the year ended December 31, 2024. Revenue of $10.0 million for the year ended December 31, 2023 comprised a one-time milestone payment of $9.0 million resulting from the achievement of a clinical milestone on setrusumab by Ultragenyx and a $1.0 million up-front payment from our global license agreement with ReproNovo for the development and commercialization of leflutrozole.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revenue</w:t>
      </w:r>
    </w:p>
    <w:p>
      <w:pPr>
        <w:spacing w:after="0" w:line="237" w:lineRule="exact"/>
        <w:rPr>
          <w:sz w:val="20"/>
          <w:szCs w:val="20"/>
          <w:color w:val="auto"/>
        </w:rPr>
      </w:pPr>
    </w:p>
    <w:p>
      <w:pPr>
        <w:jc w:val="both"/>
        <w:ind w:right="100" w:firstLine="720"/>
        <w:spacing w:after="0" w:line="259" w:lineRule="auto"/>
        <w:rPr>
          <w:sz w:val="20"/>
          <w:szCs w:val="20"/>
          <w:color w:val="auto"/>
        </w:rPr>
      </w:pPr>
      <w:r>
        <w:rPr>
          <w:rFonts w:ascii="Times New Roman" w:cs="Times New Roman" w:eastAsia="Times New Roman" w:hAnsi="Times New Roman"/>
          <w:sz w:val="20"/>
          <w:szCs w:val="20"/>
          <w:color w:val="auto"/>
        </w:rPr>
        <w:t>No cost of revenue was recognized in the year ended December 31, 2024. Cost of revenue of $2.6 million for the year ended December 31, 2023 primarily represented amounts payable pursuant to our 2015 agreement with Novartis, under which the Company pays a percentage of proceeds resulting from milestone revenue received, subject to certain deductions and other amounts.</w:t>
      </w:r>
    </w:p>
    <w:p>
      <w:pPr>
        <w:sectPr>
          <w:pgSz w:w="11880" w:h="15480" w:orient="portrait"/>
          <w:cols w:equalWidth="0" w:num="1">
            <w:col w:w="10800"/>
          </w:cols>
          <w:pgMar w:left="54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800"/>
          </w:cols>
          <w:pgMar w:left="540" w:top="1440" w:right="54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i w:val="1"/>
          <w:iCs w:val="1"/>
          <w:color w:val="auto"/>
        </w:rPr>
        <w:t>Research and development (“R&amp;D”) Expenses</w:t>
      </w:r>
    </w:p>
    <w:p>
      <w:pPr>
        <w:spacing w:after="0" w:line="237" w:lineRule="exact"/>
        <w:rPr>
          <w:sz w:val="20"/>
          <w:szCs w:val="20"/>
          <w:color w:val="auto"/>
        </w:rPr>
      </w:pPr>
    </w:p>
    <w:p>
      <w:pPr>
        <w:ind w:right="220"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sets forth our R&amp;D expenses by product development program for the years ended December 31, 2024 and 2023.</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Borders>
              <w:bottom w:val="single" w:sz="8" w:color="FEFEFE"/>
            </w:tcBorders>
            <w:shd w:val="clear" w:color="auto" w:fill="FEFEFE"/>
          </w:tcPr>
          <w:p>
            <w:pPr>
              <w:spacing w:after="0"/>
              <w:rPr>
                <w:sz w:val="22"/>
                <w:szCs w:val="22"/>
                <w:color w:val="auto"/>
              </w:rPr>
            </w:pPr>
          </w:p>
        </w:tc>
        <w:tc>
          <w:tcPr>
            <w:tcW w:w="2940" w:type="dxa"/>
            <w:vAlign w:val="bottom"/>
            <w:tcBorders>
              <w:bottom w:val="single" w:sz="8" w:color="auto"/>
            </w:tcBorders>
            <w:gridSpan w:val="3"/>
            <w:shd w:val="clear" w:color="auto" w:fill="FEFEFE"/>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0" w:type="dxa"/>
            <w:vAlign w:val="bottom"/>
            <w:tcBorders>
              <w:bottom w:val="single" w:sz="8" w:color="FEFEFE"/>
            </w:tcBorders>
            <w:shd w:val="clear" w:color="auto" w:fill="FEFEFE"/>
          </w:tcPr>
          <w:p>
            <w:pPr>
              <w:spacing w:after="0"/>
              <w:rPr>
                <w:sz w:val="22"/>
                <w:szCs w:val="22"/>
                <w:color w:val="auto"/>
              </w:rPr>
            </w:pPr>
          </w:p>
        </w:tc>
        <w:tc>
          <w:tcPr>
            <w:tcW w:w="1420" w:type="dxa"/>
            <w:vAlign w:val="bottom"/>
            <w:tcBorders>
              <w:bottom w:val="single" w:sz="8" w:color="FEFEFE"/>
            </w:tcBorders>
            <w:vMerge w:val="restart"/>
            <w:shd w:val="clear" w:color="auto" w:fill="FEFEFE"/>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34"/>
        </w:trPr>
        <w:tc>
          <w:tcPr>
            <w:tcW w:w="6320" w:type="dxa"/>
            <w:vAlign w:val="bottom"/>
            <w:shd w:val="clear" w:color="auto" w:fill="FEFEFE"/>
          </w:tcPr>
          <w:p>
            <w:pPr>
              <w:spacing w:after="0"/>
              <w:rPr>
                <w:sz w:val="20"/>
                <w:szCs w:val="20"/>
                <w:color w:val="auto"/>
              </w:rPr>
            </w:pPr>
          </w:p>
        </w:tc>
        <w:tc>
          <w:tcPr>
            <w:tcW w:w="1420" w:type="dxa"/>
            <w:vAlign w:val="bottom"/>
            <w:shd w:val="clear" w:color="auto" w:fill="FEFEFE"/>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520" w:type="dxa"/>
            <w:vAlign w:val="bottom"/>
            <w:gridSpan w:val="2"/>
            <w:shd w:val="clear" w:color="auto" w:fill="FEFEFE"/>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shd w:val="clear" w:color="auto" w:fill="FEFEFE"/>
          </w:tcPr>
          <w:p>
            <w:pPr>
              <w:spacing w:after="0"/>
              <w:rPr>
                <w:sz w:val="20"/>
                <w:szCs w:val="20"/>
                <w:color w:val="auto"/>
              </w:rPr>
            </w:pPr>
          </w:p>
        </w:tc>
        <w:tc>
          <w:tcPr>
            <w:tcW w:w="1420" w:type="dxa"/>
            <w:vAlign w:val="bottom"/>
            <w:vMerge w:val="continue"/>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320" w:type="dxa"/>
            <w:vAlign w:val="bottom"/>
            <w:tcBorders>
              <w:top w:val="single" w:sz="8" w:color="FEFEFE"/>
            </w:tcBorders>
            <w:shd w:val="clear" w:color="auto" w:fill="FEFEFE"/>
          </w:tcPr>
          <w:p>
            <w:pPr>
              <w:spacing w:after="0"/>
              <w:rPr>
                <w:sz w:val="20"/>
                <w:szCs w:val="20"/>
                <w:color w:val="auto"/>
              </w:rPr>
            </w:pPr>
          </w:p>
        </w:tc>
        <w:tc>
          <w:tcPr>
            <w:tcW w:w="1420" w:type="dxa"/>
            <w:vAlign w:val="bottom"/>
            <w:tcBorders>
              <w:top w:val="single" w:sz="8" w:color="auto"/>
            </w:tcBorders>
            <w:shd w:val="clear" w:color="auto" w:fill="FEFEFE"/>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($'000)</w:t>
            </w:r>
          </w:p>
        </w:tc>
        <w:tc>
          <w:tcPr>
            <w:tcW w:w="100" w:type="dxa"/>
            <w:vAlign w:val="bottom"/>
            <w:tcBorders>
              <w:top w:val="single" w:sz="8" w:color="FEFEFE"/>
            </w:tcBorders>
            <w:shd w:val="clear" w:color="auto" w:fill="FEFEFE"/>
          </w:tcPr>
          <w:p>
            <w:pPr>
              <w:spacing w:after="0"/>
              <w:rPr>
                <w:sz w:val="20"/>
                <w:szCs w:val="20"/>
                <w:color w:val="auto"/>
              </w:rPr>
            </w:pPr>
          </w:p>
        </w:tc>
        <w:tc>
          <w:tcPr>
            <w:tcW w:w="1420" w:type="dxa"/>
            <w:vAlign w:val="bottom"/>
            <w:tcBorders>
              <w:top w:val="single" w:sz="8" w:color="auto"/>
            </w:tcBorders>
            <w:shd w:val="clear" w:color="auto" w:fill="FEFEFE"/>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($'000)</w:t>
            </w:r>
          </w:p>
        </w:tc>
        <w:tc>
          <w:tcPr>
            <w:tcW w:w="120" w:type="dxa"/>
            <w:vAlign w:val="bottom"/>
            <w:tcBorders>
              <w:top w:val="single" w:sz="8" w:color="FEFEFE"/>
            </w:tcBorders>
            <w:shd w:val="clear" w:color="auto" w:fill="FEFEFE"/>
          </w:tcPr>
          <w:p>
            <w:pPr>
              <w:spacing w:after="0"/>
              <w:rPr>
                <w:sz w:val="20"/>
                <w:szCs w:val="20"/>
                <w:color w:val="auto"/>
              </w:rPr>
            </w:pPr>
          </w:p>
        </w:tc>
        <w:tc>
          <w:tcPr>
            <w:tcW w:w="1420" w:type="dxa"/>
            <w:vAlign w:val="bottom"/>
            <w:tcBorders>
              <w:top w:val="single" w:sz="8" w:color="auto"/>
            </w:tcBorders>
            <w:shd w:val="clear" w:color="auto" w:fill="FEFEFE"/>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($'000)</w:t>
            </w:r>
          </w:p>
        </w:tc>
        <w:tc>
          <w:tcPr>
            <w:tcW w:w="0" w:type="dxa"/>
            <w:vAlign w:val="bottom"/>
          </w:tcPr>
          <w:p>
            <w:pPr>
              <w:spacing w:after="0"/>
              <w:rPr>
                <w:sz w:val="1"/>
                <w:szCs w:val="1"/>
                <w:color w:val="auto"/>
              </w:rPr>
            </w:pPr>
          </w:p>
        </w:tc>
      </w:tr>
      <w:tr>
        <w:trPr>
          <w:trHeight w:val="244"/>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Setrusumab (BPS-804/UX143)</w:t>
            </w:r>
          </w:p>
        </w:tc>
        <w:tc>
          <w:tcPr>
            <w:tcW w:w="14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5,784</w:t>
            </w:r>
          </w:p>
        </w:tc>
        <w:tc>
          <w:tcPr>
            <w:tcW w:w="100" w:type="dxa"/>
            <w:vAlign w:val="bottom"/>
            <w:shd w:val="clear" w:color="auto" w:fill="E6E6E6"/>
          </w:tcPr>
          <w:p>
            <w:pPr>
              <w:spacing w:after="0"/>
              <w:rPr>
                <w:sz w:val="21"/>
                <w:szCs w:val="21"/>
                <w:color w:val="auto"/>
              </w:rPr>
            </w:pPr>
          </w:p>
        </w:tc>
        <w:tc>
          <w:tcPr>
            <w:tcW w:w="14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3,157</w:t>
            </w:r>
          </w:p>
        </w:tc>
        <w:tc>
          <w:tcPr>
            <w:tcW w:w="120" w:type="dxa"/>
            <w:vAlign w:val="bottom"/>
            <w:shd w:val="clear" w:color="auto" w:fill="E6E6E6"/>
          </w:tcPr>
          <w:p>
            <w:pPr>
              <w:spacing w:after="0"/>
              <w:rPr>
                <w:sz w:val="21"/>
                <w:szCs w:val="21"/>
                <w:color w:val="auto"/>
              </w:rPr>
            </w:pPr>
          </w:p>
        </w:tc>
        <w:tc>
          <w:tcPr>
            <w:tcW w:w="14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2,627</w:t>
            </w:r>
          </w:p>
        </w:tc>
        <w:tc>
          <w:tcPr>
            <w:tcW w:w="0" w:type="dxa"/>
            <w:vAlign w:val="bottom"/>
          </w:tcPr>
          <w:p>
            <w:pPr>
              <w:spacing w:after="0"/>
              <w:rPr>
                <w:sz w:val="1"/>
                <w:szCs w:val="1"/>
                <w:color w:val="auto"/>
              </w:rPr>
            </w:pPr>
          </w:p>
        </w:tc>
      </w:tr>
      <w:tr>
        <w:trPr>
          <w:trHeight w:val="244"/>
        </w:trPr>
        <w:tc>
          <w:tcPr>
            <w:tcW w:w="63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Alvelestat (MPH-966)</w:t>
            </w:r>
          </w:p>
        </w:tc>
        <w:tc>
          <w:tcPr>
            <w:tcW w:w="142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12,918</w:t>
            </w:r>
          </w:p>
        </w:tc>
        <w:tc>
          <w:tcPr>
            <w:tcW w:w="152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6,730</w:t>
            </w:r>
          </w:p>
        </w:tc>
        <w:tc>
          <w:tcPr>
            <w:tcW w:w="154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6,188</w:t>
            </w:r>
          </w:p>
        </w:tc>
        <w:tc>
          <w:tcPr>
            <w:tcW w:w="0" w:type="dxa"/>
            <w:vAlign w:val="bottom"/>
          </w:tcPr>
          <w:p>
            <w:pPr>
              <w:spacing w:after="0"/>
              <w:rPr>
                <w:sz w:val="1"/>
                <w:szCs w:val="1"/>
                <w:color w:val="auto"/>
              </w:rPr>
            </w:pPr>
          </w:p>
        </w:tc>
      </w:tr>
      <w:tr>
        <w:trPr>
          <w:trHeight w:val="244"/>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Etigilimab (MPH-313)</w:t>
            </w:r>
          </w:p>
        </w:tc>
        <w:tc>
          <w:tcPr>
            <w:tcW w:w="14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1,768</w:t>
            </w:r>
          </w:p>
        </w:tc>
        <w:tc>
          <w:tcPr>
            <w:tcW w:w="152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7,263</w:t>
            </w:r>
          </w:p>
        </w:tc>
        <w:tc>
          <w:tcPr>
            <w:tcW w:w="15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(5,495)</w:t>
            </w:r>
          </w:p>
        </w:tc>
        <w:tc>
          <w:tcPr>
            <w:tcW w:w="0" w:type="dxa"/>
            <w:vAlign w:val="bottom"/>
          </w:tcPr>
          <w:p>
            <w:pPr>
              <w:spacing w:after="0"/>
              <w:rPr>
                <w:sz w:val="1"/>
                <w:szCs w:val="1"/>
                <w:color w:val="auto"/>
              </w:rPr>
            </w:pPr>
          </w:p>
        </w:tc>
      </w:tr>
      <w:tr>
        <w:trPr>
          <w:trHeight w:val="244"/>
        </w:trPr>
        <w:tc>
          <w:tcPr>
            <w:tcW w:w="63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Leflutrozole (BGS-649)</w:t>
            </w:r>
          </w:p>
        </w:tc>
        <w:tc>
          <w:tcPr>
            <w:tcW w:w="142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74</w:t>
            </w:r>
          </w:p>
        </w:tc>
        <w:tc>
          <w:tcPr>
            <w:tcW w:w="152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114</w:t>
            </w:r>
          </w:p>
        </w:tc>
        <w:tc>
          <w:tcPr>
            <w:tcW w:w="15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44"/>
        </w:trPr>
        <w:tc>
          <w:tcPr>
            <w:tcW w:w="63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Acumapimod (BCT-197)</w:t>
            </w:r>
          </w:p>
        </w:tc>
        <w:tc>
          <w:tcPr>
            <w:tcW w:w="14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64</w:t>
            </w:r>
          </w:p>
        </w:tc>
        <w:tc>
          <w:tcPr>
            <w:tcW w:w="152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28</w:t>
            </w:r>
          </w:p>
        </w:tc>
        <w:tc>
          <w:tcPr>
            <w:tcW w:w="15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44"/>
        </w:trPr>
        <w:tc>
          <w:tcPr>
            <w:tcW w:w="63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Other</w:t>
            </w:r>
          </w:p>
        </w:tc>
        <w:tc>
          <w:tcPr>
            <w:tcW w:w="142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322</w:t>
            </w:r>
          </w:p>
        </w:tc>
        <w:tc>
          <w:tcPr>
            <w:tcW w:w="152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126</w:t>
            </w:r>
          </w:p>
        </w:tc>
        <w:tc>
          <w:tcPr>
            <w:tcW w:w="154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196</w:t>
            </w:r>
          </w:p>
        </w:tc>
        <w:tc>
          <w:tcPr>
            <w:tcW w:w="0" w:type="dxa"/>
            <w:vAlign w:val="bottom"/>
          </w:tcPr>
          <w:p>
            <w:pPr>
              <w:spacing w:after="0"/>
              <w:rPr>
                <w:sz w:val="1"/>
                <w:szCs w:val="1"/>
                <w:color w:val="auto"/>
              </w:rPr>
            </w:pPr>
          </w:p>
        </w:tc>
      </w:tr>
      <w:tr>
        <w:trPr>
          <w:trHeight w:val="234"/>
        </w:trPr>
        <w:tc>
          <w:tcPr>
            <w:tcW w:w="632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Total R&amp;D expenses</w:t>
            </w:r>
          </w:p>
        </w:tc>
        <w:tc>
          <w:tcPr>
            <w:tcW w:w="1420" w:type="dxa"/>
            <w:vAlign w:val="bottom"/>
            <w:tcBorders>
              <w:top w:val="single" w:sz="8" w:color="auto"/>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20,930</w:t>
            </w:r>
          </w:p>
        </w:tc>
        <w:tc>
          <w:tcPr>
            <w:tcW w:w="100" w:type="dxa"/>
            <w:vAlign w:val="bottom"/>
            <w:tcBorders>
              <w:top w:val="single" w:sz="8" w:color="E6E6E6"/>
            </w:tcBorders>
            <w:shd w:val="clear" w:color="auto" w:fill="E6E6E6"/>
          </w:tcPr>
          <w:p>
            <w:pPr>
              <w:spacing w:after="0"/>
              <w:rPr>
                <w:sz w:val="20"/>
                <w:szCs w:val="20"/>
                <w:color w:val="auto"/>
              </w:rPr>
            </w:pPr>
          </w:p>
        </w:tc>
        <w:tc>
          <w:tcPr>
            <w:tcW w:w="1420" w:type="dxa"/>
            <w:vAlign w:val="bottom"/>
            <w:tcBorders>
              <w:top w:val="single" w:sz="8" w:color="auto"/>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17,418</w:t>
            </w:r>
          </w:p>
        </w:tc>
        <w:tc>
          <w:tcPr>
            <w:tcW w:w="120" w:type="dxa"/>
            <w:vAlign w:val="bottom"/>
            <w:tcBorders>
              <w:top w:val="single" w:sz="8" w:color="E6E6E6"/>
            </w:tcBorders>
            <w:shd w:val="clear" w:color="auto" w:fill="E6E6E6"/>
          </w:tcPr>
          <w:p>
            <w:pPr>
              <w:spacing w:after="0"/>
              <w:rPr>
                <w:sz w:val="20"/>
                <w:szCs w:val="20"/>
                <w:color w:val="auto"/>
              </w:rPr>
            </w:pPr>
          </w:p>
        </w:tc>
        <w:tc>
          <w:tcPr>
            <w:tcW w:w="1420" w:type="dxa"/>
            <w:vAlign w:val="bottom"/>
            <w:tcBorders>
              <w:top w:val="single" w:sz="8" w:color="auto"/>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3,512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Total R&amp;D expenses increased by $3.5 million, from $17.4 million in 2023 to $20.9 million in 2024.</w:t>
      </w:r>
    </w:p>
    <w:p>
      <w:pPr>
        <w:spacing w:after="0" w:line="240" w:lineRule="exact"/>
        <w:rPr>
          <w:sz w:val="20"/>
          <w:szCs w:val="20"/>
          <w:color w:val="auto"/>
        </w:rPr>
      </w:pPr>
    </w:p>
    <w:p>
      <w:pPr>
        <w:ind w:right="220" w:firstLine="720"/>
        <w:spacing w:after="0" w:line="279" w:lineRule="auto"/>
        <w:rPr>
          <w:sz w:val="20"/>
          <w:szCs w:val="20"/>
          <w:color w:val="auto"/>
        </w:rPr>
      </w:pPr>
      <w:r>
        <w:rPr>
          <w:rFonts w:ascii="Times New Roman" w:cs="Times New Roman" w:eastAsia="Times New Roman" w:hAnsi="Times New Roman"/>
          <w:sz w:val="20"/>
          <w:szCs w:val="20"/>
          <w:color w:val="auto"/>
        </w:rPr>
        <w:t>The increase was primarily due to a $6.2 million and $2.6 million increase in R&amp;D expenses for alvelestat and setrusumab, respectively, partially offset by a $5.5 million decrease in R&amp;D expenses for etigilimab.</w:t>
      </w:r>
    </w:p>
    <w:p>
      <w:pPr>
        <w:spacing w:after="0" w:line="165"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The increase in program expenses for alvelestat is due to the preparatory work for the Phase 3 study. This principally comprised drug formulation and manufacturing activities, SGRQ validation activities and regulatory interactions. In addition to these activities, a payment of $0.5 million in cash and $1.8 million in shares was made to AstraZeneca in connection with an agreed milestone following amendment of the original license agreement and subscription deed. See also "Item 1—Material Agreements— Licensing Agreement with AstraZeneca."</w:t>
      </w:r>
    </w:p>
    <w:p>
      <w:pPr>
        <w:spacing w:after="0" w:line="197" w:lineRule="exact"/>
        <w:rPr>
          <w:sz w:val="20"/>
          <w:szCs w:val="20"/>
          <w:color w:val="auto"/>
        </w:rPr>
      </w:pPr>
    </w:p>
    <w:p>
      <w:pPr>
        <w:ind w:right="200" w:firstLine="720"/>
        <w:spacing w:after="0" w:line="253" w:lineRule="auto"/>
        <w:rPr>
          <w:sz w:val="20"/>
          <w:szCs w:val="20"/>
          <w:color w:val="auto"/>
        </w:rPr>
      </w:pPr>
      <w:r>
        <w:rPr>
          <w:rFonts w:ascii="Times New Roman" w:cs="Times New Roman" w:eastAsia="Times New Roman" w:hAnsi="Times New Roman"/>
          <w:sz w:val="20"/>
          <w:szCs w:val="20"/>
          <w:color w:val="auto"/>
        </w:rPr>
        <w:t>The increase in program expenses for setrusumab was primarily due to higher levels of ongoing activities in Europe, including real-world evidence programs and medical affairs activities, and amounts under the manufacturing and supply agreement with our partner, Ultragenyx, along with input into development, regulatory and manufacturing plans with Ultragenyx, who fund the global development of the program pursuant to our license and collaboration agreement.</w:t>
      </w:r>
    </w:p>
    <w:p>
      <w:pPr>
        <w:spacing w:after="0" w:line="190" w:lineRule="exact"/>
        <w:rPr>
          <w:sz w:val="20"/>
          <w:szCs w:val="20"/>
          <w:color w:val="auto"/>
        </w:rPr>
      </w:pPr>
    </w:p>
    <w:p>
      <w:pPr>
        <w:ind w:right="340" w:firstLine="720"/>
        <w:spacing w:after="0" w:line="279" w:lineRule="auto"/>
        <w:rPr>
          <w:sz w:val="20"/>
          <w:szCs w:val="20"/>
          <w:color w:val="auto"/>
        </w:rPr>
      </w:pPr>
      <w:r>
        <w:rPr>
          <w:rFonts w:ascii="Times New Roman" w:cs="Times New Roman" w:eastAsia="Times New Roman" w:hAnsi="Times New Roman"/>
          <w:sz w:val="20"/>
          <w:szCs w:val="20"/>
          <w:color w:val="auto"/>
        </w:rPr>
        <w:t>The reduction in etigilimab expenses was primarily due to the winding down and completion of the open label Phase 1b/2 basket study in combination with an anti-PD-1 in a range of tumor types.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General and administrative expenses increased by $8.0 million, from $18.4 million in 2023 to $26.4 million in 2024.</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increase was primarily due to:</w:t>
      </w:r>
    </w:p>
    <w:p>
      <w:pPr>
        <w:spacing w:after="0" w:line="120" w:lineRule="exact"/>
        <w:rPr>
          <w:sz w:val="20"/>
          <w:szCs w:val="20"/>
          <w:color w:val="auto"/>
        </w:rPr>
      </w:pPr>
    </w:p>
    <w:p>
      <w:pPr>
        <w:ind w:left="980" w:right="140" w:hanging="680"/>
        <w:spacing w:after="0" w:line="253" w:lineRule="auto"/>
        <w:tabs>
          <w:tab w:leader="none" w:pos="9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approximately $2.7 million in certain pre-commercial activities to lay the foundation for the commercial launch of setrusumab in Europe, including activities to support pricing and reimbursement by HTA authorities and payor decision-makers in Europe, from $2.7 million in the year ended December 31, 2023 to $5.4 million in the year ended December 31, 2024;</w:t>
      </w:r>
    </w:p>
    <w:p>
      <w:pPr>
        <w:spacing w:after="0" w:line="70" w:lineRule="exact"/>
        <w:rPr>
          <w:rFonts w:ascii="Times New Roman" w:cs="Times New Roman" w:eastAsia="Times New Roman" w:hAnsi="Times New Roman"/>
          <w:sz w:val="20"/>
          <w:szCs w:val="20"/>
          <w:color w:val="auto"/>
        </w:rPr>
      </w:pPr>
    </w:p>
    <w:p>
      <w:pPr>
        <w:ind w:left="980" w:right="440" w:hanging="735"/>
        <w:spacing w:after="0" w:line="279" w:lineRule="auto"/>
        <w:tabs>
          <w:tab w:leader="none" w:pos="9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increases in other general and administrative expenses of approximately $1.6 million, including employee-related costs, and legal and professional fees in respect of compliance with the U.S. domestic reporting regime;</w:t>
      </w:r>
    </w:p>
    <w:p>
      <w:pPr>
        <w:spacing w:after="0" w:line="45" w:lineRule="exact"/>
        <w:rPr>
          <w:rFonts w:ascii="Times New Roman" w:cs="Times New Roman" w:eastAsia="Times New Roman" w:hAnsi="Times New Roman"/>
          <w:sz w:val="20"/>
          <w:szCs w:val="20"/>
          <w:color w:val="auto"/>
        </w:rPr>
      </w:pPr>
    </w:p>
    <w:p>
      <w:pPr>
        <w:ind w:left="980" w:right="200" w:hanging="791"/>
        <w:spacing w:after="0" w:line="307" w:lineRule="auto"/>
        <w:tabs>
          <w:tab w:leader="none" w:pos="98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of $1.7 million in the amount received from our depository to reimburse certain expenses incurred by us in respect of our ADR program in the year ended December 31, 2024 compared to the year ended December 31, 2023; and</w:t>
      </w:r>
    </w:p>
    <w:p>
      <w:pPr>
        <w:spacing w:after="0" w:line="21" w:lineRule="exact"/>
        <w:rPr>
          <w:rFonts w:ascii="Times New Roman" w:cs="Times New Roman" w:eastAsia="Times New Roman" w:hAnsi="Times New Roman"/>
          <w:sz w:val="19"/>
          <w:szCs w:val="19"/>
          <w:color w:val="auto"/>
        </w:rPr>
      </w:pPr>
    </w:p>
    <w:p>
      <w:pPr>
        <w:ind w:left="980" w:right="460" w:hanging="780"/>
        <w:spacing w:after="0" w:line="279" w:lineRule="auto"/>
        <w:tabs>
          <w:tab w:leader="none" w:pos="9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in the year ended December 31, 2023 of $2.0 million from the settlement of a claim on our Directors and Officers insurance policy to reimburse us for certain legal and professional costs incurred in prior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and expense</w:t>
      </w:r>
    </w:p>
    <w:p>
      <w:pPr>
        <w:sectPr>
          <w:pgSz w:w="11880" w:h="15480" w:orient="portrait"/>
          <w:cols w:equalWidth="0" w:num="1">
            <w:col w:w="10800"/>
          </w:cols>
          <w:pgMar w:left="540" w:top="75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800"/>
          </w:cols>
          <w:pgMar w:left="540" w:top="752" w:right="540" w:bottom="0" w:gutter="0" w:footer="0" w:header="0"/>
          <w:type w:val="continuous"/>
        </w:sectPr>
      </w:pPr>
    </w:p>
    <w:bookmarkStart w:id="93" w:name="page94"/>
    <w:bookmarkEnd w:id="93"/>
    <w:p>
      <w:pPr>
        <w:jc w:val="both"/>
        <w:ind w:right="40" w:firstLine="720"/>
        <w:spacing w:after="0" w:line="259" w:lineRule="auto"/>
        <w:rPr>
          <w:sz w:val="20"/>
          <w:szCs w:val="20"/>
          <w:color w:val="auto"/>
        </w:rPr>
      </w:pPr>
      <w:r>
        <w:rPr>
          <w:rFonts w:ascii="Times New Roman" w:cs="Times New Roman" w:eastAsia="Times New Roman" w:hAnsi="Times New Roman"/>
          <w:sz w:val="20"/>
          <w:szCs w:val="20"/>
          <w:color w:val="auto"/>
        </w:rPr>
        <w:t>Interest income increased by $0.9 million from $2.1 million in 2023 to $3.0 million in December 31, 2024, principally due to a higher cash and cash equivalents balance as a result of receiving the net proceeds of $46.2 million from the underwritten registered direct offering in June 2024.</w:t>
      </w:r>
    </w:p>
    <w:p>
      <w:pPr>
        <w:spacing w:after="0" w:line="185" w:lineRule="exact"/>
        <w:rPr>
          <w:sz w:val="20"/>
          <w:szCs w:val="20"/>
          <w:color w:val="auto"/>
        </w:rPr>
      </w:pPr>
    </w:p>
    <w:p>
      <w:pPr>
        <w:jc w:val="both"/>
        <w:ind w:right="180" w:firstLine="720"/>
        <w:spacing w:after="0" w:line="259" w:lineRule="auto"/>
        <w:rPr>
          <w:sz w:val="20"/>
          <w:szCs w:val="20"/>
          <w:color w:val="auto"/>
        </w:rPr>
      </w:pPr>
      <w:r>
        <w:rPr>
          <w:rFonts w:ascii="Times New Roman" w:cs="Times New Roman" w:eastAsia="Times New Roman" w:hAnsi="Times New Roman"/>
          <w:sz w:val="20"/>
          <w:szCs w:val="20"/>
          <w:color w:val="auto"/>
        </w:rPr>
        <w:t>Interest expense decreased by $1.5 million from $2.9 million in 2023 to $1.4 million in 2024. The decrease was principally due to the lower balance in the year of convertible loan notes as the private placement loan notes were fully converted and redeemed in August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the fair value of warrants</w:t>
      </w:r>
    </w:p>
    <w:p>
      <w:pPr>
        <w:spacing w:after="0" w:line="237"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The total change in fair value of warrants for 2024 was an unrealized loss of $0.4 million, compared to an unrealized gain of $0.2 million in 2023. The unrealized loss in the year ended December 31, 2024 was primarily due to the impact of the increase in the price of the Company’s ADSs on the value of the warrant liabilities, whereas in the year ended December 31, 2023, the unrealized gain was primarily due to the expiry of the Private Placement warrants in June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 transaction gain/(loss), net</w:t>
      </w:r>
    </w:p>
    <w:p>
      <w:pPr>
        <w:spacing w:after="0" w:line="237"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The net foreign exchange gain for the year ended December 31, 2024 was $1.2 million, compared to a loss of $2.3 million in the year ended December 31, 2023. This change primarily reflects (i) the impact of a strengthening in the value of U.S. dollars when translating U.S. dollar balances into our functional currency of pound sterling in the year ended December 31, 2024, compared to a weakening of U.S. dollars in the year ended December 31, 2023, and (ii) higher U.S. dollar cash and cash equivalent balances following the underwritten registered direct offering in June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Benefit from research and development tax credit</w:t>
      </w:r>
    </w:p>
    <w:p>
      <w:pPr>
        <w:spacing w:after="0" w:line="237"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The benefit from research and development tax credit increased by $0.4 million, from $1.3 million in the year ended December 31, 2023 to $1.6 million in the year ended December 31, 2024. The income tax benefit represents eligible cash rebates paid or receivable from the tax authorities in the jurisdictions within which we operate for eligible types of research and development activities and associated expenditure. The increase was due to a higher amount of eligible research and development activities.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Income tax benefit</w:t>
      </w:r>
    </w:p>
    <w:p>
      <w:pPr>
        <w:spacing w:after="0" w:line="237"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The income tax benefit for the year ended December 31, 2023 represents income taxes paid in prior years for which a carryback claim was made to offset against taxable income in the prior year. No such claim was made in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Other comprehensive loss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Foreign currency translation adjustments</w:t>
      </w:r>
    </w:p>
    <w:p>
      <w:pPr>
        <w:spacing w:after="0" w:line="24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foreign currency translation adjustment for the year ended December 31, 2024 was a loss of $1.4 million, compared to a gain of $4.2 million in the year ended December 31, 2023. This change primarily reflects the impact of a strengthening in the value of U.S. dollars when translating U.S. dollar balances into our functional currency of pound sterling in the year ended December 31, 2024, compared to a weakening of U.S. dollars in the year ended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8"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Under the current business plan and cash flow forecasts, and in consideration of our ongoing research and development efforts and our general corporate funding requirements, we anticipate that our current on-hand cash resources will extend into 2027.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financings or other sources.</w:t>
      </w:r>
    </w:p>
    <w:p>
      <w:pPr>
        <w:sectPr>
          <w:pgSz w:w="11880" w:h="15480" w:orient="portrait"/>
          <w:cols w:equalWidth="0" w:num="1">
            <w:col w:w="10780"/>
          </w:cols>
          <w:pgMar w:left="540" w:top="74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780"/>
          </w:cols>
          <w:pgMar w:left="540" w:top="748" w:right="560" w:bottom="0" w:gutter="0" w:footer="0" w:header="0"/>
          <w:type w:val="continuous"/>
        </w:sectPr>
      </w:pPr>
    </w:p>
    <w:bookmarkStart w:id="94" w:name="page95"/>
    <w:bookmarkEnd w:id="94"/>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We do not currently have any approved product candidates and as a result, have not generated any revenue from product sales. As a result, to date, we have financed our operations primarily through the issuances of our equity securities, convertible debt and warrants. These offerings have raised approximately $259.0 million, including through the $50.0 million underwritten registered direct offering in June 2024 and the $12.0 million “at-the-market” offering pursuant to our Open Market Sale Agreement with Jefferies LLC in July 2023 (all amounts are gross proceeds before fees and discounts).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have also received payments under various license and collaboration agreements, including payments of:</w:t>
      </w:r>
    </w:p>
    <w:p>
      <w:pPr>
        <w:spacing w:after="0" w:line="254" w:lineRule="exact"/>
        <w:rPr>
          <w:sz w:val="20"/>
          <w:szCs w:val="20"/>
          <w:color w:val="auto"/>
        </w:rPr>
      </w:pPr>
    </w:p>
    <w:p>
      <w:pPr>
        <w:ind w:left="720" w:hanging="360"/>
        <w:spacing w:after="0" w:line="278" w:lineRule="auto"/>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$50.0 million under the license and collaboration agreement with Ultragenyx for setrusumab in 2021 and a further milestone payment of $9.0 million in July 2023;</w:t>
      </w:r>
    </w:p>
    <w:p>
      <w:pPr>
        <w:spacing w:after="0" w:line="180" w:lineRule="exact"/>
        <w:rPr>
          <w:rFonts w:ascii="Arial" w:cs="Arial" w:eastAsia="Arial" w:hAnsi="Arial"/>
          <w:sz w:val="20"/>
          <w:szCs w:val="20"/>
          <w:color w:val="auto"/>
        </w:rPr>
      </w:pPr>
    </w:p>
    <w:p>
      <w:pPr>
        <w:ind w:left="720" w:right="160" w:hanging="360"/>
        <w:spacing w:after="0" w:line="278" w:lineRule="auto"/>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$4.0 million under the license and collaboration agreement with Feng Biosciences for navicixizumab in 2020 and a further milestone payment of $2.0 million in 2022; and</w:t>
      </w:r>
    </w:p>
    <w:p>
      <w:pPr>
        <w:spacing w:after="0" w:line="180" w:lineRule="exact"/>
        <w:rPr>
          <w:rFonts w:ascii="Arial" w:cs="Arial" w:eastAsia="Arial" w:hAnsi="Arial"/>
          <w:sz w:val="20"/>
          <w:szCs w:val="20"/>
          <w:color w:val="auto"/>
        </w:rPr>
      </w:pPr>
    </w:p>
    <w:p>
      <w:pPr>
        <w:ind w:left="720" w:hanging="360"/>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$1.0 million under the global license agreement with ReproNovo for leflutrozole in December 2023.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238" w:lineRule="exact"/>
        <w:rPr>
          <w:sz w:val="20"/>
          <w:szCs w:val="20"/>
          <w:color w:val="auto"/>
        </w:rPr>
      </w:pPr>
    </w:p>
    <w:p>
      <w:pPr>
        <w:ind w:right="160" w:firstLine="720"/>
        <w:spacing w:after="0" w:line="253" w:lineRule="auto"/>
        <w:rPr>
          <w:sz w:val="20"/>
          <w:szCs w:val="20"/>
          <w:color w:val="auto"/>
        </w:rPr>
      </w:pPr>
      <w:r>
        <w:rPr>
          <w:rFonts w:ascii="Times New Roman" w:cs="Times New Roman" w:eastAsia="Times New Roman" w:hAnsi="Times New Roman"/>
          <w:sz w:val="20"/>
          <w:szCs w:val="20"/>
          <w:color w:val="auto"/>
        </w:rPr>
        <w:t>As further described under “Item 1. Business—Material Agreements—Novartis Agreements” and “Item 1. Business— Material Agreements—Licensing Agreement with AstraZeneca,” under various agreements with Novartis and AstraZeneca, Mereo has agreed to make milestone payments and pay royalties. The amount, timing, and likelihood of such payments are not known and will remain uncertain for the foreseeable future.</w:t>
      </w:r>
    </w:p>
    <w:p>
      <w:pPr>
        <w:spacing w:after="0" w:line="190"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In addition, Mereo enters into contracts in the ordinary course of business with CROs, CMOs, and other vendors, including with Ultragenyx for the manufacture of setrusumab as described in “Item 1. Business—Material Agreements—Agreements with Ultragenyx for Setrusumab,”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$0.5 million as of December 31, 2024 (2023: $4.2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2024 and 2023</w:t>
      </w:r>
    </w:p>
    <w:p>
      <w:pPr>
        <w:spacing w:after="0" w:line="238" w:lineRule="exact"/>
        <w:rPr>
          <w:sz w:val="20"/>
          <w:szCs w:val="20"/>
          <w:color w:val="auto"/>
        </w:rPr>
      </w:pPr>
    </w:p>
    <w:p>
      <w:pPr>
        <w:ind w:right="80" w:firstLine="720"/>
        <w:spacing w:after="0" w:line="279" w:lineRule="auto"/>
        <w:rPr>
          <w:sz w:val="20"/>
          <w:szCs w:val="20"/>
          <w:color w:val="auto"/>
        </w:rPr>
      </w:pPr>
      <w:r>
        <w:rPr>
          <w:rFonts w:ascii="Times New Roman" w:cs="Times New Roman" w:eastAsia="Times New Roman" w:hAnsi="Times New Roman"/>
          <w:sz w:val="20"/>
          <w:szCs w:val="20"/>
          <w:color w:val="auto"/>
        </w:rPr>
        <w:t>The table below summarizes our cash flows (used in) provided by operating, investing and financing activities for the years ended December 31, 2024 and 2023.</w:t>
      </w:r>
    </w:p>
    <w:p>
      <w:pPr>
        <w:spacing w:after="0" w:line="198" w:lineRule="exact"/>
        <w:rPr>
          <w:sz w:val="20"/>
          <w:szCs w:val="20"/>
          <w:color w:val="auto"/>
        </w:rPr>
      </w:pPr>
    </w:p>
    <w:tbl>
      <w:tblPr>
        <w:tblLayout w:type="fixed"/>
        <w:tblInd w:w="1080" w:type="dxa"/>
        <w:tblCellMar>
          <w:top w:w="0" w:type="dxa"/>
          <w:left w:w="0" w:type="dxa"/>
          <w:bottom w:w="0" w:type="dxa"/>
          <w:right w:w="0" w:type="dxa"/>
        </w:tblCellMar>
      </w:tblPr>
      <w:tr>
        <w:trPr>
          <w:trHeight w:val="24"/>
        </w:trPr>
        <w:tc>
          <w:tcPr>
            <w:tcW w:w="58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5880" w:type="dxa"/>
            <w:vAlign w:val="bottom"/>
            <w:tcBorders>
              <w:bottom w:val="single" w:sz="8" w:color="FEFEFE"/>
            </w:tcBorders>
            <w:shd w:val="clear" w:color="auto" w:fill="FEFEFE"/>
          </w:tcPr>
          <w:p>
            <w:pPr>
              <w:spacing w:after="0"/>
              <w:rPr>
                <w:sz w:val="19"/>
                <w:szCs w:val="19"/>
                <w:color w:val="auto"/>
              </w:rPr>
            </w:pPr>
          </w:p>
        </w:tc>
        <w:tc>
          <w:tcPr>
            <w:tcW w:w="2760" w:type="dxa"/>
            <w:vAlign w:val="bottom"/>
            <w:tcBorders>
              <w:bottom w:val="single" w:sz="8" w:color="auto"/>
            </w:tcBorders>
            <w:gridSpan w:val="3"/>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0"/>
        </w:trPr>
        <w:tc>
          <w:tcPr>
            <w:tcW w:w="5880" w:type="dxa"/>
            <w:vAlign w:val="bottom"/>
            <w:shd w:val="clear" w:color="auto" w:fill="FEFEFE"/>
          </w:tcPr>
          <w:p>
            <w:pPr>
              <w:spacing w:after="0"/>
              <w:rPr>
                <w:sz w:val="19"/>
                <w:szCs w:val="19"/>
                <w:color w:val="auto"/>
              </w:rPr>
            </w:pPr>
          </w:p>
        </w:tc>
        <w:tc>
          <w:tcPr>
            <w:tcW w:w="1340" w:type="dxa"/>
            <w:vAlign w:val="bottom"/>
            <w:shd w:val="clear" w:color="auto" w:fill="FEFEFE"/>
          </w:tcPr>
          <w:p>
            <w:pPr>
              <w:jc w:val="right"/>
              <w:ind w:right="42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1420" w:type="dxa"/>
            <w:vAlign w:val="bottom"/>
            <w:gridSpan w:val="2"/>
            <w:shd w:val="clear" w:color="auto" w:fill="FEFEFE"/>
          </w:tcPr>
          <w:p>
            <w:pPr>
              <w:jc w:val="right"/>
              <w:ind w:right="40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5880" w:type="dxa"/>
            <w:vAlign w:val="bottom"/>
            <w:tcBorders>
              <w:top w:val="single" w:sz="8" w:color="FEFEFE"/>
            </w:tcBorders>
            <w:shd w:val="clear" w:color="auto" w:fill="FEFEFE"/>
          </w:tcPr>
          <w:p>
            <w:pPr>
              <w:spacing w:after="0"/>
              <w:rPr>
                <w:sz w:val="19"/>
                <w:szCs w:val="19"/>
                <w:color w:val="auto"/>
              </w:rPr>
            </w:pPr>
          </w:p>
        </w:tc>
        <w:tc>
          <w:tcPr>
            <w:tcW w:w="1340" w:type="dxa"/>
            <w:vAlign w:val="bottom"/>
            <w:tcBorders>
              <w:top w:val="single" w:sz="8" w:color="auto"/>
            </w:tcBorders>
            <w:shd w:val="clear" w:color="auto" w:fill="FEFEFE"/>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($'000)</w:t>
            </w:r>
          </w:p>
        </w:tc>
        <w:tc>
          <w:tcPr>
            <w:tcW w:w="100" w:type="dxa"/>
            <w:vAlign w:val="bottom"/>
            <w:tcBorders>
              <w:top w:val="single" w:sz="8" w:color="FEFEFE"/>
            </w:tcBorders>
            <w:shd w:val="clear" w:color="auto" w:fill="FEFEFE"/>
          </w:tcPr>
          <w:p>
            <w:pPr>
              <w:spacing w:after="0"/>
              <w:rPr>
                <w:sz w:val="19"/>
                <w:szCs w:val="19"/>
                <w:color w:val="auto"/>
              </w:rPr>
            </w:pPr>
          </w:p>
        </w:tc>
        <w:tc>
          <w:tcPr>
            <w:tcW w:w="1320" w:type="dxa"/>
            <w:vAlign w:val="bottom"/>
            <w:tcBorders>
              <w:top w:val="single" w:sz="8" w:color="auto"/>
            </w:tcBorders>
            <w:shd w:val="clear" w:color="auto" w:fill="FEFEFE"/>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($'000)</w:t>
            </w:r>
          </w:p>
        </w:tc>
      </w:tr>
      <w:tr>
        <w:trPr>
          <w:trHeight w:val="230"/>
        </w:trPr>
        <w:tc>
          <w:tcPr>
            <w:tcW w:w="58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(32,834)</w:t>
            </w:r>
          </w:p>
        </w:tc>
        <w:tc>
          <w:tcPr>
            <w:tcW w:w="100" w:type="dxa"/>
            <w:vAlign w:val="bottom"/>
            <w:shd w:val="clear" w:color="auto" w:fill="E6E6E6"/>
          </w:tcPr>
          <w:p>
            <w:pPr>
              <w:spacing w:after="0"/>
              <w:rPr>
                <w:sz w:val="19"/>
                <w:szCs w:val="19"/>
                <w:color w:val="auto"/>
              </w:rPr>
            </w:pP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(21,132)</w:t>
            </w:r>
          </w:p>
        </w:tc>
      </w:tr>
      <w:tr>
        <w:trPr>
          <w:trHeight w:val="230"/>
        </w:trPr>
        <w:tc>
          <w:tcPr>
            <w:tcW w:w="5880" w:type="dxa"/>
            <w:vAlign w:val="bottom"/>
            <w:shd w:val="clear" w:color="auto" w:fill="FEFEFE"/>
          </w:tcPr>
          <w:p>
            <w:pPr>
              <w:ind w:left="6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3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(699)</w:t>
            </w:r>
          </w:p>
        </w:tc>
        <w:tc>
          <w:tcPr>
            <w:tcW w:w="14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(419)</w:t>
            </w:r>
          </w:p>
        </w:tc>
      </w:tr>
      <w:tr>
        <w:trPr>
          <w:trHeight w:val="230"/>
        </w:trPr>
        <w:tc>
          <w:tcPr>
            <w:tcW w:w="588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46,147</w:t>
            </w:r>
          </w:p>
        </w:tc>
        <w:tc>
          <w:tcPr>
            <w:tcW w:w="14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7,973</w:t>
            </w:r>
          </w:p>
        </w:tc>
      </w:tr>
      <w:tr>
        <w:trPr>
          <w:trHeight w:val="230"/>
        </w:trPr>
        <w:tc>
          <w:tcPr>
            <w:tcW w:w="5880" w:type="dxa"/>
            <w:vAlign w:val="bottom"/>
            <w:shd w:val="clear" w:color="auto" w:fill="FEFEFE"/>
          </w:tcPr>
          <w:p>
            <w:pPr>
              <w:ind w:left="60"/>
              <w:spacing w:after="0"/>
              <w:rPr>
                <w:sz w:val="20"/>
                <w:szCs w:val="20"/>
                <w:color w:val="auto"/>
              </w:rPr>
            </w:pPr>
            <w:r>
              <w:rPr>
                <w:rFonts w:ascii="Times New Roman" w:cs="Times New Roman" w:eastAsia="Times New Roman" w:hAnsi="Times New Roman"/>
                <w:sz w:val="20"/>
                <w:szCs w:val="20"/>
                <w:color w:val="auto"/>
              </w:rPr>
              <w:t>Effect of exchange rate changes</w:t>
            </w:r>
          </w:p>
        </w:tc>
        <w:tc>
          <w:tcPr>
            <w:tcW w:w="13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4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2,818</w:t>
            </w:r>
          </w:p>
        </w:tc>
      </w:tr>
      <w:tr>
        <w:trPr>
          <w:trHeight w:val="220"/>
        </w:trPr>
        <w:tc>
          <w:tcPr>
            <w:tcW w:w="5880" w:type="dxa"/>
            <w:vAlign w:val="bottom"/>
            <w:tcBorders>
              <w:top w:val="single" w:sz="8" w:color="E6E6E6"/>
            </w:tcBorders>
            <w:shd w:val="clear" w:color="auto" w:fill="E6E6E6"/>
          </w:tcPr>
          <w:p>
            <w:pPr>
              <w:ind w:left="60"/>
              <w:spacing w:after="0" w:line="220" w:lineRule="exact"/>
              <w:rPr>
                <w:sz w:val="20"/>
                <w:szCs w:val="20"/>
                <w:color w:val="auto"/>
              </w:rPr>
            </w:pPr>
            <w:r>
              <w:rPr>
                <w:rFonts w:ascii="Times New Roman" w:cs="Times New Roman" w:eastAsia="Times New Roman" w:hAnsi="Times New Roman"/>
                <w:sz w:val="20"/>
                <w:szCs w:val="20"/>
                <w:color w:val="auto"/>
              </w:rPr>
              <w:t>Increase/(decrease) in cash and cash equivalents</w:t>
            </w:r>
          </w:p>
        </w:tc>
        <w:tc>
          <w:tcPr>
            <w:tcW w:w="134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12,381</w:t>
            </w:r>
          </w:p>
        </w:tc>
        <w:tc>
          <w:tcPr>
            <w:tcW w:w="100" w:type="dxa"/>
            <w:vAlign w:val="bottom"/>
            <w:tcBorders>
              <w:top w:val="single" w:sz="8" w:color="E6E6E6"/>
            </w:tcBorders>
            <w:shd w:val="clear" w:color="auto" w:fill="E6E6E6"/>
          </w:tcPr>
          <w:p>
            <w:pPr>
              <w:spacing w:after="0"/>
              <w:rPr>
                <w:sz w:val="19"/>
                <w:szCs w:val="19"/>
                <w:color w:val="auto"/>
              </w:rPr>
            </w:pPr>
          </w:p>
        </w:tc>
        <w:tc>
          <w:tcPr>
            <w:tcW w:w="132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(10,760)</w:t>
            </w:r>
          </w:p>
        </w:tc>
      </w:tr>
      <w:tr>
        <w:trPr>
          <w:trHeight w:val="20"/>
        </w:trPr>
        <w:tc>
          <w:tcPr>
            <w:tcW w:w="5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7" w:lineRule="exact"/>
        <w:rPr>
          <w:sz w:val="20"/>
          <w:szCs w:val="20"/>
          <w:color w:val="auto"/>
        </w:rPr>
      </w:pPr>
    </w:p>
    <w:p>
      <w:pPr>
        <w:ind w:right="120" w:firstLine="720"/>
        <w:spacing w:after="0" w:line="279" w:lineRule="auto"/>
        <w:rPr>
          <w:sz w:val="20"/>
          <w:szCs w:val="20"/>
          <w:color w:val="auto"/>
        </w:rPr>
      </w:pPr>
      <w:r>
        <w:rPr>
          <w:rFonts w:ascii="Times New Roman" w:cs="Times New Roman" w:eastAsia="Times New Roman" w:hAnsi="Times New Roman"/>
          <w:sz w:val="20"/>
          <w:szCs w:val="20"/>
          <w:color w:val="auto"/>
        </w:rPr>
        <w:t xml:space="preserve">Net cash used in operating activities for the year ended December 31, 2024 was $32.8 million, an increase of $11.7 million from $21.1 million in the year ended December 31, 2023. </w:t>
      </w:r>
      <w:r>
        <w:rPr>
          <w:rFonts w:ascii="Times New Roman" w:cs="Times New Roman" w:eastAsia="Times New Roman" w:hAnsi="Times New Roman"/>
          <w:sz w:val="20"/>
          <w:szCs w:val="20"/>
          <w:color w:val="1E1E1E"/>
        </w:rPr>
        <w:t>The most significant drivers of the increase were:</w:t>
      </w:r>
    </w:p>
    <w:p>
      <w:pPr>
        <w:spacing w:after="0" w:line="165" w:lineRule="exact"/>
        <w:rPr>
          <w:sz w:val="20"/>
          <w:szCs w:val="20"/>
          <w:color w:val="auto"/>
        </w:rPr>
      </w:pPr>
    </w:p>
    <w:p>
      <w:pPr>
        <w:ind w:right="820" w:firstLine="720"/>
        <w:spacing w:after="0" w:line="279" w:lineRule="auto"/>
        <w:tabs>
          <w:tab w:leader="none" w:pos="959" w:val="left"/>
        </w:tabs>
        <w:numPr>
          <w:ilvl w:val="0"/>
          <w:numId w:val="5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 xml:space="preserve">an </w:t>
      </w:r>
      <w:r>
        <w:rPr>
          <w:rFonts w:ascii="Times New Roman" w:cs="Times New Roman" w:eastAsia="Times New Roman" w:hAnsi="Times New Roman"/>
          <w:sz w:val="20"/>
          <w:szCs w:val="20"/>
          <w:color w:val="000000"/>
        </w:rPr>
        <w:t>increase of $8.5 million resulting from the receipt of $10.0 million in milestone and up-front payments from</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color w:val="000000"/>
        </w:rPr>
        <w:t>Ultragenyx and ReproNovo in the year ended December 31, 2023, net of associated costs of revenue.</w:t>
      </w:r>
    </w:p>
    <w:p>
      <w:pPr>
        <w:spacing w:after="0" w:line="165" w:lineRule="exact"/>
        <w:rPr>
          <w:rFonts w:ascii="Times New Roman" w:cs="Times New Roman" w:eastAsia="Times New Roman" w:hAnsi="Times New Roman"/>
          <w:sz w:val="20"/>
          <w:szCs w:val="20"/>
          <w:color w:val="1E1E1E"/>
        </w:rPr>
      </w:pPr>
    </w:p>
    <w:p>
      <w:pPr>
        <w:ind w:right="360" w:firstLine="720"/>
        <w:spacing w:after="0" w:line="279" w:lineRule="auto"/>
        <w:tabs>
          <w:tab w:leader="none" w:pos="101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receipt of $1.8 million in research and development tax credits </w:t>
      </w:r>
      <w:r>
        <w:rPr>
          <w:rFonts w:ascii="Times New Roman" w:cs="Times New Roman" w:eastAsia="Times New Roman" w:hAnsi="Times New Roman"/>
          <w:sz w:val="20"/>
          <w:szCs w:val="20"/>
          <w:color w:val="1E1E1E"/>
        </w:rPr>
        <w:t>in the year ended December 31, 2023</w:t>
      </w:r>
      <w:r>
        <w:rPr>
          <w:rFonts w:ascii="Times New Roman" w:cs="Times New Roman" w:eastAsia="Times New Roman" w:hAnsi="Times New Roman"/>
          <w:sz w:val="20"/>
          <w:szCs w:val="20"/>
          <w:color w:val="auto"/>
        </w:rPr>
        <w:t xml:space="preserve"> with no similar amounts received in </w:t>
      </w:r>
      <w:r>
        <w:rPr>
          <w:rFonts w:ascii="Times New Roman" w:cs="Times New Roman" w:eastAsia="Times New Roman" w:hAnsi="Times New Roman"/>
          <w:sz w:val="20"/>
          <w:szCs w:val="20"/>
          <w:color w:val="1E1E1E"/>
        </w:rPr>
        <w:t>in the year ended December 31, 2024</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ind w:right="380" w:firstLine="720"/>
        <w:spacing w:after="0" w:line="279" w:lineRule="auto"/>
        <w:tabs>
          <w:tab w:leader="none" w:pos="107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receipt of $1.7 million less from our depository to reimburse certain expenses incurred by us in respect of our ADR program in the </w:t>
      </w:r>
      <w:r>
        <w:rPr>
          <w:rFonts w:ascii="Times New Roman" w:cs="Times New Roman" w:eastAsia="Times New Roman" w:hAnsi="Times New Roman"/>
          <w:sz w:val="20"/>
          <w:szCs w:val="20"/>
          <w:color w:val="1E1E1E"/>
        </w:rPr>
        <w:t>year ended December 31, 2024</w:t>
      </w:r>
      <w:r>
        <w:rPr>
          <w:rFonts w:ascii="Times New Roman" w:cs="Times New Roman" w:eastAsia="Times New Roman" w:hAnsi="Times New Roman"/>
          <w:sz w:val="20"/>
          <w:szCs w:val="20"/>
          <w:color w:val="auto"/>
        </w:rPr>
        <w:t xml:space="preserve"> than in the </w:t>
      </w:r>
      <w:r>
        <w:rPr>
          <w:rFonts w:ascii="Times New Roman" w:cs="Times New Roman" w:eastAsia="Times New Roman" w:hAnsi="Times New Roman"/>
          <w:sz w:val="20"/>
          <w:szCs w:val="20"/>
          <w:color w:val="1E1E1E"/>
        </w:rPr>
        <w:t>year ended December 31, 2023</w:t>
      </w:r>
      <w:r>
        <w:rPr>
          <w:rFonts w:ascii="Times New Roman" w:cs="Times New Roman" w:eastAsia="Times New Roman" w:hAnsi="Times New Roman"/>
          <w:sz w:val="20"/>
          <w:szCs w:val="20"/>
          <w:color w:val="auto"/>
        </w:rPr>
        <w:t>; and</w:t>
      </w:r>
    </w:p>
    <w:p>
      <w:pPr>
        <w:sectPr>
          <w:pgSz w:w="11880" w:h="15480" w:orient="portrait"/>
          <w:cols w:equalWidth="0" w:num="1">
            <w:col w:w="10680"/>
          </w:cols>
          <w:pgMar w:left="540" w:top="748" w:right="660" w:bottom="0" w:gutter="0" w:footer="0" w:header="0"/>
        </w:sectPr>
      </w:pP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680"/>
          </w:cols>
          <w:pgMar w:left="540" w:top="748" w:right="660" w:bottom="0" w:gutter="0" w:footer="0" w:header="0"/>
          <w:type w:val="continuous"/>
        </w:sectPr>
      </w:pPr>
    </w:p>
    <w:bookmarkStart w:id="95" w:name="page96"/>
    <w:bookmarkEnd w:id="95"/>
    <w:p>
      <w:pPr>
        <w:ind w:left="720"/>
        <w:spacing w:after="0"/>
        <w:rPr>
          <w:sz w:val="20"/>
          <w:szCs w:val="20"/>
          <w:color w:val="auto"/>
        </w:rPr>
      </w:pPr>
      <w:r>
        <w:rPr>
          <w:rFonts w:ascii="Times New Roman" w:cs="Times New Roman" w:eastAsia="Times New Roman" w:hAnsi="Times New Roman"/>
          <w:sz w:val="20"/>
          <w:szCs w:val="20"/>
          <w:color w:val="auto"/>
        </w:rPr>
        <w:t>(iv) approximately $3.6 million higher other net cash operating expenses.</w:t>
      </w:r>
    </w:p>
    <w:p>
      <w:pPr>
        <w:spacing w:after="0" w:line="240" w:lineRule="exact"/>
        <w:rPr>
          <w:sz w:val="20"/>
          <w:szCs w:val="20"/>
          <w:color w:val="auto"/>
        </w:rPr>
      </w:pPr>
    </w:p>
    <w:p>
      <w:pPr>
        <w:jc w:val="both"/>
        <w:ind w:right="480" w:firstLine="720"/>
        <w:spacing w:after="0" w:line="279" w:lineRule="auto"/>
        <w:rPr>
          <w:sz w:val="20"/>
          <w:szCs w:val="20"/>
          <w:color w:val="auto"/>
        </w:rPr>
      </w:pPr>
      <w:r>
        <w:rPr>
          <w:rFonts w:ascii="Times New Roman" w:cs="Times New Roman" w:eastAsia="Times New Roman" w:hAnsi="Times New Roman"/>
          <w:sz w:val="20"/>
          <w:szCs w:val="20"/>
          <w:color w:val="auto"/>
        </w:rPr>
        <w:t>These increases were partially offset by the receipt of $2.0 million from a claim on our Directors and Officers insurance policy to reimburse us for certain legal and professional costs incurred in prior years and $1.9 million higher net interest inflows.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37"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Net cash used in investing activities for the year ended December 31, 2024 was $0.7 million, an increase of $0.3 million from $0.4 million in the year ended December 31, 2023. T</w:t>
      </w:r>
      <w:r>
        <w:rPr>
          <w:rFonts w:ascii="Times New Roman" w:cs="Times New Roman" w:eastAsia="Times New Roman" w:hAnsi="Times New Roman"/>
          <w:sz w:val="20"/>
          <w:szCs w:val="20"/>
          <w:color w:val="1E1E1E"/>
        </w:rPr>
        <w:t>he increase</w:t>
      </w:r>
      <w:r>
        <w:rPr>
          <w:rFonts w:ascii="Times New Roman" w:cs="Times New Roman" w:eastAsia="Times New Roman" w:hAnsi="Times New Roman"/>
          <w:sz w:val="20"/>
          <w:szCs w:val="20"/>
          <w:color w:val="auto"/>
        </w:rPr>
        <w:t xml:space="preserve"> is due to additional payments to acquire intangible assets in the year ended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37"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 xml:space="preserve">Net cash provided by financing activities for the year ended December 31, 2024 was $46.1 million, an increase of $38.2 million from $8.0 million in the year ended December 31, 2023. </w:t>
      </w:r>
      <w:r>
        <w:rPr>
          <w:rFonts w:ascii="Times New Roman" w:cs="Times New Roman" w:eastAsia="Times New Roman" w:hAnsi="Times New Roman"/>
          <w:sz w:val="20"/>
          <w:szCs w:val="20"/>
          <w:color w:val="1E1E1E"/>
        </w:rPr>
        <w:t>The increase represents</w:t>
      </w:r>
      <w:r>
        <w:rPr>
          <w:rFonts w:ascii="Times New Roman" w:cs="Times New Roman" w:eastAsia="Times New Roman" w:hAnsi="Times New Roman"/>
          <w:sz w:val="20"/>
          <w:szCs w:val="20"/>
          <w:color w:val="auto"/>
        </w:rPr>
        <w:t xml:space="preserve"> the difference between the net proceeds received from the underwritten registered direct offering of $46.2 million in the year ended December 31, 2024 and the net proceeds of an “at-the-market” offering of $11.1 million, partially offset by $3.2 million paid to redeem the Private Placement loan notes in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and Capital Expenditure Requirements</w:t>
      </w:r>
    </w:p>
    <w:p>
      <w:pPr>
        <w:spacing w:after="0" w:line="238"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2024, we had an accumulated deficit of $462.9 million. We expect to continue to report significant operating losses for the foreseeable future as we continue our research and development efforts and seek to obtain regulatory approval of our product candidates and any future product we develop. See also “Item 1A. Risk Factors—Risks Related to Our Business and Industry—We will need additional funding to complete the development of our current product candidates; to license, acquire, and develop future product candidates; and to commercialize our product candidates, if approved."</w:t>
      </w:r>
    </w:p>
    <w:p>
      <w:pPr>
        <w:spacing w:after="0" w:line="197" w:lineRule="exact"/>
        <w:rPr>
          <w:sz w:val="20"/>
          <w:szCs w:val="20"/>
          <w:color w:val="auto"/>
        </w:rPr>
      </w:pPr>
    </w:p>
    <w:p>
      <w:pPr>
        <w:ind w:right="180" w:firstLine="720"/>
        <w:spacing w:after="0" w:line="253" w:lineRule="auto"/>
        <w:rPr>
          <w:sz w:val="20"/>
          <w:szCs w:val="20"/>
          <w:color w:val="auto"/>
        </w:rPr>
      </w:pPr>
      <w:r>
        <w:rPr>
          <w:rFonts w:ascii="Times New Roman" w:cs="Times New Roman" w:eastAsia="Times New Roman" w:hAnsi="Times New Roman"/>
          <w:sz w:val="20"/>
          <w:szCs w:val="20"/>
          <w:color w:val="auto"/>
        </w:rPr>
        <w:t>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and as a domestic registrant.</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These costs will increase further if we:</w:t>
      </w:r>
    </w:p>
    <w:p>
      <w:pPr>
        <w:spacing w:after="0" w:line="254" w:lineRule="exact"/>
        <w:rPr>
          <w:sz w:val="20"/>
          <w:szCs w:val="20"/>
          <w:color w:val="auto"/>
        </w:rPr>
      </w:pPr>
    </w:p>
    <w:p>
      <w:pPr>
        <w:ind w:left="1080" w:hanging="360"/>
        <w:spacing w:after="0"/>
        <w:tabs>
          <w:tab w:leader="none" w:pos="108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seek to develop additional product candidates;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seek regulatory approvals for any of our product candidates that successfully completes clinical trials;</w:t>
      </w:r>
    </w:p>
    <w:p>
      <w:pPr>
        <w:spacing w:after="0" w:line="253" w:lineRule="exact"/>
        <w:rPr>
          <w:rFonts w:ascii="Arial" w:cs="Arial" w:eastAsia="Arial" w:hAnsi="Arial"/>
          <w:sz w:val="20"/>
          <w:szCs w:val="20"/>
          <w:color w:val="auto"/>
        </w:rPr>
      </w:pPr>
    </w:p>
    <w:p>
      <w:pPr>
        <w:ind w:left="1080" w:right="220" w:hanging="360"/>
        <w:spacing w:after="0" w:line="259" w:lineRule="auto"/>
        <w:tabs>
          <w:tab w:leader="none" w:pos="108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198" w:lineRule="exact"/>
        <w:rPr>
          <w:rFonts w:ascii="Arial" w:cs="Arial" w:eastAsia="Arial" w:hAnsi="Arial"/>
          <w:sz w:val="20"/>
          <w:szCs w:val="20"/>
          <w:color w:val="auto"/>
        </w:rPr>
      </w:pPr>
    </w:p>
    <w:p>
      <w:pPr>
        <w:ind w:left="1080" w:hanging="360"/>
        <w:spacing w:after="0"/>
        <w:tabs>
          <w:tab w:leader="none" w:pos="108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expand our intellectual property portfolio;</w:t>
      </w:r>
    </w:p>
    <w:p>
      <w:pPr>
        <w:spacing w:after="0" w:line="253" w:lineRule="exact"/>
        <w:rPr>
          <w:rFonts w:ascii="Arial" w:cs="Arial" w:eastAsia="Arial" w:hAnsi="Arial"/>
          <w:sz w:val="20"/>
          <w:szCs w:val="20"/>
          <w:color w:val="auto"/>
        </w:rPr>
      </w:pPr>
    </w:p>
    <w:p>
      <w:pPr>
        <w:jc w:val="both"/>
        <w:ind w:left="1080" w:right="660" w:hanging="360"/>
        <w:spacing w:after="0" w:line="259" w:lineRule="auto"/>
        <w:tabs>
          <w:tab w:leader="none" w:pos="108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add further clinical, scientific, operational, financial, legal and management information systems, and personnel, including personnel to support our development and to support our operations as a U.S. public company listed on Nasdaq; or</w:t>
      </w:r>
    </w:p>
    <w:p>
      <w:pPr>
        <w:spacing w:after="0" w:line="198" w:lineRule="exact"/>
        <w:rPr>
          <w:rFonts w:ascii="Arial" w:cs="Arial" w:eastAsia="Arial" w:hAnsi="Arial"/>
          <w:sz w:val="20"/>
          <w:szCs w:val="20"/>
          <w:color w:val="auto"/>
        </w:rPr>
      </w:pPr>
    </w:p>
    <w:p>
      <w:pPr>
        <w:ind w:left="1080" w:right="20" w:hanging="360"/>
        <w:spacing w:after="0" w:line="278" w:lineRule="auto"/>
        <w:tabs>
          <w:tab w:leader="none" w:pos="108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any delays or encounter any issues from any of the above, including but not limited to failed studies, complex results, safety issues, or other regulatory challenges.</w:t>
      </w:r>
    </w:p>
    <w:p>
      <w:pPr>
        <w:spacing w:after="0" w:line="166"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We expect that our existing cash and cash equivalents will enable us to fund our currently committed clinical trials, operating expenses and capital expenditure requirements into 2027.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w:t>
      </w:r>
    </w:p>
    <w:p>
      <w:pPr>
        <w:sectPr>
          <w:pgSz w:w="11880" w:h="15480" w:orient="portrait"/>
          <w:cols w:equalWidth="0" w:num="1">
            <w:col w:w="10800"/>
          </w:cols>
          <w:pgMar w:left="540" w:top="748" w:right="540" w:bottom="0" w:gutter="0" w:footer="0" w:header="0"/>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800"/>
          </w:cols>
          <w:pgMar w:left="540" w:top="748" w:right="540" w:bottom="0" w:gutter="0" w:footer="0" w:header="0"/>
          <w:type w:val="continuous"/>
        </w:sectPr>
      </w:pPr>
    </w:p>
    <w:bookmarkStart w:id="96" w:name="page97"/>
    <w:bookmarkEnd w:id="96"/>
    <w:p>
      <w:pPr>
        <w:ind w:right="100"/>
        <w:spacing w:after="0" w:line="279" w:lineRule="auto"/>
        <w:rPr>
          <w:sz w:val="20"/>
          <w:szCs w:val="20"/>
          <w:color w:val="auto"/>
        </w:rPr>
      </w:pPr>
      <w:r>
        <w:rPr>
          <w:rFonts w:ascii="Times New Roman" w:cs="Times New Roman" w:eastAsia="Times New Roman" w:hAnsi="Times New Roman"/>
          <w:sz w:val="20"/>
          <w:szCs w:val="20"/>
          <w:color w:val="auto"/>
        </w:rPr>
        <w:t>amounts of increased capital outlays and operating expenses associated with completing the research and development of our product candidates. Our future capital requirements will depend on many factors, including:</w:t>
      </w:r>
    </w:p>
    <w:p>
      <w:pPr>
        <w:spacing w:after="0" w:line="180" w:lineRule="exact"/>
        <w:rPr>
          <w:sz w:val="20"/>
          <w:szCs w:val="20"/>
          <w:color w:val="auto"/>
        </w:rPr>
      </w:pPr>
    </w:p>
    <w:p>
      <w:pPr>
        <w:ind w:left="1080" w:right="80" w:hanging="360"/>
        <w:spacing w:after="0" w:line="259" w:lineRule="auto"/>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for our activities related to our ongoing collaboration with Ultragenyx for setrusumab for the treatment of children and adults with OI, including the costs for our preparation for the potential commercialization of setrusumab, if approved, in Europe and the U.K; and costs for potential future clinical trials for alvelestat in AATD;</w:t>
      </w:r>
    </w:p>
    <w:p>
      <w:pPr>
        <w:spacing w:after="0" w:line="198" w:lineRule="exact"/>
        <w:rPr>
          <w:rFonts w:ascii="Arial" w:cs="Arial" w:eastAsia="Arial" w:hAnsi="Arial"/>
          <w:sz w:val="20"/>
          <w:szCs w:val="20"/>
          <w:color w:val="auto"/>
        </w:rPr>
      </w:pPr>
    </w:p>
    <w:p>
      <w:pPr>
        <w:ind w:left="1080" w:hanging="360"/>
        <w:spacing w:after="0"/>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manufacturing clinical or commercial supplies of our product candidates;</w:t>
      </w:r>
    </w:p>
    <w:p>
      <w:pPr>
        <w:spacing w:after="0" w:line="253" w:lineRule="exact"/>
        <w:rPr>
          <w:rFonts w:ascii="Arial" w:cs="Arial" w:eastAsia="Arial" w:hAnsi="Arial"/>
          <w:sz w:val="20"/>
          <w:szCs w:val="20"/>
          <w:color w:val="auto"/>
        </w:rPr>
      </w:pPr>
    </w:p>
    <w:p>
      <w:pPr>
        <w:ind w:left="1080" w:right="420" w:hanging="360"/>
        <w:spacing w:after="0" w:line="278" w:lineRule="auto"/>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timing, and outcome of regulatory review of our product candidates, including post-marketing studies that could be required by regulatory authorities;</w:t>
      </w:r>
    </w:p>
    <w:p>
      <w:pPr>
        <w:spacing w:after="0" w:line="180" w:lineRule="exact"/>
        <w:rPr>
          <w:rFonts w:ascii="Arial" w:cs="Arial" w:eastAsia="Arial" w:hAnsi="Arial"/>
          <w:sz w:val="20"/>
          <w:szCs w:val="20"/>
          <w:color w:val="auto"/>
        </w:rPr>
      </w:pPr>
    </w:p>
    <w:p>
      <w:pPr>
        <w:ind w:left="1080" w:right="420" w:hanging="360"/>
        <w:spacing w:after="0" w:line="306" w:lineRule="auto"/>
        <w:tabs>
          <w:tab w:leader="none" w:pos="108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timing, and outcome of potential future commercialization activities, including manufacturing, marketing, sales, life cycle management and distribution, for our product candidates that we commercialize directly;</w:t>
      </w:r>
    </w:p>
    <w:p>
      <w:pPr>
        <w:spacing w:after="0" w:line="156" w:lineRule="exact"/>
        <w:rPr>
          <w:rFonts w:ascii="Arial" w:cs="Arial" w:eastAsia="Arial" w:hAnsi="Arial"/>
          <w:sz w:val="19"/>
          <w:szCs w:val="19"/>
          <w:color w:val="auto"/>
        </w:rPr>
      </w:pPr>
    </w:p>
    <w:p>
      <w:pPr>
        <w:ind w:left="1080" w:hanging="360"/>
        <w:spacing w:after="0"/>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amount of revenue, if any, received from commercial sales of our product candidates;</w:t>
      </w:r>
    </w:p>
    <w:p>
      <w:pPr>
        <w:spacing w:after="0" w:line="253" w:lineRule="exact"/>
        <w:rPr>
          <w:rFonts w:ascii="Arial" w:cs="Arial" w:eastAsia="Arial" w:hAnsi="Arial"/>
          <w:sz w:val="20"/>
          <w:szCs w:val="20"/>
          <w:color w:val="auto"/>
        </w:rPr>
      </w:pPr>
    </w:p>
    <w:p>
      <w:pPr>
        <w:jc w:val="both"/>
        <w:ind w:left="1080" w:right="140" w:hanging="360"/>
        <w:spacing w:after="0" w:line="259" w:lineRule="auto"/>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198" w:lineRule="exact"/>
        <w:rPr>
          <w:rFonts w:ascii="Arial" w:cs="Arial" w:eastAsia="Arial" w:hAnsi="Arial"/>
          <w:sz w:val="20"/>
          <w:szCs w:val="20"/>
          <w:color w:val="auto"/>
        </w:rPr>
      </w:pPr>
    </w:p>
    <w:p>
      <w:pPr>
        <w:ind w:left="1080" w:hanging="360"/>
        <w:spacing w:after="0"/>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sales price and availability of adequate third-party coverage and reimbursement for our product candidates;</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competitors and market developments;</w:t>
      </w:r>
    </w:p>
    <w:p>
      <w:pPr>
        <w:spacing w:after="0" w:line="253" w:lineRule="exact"/>
        <w:rPr>
          <w:rFonts w:ascii="Arial" w:cs="Arial" w:eastAsia="Arial" w:hAnsi="Arial"/>
          <w:sz w:val="20"/>
          <w:szCs w:val="20"/>
          <w:color w:val="auto"/>
        </w:rPr>
      </w:pPr>
    </w:p>
    <w:p>
      <w:pPr>
        <w:ind w:left="1080" w:right="420" w:hanging="360"/>
        <w:spacing w:after="0" w:line="278" w:lineRule="auto"/>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of our collaborators and partners under the existing agreements on setrusumab, navicixizumab and, leflutrozole;</w:t>
      </w:r>
    </w:p>
    <w:p>
      <w:pPr>
        <w:spacing w:after="0" w:line="180" w:lineRule="exact"/>
        <w:rPr>
          <w:rFonts w:ascii="Arial" w:cs="Arial" w:eastAsia="Arial" w:hAnsi="Arial"/>
          <w:sz w:val="20"/>
          <w:szCs w:val="20"/>
          <w:color w:val="auto"/>
        </w:rPr>
      </w:pPr>
    </w:p>
    <w:p>
      <w:pPr>
        <w:ind w:left="1080" w:right="180" w:hanging="360"/>
        <w:spacing w:after="0" w:line="259" w:lineRule="auto"/>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98" w:lineRule="exact"/>
        <w:rPr>
          <w:rFonts w:ascii="Arial" w:cs="Arial" w:eastAsia="Arial" w:hAnsi="Arial"/>
          <w:sz w:val="20"/>
          <w:szCs w:val="20"/>
          <w:color w:val="auto"/>
        </w:rPr>
      </w:pPr>
    </w:p>
    <w:p>
      <w:pPr>
        <w:ind w:left="1080" w:hanging="360"/>
        <w:spacing w:after="0"/>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milestone and deferred payments under the Amended AstraZeneca Agreements; and</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tax liabilities or other assessments and our ability to claim R&amp;D tax credits or other reliefs.</w:t>
      </w:r>
    </w:p>
    <w:p>
      <w:pPr>
        <w:spacing w:after="0" w:line="239" w:lineRule="exact"/>
        <w:rPr>
          <w:sz w:val="20"/>
          <w:szCs w:val="20"/>
          <w:color w:val="auto"/>
        </w:rPr>
      </w:pPr>
    </w:p>
    <w:p>
      <w:pPr>
        <w:jc w:val="both"/>
        <w:ind w:right="420" w:firstLine="720"/>
        <w:spacing w:after="0" w:line="259" w:lineRule="auto"/>
        <w:rPr>
          <w:sz w:val="20"/>
          <w:szCs w:val="20"/>
          <w:color w:val="auto"/>
        </w:rPr>
      </w:pPr>
      <w:r>
        <w:rPr>
          <w:rFonts w:ascii="Times New Roman" w:cs="Times New Roman" w:eastAsia="Times New Roman" w:hAnsi="Times New Roman"/>
          <w:sz w:val="20"/>
          <w:szCs w:val="20"/>
          <w:color w:val="auto"/>
        </w:rPr>
        <w:t>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85"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90" w:lineRule="exact"/>
        <w:rPr>
          <w:sz w:val="20"/>
          <w:szCs w:val="20"/>
          <w:color w:val="auto"/>
        </w:rPr>
      </w:pPr>
    </w:p>
    <w:p>
      <w:pPr>
        <w:jc w:val="both"/>
        <w:ind w:right="60" w:firstLine="720"/>
        <w:spacing w:after="0" w:line="259" w:lineRule="auto"/>
        <w:rPr>
          <w:sz w:val="20"/>
          <w:szCs w:val="20"/>
          <w:color w:val="auto"/>
        </w:rPr>
      </w:pPr>
      <w:r>
        <w:rPr>
          <w:rFonts w:ascii="Times New Roman" w:cs="Times New Roman" w:eastAsia="Times New Roman" w:hAnsi="Times New Roman"/>
          <w:sz w:val="20"/>
          <w:szCs w:val="20"/>
          <w:color w:val="auto"/>
        </w:rPr>
        <w:t>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85"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Indebtedness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Former Credit Facility</w:t>
      </w:r>
    </w:p>
    <w:p>
      <w:pPr>
        <w:sectPr>
          <w:pgSz w:w="11880" w:h="15480" w:orient="portrait"/>
          <w:cols w:equalWidth="0" w:num="1">
            <w:col w:w="10780"/>
          </w:cols>
          <w:pgMar w:left="540" w:top="748" w:right="560" w:bottom="0"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780"/>
          </w:cols>
          <w:pgMar w:left="540" w:top="748" w:right="560" w:bottom="0" w:gutter="0" w:footer="0" w:header="0"/>
          <w:type w:val="continuous"/>
        </w:sectPr>
      </w:pPr>
    </w:p>
    <w:bookmarkStart w:id="97" w:name="page98"/>
    <w:bookmarkEnd w:id="97"/>
    <w:p>
      <w:pPr>
        <w:ind w:firstLine="720"/>
        <w:spacing w:after="0" w:line="259" w:lineRule="auto"/>
        <w:rPr>
          <w:sz w:val="20"/>
          <w:szCs w:val="20"/>
          <w:color w:val="auto"/>
        </w:rPr>
      </w:pPr>
      <w:r>
        <w:rPr>
          <w:rFonts w:ascii="Times New Roman" w:cs="Times New Roman" w:eastAsia="Times New Roman" w:hAnsi="Times New Roman"/>
          <w:sz w:val="20"/>
          <w:szCs w:val="20"/>
          <w:color w:val="auto"/>
        </w:rPr>
        <w:t>As of December 31, 2024, the former lenders have warrants outstanding to purchase a total of 1,243,908 ordinary shares at an exercise price of £2.95 per share, exercisable until August 2027, and a total of 1,243,908 ordinary shares at an exercise price of $0.4144 per share, exercisable until the period August 2027 to October 2028.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Novartis Notes</w:t>
      </w:r>
    </w:p>
    <w:p>
      <w:pPr>
        <w:spacing w:after="0" w:line="238"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On February 10, 2020, we entered into a $4.9 million (£3.8 million) convertible loan note instrument relating to the issue of 3,841,479 Novartis Loan Note. The Novartis Loan Note was convertible at any time at a fixed price of £0.265 per ordinary share until February 10, 2023. In addition, on February 10, 2020, in connection with the Novartis Loan Note, we entered into a warrant instrument with Novartis to issue 1,449,614 ordinary shares at an exercise price of £0.265 per ordinary share. These warrants are exercisable until February 10, 2025.</w:t>
      </w:r>
    </w:p>
    <w:p>
      <w:pPr>
        <w:spacing w:after="0" w:line="19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On February 10, 2023, we amended the Novartis Loan Note, extending the maturity date to February 10, 2025 and increasing the interest rate to 9%, with all other terms remaining unchanged. Pursuant to the amendment and a new warrant instrument, interest accrued to the amendment date was paid in cash, and warrants to purchase 2,000,000 ordinary shares at an exercise price of £0.150 per ordinary share were issued and are exercisable until February 10, 2028.</w:t>
      </w:r>
    </w:p>
    <w:p>
      <w:pPr>
        <w:spacing w:after="0" w:line="190" w:lineRule="exact"/>
        <w:rPr>
          <w:sz w:val="20"/>
          <w:szCs w:val="20"/>
          <w:color w:val="auto"/>
        </w:rPr>
      </w:pPr>
    </w:p>
    <w:p>
      <w:pPr>
        <w:ind w:right="380" w:firstLine="720"/>
        <w:spacing w:after="0" w:line="259" w:lineRule="auto"/>
        <w:rPr>
          <w:sz w:val="20"/>
          <w:szCs w:val="20"/>
          <w:color w:val="auto"/>
        </w:rPr>
      </w:pPr>
      <w:r>
        <w:rPr>
          <w:rFonts w:ascii="Times New Roman" w:cs="Times New Roman" w:eastAsia="Times New Roman" w:hAnsi="Times New Roman"/>
          <w:sz w:val="20"/>
          <w:szCs w:val="20"/>
          <w:color w:val="auto"/>
        </w:rPr>
        <w:t>On February 7, 2025, the Company received a conversion notice and issued and allotted 17,105,450 ordinary shares (equivalent to 3,421,090 ADSs) on the non-cash conversion of the outstanding principal and accrued interest of the Novartis Loan Note.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4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On an ongoing basis, we evaluate our accounting estimates based on historical experience and on various other assumptions that we believe are reasonable under the circumstances. The actual impact on our financial performance could differ from these estimates under different assumptions or conditions.</w:t>
      </w:r>
    </w:p>
    <w:p>
      <w:pPr>
        <w:spacing w:after="0" w:line="197"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An accounting estimate is considered critical if both (i) the nature of the estimates or assumptions is material due to the levels of subjectivity and judgment involved, and (ii) the impact within a reasonable range of outcomes of the estimates and assumptions is material to our consolidated financial statements. We believe that there are no estimates and assumptions made in our consolidated financial statements that rise to this level. For further information on all of our significant accounting policies, see Note 2 — Summary of Significant Accounting Policies in the accompanying notes to the consolidated financial statements included in Part II, Item 8, “Financial Statements and Supplementary Data” of this Annual Report on Form 10-K.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3" w:lineRule="exact"/>
        <w:rPr>
          <w:sz w:val="20"/>
          <w:szCs w:val="20"/>
          <w:color w:val="auto"/>
        </w:rPr>
      </w:pPr>
    </w:p>
    <w:p>
      <w:pPr>
        <w:ind w:right="360" w:firstLine="720"/>
        <w:spacing w:after="0" w:line="279" w:lineRule="auto"/>
        <w:rPr>
          <w:sz w:val="20"/>
          <w:szCs w:val="20"/>
          <w:color w:val="auto"/>
        </w:rPr>
      </w:pPr>
      <w:r>
        <w:rPr>
          <w:rFonts w:ascii="Times New Roman" w:cs="Times New Roman" w:eastAsia="Times New Roman" w:hAnsi="Times New Roman"/>
          <w:sz w:val="20"/>
          <w:szCs w:val="20"/>
          <w:color w:val="auto"/>
        </w:rPr>
        <w:t>We are exposed to a variety of financial risks. Our overall risk management program seeks to minimize potential adverse effects of these financial risks on our financial performance.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38"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As of December 31, 2024, we held cash and cash equivalents of $69.8 million. Our exposure to interest rate sensitivity is impacted by changes in the underlying U.S. and U.K. bank interest rates. We manage interest rate risk by monitoring short and medium-term interest rates and placing cash on deposit for periods that optimize the amount of interest earned while maintaining access to sufficient funds to meet day-to-day cash requirements. Interest payable on our convertible loan notes is fixed.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value of our cash and cash equivalents, and therefore we do not expect our operating results or cash flows to be significantly affected by changes in market interest 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238"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We currently maintain the consolidated financial statements of the Company in pounds sterling, but for financial reporting purposes our consolidated financial statements have been presented in U.S dollars, the reporting currency. Monetary assets and liabilities denominated in currencies other than the functional currency are translated into the functional currency at rates prevailing at the date of the transaction. Exchange gains or losses arising from foreign currency transactions are included in the consolidated statements of operations and comprehensive loss, as foreign currency transaction gain/(loss). The financial statements of our</w:t>
      </w:r>
    </w:p>
    <w:p>
      <w:pPr>
        <w:sectPr>
          <w:pgSz w:w="11880" w:h="15480" w:orient="portrait"/>
          <w:cols w:equalWidth="0" w:num="1">
            <w:col w:w="10780"/>
          </w:cols>
          <w:pgMar w:left="540" w:top="748" w:right="560" w:bottom="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780"/>
          </w:cols>
          <w:pgMar w:left="540" w:top="748" w:right="560" w:bottom="0" w:gutter="0" w:footer="0" w:header="0"/>
          <w:type w:val="continuous"/>
        </w:sectPr>
      </w:pPr>
    </w:p>
    <w:bookmarkStart w:id="98" w:name="page99"/>
    <w:bookmarkEnd w:id="98"/>
    <w:p>
      <w:pPr>
        <w:ind w:right="60"/>
        <w:spacing w:after="0" w:line="247" w:lineRule="auto"/>
        <w:rPr>
          <w:sz w:val="20"/>
          <w:szCs w:val="20"/>
          <w:color w:val="auto"/>
        </w:rPr>
      </w:pPr>
      <w:r>
        <w:rPr>
          <w:rFonts w:ascii="Times New Roman" w:cs="Times New Roman" w:eastAsia="Times New Roman" w:hAnsi="Times New Roman"/>
          <w:sz w:val="20"/>
          <w:szCs w:val="20"/>
          <w:color w:val="auto"/>
        </w:rPr>
        <w:t>consolidated subsidiaries are translated from their functional currency into the reporting currency as follows: assets and liabilities are translated at the exchange rates at the balance sheet dates, expenses are translated at the average exchange rates for the relevant period and shareholders' equity is translated based on historical exchange rates. Translation adjustments are not included in determining net loss but are included as a foreign exchange adjustment to the comprehensive loss, a component of the shareholders’ equity. For the year ended December 31, 2024, $1.4 million of unrealized loss on foreign currency translation was included in other comprehensive loss compared to an unrealized gain of $4.2 million for the year ended December 31, 2023.</w:t>
      </w:r>
    </w:p>
    <w:p>
      <w:pPr>
        <w:spacing w:after="0" w:line="200"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We monitor our exposure to foreign exchange risk. We have not entered into foreign exchange contracts to hedge against foreign exchange fluctuations but maintain cash and short-term deposits in U.S. dollars to cover anticipated forward commitments, to provide a natural hedge against the impact of foreign exchange rate movements, but there can be no assurance that we will be fully protected against material foreign currency fluctuations.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 Risk</w:t>
      </w:r>
    </w:p>
    <w:p>
      <w:pPr>
        <w:spacing w:after="0" w:line="238"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Inflation may generally affect us by increasing our personnel costs, research and development expenses and general operating expenses. While we have experienced increased operating expenses in recent periods, which we believe are due in part to the recent growth in inflation, we do not believe that inflation has had a material effect on our business, financial condition or results of operations during the year ended December 31, 2024; however, operating expenses may continue to increase in future periods due to inflation.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22" w:lineRule="exact"/>
        <w:rPr>
          <w:sz w:val="20"/>
          <w:szCs w:val="20"/>
          <w:color w:val="auto"/>
        </w:rPr>
      </w:pPr>
    </w:p>
    <w:p>
      <w:pPr>
        <w:ind w:right="240" w:firstLine="720"/>
        <w:spacing w:after="0" w:line="257" w:lineRule="auto"/>
        <w:rPr>
          <w:sz w:val="20"/>
          <w:szCs w:val="20"/>
          <w:color w:val="auto"/>
        </w:rPr>
      </w:pPr>
      <w:r>
        <w:rPr>
          <w:rFonts w:ascii="Times New Roman" w:cs="Times New Roman" w:eastAsia="Times New Roman" w:hAnsi="Times New Roman"/>
          <w:sz w:val="20"/>
          <w:szCs w:val="20"/>
          <w:color w:val="auto"/>
        </w:rPr>
        <w:t>The financial statements required to be filed pursuant to this Item 8 are appended to this report. An index of those financial statements is found in Item 15.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2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officer and principal financial officer, has evaluated the effectiveness of our disclosure controls and procedures (as such term is defined in Rules 13a-15(e) and 15d-15(e) under the Exchange Act and regulations promulgated thereunder) as of December 31, 2024, or the Evaluation Date. Based on such evaluation, our principal executive officer and principal financial officer have concluded that, as of the Evaluation Date, our disclosure controls and procedures were effective in recording, processing, summarizing and reporting, on a timely basis, information required to be included in periodic filings under the Exchange Act and that such information is accumulated and communicated to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06"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accounting principles generally accepted in the United States of America.</w:t>
      </w:r>
    </w:p>
    <w:p>
      <w:pPr>
        <w:spacing w:after="0" w:line="192"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75"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Based on this assessment, our management concluded that, as of December 31, 2024, our internal control over financial reporting was effective.</w:t>
      </w:r>
    </w:p>
    <w:p>
      <w:pPr>
        <w:sectPr>
          <w:pgSz w:w="11880" w:h="15480" w:orient="portrait"/>
          <w:cols w:equalWidth="0" w:num="1">
            <w:col w:w="10800"/>
          </w:cols>
          <w:pgMar w:left="540" w:top="748" w:right="540" w:bottom="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800"/>
          </w:cols>
          <w:pgMar w:left="540" w:top="748" w:right="54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Attestation Report of the Registered Public Accounting Firm</w:t>
      </w:r>
    </w:p>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87" w:lineRule="exact"/>
        <w:rPr>
          <w:sz w:val="20"/>
          <w:szCs w:val="20"/>
          <w:color w:val="auto"/>
        </w:rPr>
      </w:pPr>
    </w:p>
    <w:p>
      <w:pPr>
        <w:ind w:firstLine="720"/>
        <w:spacing w:after="0" w:line="237"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Rules 13a-15(f) and 15d-15(f) under the Exchange Act) that occurred during the quarter ended December 31, 2024 that has materially affected, or is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408 Regulation S-K Compliance</w:t>
      </w:r>
    </w:p>
    <w:p>
      <w:pPr>
        <w:spacing w:after="0" w:line="243" w:lineRule="exact"/>
        <w:rPr>
          <w:sz w:val="20"/>
          <w:szCs w:val="20"/>
          <w:color w:val="auto"/>
        </w:rPr>
      </w:pPr>
    </w:p>
    <w:p>
      <w:pPr>
        <w:jc w:val="both"/>
        <w:ind w:right="60" w:firstLine="720"/>
        <w:spacing w:after="0" w:line="259" w:lineRule="auto"/>
        <w:rPr>
          <w:sz w:val="20"/>
          <w:szCs w:val="20"/>
          <w:color w:val="auto"/>
        </w:rPr>
      </w:pPr>
      <w:r>
        <w:rPr>
          <w:rFonts w:ascii="Times New Roman" w:cs="Times New Roman" w:eastAsia="Times New Roman" w:hAnsi="Times New Roman"/>
          <w:sz w:val="20"/>
          <w:szCs w:val="20"/>
          <w:color w:val="auto"/>
        </w:rPr>
        <w:t>During the quarter ended December 31, 2024, no director or officer (as defined in Rule 16a-1(f) of the Exchange Act) of the Company adopted, modified or terminated a “Rule 10b5-1 trading arrangement” or “non-Rule 10b5-1 trading arrangement,” as each term is defined in Item 408 of Regulation 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720"/>
          </w:cols>
          <w:pgMar w:left="540" w:top="726"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720"/>
          </w:cols>
          <w:pgMar w:left="540" w:top="726" w:right="620" w:bottom="0" w:gutter="0" w:footer="0" w:header="0"/>
          <w:type w:val="continuous"/>
        </w:sectPr>
      </w:pPr>
    </w:p>
    <w:bookmarkStart w:id="100" w:name="page101"/>
    <w:bookmarkEnd w:id="100"/>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3" w:lineRule="exact"/>
        <w:rPr>
          <w:sz w:val="20"/>
          <w:szCs w:val="20"/>
          <w:color w:val="auto"/>
        </w:rPr>
      </w:pPr>
    </w:p>
    <w:p>
      <w:pPr>
        <w:ind w:right="480" w:firstLine="72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is set forth in our 2025 Proxy Statement under “Board of Directors and Corporate Governance” and “Executive Officers of the Company” to be filed with the SEC within 120 days of December 31, 2024 and is incorporated by reference into this Annual Report on Form 10-K.</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3" w:lineRule="exact"/>
        <w:rPr>
          <w:sz w:val="20"/>
          <w:szCs w:val="20"/>
          <w:color w:val="auto"/>
        </w:rPr>
      </w:pPr>
    </w:p>
    <w:p>
      <w:pPr>
        <w:ind w:right="220" w:firstLine="720"/>
        <w:spacing w:after="0" w:line="279" w:lineRule="auto"/>
        <w:rPr>
          <w:sz w:val="20"/>
          <w:szCs w:val="20"/>
          <w:color w:val="auto"/>
        </w:rPr>
      </w:pPr>
      <w:r>
        <w:rPr>
          <w:rFonts w:ascii="Times New Roman" w:cs="Times New Roman" w:eastAsia="Times New Roman" w:hAnsi="Times New Roman"/>
          <w:sz w:val="20"/>
          <w:szCs w:val="20"/>
          <w:color w:val="auto"/>
        </w:rPr>
        <w:t>The information required by this Item is set forth in our 2025 Proxy Statement under “Executive Compensation” to be filed with the SEC within 120 days of December 31, 2024 and is incorporated by reference into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3"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is set forth in our 2025 Proxy Statement under “Security Ownership of Certain Beneficial Owners and Management” to be filed with the SEC within 120 days of December 31, 2024 and is incorporated by reference into this Annual Report on Form 10-K.</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3" w:lineRule="exact"/>
        <w:rPr>
          <w:sz w:val="20"/>
          <w:szCs w:val="20"/>
          <w:color w:val="auto"/>
        </w:rPr>
      </w:pPr>
    </w:p>
    <w:p>
      <w:pPr>
        <w:ind w:right="140" w:firstLine="72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is set forth in our 2025 Proxy Statement under “Transactions with Related Persons” and “Corporate Governance—Composition of the Mereo Board” to be filed with the SEC within 120 days of December 31, 2024 and is incorporated by reference into this Annual Report on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43"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is set forth in our 2025 Proxy Statement under “Fees for Independent Registered Public Accounting Firm—PwC” to be filed with the SEC within 120 days of December 31, 2024 and is incorporated by reference into this Annual Report on Form 10-K.</w:t>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800"/>
          </w:cols>
          <w:pgMar w:left="540" w:top="745" w:right="54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1.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93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As part of this Annual Report on Form 10-K, the consolidated financial statements are as follows:</w:t>
            </w:r>
          </w:p>
        </w:tc>
        <w:tc>
          <w:tcPr>
            <w:tcW w:w="1220" w:type="dxa"/>
            <w:vAlign w:val="bottom"/>
          </w:tcPr>
          <w:p>
            <w:pPr>
              <w:spacing w:after="0"/>
              <w:rPr>
                <w:sz w:val="23"/>
                <w:szCs w:val="23"/>
                <w:color w:val="auto"/>
              </w:rPr>
            </w:pPr>
          </w:p>
        </w:tc>
      </w:tr>
      <w:tr>
        <w:trPr>
          <w:trHeight w:val="704"/>
        </w:trPr>
        <w:tc>
          <w:tcPr>
            <w:tcW w:w="9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Audited Financial Statements</w:t>
            </w:r>
          </w:p>
        </w:tc>
        <w:tc>
          <w:tcPr>
            <w:tcW w:w="1220" w:type="dxa"/>
            <w:vAlign w:val="bottom"/>
          </w:tcPr>
          <w:p>
            <w:pPr>
              <w:jc w:val="center"/>
              <w:ind w:left="70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56"/>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1220" w:type="dxa"/>
            <w:vAlign w:val="bottom"/>
          </w:tcPr>
          <w:p>
            <w:pPr>
              <w:jc w:val="center"/>
              <w:ind w:left="680"/>
              <w:spacing w:after="0"/>
              <w:rPr>
                <w:sz w:val="20"/>
                <w:szCs w:val="20"/>
                <w:color w:val="auto"/>
              </w:rPr>
            </w:pPr>
            <w:r>
              <w:rPr>
                <w:rFonts w:ascii="Times New Roman" w:cs="Times New Roman" w:eastAsia="Times New Roman" w:hAnsi="Times New Roman"/>
                <w:sz w:val="20"/>
                <w:szCs w:val="20"/>
                <w:color w:val="auto"/>
              </w:rPr>
              <w:t>F-2</w:t>
            </w:r>
          </w:p>
        </w:tc>
      </w:tr>
      <w:tr>
        <w:trPr>
          <w:trHeight w:val="460"/>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1220" w:type="dxa"/>
            <w:vAlign w:val="bottom"/>
          </w:tcPr>
          <w:p>
            <w:pPr>
              <w:jc w:val="center"/>
              <w:ind w:left="680"/>
              <w:spacing w:after="0"/>
              <w:rPr>
                <w:sz w:val="20"/>
                <w:szCs w:val="20"/>
                <w:color w:val="auto"/>
              </w:rPr>
            </w:pPr>
            <w:r>
              <w:rPr>
                <w:rFonts w:ascii="Times New Roman" w:cs="Times New Roman" w:eastAsia="Times New Roman" w:hAnsi="Times New Roman"/>
                <w:sz w:val="20"/>
                <w:szCs w:val="20"/>
                <w:color w:val="auto"/>
              </w:rPr>
              <w:t>F-4</w:t>
            </w:r>
          </w:p>
        </w:tc>
      </w:tr>
      <w:tr>
        <w:trPr>
          <w:trHeight w:val="460"/>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w:t>
            </w:r>
          </w:p>
        </w:tc>
        <w:tc>
          <w:tcPr>
            <w:tcW w:w="1220" w:type="dxa"/>
            <w:vAlign w:val="bottom"/>
          </w:tcPr>
          <w:p>
            <w:pPr>
              <w:jc w:val="center"/>
              <w:ind w:left="680"/>
              <w:spacing w:after="0"/>
              <w:rPr>
                <w:sz w:val="20"/>
                <w:szCs w:val="20"/>
                <w:color w:val="auto"/>
              </w:rPr>
            </w:pPr>
            <w:r>
              <w:rPr>
                <w:rFonts w:ascii="Times New Roman" w:cs="Times New Roman" w:eastAsia="Times New Roman" w:hAnsi="Times New Roman"/>
                <w:sz w:val="20"/>
                <w:szCs w:val="20"/>
                <w:color w:val="auto"/>
              </w:rPr>
              <w:t>F-5</w:t>
            </w:r>
          </w:p>
        </w:tc>
      </w:tr>
      <w:tr>
        <w:trPr>
          <w:trHeight w:val="460"/>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1220" w:type="dxa"/>
            <w:vAlign w:val="bottom"/>
          </w:tcPr>
          <w:p>
            <w:pPr>
              <w:jc w:val="center"/>
              <w:ind w:left="680"/>
              <w:spacing w:after="0"/>
              <w:rPr>
                <w:sz w:val="20"/>
                <w:szCs w:val="20"/>
                <w:color w:val="auto"/>
              </w:rPr>
            </w:pPr>
            <w:r>
              <w:rPr>
                <w:rFonts w:ascii="Times New Roman" w:cs="Times New Roman" w:eastAsia="Times New Roman" w:hAnsi="Times New Roman"/>
                <w:sz w:val="20"/>
                <w:szCs w:val="20"/>
                <w:color w:val="auto"/>
              </w:rPr>
              <w:t>F-6</w:t>
            </w:r>
          </w:p>
        </w:tc>
      </w:tr>
      <w:tr>
        <w:trPr>
          <w:trHeight w:val="460"/>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shareholders’ equity</w:t>
            </w:r>
          </w:p>
        </w:tc>
        <w:tc>
          <w:tcPr>
            <w:tcW w:w="1220" w:type="dxa"/>
            <w:vAlign w:val="bottom"/>
          </w:tcPr>
          <w:p>
            <w:pPr>
              <w:jc w:val="center"/>
              <w:ind w:left="680"/>
              <w:spacing w:after="0"/>
              <w:rPr>
                <w:sz w:val="20"/>
                <w:szCs w:val="20"/>
                <w:color w:val="auto"/>
              </w:rPr>
            </w:pPr>
            <w:r>
              <w:rPr>
                <w:rFonts w:ascii="Times New Roman" w:cs="Times New Roman" w:eastAsia="Times New Roman" w:hAnsi="Times New Roman"/>
                <w:sz w:val="20"/>
                <w:szCs w:val="20"/>
                <w:color w:val="auto"/>
              </w:rPr>
              <w:t>F-7</w:t>
            </w:r>
          </w:p>
        </w:tc>
      </w:tr>
      <w:tr>
        <w:trPr>
          <w:trHeight w:val="460"/>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220" w:type="dxa"/>
            <w:vAlign w:val="bottom"/>
          </w:tcPr>
          <w:p>
            <w:pPr>
              <w:jc w:val="center"/>
              <w:ind w:left="680"/>
              <w:spacing w:after="0"/>
              <w:rPr>
                <w:sz w:val="20"/>
                <w:szCs w:val="20"/>
                <w:color w:val="auto"/>
              </w:rPr>
            </w:pPr>
            <w:r>
              <w:rPr>
                <w:rFonts w:ascii="Times New Roman" w:cs="Times New Roman" w:eastAsia="Times New Roman" w:hAnsi="Times New Roman"/>
                <w:sz w:val="20"/>
                <w:szCs w:val="20"/>
                <w:color w:val="auto"/>
              </w:rPr>
              <w:t>F-8</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Financial Statement Schedules</w:t>
      </w:r>
    </w:p>
    <w:p>
      <w:pPr>
        <w:spacing w:after="0" w:line="243" w:lineRule="exact"/>
        <w:rPr>
          <w:sz w:val="20"/>
          <w:szCs w:val="20"/>
          <w:color w:val="auto"/>
        </w:rPr>
      </w:pPr>
    </w:p>
    <w:p>
      <w:pPr>
        <w:ind w:right="180" w:firstLine="720"/>
        <w:spacing w:after="0" w:line="279" w:lineRule="auto"/>
        <w:rPr>
          <w:sz w:val="20"/>
          <w:szCs w:val="20"/>
          <w:color w:val="auto"/>
        </w:rPr>
      </w:pPr>
      <w:r>
        <w:rPr>
          <w:rFonts w:ascii="Times New Roman" w:cs="Times New Roman" w:eastAsia="Times New Roman" w:hAnsi="Times New Roman"/>
          <w:sz w:val="20"/>
          <w:szCs w:val="20"/>
          <w:color w:val="auto"/>
        </w:rPr>
        <w:t>All schedules have been omitted because they are not required, not applicable, not present in amounts sufficient to require submission of the schedule, or the required information is otherwise included.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Exhibit Index</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is a list of exhibits filed as part of this Annual Report on Form 10-K or are incorporated herein by reference.</w:t>
      </w: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720" w:type="dxa"/>
            <w:vAlign w:val="bottom"/>
          </w:tcPr>
          <w:p>
            <w:pPr>
              <w:ind w:left="406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r>
      <w:tr>
        <w:trPr>
          <w:trHeight w:val="275"/>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9720" w:type="dxa"/>
            <w:vAlign w:val="bottom"/>
          </w:tcPr>
          <w:p>
            <w:pPr>
              <w:spacing w:after="0"/>
              <w:rPr>
                <w:sz w:val="23"/>
                <w:szCs w:val="23"/>
                <w:color w:val="auto"/>
              </w:rPr>
            </w:pPr>
          </w:p>
        </w:tc>
      </w:tr>
      <w:tr>
        <w:trPr>
          <w:trHeight w:val="41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Agreement and Plan of Merger and Reorganization, dated December 5, 2018, by and among Mereo BioPharma Group</w:t>
            </w:r>
          </w:p>
        </w:tc>
      </w:tr>
      <w:tr>
        <w:trPr>
          <w:trHeight w:val="230"/>
        </w:trPr>
        <w:tc>
          <w:tcPr>
            <w:tcW w:w="88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plc, Mereo US Holdings Inc., Mereo MergerCo One Inc. and OncoMed Pharmaceuticals, Inc. (incorporated by</w:t>
            </w:r>
          </w:p>
        </w:tc>
      </w:tr>
      <w:tr>
        <w:trPr>
          <w:trHeight w:val="268"/>
        </w:trPr>
        <w:tc>
          <w:tcPr>
            <w:tcW w:w="880" w:type="dxa"/>
            <w:vAlign w:val="bottom"/>
          </w:tcPr>
          <w:p>
            <w:pPr>
              <w:spacing w:after="0"/>
              <w:rPr>
                <w:sz w:val="23"/>
                <w:szCs w:val="23"/>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reference to Exhibit 2.1 to Mereo’s Form F-4/A filed March 15, 2019 (File No. 333-229351)).</w:t>
            </w:r>
          </w:p>
        </w:tc>
      </w:tr>
      <w:tr>
        <w:trPr>
          <w:trHeight w:val="42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BCT197 Asset Purchase Agreement, dated July 28, 2015, by and between Mereo BioPharma 1 Limited and Novartis</w:t>
            </w:r>
          </w:p>
        </w:tc>
      </w:tr>
      <w:tr>
        <w:trPr>
          <w:trHeight w:val="230"/>
        </w:trPr>
        <w:tc>
          <w:tcPr>
            <w:tcW w:w="88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Pharma AG (incorporated by reference to Exhibit 10.20 to Mereo’s Form F-4 filed January 25, 2019 (File No. 333-</w:t>
            </w:r>
          </w:p>
        </w:tc>
      </w:tr>
      <w:tr>
        <w:trPr>
          <w:trHeight w:val="268"/>
        </w:trPr>
        <w:tc>
          <w:tcPr>
            <w:tcW w:w="880" w:type="dxa"/>
            <w:vAlign w:val="bottom"/>
          </w:tcPr>
          <w:p>
            <w:pPr>
              <w:spacing w:after="0"/>
              <w:rPr>
                <w:sz w:val="23"/>
                <w:szCs w:val="23"/>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229351)).</w:t>
            </w:r>
          </w:p>
        </w:tc>
      </w:tr>
      <w:tr>
        <w:trPr>
          <w:trHeight w:val="42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2.2.1</w:t>
            </w: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Addendum to the Asset Purchase Agreement, dated April 12, 2016, by and between Mereo BioPharma 1 Limited and</w:t>
            </w:r>
          </w:p>
        </w:tc>
      </w:tr>
      <w:tr>
        <w:trPr>
          <w:trHeight w:val="230"/>
        </w:trPr>
        <w:tc>
          <w:tcPr>
            <w:tcW w:w="88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Novartis Pharma AG (incorporated by reference to Exhibit 10.20.3 to Mereo’s Form F-4 filed January 25, 2019 (File</w:t>
            </w:r>
          </w:p>
        </w:tc>
      </w:tr>
      <w:tr>
        <w:trPr>
          <w:trHeight w:val="268"/>
        </w:trPr>
        <w:tc>
          <w:tcPr>
            <w:tcW w:w="880" w:type="dxa"/>
            <w:vAlign w:val="bottom"/>
          </w:tcPr>
          <w:p>
            <w:pPr>
              <w:spacing w:after="0"/>
              <w:rPr>
                <w:sz w:val="23"/>
                <w:szCs w:val="23"/>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 333-229351)).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2.2.2</w:t>
            </w: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Addendum to the Asset Purchase Agreement, dated October 4, 2017, by and between Mereo BioPharma 1 Limited and</w:t>
            </w:r>
          </w:p>
        </w:tc>
      </w:tr>
      <w:tr>
        <w:trPr>
          <w:trHeight w:val="230"/>
        </w:trPr>
        <w:tc>
          <w:tcPr>
            <w:tcW w:w="88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Novartis Pharma AG (incorporated by reference to Exhibit 10.20.2 to Mereo’s Form F-4 filed January 25, 2019 (File</w:t>
            </w:r>
          </w:p>
        </w:tc>
      </w:tr>
      <w:tr>
        <w:trPr>
          <w:trHeight w:val="268"/>
        </w:trPr>
        <w:tc>
          <w:tcPr>
            <w:tcW w:w="880" w:type="dxa"/>
            <w:vAlign w:val="bottom"/>
          </w:tcPr>
          <w:p>
            <w:pPr>
              <w:spacing w:after="0"/>
              <w:rPr>
                <w:sz w:val="23"/>
                <w:szCs w:val="23"/>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 333-229351)).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2.2.3</w:t>
            </w: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Amendment Agreement for BCT197, dated October 19, 2018, by and between Mereo BioPharma 1 Limited and</w:t>
            </w:r>
          </w:p>
        </w:tc>
      </w:tr>
      <w:tr>
        <w:trPr>
          <w:trHeight w:val="230"/>
        </w:trPr>
        <w:tc>
          <w:tcPr>
            <w:tcW w:w="88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Novartis Pharma AG (incorporated into by reference to Exhibit 10.20.1 to Mereo’s Form F-4 filed January 25, 2019</w:t>
            </w:r>
          </w:p>
        </w:tc>
      </w:tr>
      <w:tr>
        <w:trPr>
          <w:trHeight w:val="268"/>
        </w:trPr>
        <w:tc>
          <w:tcPr>
            <w:tcW w:w="880" w:type="dxa"/>
            <w:vAlign w:val="bottom"/>
          </w:tcPr>
          <w:p>
            <w:pPr>
              <w:spacing w:after="0"/>
              <w:rPr>
                <w:sz w:val="23"/>
                <w:szCs w:val="23"/>
                <w:color w:val="auto"/>
              </w:rPr>
            </w:pPr>
          </w:p>
        </w:tc>
        <w:tc>
          <w:tcPr>
            <w:tcW w:w="9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(File No. 333-229351)).</w:t>
            </w:r>
          </w:p>
        </w:tc>
      </w:tr>
    </w:tbl>
    <w:p>
      <w:pPr>
        <w:spacing w:after="0" w:line="200" w:lineRule="exact"/>
        <w:rPr>
          <w:sz w:val="20"/>
          <w:szCs w:val="20"/>
          <w:color w:val="auto"/>
        </w:rPr>
      </w:pPr>
    </w:p>
    <w:p>
      <w:pPr>
        <w:sectPr>
          <w:pgSz w:w="12600" w:h="16200" w:orient="portrait"/>
          <w:cols w:equalWidth="0" w:num="1">
            <w:col w:w="10660"/>
          </w:cols>
          <w:pgMar w:left="900" w:top="1105" w:right="1040" w:bottom="3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100</w:t>
      </w:r>
    </w:p>
    <w:p>
      <w:pPr>
        <w:sectPr>
          <w:pgSz w:w="12600" w:h="16200" w:orient="portrait"/>
          <w:cols w:equalWidth="0" w:num="1">
            <w:col w:w="10660"/>
          </w:cols>
          <w:pgMar w:left="900" w:top="1105" w:right="1040" w:bottom="357"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740" w:type="dxa"/>
            <w:vAlign w:val="bottom"/>
          </w:tcPr>
          <w:p>
            <w:pPr>
              <w:ind w:left="406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r>
      <w:tr>
        <w:trPr>
          <w:trHeight w:val="233"/>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974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BGS649 Asset Purchase Agreement, dated July 28, 2015, by and between Mereo BioPharma 2 Limited and Novartis</w:t>
            </w:r>
          </w:p>
        </w:tc>
      </w:tr>
      <w:tr>
        <w:trPr>
          <w:trHeight w:val="230"/>
        </w:trPr>
        <w:tc>
          <w:tcPr>
            <w:tcW w:w="880" w:type="dxa"/>
            <w:vAlign w:val="bottom"/>
          </w:tcPr>
          <w:p>
            <w:pPr>
              <w:spacing w:after="0"/>
              <w:rPr>
                <w:sz w:val="19"/>
                <w:szCs w:val="19"/>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Pharma AG (incorporated by reference to Exhibit 10.21 to Mereo’s Form F-4 filed January 25, 2019 (File No. 333-</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Addendum to the Asset Purchase Agreement, dated August 17, 2017, by and between Mereo BioPharma 2 Limited and</w:t>
            </w:r>
          </w:p>
        </w:tc>
      </w:tr>
      <w:tr>
        <w:trPr>
          <w:trHeight w:val="230"/>
        </w:trPr>
        <w:tc>
          <w:tcPr>
            <w:tcW w:w="880" w:type="dxa"/>
            <w:vAlign w:val="bottom"/>
          </w:tcPr>
          <w:p>
            <w:pPr>
              <w:spacing w:after="0"/>
              <w:rPr>
                <w:sz w:val="19"/>
                <w:szCs w:val="19"/>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Novartis Pharma AG (incorporated by reference to Exhibit 10.21.2 to Mereo’s Form F-4 filed January 25, 2019 (File</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 333-229351)).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2.3.2</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Amendment Agreement for BGS649, dated October 19, 2018, by and between Mereo BioPharma 2 Limited and</w:t>
            </w:r>
          </w:p>
        </w:tc>
      </w:tr>
      <w:tr>
        <w:trPr>
          <w:trHeight w:val="230"/>
        </w:trPr>
        <w:tc>
          <w:tcPr>
            <w:tcW w:w="880" w:type="dxa"/>
            <w:vAlign w:val="bottom"/>
          </w:tcPr>
          <w:p>
            <w:pPr>
              <w:spacing w:after="0"/>
              <w:rPr>
                <w:sz w:val="19"/>
                <w:szCs w:val="19"/>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Novartis Pharma AG (incorporated by reference to Exhibit 10.21.1 to Mereo’s Form F-4 filed January 25, 2019 (File</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 333-229351)).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BPS804 Asset Purchase Agreement, dated July 28, 2015, by and between Mereo BioPharma 3 Limited and Novartis</w:t>
            </w:r>
          </w:p>
        </w:tc>
      </w:tr>
      <w:tr>
        <w:trPr>
          <w:trHeight w:val="230"/>
        </w:trPr>
        <w:tc>
          <w:tcPr>
            <w:tcW w:w="880" w:type="dxa"/>
            <w:vAlign w:val="bottom"/>
          </w:tcPr>
          <w:p>
            <w:pPr>
              <w:spacing w:after="0"/>
              <w:rPr>
                <w:sz w:val="19"/>
                <w:szCs w:val="19"/>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Pharma AG (incorporated by reference to Exhibit 10.22 to Mereo’s Form F-4 filed January 25, 2019 (File No. 333-</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Addendum to the Asset Purchase Agreement, dated December 21, 2016, by and between Mereo BioPharma 3 Limited</w:t>
            </w:r>
          </w:p>
        </w:tc>
      </w:tr>
      <w:tr>
        <w:trPr>
          <w:trHeight w:val="230"/>
        </w:trPr>
        <w:tc>
          <w:tcPr>
            <w:tcW w:w="880" w:type="dxa"/>
            <w:vAlign w:val="bottom"/>
          </w:tcPr>
          <w:p>
            <w:pPr>
              <w:spacing w:after="0"/>
              <w:rPr>
                <w:sz w:val="19"/>
                <w:szCs w:val="19"/>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and Novartis Pharma AG (incorporated by reference to Exhibit 10.22.2 to Mereo’s Form F-4 filed January 25, 2019</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(File No. 333-229351)).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2.4.2†</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Amendment Agreement, dated August 10, 2018, by and between Mereo BioPharma 3 Limited and Novartis Pharma</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AG (incorporated by reference to Exhibit 10.22.1 to Mereo’s Form F-4 filed January 25, 2019 (File No. 333-229351)).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Articles of Association of the Company (incorporated by reference to Exhibit 3.1 to Mereo’s Form 6-K, filed with the</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SEC on December 18, 2022 (File 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American Depositary Receipt of Mereo BioPharma Group plc (incorporated by reference to Exhibit 4.3 to</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Mereo’s Form F-4/A filed March 15, 2019 (File No. 333-229351)).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Description of Securities Registered under Section 12 of the Exchange Act (incorporated by reference to Exhibit 4.2 to</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Mereo’s Form 10-K filed March 27, 2024 (File 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Sublicense Agreement, dated July 29, 2015, by and between Mereo BioPharma 3 Limited and Novartis Pharma AG</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10.23 to Mereo’s Form F-4 filed January 25, 2019 (File No. 333- 229351)).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 †</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Exclusive License and Option Agreement, dated October 28, 2017, by and between Mereo BioPharma 4 Limited and</w:t>
            </w:r>
          </w:p>
        </w:tc>
      </w:tr>
      <w:tr>
        <w:trPr>
          <w:trHeight w:val="230"/>
        </w:trPr>
        <w:tc>
          <w:tcPr>
            <w:tcW w:w="880" w:type="dxa"/>
            <w:vAlign w:val="bottom"/>
          </w:tcPr>
          <w:p>
            <w:pPr>
              <w:spacing w:after="0"/>
              <w:rPr>
                <w:sz w:val="19"/>
                <w:szCs w:val="19"/>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AstraZeneca AB (incorporated by reference to Exhibit 10.24 to Mereo’s Form F-4 filed January 25, 2019 (File No.</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333-229351)).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Deed of Indemnity for members of the board of directors of Mereo BioPharma Group plc (incorporated by</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reference to Exhibit 10.26 to Mereo’s Form F-4 filed January 25, 2019 (File No. 333-229351)).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Contingent Value Rights Agreement by and between Computershare, Inc., as rights agent, and Mereo</w:t>
            </w:r>
          </w:p>
        </w:tc>
      </w:tr>
      <w:tr>
        <w:trPr>
          <w:trHeight w:val="230"/>
        </w:trPr>
        <w:tc>
          <w:tcPr>
            <w:tcW w:w="880" w:type="dxa"/>
            <w:vAlign w:val="bottom"/>
          </w:tcPr>
          <w:p>
            <w:pPr>
              <w:spacing w:after="0"/>
              <w:rPr>
                <w:sz w:val="19"/>
                <w:szCs w:val="19"/>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BioPharma Group plc (incorporated by reference to Annex B to Mereo’s Form F-4/A filed March 15, 2019 (File No.</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333-229351)).</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Mereo BioPharma Group plc 2019 Equity Incentive Plan, as amended on February 13, 2020 and January 15, 2021</w:t>
            </w:r>
          </w:p>
        </w:tc>
      </w:tr>
      <w:tr>
        <w:trPr>
          <w:trHeight w:val="230"/>
        </w:trPr>
        <w:tc>
          <w:tcPr>
            <w:tcW w:w="880" w:type="dxa"/>
            <w:vAlign w:val="bottom"/>
          </w:tcPr>
          <w:p>
            <w:pPr>
              <w:spacing w:after="0"/>
              <w:rPr>
                <w:sz w:val="19"/>
                <w:szCs w:val="19"/>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99.1 to Mereo’s Form S-8 filed January 15, 2021 (File No.</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333-252147)).</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Deed of Consent and Amendment to Convertible Loan Note Instrument, dated December 17, 2020 between Mereo</w:t>
            </w:r>
          </w:p>
        </w:tc>
      </w:tr>
      <w:tr>
        <w:trPr>
          <w:trHeight w:val="230"/>
        </w:trPr>
        <w:tc>
          <w:tcPr>
            <w:tcW w:w="880" w:type="dxa"/>
            <w:vAlign w:val="bottom"/>
          </w:tcPr>
          <w:p>
            <w:pPr>
              <w:spacing w:after="0"/>
              <w:rPr>
                <w:sz w:val="19"/>
                <w:szCs w:val="19"/>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BioPharma Group plc. and the Noteholders named therein (incorporated by reference to Exhibit 4.21 to Mereo’s 20-F</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filed March 31, 2021 (File 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Mereo BioPharma Group plc 2019 Non-Employee Equity Incentive Plan, as amended on February 13, 2020 and</w:t>
            </w:r>
          </w:p>
        </w:tc>
      </w:tr>
      <w:tr>
        <w:trPr>
          <w:trHeight w:val="230"/>
        </w:trPr>
        <w:tc>
          <w:tcPr>
            <w:tcW w:w="880" w:type="dxa"/>
            <w:vAlign w:val="bottom"/>
          </w:tcPr>
          <w:p>
            <w:pPr>
              <w:spacing w:after="0"/>
              <w:rPr>
                <w:sz w:val="19"/>
                <w:szCs w:val="19"/>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January 15, 2021 (incorporated by reference to Exhibit 99.2 to Mereo’s Form S-8 filed January 15, 2021 (File No. 333-</w:t>
            </w:r>
          </w:p>
        </w:tc>
      </w:tr>
      <w:tr>
        <w:trPr>
          <w:trHeight w:val="268"/>
        </w:trPr>
        <w:tc>
          <w:tcPr>
            <w:tcW w:w="880" w:type="dxa"/>
            <w:vAlign w:val="bottom"/>
          </w:tcPr>
          <w:p>
            <w:pPr>
              <w:spacing w:after="0"/>
              <w:rPr>
                <w:sz w:val="23"/>
                <w:szCs w:val="23"/>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252147)).</w:t>
            </w:r>
          </w:p>
        </w:tc>
      </w:tr>
    </w:tbl>
    <w:p>
      <w:pPr>
        <w:spacing w:after="0" w:line="200" w:lineRule="exact"/>
        <w:rPr>
          <w:sz w:val="20"/>
          <w:szCs w:val="20"/>
          <w:color w:val="auto"/>
        </w:rPr>
      </w:pPr>
    </w:p>
    <w:p>
      <w:pPr>
        <w:sectPr>
          <w:pgSz w:w="12600" w:h="16200" w:orient="portrait"/>
          <w:cols w:equalWidth="0" w:num="1">
            <w:col w:w="10620"/>
          </w:cols>
          <w:pgMar w:left="960" w:top="1105" w:right="1020" w:bottom="357" w:gutter="0" w:footer="0" w:header="0"/>
        </w:sectPr>
      </w:pPr>
    </w:p>
    <w:p>
      <w:pPr>
        <w:spacing w:after="0" w:line="1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101</w:t>
      </w:r>
    </w:p>
    <w:p>
      <w:pPr>
        <w:sectPr>
          <w:pgSz w:w="12600" w:h="16200" w:orient="portrait"/>
          <w:cols w:equalWidth="0" w:num="1">
            <w:col w:w="10620"/>
          </w:cols>
          <w:pgMar w:left="960" w:top="1105" w:right="1020" w:bottom="357"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800" w:type="dxa"/>
            <w:vAlign w:val="bottom"/>
          </w:tcPr>
          <w:p>
            <w:pPr>
              <w:ind w:left="406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r>
      <w:tr>
        <w:trPr>
          <w:trHeight w:val="233"/>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980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Amended Convertible Loan Note Instrument, dated December 18, 2020 relating to Mereo BioPharma Group</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plc. (incorporated by reference to Exhibit 4.22 to Mereo’s 20-F filed March 31, 2021 (File 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Amended Convertible Loan Note Instrument, dated February 5, 2021 relating to Mereo BioPharma Group plc.</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4.23 to Mereo’s 20-F filed March 31, 2021 (File 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Amended Convertible Loan Note Instrument, dated March 29, 2021 relating to Mereo BioPharma Group plc.</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4.24 to Mereo’s 20-F filed March 31, 2021 (File 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Deed of Consent and Amendment to Warrant Instrument, dated March 29, 2021 between Mereo BioPharma Group plc.</w:t>
            </w:r>
          </w:p>
        </w:tc>
      </w:tr>
      <w:tr>
        <w:trPr>
          <w:trHeight w:val="230"/>
        </w:trPr>
        <w:tc>
          <w:tcPr>
            <w:tcW w:w="880" w:type="dxa"/>
            <w:vAlign w:val="bottom"/>
          </w:tcPr>
          <w:p>
            <w:pPr>
              <w:spacing w:after="0"/>
              <w:rPr>
                <w:sz w:val="19"/>
                <w:szCs w:val="19"/>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and the Alpha-1 Project, Inc. (incorporated by reference to Exhibit 4.25 to Mereo’s 20-F filed March 31, 2021 (File</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Employment Agreement, dated July 1, 2020 between Mereo BioPharma Group plc and John Lewicki (incorporated by</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reference to Exhibit 4.27 to Mereo’s 20-F filed March 31, 2021 (File 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License Agreement, dated January 13, 2020, between OncoMed Pharmaceuticals, Inc., Mereo BioPharma Group plc</w:t>
            </w:r>
          </w:p>
        </w:tc>
      </w:tr>
      <w:tr>
        <w:trPr>
          <w:trHeight w:val="230"/>
        </w:trPr>
        <w:tc>
          <w:tcPr>
            <w:tcW w:w="880" w:type="dxa"/>
            <w:vAlign w:val="bottom"/>
          </w:tcPr>
          <w:p>
            <w:pPr>
              <w:spacing w:after="0"/>
              <w:rPr>
                <w:sz w:val="19"/>
                <w:szCs w:val="19"/>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and Oncologie, Inc. (incorporated by reference to Exhibit 4.45 to Mereo’s Form 20-F filed March 31, 2021 (File No.</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Convertible Loan Instrument, dated February 10, 2020 relating to Mereo BioPharma Group plc</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4.28 to Mereo’s 20-F filed March 31, 2022 (File 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Warrant Instrument, dated February 10, 2020 relating to Mereo BioPharma Group plc (incorporated by</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reference to Exhibit 4.29 to Mereo’s 20-F filed March 31, 2022 (File 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Deed of Consent and Amendment to Note Instrument, dated November 24, 2020 between Mereo BioPharma Group plc.</w:t>
            </w:r>
          </w:p>
        </w:tc>
      </w:tr>
      <w:tr>
        <w:trPr>
          <w:trHeight w:val="230"/>
        </w:trPr>
        <w:tc>
          <w:tcPr>
            <w:tcW w:w="880" w:type="dxa"/>
            <w:vAlign w:val="bottom"/>
          </w:tcPr>
          <w:p>
            <w:pPr>
              <w:spacing w:after="0"/>
              <w:rPr>
                <w:sz w:val="19"/>
                <w:szCs w:val="19"/>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and Novartis Pharma AG (incorporated by reference to Exhibit 4.30 to Mereo’s 20-F filed March 31, 2022 (File No.</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Deed of Consent and Amendment to Warrant Instrument, dated November 24, 2020 between Mereo BioPharma Group</w:t>
            </w:r>
          </w:p>
        </w:tc>
      </w:tr>
      <w:tr>
        <w:trPr>
          <w:trHeight w:val="230"/>
        </w:trPr>
        <w:tc>
          <w:tcPr>
            <w:tcW w:w="880" w:type="dxa"/>
            <w:vAlign w:val="bottom"/>
          </w:tcPr>
          <w:p>
            <w:pPr>
              <w:spacing w:after="0"/>
              <w:rPr>
                <w:sz w:val="19"/>
                <w:szCs w:val="19"/>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plc. and Novartis Pharma AG (incorporated by reference to Exhibit 4.31 to Mereo’s 20-F filed March 31, 2022 (File</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Collaboration and License Agreement, dated December 17, 2020, between Mereo BioPharma 3 Limited and</w:t>
            </w:r>
          </w:p>
        </w:tc>
      </w:tr>
      <w:tr>
        <w:trPr>
          <w:trHeight w:val="230"/>
        </w:trPr>
        <w:tc>
          <w:tcPr>
            <w:tcW w:w="880" w:type="dxa"/>
            <w:vAlign w:val="bottom"/>
          </w:tcPr>
          <w:p>
            <w:pPr>
              <w:spacing w:after="0"/>
              <w:rPr>
                <w:sz w:val="19"/>
                <w:szCs w:val="19"/>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Ultragenyx Pharmaceutical Inc. (incorporated by reference to Exhibit 4.32 to Mereo’s 20-F filed March 31, 2022 (File</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Amended and restated Contract of Employment, dated September 3, 2021, between Mereo BioPharma Group plc and</w:t>
            </w:r>
          </w:p>
        </w:tc>
      </w:tr>
      <w:tr>
        <w:trPr>
          <w:trHeight w:val="230"/>
        </w:trPr>
        <w:tc>
          <w:tcPr>
            <w:tcW w:w="880" w:type="dxa"/>
            <w:vAlign w:val="bottom"/>
          </w:tcPr>
          <w:p>
            <w:pPr>
              <w:spacing w:after="0"/>
              <w:rPr>
                <w:sz w:val="19"/>
                <w:szCs w:val="19"/>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Denise Scots-Knight (incorporated by reference to Exhibit 4.33 to Mereo’s 20-F filed March 31, 2022 (File No. 001-</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Amended and restated Contract of Employment, dated September 3, 2021, between Mereo BioPharma Group plc and</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Christine Fox (incorporated by reference to Exhibit 4.34 to Mereo’s 20-F filed March 31, 2022 (File 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Amended and restated Contract of Employment, dated September 3, 2021, between Mereo BioPharma Group plc and</w:t>
            </w:r>
          </w:p>
        </w:tc>
      </w:tr>
      <w:tr>
        <w:trPr>
          <w:trHeight w:val="230"/>
        </w:trPr>
        <w:tc>
          <w:tcPr>
            <w:tcW w:w="880" w:type="dxa"/>
            <w:vAlign w:val="bottom"/>
          </w:tcPr>
          <w:p>
            <w:pPr>
              <w:spacing w:after="0"/>
              <w:rPr>
                <w:sz w:val="19"/>
                <w:szCs w:val="19"/>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Charles Sermon (incorporated by reference to Exhibit 4.36 to Mereo’s 20-F filed March 31, 2022 (File No. 001-</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Amended and restated Contract of Employment, dated September 16, 2021, between Mereo BioPharma Group plc and</w:t>
            </w:r>
          </w:p>
        </w:tc>
      </w:tr>
      <w:tr>
        <w:trPr>
          <w:trHeight w:val="230"/>
        </w:trPr>
        <w:tc>
          <w:tcPr>
            <w:tcW w:w="880" w:type="dxa"/>
            <w:vAlign w:val="bottom"/>
          </w:tcPr>
          <w:p>
            <w:pPr>
              <w:spacing w:after="0"/>
              <w:rPr>
                <w:sz w:val="19"/>
                <w:szCs w:val="19"/>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Alexandra (Wills) Hughes-Wilson (incorporated by reference to Exhibit 4.37 to Mereo’s 20-F filed March 31, 2022</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(File 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Change in Control and Severance Agreement for Executives employed by Mereo Biopharma 5, Inc.</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(incorporated by reference to Exhibit 4.40 to Mereo’s 20-F filed March 31, 2022 (File No. 001-38452)).</w:t>
            </w:r>
          </w:p>
        </w:tc>
      </w:tr>
      <w:tr>
        <w:trPr>
          <w:trHeight w:val="42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9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Form of Letter of Appointment for members of the board of directors of Mereo BioPharma Group plc. (incorporated</w:t>
            </w:r>
          </w:p>
        </w:tc>
      </w:tr>
      <w:tr>
        <w:trPr>
          <w:trHeight w:val="268"/>
        </w:trPr>
        <w:tc>
          <w:tcPr>
            <w:tcW w:w="880" w:type="dxa"/>
            <w:vAlign w:val="bottom"/>
          </w:tcPr>
          <w:p>
            <w:pPr>
              <w:spacing w:after="0"/>
              <w:rPr>
                <w:sz w:val="23"/>
                <w:szCs w:val="23"/>
                <w:color w:val="auto"/>
              </w:rPr>
            </w:pPr>
          </w:p>
        </w:tc>
        <w:tc>
          <w:tcPr>
            <w:tcW w:w="9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by reference to Exhibit 4.17 to Mereo’s Form F-4 filed March 28, 2023 (File No. 333-229351)).</w:t>
            </w:r>
          </w:p>
        </w:tc>
      </w:tr>
    </w:tbl>
    <w:p>
      <w:pPr>
        <w:spacing w:after="0" w:line="103" w:lineRule="exact"/>
        <w:rPr>
          <w:sz w:val="20"/>
          <w:szCs w:val="20"/>
          <w:color w:val="auto"/>
        </w:rPr>
      </w:pPr>
    </w:p>
    <w:p>
      <w:pPr>
        <w:sectPr>
          <w:pgSz w:w="12600" w:h="16200" w:orient="portrait"/>
          <w:cols w:equalWidth="0" w:num="1">
            <w:col w:w="10680"/>
          </w:cols>
          <w:pgMar w:left="960" w:top="1105" w:right="960" w:bottom="357" w:gutter="0" w:footer="0" w:header="0"/>
        </w:sect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600" w:h="16200" w:orient="portrait"/>
          <w:cols w:equalWidth="0" w:num="1">
            <w:col w:w="10680"/>
          </w:cols>
          <w:pgMar w:left="960" w:top="1105" w:right="960" w:bottom="357" w:gutter="0" w:footer="0" w:header="0"/>
          <w:type w:val="continuous"/>
        </w:sectPr>
      </w:pPr>
    </w:p>
    <w:bookmarkStart w:id="104" w:name="page105"/>
    <w:bookmarkEnd w:id="104"/>
    <w:tbl>
      <w:tblPr>
        <w:tblLayout w:type="fixed"/>
        <w:tblInd w:w="6"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740" w:type="dxa"/>
            <w:vAlign w:val="bottom"/>
          </w:tcPr>
          <w:p>
            <w:pPr>
              <w:ind w:left="404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r>
      <w:tr>
        <w:trPr>
          <w:trHeight w:val="275"/>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9740" w:type="dxa"/>
            <w:vAlign w:val="bottom"/>
          </w:tcPr>
          <w:p>
            <w:pPr>
              <w:spacing w:after="0"/>
              <w:rPr>
                <w:sz w:val="23"/>
                <w:szCs w:val="23"/>
                <w:color w:val="auto"/>
              </w:rPr>
            </w:pPr>
          </w:p>
        </w:tc>
      </w:tr>
      <w:tr>
        <w:trPr>
          <w:trHeight w:val="41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Deed of Consent and Amendment to Note Instrument, dated February 9, 2023 between Mereo BioPharma Group plc</w:t>
            </w:r>
          </w:p>
        </w:tc>
      </w:tr>
      <w:tr>
        <w:trPr>
          <w:trHeight w:val="230"/>
        </w:trPr>
        <w:tc>
          <w:tcPr>
            <w:tcW w:w="900" w:type="dxa"/>
            <w:vAlign w:val="bottom"/>
          </w:tcPr>
          <w:p>
            <w:pPr>
              <w:spacing w:after="0"/>
              <w:rPr>
                <w:sz w:val="19"/>
                <w:szCs w:val="19"/>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and Novartis Pharma AG (incorporated by reference to Exhibit 4.46 to Mereo’s Form 20-F filed March 28, 2023 (File</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001-38452)).</w:t>
            </w:r>
          </w:p>
        </w:tc>
      </w:tr>
      <w:tr>
        <w:trPr>
          <w:trHeight w:val="41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Warrant Instrument, dated February 10, 2023, relating to Mereo BioPharma Group plc (incorporated by</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reference to Exhibit 4.47 to Mereo’s Form 20-F filed March 28, 2023 (File No. 001-38452)).</w:t>
            </w:r>
          </w:p>
        </w:tc>
      </w:tr>
      <w:tr>
        <w:trPr>
          <w:trHeight w:val="42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Deferred Compensation Plan for Non-Employee Directors, as amended on December 13, 2023 (incorporated by</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reference to Exhibit 4.3 to Mereo’s S-8 filed January 23, 2024 (File No. 333-276656)).</w:t>
            </w:r>
          </w:p>
        </w:tc>
      </w:tr>
      <w:tr>
        <w:trPr>
          <w:trHeight w:val="41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Performance Based Restricted Stock Unit Award Agreement under the Plan (incorporated by reference to</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Exhibit 4.4 to Mereo’s Form S-8 filed January 24, 2023 (File No. 333-269388))</w:t>
            </w: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Restricted Stock Unit Award Agreement under the Plans (incorporated by reference to Exhibit 4.5 to Mereo’s</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S-8 filed January 24, 2023 (File No. 333-269388))</w:t>
            </w:r>
          </w:p>
        </w:tc>
      </w:tr>
      <w:tr>
        <w:trPr>
          <w:trHeight w:val="42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License Agreement, dated December 11, 2023, between Mereo BioPharma Group plc and ReproNovo SA</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(incorporated by reference to 10.30 to Mereo’s Form 10-K filed March 27, 2024 (File No. 001-38452)).</w:t>
            </w:r>
          </w:p>
        </w:tc>
      </w:tr>
      <w:tr>
        <w:trPr>
          <w:trHeight w:val="42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Deed of Amendment and Restatement to Amended and Restated Subscription Deed, dated November 8, 2024, between</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Mereo BioPharma Group plc and AstraZeneca AB.</w:t>
            </w:r>
          </w:p>
        </w:tc>
      </w:tr>
      <w:tr>
        <w:trPr>
          <w:trHeight w:val="41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Amended and restated Exclusive License and Option Agreement, dated November 8, 2024, between Mereo Biopharma</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Group plc and AstraZeneca AB.</w:t>
            </w:r>
          </w:p>
        </w:tc>
      </w:tr>
      <w:tr>
        <w:trPr>
          <w:trHeight w:val="40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Insider Trading Policy (incorporated by reference to Exhibit 19.1 to Mereo’s Form 10-K filed March 27, 2024 (File</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001-38452)).</w:t>
            </w: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List of Subsidiaries of Mereo BioPharma Group plc. (incorporated by reference to Exhibit 8.1 Mereo’s Form 20-F filed</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March 28, 2023 (File No. 001-38452))</w:t>
            </w:r>
          </w:p>
        </w:tc>
      </w:tr>
      <w:tr>
        <w:trPr>
          <w:trHeight w:val="45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Consent of PricewaterhouseCoopers LLP, Independent Registered Public Accounting Firm.</w:t>
            </w:r>
          </w:p>
        </w:tc>
      </w:tr>
      <w:tr>
        <w:trPr>
          <w:trHeight w:val="45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Power of Attorney (included on signature page of this report).</w:t>
            </w:r>
          </w:p>
        </w:tc>
      </w:tr>
      <w:tr>
        <w:trPr>
          <w:trHeight w:val="45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Pursuant to Section 302 of the Sarbanes-Oxley Act of 2002.</w:t>
            </w:r>
          </w:p>
        </w:tc>
      </w:tr>
      <w:tr>
        <w:trPr>
          <w:trHeight w:val="45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Pursuant to Section 302 of the Sarbanes-Oxley Act of 2002.</w:t>
            </w: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Pursuant to 18 U.S.C. Section 1350, as adopted pursuant to Section 906 of the Sarbanes-Oxley Act of</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2002.</w:t>
            </w: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Pursuant to 18 U.S.C. Section 1350, as adopted pursuant to Section 906 of the Sarbanes-Oxley Act of</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2002.</w:t>
            </w: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Mereo BioPharma Group plc Compensation Recovery Policy (incorporated by reference to Exhibit 97.1 to Mereo’s</w:t>
            </w:r>
          </w:p>
        </w:tc>
      </w:tr>
      <w:tr>
        <w:trPr>
          <w:trHeight w:val="268"/>
        </w:trPr>
        <w:tc>
          <w:tcPr>
            <w:tcW w:w="900" w:type="dxa"/>
            <w:vAlign w:val="bottom"/>
          </w:tcPr>
          <w:p>
            <w:pPr>
              <w:spacing w:after="0"/>
              <w:rPr>
                <w:sz w:val="23"/>
                <w:szCs w:val="23"/>
                <w:color w:val="auto"/>
              </w:rPr>
            </w:pPr>
          </w:p>
        </w:tc>
        <w:tc>
          <w:tcPr>
            <w:tcW w:w="9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10-K filed March 27, 2024 (File No. 001-38452)).</w:t>
            </w:r>
          </w:p>
        </w:tc>
      </w:tr>
    </w:tbl>
    <w:p>
      <w:pPr>
        <w:spacing w:after="0" w:line="184" w:lineRule="exact"/>
        <w:rPr>
          <w:sz w:val="20"/>
          <w:szCs w:val="20"/>
          <w:color w:val="auto"/>
        </w:rPr>
      </w:pPr>
    </w:p>
    <w:p>
      <w:pPr>
        <w:ind w:left="1086" w:right="60" w:hanging="1086"/>
        <w:spacing w:after="0" w:line="244" w:lineRule="auto"/>
        <w:tabs>
          <w:tab w:leader="none" w:pos="108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materials from this Annual Report on Form 10-K formatted in XBRL (Extensible Business Reporting Language) are furnished herewith: (i) the Report of Independent Registered Public Accounting Firm, (ii) the consolidated statements of financial position data, (iii) the consolidated statements of comprehensive loss data, (iv) the consolidated statements of changes in shareholders’ equity (capital deficiency), (v) the consolidated statements of cash flows, and (vi) the notes to consolidated financial statements, in each case tagged as blocks of text and in detail.</w:t>
      </w:r>
    </w:p>
    <w:p>
      <w:pPr>
        <w:spacing w:after="0" w:line="182" w:lineRule="exact"/>
        <w:rPr>
          <w:sz w:val="20"/>
          <w:szCs w:val="20"/>
          <w:color w:val="auto"/>
        </w:rPr>
      </w:pPr>
    </w:p>
    <w:p>
      <w:pPr>
        <w:ind w:left="-54" w:right="6900" w:firstLine="54"/>
        <w:spacing w:after="0" w:line="527" w:lineRule="auto"/>
        <w:tabs>
          <w:tab w:leader="none" w:pos="108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-240665</wp:posOffset>
            </wp:positionV>
            <wp:extent cx="186563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5630" cy="9525"/>
                    </a:xfrm>
                    <a:prstGeom prst="rect">
                      <a:avLst/>
                    </a:prstGeom>
                    <a:noFill/>
                  </pic:spPr>
                </pic:pic>
              </a:graphicData>
            </a:graphic>
          </wp:anchor>
        </w:drawing>
      </w:r>
    </w:p>
    <w:p>
      <w:pPr>
        <w:sectPr>
          <w:pgSz w:w="12600" w:h="16200" w:orient="portrait"/>
          <w:cols w:equalWidth="0" w:num="1">
            <w:col w:w="10646"/>
          </w:cols>
          <w:pgMar w:left="954" w:top="1105" w:right="1000" w:bottom="357" w:gutter="0" w:footer="0" w:header="0"/>
        </w:sectPr>
      </w:pPr>
    </w:p>
    <w:p>
      <w:pPr>
        <w:spacing w:after="0" w:line="1"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20"/>
          <w:szCs w:val="20"/>
          <w:color w:val="auto"/>
        </w:rPr>
        <w:t>103</w:t>
      </w:r>
    </w:p>
    <w:p>
      <w:pPr>
        <w:sectPr>
          <w:pgSz w:w="12600" w:h="16200" w:orient="portrait"/>
          <w:cols w:equalWidth="0" w:num="1">
            <w:col w:w="10646"/>
          </w:cols>
          <w:pgMar w:left="954" w:top="1105" w:right="1000" w:bottom="357" w:gutter="0" w:footer="0" w:header="0"/>
          <w:type w:val="continuous"/>
        </w:sectPr>
      </w:pPr>
    </w:p>
    <w:bookmarkStart w:id="105" w:name="page106"/>
    <w:bookmarkEnd w:id="105"/>
    <w:p>
      <w:pPr>
        <w:jc w:val="both"/>
        <w:spacing w:after="0" w:line="248" w:lineRule="auto"/>
        <w:tabs>
          <w:tab w:leader="none" w:pos="15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this exhibit are subject to a previously filed confidential treatment order pursuant to Rule 406 under the Securities Act. †† Certain portions of this exhibit have been omitted pursuant to Item 601(b)(10) or Item 601(a)(5) of Regulation S-K because they are not material and they are the type of information that the Registrant treats as private or confidential. The Company agrees to furnish supplementally to the Commission a copy of any omissions upon request.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580"/>
          </w:cols>
          <w:pgMar w:left="540" w:top="74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10580"/>
          </w:cols>
          <w:pgMar w:left="540" w:top="744" w:right="760" w:bottom="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ind w:right="320" w:firstLine="720"/>
        <w:spacing w:after="0" w:line="27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hereunto duly authorized, on March 26, 2025.</w:t>
      </w:r>
    </w:p>
    <w:p>
      <w:pPr>
        <w:spacing w:after="0" w:line="20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By: /s/ Denise Scots-Knight</w:t>
      </w:r>
    </w:p>
    <w:p>
      <w:pPr>
        <w:spacing w:after="0" w:line="1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Name: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-138430</wp:posOffset>
            </wp:positionV>
            <wp:extent cx="28803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0360" cy="6350"/>
                    </a:xfrm>
                    <a:prstGeom prst="rect">
                      <a:avLst/>
                    </a:prstGeom>
                    <a:noFill/>
                  </pic:spPr>
                </pic:pic>
              </a:graphicData>
            </a:graphic>
          </wp:anchor>
        </w:drawing>
      </w:r>
    </w:p>
    <w:p>
      <w:pPr>
        <w:ind w:left="6260"/>
        <w:spacing w:after="0"/>
        <w:tabs>
          <w:tab w:leader="none" w:pos="6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3"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Denise Scots-Knight and Christine Fox,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80" w:firstLine="720"/>
        <w:spacing w:after="0" w:line="27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by the following persons on March 26, 2025, in the capacities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20" w:type="dxa"/>
            <w:vAlign w:val="bottom"/>
          </w:tcPr>
          <w:p>
            <w:pPr>
              <w:spacing w:after="0"/>
              <w:rPr>
                <w:sz w:val="17"/>
                <w:szCs w:val="17"/>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20" w:type="dxa"/>
            <w:vAlign w:val="bottom"/>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27"/>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Denise Scots-Knight</w:t>
            </w:r>
          </w:p>
        </w:tc>
        <w:tc>
          <w:tcPr>
            <w:tcW w:w="2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26, 2025</w:t>
            </w:r>
          </w:p>
        </w:tc>
      </w:tr>
      <w:tr>
        <w:trPr>
          <w:trHeight w:val="266"/>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Denise Scots-Knight</w:t>
            </w:r>
          </w:p>
        </w:tc>
        <w:tc>
          <w:tcPr>
            <w:tcW w:w="220" w:type="dxa"/>
            <w:vAlign w:val="bottom"/>
          </w:tcPr>
          <w:p>
            <w:pPr>
              <w:spacing w:after="0"/>
              <w:rPr>
                <w:sz w:val="23"/>
                <w:szCs w:val="23"/>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(Principal Executive Officer)</w:t>
            </w:r>
          </w:p>
        </w:tc>
        <w:tc>
          <w:tcPr>
            <w:tcW w:w="22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297"/>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Christine Fox</w:t>
            </w:r>
          </w:p>
        </w:tc>
        <w:tc>
          <w:tcPr>
            <w:tcW w:w="2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Financial Officer</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26, 2025</w:t>
            </w:r>
          </w:p>
        </w:tc>
      </w:tr>
      <w:tr>
        <w:trPr>
          <w:trHeight w:val="268"/>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Christine Fox</w:t>
            </w:r>
          </w:p>
        </w:tc>
        <w:tc>
          <w:tcPr>
            <w:tcW w:w="220" w:type="dxa"/>
            <w:vAlign w:val="bottom"/>
          </w:tcPr>
          <w:p>
            <w:pPr>
              <w:spacing w:after="0"/>
              <w:rPr>
                <w:sz w:val="23"/>
                <w:szCs w:val="23"/>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i w:val="1"/>
                <w:iCs w:val="1"/>
                <w:color w:val="auto"/>
                <w:w w:val="99"/>
              </w:rPr>
              <w:t>Principal Accounting and Financial Officer</w:t>
            </w:r>
            <w:r>
              <w:rPr>
                <w:rFonts w:ascii="Times New Roman" w:cs="Times New Roman" w:eastAsia="Times New Roman" w:hAnsi="Times New Roman"/>
                <w:sz w:val="20"/>
                <w:szCs w:val="20"/>
                <w:color w:val="auto"/>
                <w:w w:val="99"/>
              </w:rPr>
              <w:t>)</w:t>
            </w:r>
          </w:p>
        </w:tc>
        <w:tc>
          <w:tcPr>
            <w:tcW w:w="22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307"/>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Michael Wyzga</w:t>
            </w:r>
          </w:p>
        </w:tc>
        <w:tc>
          <w:tcPr>
            <w:tcW w:w="2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Chairman of the Board of Directors</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26, 2025</w:t>
            </w:r>
          </w:p>
        </w:tc>
      </w:tr>
      <w:tr>
        <w:trPr>
          <w:trHeight w:val="258"/>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Michael Wyzga</w:t>
            </w:r>
          </w:p>
        </w:tc>
        <w:tc>
          <w:tcPr>
            <w:tcW w:w="2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307"/>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Jeremy Bender</w:t>
            </w:r>
          </w:p>
        </w:tc>
        <w:tc>
          <w:tcPr>
            <w:tcW w:w="2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26, 2025</w:t>
            </w:r>
          </w:p>
        </w:tc>
      </w:tr>
      <w:tr>
        <w:trPr>
          <w:trHeight w:val="258"/>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Jeremy Bender</w:t>
            </w:r>
          </w:p>
        </w:tc>
        <w:tc>
          <w:tcPr>
            <w:tcW w:w="2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307"/>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Anders Ekblom</w:t>
            </w:r>
          </w:p>
        </w:tc>
        <w:tc>
          <w:tcPr>
            <w:tcW w:w="2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26, 2025</w:t>
            </w:r>
          </w:p>
        </w:tc>
      </w:tr>
      <w:tr>
        <w:trPr>
          <w:trHeight w:val="258"/>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Anders Ekblom</w:t>
            </w:r>
          </w:p>
        </w:tc>
        <w:tc>
          <w:tcPr>
            <w:tcW w:w="2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307"/>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Pierre Jacquet</w:t>
            </w:r>
          </w:p>
        </w:tc>
        <w:tc>
          <w:tcPr>
            <w:tcW w:w="2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26, 2025</w:t>
            </w:r>
          </w:p>
        </w:tc>
      </w:tr>
      <w:tr>
        <w:trPr>
          <w:trHeight w:val="258"/>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Pierre Jacquet</w:t>
            </w:r>
          </w:p>
        </w:tc>
        <w:tc>
          <w:tcPr>
            <w:tcW w:w="2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307"/>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Annalisa Jenkins</w:t>
            </w:r>
          </w:p>
        </w:tc>
        <w:tc>
          <w:tcPr>
            <w:tcW w:w="2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26, 2025</w:t>
            </w:r>
          </w:p>
        </w:tc>
      </w:tr>
      <w:tr>
        <w:trPr>
          <w:trHeight w:val="258"/>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Annalisa Jenkins</w:t>
            </w:r>
          </w:p>
        </w:tc>
        <w:tc>
          <w:tcPr>
            <w:tcW w:w="2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307"/>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Deepika Pakianathan</w:t>
            </w:r>
          </w:p>
        </w:tc>
        <w:tc>
          <w:tcPr>
            <w:tcW w:w="2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26, 2025</w:t>
            </w:r>
          </w:p>
        </w:tc>
      </w:tr>
      <w:tr>
        <w:trPr>
          <w:trHeight w:val="258"/>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Deepika Pakianathan</w:t>
            </w:r>
          </w:p>
        </w:tc>
        <w:tc>
          <w:tcPr>
            <w:tcW w:w="2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307"/>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Justin Roberts</w:t>
            </w:r>
          </w:p>
        </w:tc>
        <w:tc>
          <w:tcPr>
            <w:tcW w:w="2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26, 2025</w:t>
            </w:r>
          </w:p>
        </w:tc>
      </w:tr>
      <w:tr>
        <w:trPr>
          <w:trHeight w:val="258"/>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Justin Roberts</w:t>
            </w:r>
          </w:p>
        </w:tc>
        <w:tc>
          <w:tcPr>
            <w:tcW w:w="2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307"/>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Daniel Shames</w:t>
            </w:r>
          </w:p>
        </w:tc>
        <w:tc>
          <w:tcPr>
            <w:tcW w:w="2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26, 2025</w:t>
            </w:r>
          </w:p>
        </w:tc>
      </w:tr>
      <w:tr>
        <w:trPr>
          <w:trHeight w:val="258"/>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Daniel Shames</w:t>
            </w:r>
          </w:p>
        </w:tc>
        <w:tc>
          <w:tcPr>
            <w:tcW w:w="2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307"/>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Marc Yoskowitz</w:t>
            </w:r>
          </w:p>
        </w:tc>
        <w:tc>
          <w:tcPr>
            <w:tcW w:w="2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26, 2025</w:t>
            </w:r>
          </w:p>
        </w:tc>
      </w:tr>
      <w:tr>
        <w:trPr>
          <w:trHeight w:val="258"/>
        </w:trPr>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 Yoskowitz</w:t>
            </w:r>
          </w:p>
        </w:tc>
        <w:tc>
          <w:tcPr>
            <w:tcW w:w="2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10800"/>
          </w:cols>
          <w:pgMar w:left="540" w:top="745" w:right="540" w:bottom="0" w:gutter="0" w:footer="0" w:header="0"/>
          <w:type w:val="continuous"/>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75"/>
        </w:trPr>
        <w:tc>
          <w:tcPr>
            <w:tcW w:w="9100" w:type="dxa"/>
            <w:vAlign w:val="bottom"/>
          </w:tcPr>
          <w:p>
            <w:pPr>
              <w:ind w:left="278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480" w:type="dxa"/>
            <w:vAlign w:val="bottom"/>
          </w:tcPr>
          <w:p>
            <w:pPr>
              <w:spacing w:after="0"/>
              <w:rPr>
                <w:sz w:val="23"/>
                <w:szCs w:val="23"/>
                <w:color w:val="auto"/>
              </w:rPr>
            </w:pPr>
          </w:p>
        </w:tc>
      </w:tr>
      <w:tr>
        <w:trPr>
          <w:trHeight w:val="506"/>
        </w:trPr>
        <w:tc>
          <w:tcPr>
            <w:tcW w:w="9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Audited Financial Statements</w:t>
            </w:r>
          </w:p>
        </w:tc>
        <w:tc>
          <w:tcPr>
            <w:tcW w:w="1480" w:type="dxa"/>
            <w:vAlign w:val="bottom"/>
          </w:tcPr>
          <w:p>
            <w:pPr>
              <w:jc w:val="center"/>
              <w:ind w:left="96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56"/>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876)</w:t>
            </w:r>
          </w:p>
        </w:tc>
        <w:tc>
          <w:tcPr>
            <w:tcW w:w="1480" w:type="dxa"/>
            <w:vAlign w:val="bottom"/>
          </w:tcPr>
          <w:p>
            <w:pPr>
              <w:jc w:val="center"/>
              <w:ind w:left="940"/>
              <w:spacing w:after="0"/>
              <w:rPr>
                <w:sz w:val="20"/>
                <w:szCs w:val="20"/>
                <w:color w:val="auto"/>
              </w:rPr>
            </w:pPr>
            <w:r>
              <w:rPr>
                <w:rFonts w:ascii="Times New Roman" w:cs="Times New Roman" w:eastAsia="Times New Roman" w:hAnsi="Times New Roman"/>
                <w:sz w:val="20"/>
                <w:szCs w:val="20"/>
                <w:color w:val="auto"/>
              </w:rPr>
              <w:t>F-2</w:t>
            </w:r>
          </w:p>
        </w:tc>
      </w:tr>
      <w:tr>
        <w:trPr>
          <w:trHeight w:val="460"/>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1480" w:type="dxa"/>
            <w:vAlign w:val="bottom"/>
          </w:tcPr>
          <w:p>
            <w:pPr>
              <w:jc w:val="center"/>
              <w:ind w:left="940"/>
              <w:spacing w:after="0"/>
              <w:rPr>
                <w:sz w:val="20"/>
                <w:szCs w:val="20"/>
                <w:color w:val="auto"/>
              </w:rPr>
            </w:pPr>
            <w:r>
              <w:rPr>
                <w:rFonts w:ascii="Times New Roman" w:cs="Times New Roman" w:eastAsia="Times New Roman" w:hAnsi="Times New Roman"/>
                <w:sz w:val="20"/>
                <w:szCs w:val="20"/>
                <w:color w:val="auto"/>
              </w:rPr>
              <w:t>F-4</w:t>
            </w:r>
          </w:p>
        </w:tc>
      </w:tr>
      <w:tr>
        <w:trPr>
          <w:trHeight w:val="460"/>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w:t>
            </w:r>
          </w:p>
        </w:tc>
        <w:tc>
          <w:tcPr>
            <w:tcW w:w="1480" w:type="dxa"/>
            <w:vAlign w:val="bottom"/>
          </w:tcPr>
          <w:p>
            <w:pPr>
              <w:jc w:val="center"/>
              <w:ind w:left="940"/>
              <w:spacing w:after="0"/>
              <w:rPr>
                <w:sz w:val="20"/>
                <w:szCs w:val="20"/>
                <w:color w:val="auto"/>
              </w:rPr>
            </w:pPr>
            <w:r>
              <w:rPr>
                <w:rFonts w:ascii="Times New Roman" w:cs="Times New Roman" w:eastAsia="Times New Roman" w:hAnsi="Times New Roman"/>
                <w:sz w:val="20"/>
                <w:szCs w:val="20"/>
                <w:color w:val="auto"/>
              </w:rPr>
              <w:t>F-5</w:t>
            </w:r>
          </w:p>
        </w:tc>
      </w:tr>
      <w:tr>
        <w:trPr>
          <w:trHeight w:val="460"/>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1480" w:type="dxa"/>
            <w:vAlign w:val="bottom"/>
          </w:tcPr>
          <w:p>
            <w:pPr>
              <w:jc w:val="center"/>
              <w:ind w:left="940"/>
              <w:spacing w:after="0"/>
              <w:rPr>
                <w:sz w:val="20"/>
                <w:szCs w:val="20"/>
                <w:color w:val="auto"/>
              </w:rPr>
            </w:pPr>
            <w:r>
              <w:rPr>
                <w:rFonts w:ascii="Times New Roman" w:cs="Times New Roman" w:eastAsia="Times New Roman" w:hAnsi="Times New Roman"/>
                <w:sz w:val="20"/>
                <w:szCs w:val="20"/>
                <w:color w:val="auto"/>
              </w:rPr>
              <w:t>F-6</w:t>
            </w:r>
          </w:p>
        </w:tc>
      </w:tr>
      <w:tr>
        <w:trPr>
          <w:trHeight w:val="460"/>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equity</w:t>
            </w:r>
          </w:p>
        </w:tc>
        <w:tc>
          <w:tcPr>
            <w:tcW w:w="1480" w:type="dxa"/>
            <w:vAlign w:val="bottom"/>
          </w:tcPr>
          <w:p>
            <w:pPr>
              <w:jc w:val="center"/>
              <w:ind w:left="940"/>
              <w:spacing w:after="0"/>
              <w:rPr>
                <w:sz w:val="20"/>
                <w:szCs w:val="20"/>
                <w:color w:val="auto"/>
              </w:rPr>
            </w:pPr>
            <w:r>
              <w:rPr>
                <w:rFonts w:ascii="Times New Roman" w:cs="Times New Roman" w:eastAsia="Times New Roman" w:hAnsi="Times New Roman"/>
                <w:sz w:val="20"/>
                <w:szCs w:val="20"/>
                <w:color w:val="auto"/>
              </w:rPr>
              <w:t>F-7</w:t>
            </w:r>
          </w:p>
        </w:tc>
      </w:tr>
      <w:tr>
        <w:trPr>
          <w:trHeight w:val="460"/>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480" w:type="dxa"/>
            <w:vAlign w:val="bottom"/>
          </w:tcPr>
          <w:p>
            <w:pPr>
              <w:jc w:val="center"/>
              <w:ind w:left="940"/>
              <w:spacing w:after="0"/>
              <w:rPr>
                <w:sz w:val="20"/>
                <w:szCs w:val="20"/>
                <w:color w:val="auto"/>
              </w:rPr>
            </w:pPr>
            <w:r>
              <w:rPr>
                <w:rFonts w:ascii="Times New Roman" w:cs="Times New Roman" w:eastAsia="Times New Roman" w:hAnsi="Times New Roman"/>
                <w:sz w:val="20"/>
                <w:szCs w:val="20"/>
                <w:color w:val="auto"/>
              </w:rPr>
              <w:t>F-8</w:t>
            </w:r>
          </w:p>
        </w:tc>
      </w:tr>
    </w:tbl>
    <w:p>
      <w:pPr>
        <w:spacing w:after="0" w:line="200" w:lineRule="exact"/>
        <w:rPr>
          <w:sz w:val="20"/>
          <w:szCs w:val="20"/>
          <w:color w:val="auto"/>
        </w:rPr>
      </w:pPr>
    </w:p>
    <w:p>
      <w:pPr>
        <w:sectPr>
          <w:pgSz w:w="12600" w:h="16200" w:orient="portrait"/>
          <w:cols w:equalWidth="0" w:num="1">
            <w:col w:w="10580"/>
          </w:cols>
          <w:pgMar w:left="900" w:top="1105" w:right="1120" w:bottom="3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F-1</w:t>
      </w:r>
    </w:p>
    <w:p>
      <w:pPr>
        <w:sectPr>
          <w:pgSz w:w="12600" w:h="16200" w:orient="portrait"/>
          <w:cols w:equalWidth="0" w:num="1">
            <w:col w:w="10580"/>
          </w:cols>
          <w:pgMar w:left="900" w:top="1105" w:right="1120" w:bottom="357" w:gutter="0" w:footer="0" w:header="0"/>
          <w:type w:val="continuous"/>
        </w:sectPr>
      </w:pPr>
    </w:p>
    <w:bookmarkStart w:id="109" w:name="page110"/>
    <w:bookmarkEnd w:id="109"/>
    <w:p>
      <w:pPr>
        <w:ind w:right="2880" w:firstLine="2895"/>
        <w:spacing w:after="0" w:line="492"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Board of Directors and Shareholders of Mereo BioPharma Group plc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238"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Mereo BioPharma Group plc and its subsidiaries (the “Company”) as of December 31, 2024 and December 31, 2023, and the related consolidated statements of operations and comprehensive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December 31, 2023, and the results of its operations and its cash flows for the years then ended in conformity with accounting principles generally accepted in the United States of America.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38"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38" w:lineRule="exact"/>
        <w:rPr>
          <w:sz w:val="20"/>
          <w:szCs w:val="20"/>
          <w:color w:val="auto"/>
        </w:rPr>
      </w:pPr>
    </w:p>
    <w:p>
      <w:pPr>
        <w:ind w:right="200" w:firstLine="720"/>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based compensation expense</w:t>
      </w:r>
    </w:p>
    <w:p>
      <w:pPr>
        <w:spacing w:after="0" w:line="238"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As described in Note 15 to the consolidated financial statements, the total charge for share-based compensation was $7.4 million. Employees (including executives) and non-executive directors of the Company receive remuneration in the form of share-based compensation, whereby employees and non-executive directors render services as consideration for equity instruments (equity settled transactions). The total amounts to be expensed are measured based on the grant-date fair value of the awards and recognized over the period during which the employee or non-executive director is required to perform services in exchange for the award. The fair value of each option is estimated on the date of grant using the Black-Scholes option pricing model which includes assumptions made by management.</w:t>
      </w:r>
    </w:p>
    <w:p>
      <w:pPr>
        <w:spacing w:after="0" w:line="20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share-based compensation charge is a critical audit matter are the high degree of auditor effort in performing procedures and evaluating audit evidence related to the grant-date fair value of awards.</w:t>
      </w:r>
    </w:p>
    <w:p>
      <w:pPr>
        <w:sectPr>
          <w:pgSz w:w="11880" w:h="15480" w:orient="portrait"/>
          <w:cols w:equalWidth="0" w:num="1">
            <w:col w:w="10780"/>
          </w:cols>
          <w:pgMar w:left="540" w:top="1010" w:right="56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10780"/>
          </w:cols>
          <w:pgMar w:left="540" w:top="1010" w:right="560" w:bottom="0" w:gutter="0" w:footer="0" w:header="0"/>
          <w:type w:val="continuous"/>
        </w:sectPr>
      </w:pPr>
    </w:p>
    <w:bookmarkStart w:id="110" w:name="page111"/>
    <w:bookmarkEnd w:id="110"/>
    <w:p>
      <w:pPr>
        <w:ind w:firstLine="720"/>
        <w:spacing w:after="0" w:line="246"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(ii) evaluating the appropriateness of the model used by management, (iii) testing the completeness and accuracy of underlying data used in the fair value estimate, (iv) evaluating the reasonableness of the significant assumptions used by management in estimating the fair value, (v) performing a recalculation of the grant-date fair value estimate for a sample of awards, and (vi) testing the expense recognized during the period for a sample of awards. Evaluating management’s assumptions involved evaluating whether they were reasonable considering consistency with external market and industry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Reading, United Kingdom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10800"/>
          </w:cols>
          <w:pgMar w:left="540" w:top="748" w:right="540" w:bottom="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MEREO BIOPHARMA GROUP PLC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0"/>
        </w:trPr>
        <w:tc>
          <w:tcPr>
            <w:tcW w:w="5740" w:type="dxa"/>
            <w:vAlign w:val="bottom"/>
            <w:tcBorders>
              <w:bottom w:val="single" w:sz="8" w:color="FEFEFE"/>
            </w:tcBorders>
            <w:shd w:val="clear" w:color="auto" w:fill="FEFEFE"/>
          </w:tcPr>
          <w:p>
            <w:pPr>
              <w:spacing w:after="0"/>
              <w:rPr>
                <w:sz w:val="19"/>
                <w:szCs w:val="19"/>
                <w:color w:val="auto"/>
              </w:rPr>
            </w:pPr>
          </w:p>
        </w:tc>
        <w:tc>
          <w:tcPr>
            <w:tcW w:w="260" w:type="dxa"/>
            <w:vAlign w:val="bottom"/>
            <w:tcBorders>
              <w:bottom w:val="single" w:sz="8" w:color="FEFEFE"/>
            </w:tcBorders>
            <w:shd w:val="clear" w:color="auto" w:fill="FEFEFE"/>
          </w:tcPr>
          <w:p>
            <w:pPr>
              <w:spacing w:after="0"/>
              <w:rPr>
                <w:sz w:val="19"/>
                <w:szCs w:val="19"/>
                <w:color w:val="auto"/>
              </w:rPr>
            </w:pPr>
          </w:p>
        </w:tc>
        <w:tc>
          <w:tcPr>
            <w:tcW w:w="300" w:type="dxa"/>
            <w:vAlign w:val="bottom"/>
            <w:tcBorders>
              <w:bottom w:val="single" w:sz="8" w:color="auto"/>
            </w:tcBorders>
            <w:shd w:val="clear" w:color="auto" w:fill="FEFEFE"/>
          </w:tcPr>
          <w:p>
            <w:pPr>
              <w:spacing w:after="0"/>
              <w:rPr>
                <w:sz w:val="19"/>
                <w:szCs w:val="19"/>
                <w:color w:val="auto"/>
              </w:rPr>
            </w:pPr>
          </w:p>
        </w:tc>
        <w:tc>
          <w:tcPr>
            <w:tcW w:w="1980" w:type="dxa"/>
            <w:vAlign w:val="bottom"/>
            <w:tcBorders>
              <w:bottom w:val="single" w:sz="8" w:color="auto"/>
            </w:tcBorders>
            <w:shd w:val="clear" w:color="auto" w:fill="FEFEFE"/>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40" w:type="dxa"/>
            <w:vAlign w:val="bottom"/>
            <w:tcBorders>
              <w:bottom w:val="single" w:sz="8" w:color="FEFEFE"/>
            </w:tcBorders>
            <w:shd w:val="clear" w:color="auto" w:fill="FEFEFE"/>
          </w:tcPr>
          <w:p>
            <w:pPr>
              <w:spacing w:after="0"/>
              <w:rPr>
                <w:sz w:val="19"/>
                <w:szCs w:val="19"/>
                <w:color w:val="auto"/>
              </w:rPr>
            </w:pPr>
          </w:p>
        </w:tc>
        <w:tc>
          <w:tcPr>
            <w:tcW w:w="300" w:type="dxa"/>
            <w:vAlign w:val="bottom"/>
            <w:tcBorders>
              <w:bottom w:val="single" w:sz="8" w:color="auto"/>
            </w:tcBorders>
            <w:shd w:val="clear" w:color="auto" w:fill="FEFEFE"/>
          </w:tcPr>
          <w:p>
            <w:pPr>
              <w:spacing w:after="0"/>
              <w:rPr>
                <w:sz w:val="19"/>
                <w:szCs w:val="19"/>
                <w:color w:val="auto"/>
              </w:rPr>
            </w:pPr>
          </w:p>
        </w:tc>
        <w:tc>
          <w:tcPr>
            <w:tcW w:w="1980" w:type="dxa"/>
            <w:vAlign w:val="bottom"/>
            <w:tcBorders>
              <w:bottom w:val="single" w:sz="8" w:color="auto"/>
            </w:tcBorders>
            <w:shd w:val="clear" w:color="auto" w:fill="FEFEFE"/>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20"/>
        </w:trPr>
        <w:tc>
          <w:tcPr>
            <w:tcW w:w="5740" w:type="dxa"/>
            <w:vAlign w:val="bottom"/>
            <w:tcBorders>
              <w:bottom w:val="single" w:sz="8" w:color="E6E6E6"/>
            </w:tcBorders>
            <w:shd w:val="clear" w:color="auto" w:fill="FEFEFE"/>
          </w:tcPr>
          <w:p>
            <w:pPr>
              <w:spacing w:after="0"/>
              <w:rPr>
                <w:sz w:val="19"/>
                <w:szCs w:val="19"/>
                <w:color w:val="auto"/>
              </w:rPr>
            </w:pPr>
          </w:p>
        </w:tc>
        <w:tc>
          <w:tcPr>
            <w:tcW w:w="260" w:type="dxa"/>
            <w:vAlign w:val="bottom"/>
            <w:tcBorders>
              <w:bottom w:val="single" w:sz="8" w:color="E6E6E6"/>
            </w:tcBorders>
            <w:shd w:val="clear" w:color="auto" w:fill="FEFEFE"/>
          </w:tcPr>
          <w:p>
            <w:pPr>
              <w:spacing w:after="0"/>
              <w:rPr>
                <w:sz w:val="19"/>
                <w:szCs w:val="19"/>
                <w:color w:val="auto"/>
              </w:rPr>
            </w:pPr>
          </w:p>
        </w:tc>
        <w:tc>
          <w:tcPr>
            <w:tcW w:w="300" w:type="dxa"/>
            <w:vAlign w:val="bottom"/>
            <w:tcBorders>
              <w:bottom w:val="single" w:sz="8" w:color="auto"/>
            </w:tcBorders>
            <w:shd w:val="clear" w:color="auto" w:fill="FEFEFE"/>
          </w:tcPr>
          <w:p>
            <w:pPr>
              <w:spacing w:after="0"/>
              <w:rPr>
                <w:sz w:val="19"/>
                <w:szCs w:val="19"/>
                <w:color w:val="auto"/>
              </w:rPr>
            </w:pPr>
          </w:p>
        </w:tc>
        <w:tc>
          <w:tcPr>
            <w:tcW w:w="1980" w:type="dxa"/>
            <w:vAlign w:val="bottom"/>
            <w:tcBorders>
              <w:bottom w:val="single" w:sz="8" w:color="auto"/>
            </w:tcBorders>
            <w:shd w:val="clear" w:color="auto" w:fill="FEFEFE"/>
          </w:tcPr>
          <w:p>
            <w:pPr>
              <w:jc w:val="right"/>
              <w:ind w:right="90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Borders>
              <w:bottom w:val="single" w:sz="8" w:color="E6E6E6"/>
            </w:tcBorders>
            <w:shd w:val="clear" w:color="auto" w:fill="FEFEFE"/>
          </w:tcPr>
          <w:p>
            <w:pPr>
              <w:spacing w:after="0"/>
              <w:rPr>
                <w:sz w:val="19"/>
                <w:szCs w:val="19"/>
                <w:color w:val="auto"/>
              </w:rPr>
            </w:pPr>
          </w:p>
        </w:tc>
        <w:tc>
          <w:tcPr>
            <w:tcW w:w="300" w:type="dxa"/>
            <w:vAlign w:val="bottom"/>
            <w:tcBorders>
              <w:bottom w:val="single" w:sz="8" w:color="auto"/>
            </w:tcBorders>
            <w:shd w:val="clear" w:color="auto" w:fill="FEFEFE"/>
          </w:tcPr>
          <w:p>
            <w:pPr>
              <w:spacing w:after="0"/>
              <w:rPr>
                <w:sz w:val="19"/>
                <w:szCs w:val="19"/>
                <w:color w:val="auto"/>
              </w:rPr>
            </w:pPr>
          </w:p>
        </w:tc>
        <w:tc>
          <w:tcPr>
            <w:tcW w:w="1980" w:type="dxa"/>
            <w:vAlign w:val="bottom"/>
            <w:tcBorders>
              <w:bottom w:val="single" w:sz="8" w:color="auto"/>
            </w:tcBorders>
            <w:shd w:val="clear" w:color="auto" w:fill="FEFEFE"/>
          </w:tcPr>
          <w:p>
            <w:pPr>
              <w:jc w:val="right"/>
              <w:ind w:right="90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57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2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spacing w:after="0"/>
              <w:rPr>
                <w:sz w:val="19"/>
                <w:szCs w:val="19"/>
                <w:color w:val="auto"/>
              </w:rPr>
            </w:pPr>
          </w:p>
        </w:tc>
      </w:tr>
      <w:tr>
        <w:trPr>
          <w:trHeight w:val="230"/>
        </w:trPr>
        <w:tc>
          <w:tcPr>
            <w:tcW w:w="57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Current assets:</w:t>
            </w:r>
          </w:p>
        </w:tc>
        <w:tc>
          <w:tcPr>
            <w:tcW w:w="26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spacing w:after="0"/>
              <w:rPr>
                <w:sz w:val="19"/>
                <w:szCs w:val="19"/>
                <w:color w:val="auto"/>
              </w:rPr>
            </w:pPr>
          </w:p>
        </w:tc>
        <w:tc>
          <w:tcPr>
            <w:tcW w:w="2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spacing w:after="0"/>
              <w:rPr>
                <w:sz w:val="19"/>
                <w:szCs w:val="19"/>
                <w:color w:val="auto"/>
              </w:rPr>
            </w:pPr>
          </w:p>
        </w:tc>
      </w:tr>
      <w:tr>
        <w:trPr>
          <w:trHeight w:val="230"/>
        </w:trPr>
        <w:tc>
          <w:tcPr>
            <w:tcW w:w="57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6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69,802</w:t>
            </w:r>
          </w:p>
        </w:tc>
        <w:tc>
          <w:tcPr>
            <w:tcW w:w="54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57,421</w:t>
            </w:r>
          </w:p>
        </w:tc>
      </w:tr>
      <w:tr>
        <w:trPr>
          <w:trHeight w:val="230"/>
        </w:trPr>
        <w:tc>
          <w:tcPr>
            <w:tcW w:w="574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6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2,175</w:t>
            </w:r>
          </w:p>
        </w:tc>
        <w:tc>
          <w:tcPr>
            <w:tcW w:w="2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5,156</w:t>
            </w:r>
          </w:p>
        </w:tc>
      </w:tr>
      <w:tr>
        <w:trPr>
          <w:trHeight w:val="230"/>
        </w:trPr>
        <w:tc>
          <w:tcPr>
            <w:tcW w:w="5740" w:type="dxa"/>
            <w:vAlign w:val="bottom"/>
            <w:tcBorders>
              <w:bottom w:val="single" w:sz="8" w:color="FEFEFE"/>
            </w:tcBorders>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Research and development incentives receivables</w:t>
            </w:r>
          </w:p>
        </w:tc>
        <w:tc>
          <w:tcPr>
            <w:tcW w:w="260" w:type="dxa"/>
            <w:vAlign w:val="bottom"/>
            <w:tcBorders>
              <w:bottom w:val="single" w:sz="8" w:color="FEFEFE"/>
            </w:tcBorders>
            <w:shd w:val="clear" w:color="auto" w:fill="E6E6E6"/>
          </w:tcPr>
          <w:p>
            <w:pPr>
              <w:spacing w:after="0"/>
              <w:rPr>
                <w:sz w:val="19"/>
                <w:szCs w:val="19"/>
                <w:color w:val="auto"/>
              </w:rPr>
            </w:pPr>
          </w:p>
        </w:tc>
        <w:tc>
          <w:tcPr>
            <w:tcW w:w="300" w:type="dxa"/>
            <w:vAlign w:val="bottom"/>
            <w:tcBorders>
              <w:bottom w:val="single" w:sz="8" w:color="auto"/>
            </w:tcBorders>
            <w:shd w:val="clear" w:color="auto" w:fill="E6E6E6"/>
          </w:tcPr>
          <w:p>
            <w:pPr>
              <w:spacing w:after="0"/>
              <w:rPr>
                <w:sz w:val="19"/>
                <w:szCs w:val="19"/>
                <w:color w:val="auto"/>
              </w:rPr>
            </w:pPr>
          </w:p>
        </w:tc>
        <w:tc>
          <w:tcPr>
            <w:tcW w:w="1980" w:type="dxa"/>
            <w:vAlign w:val="bottom"/>
            <w:tcBorders>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2,786</w:t>
            </w:r>
          </w:p>
        </w:tc>
        <w:tc>
          <w:tcPr>
            <w:tcW w:w="240" w:type="dxa"/>
            <w:vAlign w:val="bottom"/>
            <w:tcBorders>
              <w:bottom w:val="single" w:sz="8" w:color="FEFEFE"/>
            </w:tcBorders>
            <w:shd w:val="clear" w:color="auto" w:fill="E6E6E6"/>
          </w:tcPr>
          <w:p>
            <w:pPr>
              <w:spacing w:after="0"/>
              <w:rPr>
                <w:sz w:val="19"/>
                <w:szCs w:val="19"/>
                <w:color w:val="auto"/>
              </w:rPr>
            </w:pPr>
          </w:p>
        </w:tc>
        <w:tc>
          <w:tcPr>
            <w:tcW w:w="300" w:type="dxa"/>
            <w:vAlign w:val="bottom"/>
            <w:tcBorders>
              <w:bottom w:val="single" w:sz="8" w:color="auto"/>
            </w:tcBorders>
            <w:shd w:val="clear" w:color="auto" w:fill="E6E6E6"/>
          </w:tcPr>
          <w:p>
            <w:pPr>
              <w:spacing w:after="0"/>
              <w:rPr>
                <w:sz w:val="19"/>
                <w:szCs w:val="19"/>
                <w:color w:val="auto"/>
              </w:rPr>
            </w:pPr>
          </w:p>
        </w:tc>
        <w:tc>
          <w:tcPr>
            <w:tcW w:w="1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1,183</w:t>
            </w:r>
          </w:p>
        </w:tc>
      </w:tr>
      <w:tr>
        <w:trPr>
          <w:trHeight w:val="220"/>
        </w:trPr>
        <w:tc>
          <w:tcPr>
            <w:tcW w:w="5740" w:type="dxa"/>
            <w:vAlign w:val="bottom"/>
            <w:shd w:val="clear" w:color="auto" w:fill="FEFEFE"/>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current assets</w:t>
            </w:r>
          </w:p>
        </w:tc>
        <w:tc>
          <w:tcPr>
            <w:tcW w:w="26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74,763</w:t>
            </w:r>
          </w:p>
        </w:tc>
        <w:tc>
          <w:tcPr>
            <w:tcW w:w="2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63,760</w:t>
            </w:r>
          </w:p>
        </w:tc>
      </w:tr>
      <w:tr>
        <w:trPr>
          <w:trHeight w:val="230"/>
        </w:trPr>
        <w:tc>
          <w:tcPr>
            <w:tcW w:w="57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257</w:t>
            </w:r>
          </w:p>
        </w:tc>
        <w:tc>
          <w:tcPr>
            <w:tcW w:w="2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405</w:t>
            </w:r>
          </w:p>
        </w:tc>
      </w:tr>
      <w:tr>
        <w:trPr>
          <w:trHeight w:val="230"/>
        </w:trPr>
        <w:tc>
          <w:tcPr>
            <w:tcW w:w="57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Operating lease right-of-use assets, net</w:t>
            </w:r>
          </w:p>
        </w:tc>
        <w:tc>
          <w:tcPr>
            <w:tcW w:w="26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727</w:t>
            </w:r>
          </w:p>
        </w:tc>
        <w:tc>
          <w:tcPr>
            <w:tcW w:w="2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1,245</w:t>
            </w:r>
          </w:p>
        </w:tc>
      </w:tr>
      <w:tr>
        <w:trPr>
          <w:trHeight w:val="230"/>
        </w:trPr>
        <w:tc>
          <w:tcPr>
            <w:tcW w:w="5740" w:type="dxa"/>
            <w:vAlign w:val="bottom"/>
            <w:tcBorders>
              <w:bottom w:val="single" w:sz="8" w:color="FEFEFE"/>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Intangible assets, net</w:t>
            </w:r>
          </w:p>
        </w:tc>
        <w:tc>
          <w:tcPr>
            <w:tcW w:w="260" w:type="dxa"/>
            <w:vAlign w:val="bottom"/>
            <w:tcBorders>
              <w:bottom w:val="single" w:sz="8" w:color="FEFEFE"/>
            </w:tcBorders>
            <w:shd w:val="clear" w:color="auto" w:fill="E6E6E6"/>
          </w:tcPr>
          <w:p>
            <w:pPr>
              <w:spacing w:after="0"/>
              <w:rPr>
                <w:sz w:val="19"/>
                <w:szCs w:val="19"/>
                <w:color w:val="auto"/>
              </w:rPr>
            </w:pPr>
          </w:p>
        </w:tc>
        <w:tc>
          <w:tcPr>
            <w:tcW w:w="300" w:type="dxa"/>
            <w:vAlign w:val="bottom"/>
            <w:tcBorders>
              <w:bottom w:val="single" w:sz="8" w:color="auto"/>
            </w:tcBorders>
            <w:shd w:val="clear" w:color="auto" w:fill="E6E6E6"/>
          </w:tcPr>
          <w:p>
            <w:pPr>
              <w:spacing w:after="0"/>
              <w:rPr>
                <w:sz w:val="19"/>
                <w:szCs w:val="19"/>
                <w:color w:val="auto"/>
              </w:rPr>
            </w:pPr>
          </w:p>
        </w:tc>
        <w:tc>
          <w:tcPr>
            <w:tcW w:w="1980" w:type="dxa"/>
            <w:vAlign w:val="bottom"/>
            <w:tcBorders>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643</w:t>
            </w:r>
          </w:p>
        </w:tc>
        <w:tc>
          <w:tcPr>
            <w:tcW w:w="240" w:type="dxa"/>
            <w:vAlign w:val="bottom"/>
            <w:tcBorders>
              <w:bottom w:val="single" w:sz="8" w:color="FEFEFE"/>
            </w:tcBorders>
            <w:shd w:val="clear" w:color="auto" w:fill="E6E6E6"/>
          </w:tcPr>
          <w:p>
            <w:pPr>
              <w:spacing w:after="0"/>
              <w:rPr>
                <w:sz w:val="19"/>
                <w:szCs w:val="19"/>
                <w:color w:val="auto"/>
              </w:rPr>
            </w:pPr>
          </w:p>
        </w:tc>
        <w:tc>
          <w:tcPr>
            <w:tcW w:w="300" w:type="dxa"/>
            <w:vAlign w:val="bottom"/>
            <w:tcBorders>
              <w:bottom w:val="single" w:sz="8" w:color="auto"/>
            </w:tcBorders>
            <w:shd w:val="clear" w:color="auto" w:fill="E6E6E6"/>
          </w:tcPr>
          <w:p>
            <w:pPr>
              <w:spacing w:after="0"/>
              <w:rPr>
                <w:sz w:val="19"/>
                <w:szCs w:val="19"/>
                <w:color w:val="auto"/>
              </w:rPr>
            </w:pPr>
          </w:p>
        </w:tc>
        <w:tc>
          <w:tcPr>
            <w:tcW w:w="1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1,089</w:t>
            </w:r>
          </w:p>
        </w:tc>
      </w:tr>
      <w:tr>
        <w:trPr>
          <w:trHeight w:val="220"/>
        </w:trPr>
        <w:tc>
          <w:tcPr>
            <w:tcW w:w="5740" w:type="dxa"/>
            <w:vAlign w:val="bottom"/>
            <w:tcBorders>
              <w:bottom w:val="single" w:sz="8" w:color="FEFEFE"/>
            </w:tcBorders>
            <w:shd w:val="clear" w:color="auto" w:fill="FEFEFE"/>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260" w:type="dxa"/>
            <w:vAlign w:val="bottom"/>
            <w:tcBorders>
              <w:bottom w:val="single" w:sz="8" w:color="FEFEFE"/>
            </w:tcBorders>
            <w:shd w:val="clear" w:color="auto" w:fill="FEFEFE"/>
          </w:tcPr>
          <w:p>
            <w:pPr>
              <w:spacing w:after="0"/>
              <w:rPr>
                <w:sz w:val="19"/>
                <w:szCs w:val="19"/>
                <w:color w:val="auto"/>
              </w:rPr>
            </w:pPr>
          </w:p>
        </w:tc>
        <w:tc>
          <w:tcPr>
            <w:tcW w:w="300" w:type="dxa"/>
            <w:vAlign w:val="bottom"/>
            <w:tcBorders>
              <w:bottom w:val="single" w:sz="8" w:color="auto"/>
            </w:tcBorders>
            <w:shd w:val="clear" w:color="auto" w:fill="FEFEFE"/>
          </w:tcPr>
          <w:p>
            <w:pPr>
              <w:jc w:val="right"/>
              <w:ind w:right="100"/>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980" w:type="dxa"/>
            <w:vAlign w:val="bottom"/>
            <w:tcBorders>
              <w:bottom w:val="single" w:sz="8" w:color="auto"/>
            </w:tcBorders>
            <w:shd w:val="clear" w:color="auto" w:fill="FEFEFE"/>
          </w:tcPr>
          <w:p>
            <w:pPr>
              <w:jc w:val="right"/>
              <w:ind w:right="20"/>
              <w:spacing w:after="0" w:line="220" w:lineRule="exact"/>
              <w:rPr>
                <w:sz w:val="20"/>
                <w:szCs w:val="20"/>
                <w:color w:val="auto"/>
              </w:rPr>
            </w:pPr>
            <w:r>
              <w:rPr>
                <w:rFonts w:ascii="Times New Roman" w:cs="Times New Roman" w:eastAsia="Times New Roman" w:hAnsi="Times New Roman"/>
                <w:sz w:val="20"/>
                <w:szCs w:val="20"/>
                <w:b w:val="1"/>
                <w:bCs w:val="1"/>
                <w:color w:val="auto"/>
              </w:rPr>
              <w:t>76,390</w:t>
            </w:r>
          </w:p>
        </w:tc>
        <w:tc>
          <w:tcPr>
            <w:tcW w:w="240" w:type="dxa"/>
            <w:vAlign w:val="bottom"/>
            <w:tcBorders>
              <w:bottom w:val="single" w:sz="8" w:color="FEFEFE"/>
            </w:tcBorders>
            <w:shd w:val="clear" w:color="auto" w:fill="FEFEFE"/>
          </w:tcPr>
          <w:p>
            <w:pPr>
              <w:spacing w:after="0"/>
              <w:rPr>
                <w:sz w:val="19"/>
                <w:szCs w:val="19"/>
                <w:color w:val="auto"/>
              </w:rPr>
            </w:pPr>
          </w:p>
        </w:tc>
        <w:tc>
          <w:tcPr>
            <w:tcW w:w="300" w:type="dxa"/>
            <w:vAlign w:val="bottom"/>
            <w:tcBorders>
              <w:bottom w:val="single" w:sz="8" w:color="auto"/>
            </w:tcBorders>
            <w:shd w:val="clear" w:color="auto" w:fill="FEFEFE"/>
          </w:tcPr>
          <w:p>
            <w:pPr>
              <w:jc w:val="right"/>
              <w:ind w:right="100"/>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98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66,499</w:t>
            </w:r>
          </w:p>
        </w:tc>
      </w:tr>
      <w:tr>
        <w:trPr>
          <w:trHeight w:val="20"/>
        </w:trPr>
        <w:tc>
          <w:tcPr>
            <w:tcW w:w="5740" w:type="dxa"/>
            <w:vAlign w:val="bottom"/>
            <w:tcBorders>
              <w:bottom w:val="single" w:sz="8" w:color="FEFEFE"/>
            </w:tcBorders>
            <w:shd w:val="clear" w:color="auto" w:fill="FEFEFE"/>
          </w:tcPr>
          <w:p>
            <w:pPr>
              <w:spacing w:after="0" w:line="20" w:lineRule="exact"/>
              <w:rPr>
                <w:sz w:val="1"/>
                <w:szCs w:val="1"/>
                <w:color w:val="auto"/>
              </w:rPr>
            </w:pPr>
          </w:p>
        </w:tc>
        <w:tc>
          <w:tcPr>
            <w:tcW w:w="260" w:type="dxa"/>
            <w:vAlign w:val="bottom"/>
            <w:tcBorders>
              <w:bottom w:val="single" w:sz="8" w:color="FEFEFE"/>
            </w:tcBorders>
            <w:shd w:val="clear" w:color="auto" w:fill="FEFEF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EFEFE"/>
            </w:tcBorders>
            <w:shd w:val="clear" w:color="auto" w:fill="FEFEF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15"/>
        </w:trPr>
        <w:tc>
          <w:tcPr>
            <w:tcW w:w="5740" w:type="dxa"/>
            <w:vAlign w:val="bottom"/>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300" w:type="dxa"/>
            <w:vAlign w:val="bottom"/>
            <w:shd w:val="clear" w:color="auto" w:fill="FEFEFE"/>
          </w:tcPr>
          <w:p>
            <w:pPr>
              <w:spacing w:after="0"/>
              <w:rPr>
                <w:sz w:val="18"/>
                <w:szCs w:val="18"/>
                <w:color w:val="auto"/>
              </w:rPr>
            </w:pPr>
          </w:p>
        </w:tc>
        <w:tc>
          <w:tcPr>
            <w:tcW w:w="1980" w:type="dxa"/>
            <w:vAlign w:val="bottom"/>
            <w:shd w:val="clear" w:color="auto" w:fill="FEFEFE"/>
          </w:tcPr>
          <w:p>
            <w:pPr>
              <w:spacing w:after="0"/>
              <w:rPr>
                <w:sz w:val="18"/>
                <w:szCs w:val="18"/>
                <w:color w:val="auto"/>
              </w:rPr>
            </w:pPr>
          </w:p>
        </w:tc>
        <w:tc>
          <w:tcPr>
            <w:tcW w:w="240" w:type="dxa"/>
            <w:vAlign w:val="bottom"/>
            <w:shd w:val="clear" w:color="auto" w:fill="FEFEFE"/>
          </w:tcPr>
          <w:p>
            <w:pPr>
              <w:spacing w:after="0"/>
              <w:rPr>
                <w:sz w:val="18"/>
                <w:szCs w:val="18"/>
                <w:color w:val="auto"/>
              </w:rPr>
            </w:pPr>
          </w:p>
        </w:tc>
        <w:tc>
          <w:tcPr>
            <w:tcW w:w="300" w:type="dxa"/>
            <w:vAlign w:val="bottom"/>
            <w:shd w:val="clear" w:color="auto" w:fill="FEFEFE"/>
          </w:tcPr>
          <w:p>
            <w:pPr>
              <w:spacing w:after="0"/>
              <w:rPr>
                <w:sz w:val="18"/>
                <w:szCs w:val="18"/>
                <w:color w:val="auto"/>
              </w:rPr>
            </w:pPr>
          </w:p>
        </w:tc>
        <w:tc>
          <w:tcPr>
            <w:tcW w:w="1980" w:type="dxa"/>
            <w:vAlign w:val="bottom"/>
            <w:shd w:val="clear" w:color="auto" w:fill="FEFEFE"/>
          </w:tcPr>
          <w:p>
            <w:pPr>
              <w:spacing w:after="0"/>
              <w:rPr>
                <w:sz w:val="18"/>
                <w:szCs w:val="18"/>
                <w:color w:val="auto"/>
              </w:rPr>
            </w:pPr>
          </w:p>
        </w:tc>
      </w:tr>
      <w:tr>
        <w:trPr>
          <w:trHeight w:val="230"/>
        </w:trPr>
        <w:tc>
          <w:tcPr>
            <w:tcW w:w="5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spacing w:after="0"/>
              <w:rPr>
                <w:sz w:val="19"/>
                <w:szCs w:val="19"/>
                <w:color w:val="auto"/>
              </w:rPr>
            </w:pPr>
          </w:p>
        </w:tc>
      </w:tr>
      <w:tr>
        <w:trPr>
          <w:trHeight w:val="230"/>
        </w:trPr>
        <w:tc>
          <w:tcPr>
            <w:tcW w:w="57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Current liabilities:</w:t>
            </w:r>
          </w:p>
        </w:tc>
        <w:tc>
          <w:tcPr>
            <w:tcW w:w="26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spacing w:after="0"/>
              <w:rPr>
                <w:sz w:val="19"/>
                <w:szCs w:val="19"/>
                <w:color w:val="auto"/>
              </w:rPr>
            </w:pPr>
          </w:p>
        </w:tc>
        <w:tc>
          <w:tcPr>
            <w:tcW w:w="2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spacing w:after="0"/>
              <w:rPr>
                <w:sz w:val="19"/>
                <w:szCs w:val="19"/>
                <w:color w:val="auto"/>
              </w:rPr>
            </w:pPr>
          </w:p>
        </w:tc>
      </w:tr>
      <w:tr>
        <w:trPr>
          <w:trHeight w:val="230"/>
        </w:trPr>
        <w:tc>
          <w:tcPr>
            <w:tcW w:w="57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56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2,440</w:t>
            </w:r>
          </w:p>
        </w:tc>
        <w:tc>
          <w:tcPr>
            <w:tcW w:w="54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2,346</w:t>
            </w:r>
          </w:p>
        </w:tc>
      </w:tr>
      <w:tr>
        <w:trPr>
          <w:trHeight w:val="230"/>
        </w:trPr>
        <w:tc>
          <w:tcPr>
            <w:tcW w:w="574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Accrued expenses</w:t>
            </w:r>
          </w:p>
        </w:tc>
        <w:tc>
          <w:tcPr>
            <w:tcW w:w="26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4,071</w:t>
            </w:r>
          </w:p>
        </w:tc>
        <w:tc>
          <w:tcPr>
            <w:tcW w:w="2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5,467</w:t>
            </w:r>
          </w:p>
        </w:tc>
      </w:tr>
      <w:tr>
        <w:trPr>
          <w:trHeight w:val="230"/>
        </w:trPr>
        <w:tc>
          <w:tcPr>
            <w:tcW w:w="57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Convertible loan notes – current</w:t>
            </w:r>
          </w:p>
        </w:tc>
        <w:tc>
          <w:tcPr>
            <w:tcW w:w="2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5,535</w:t>
            </w:r>
          </w:p>
        </w:tc>
        <w:tc>
          <w:tcPr>
            <w:tcW w:w="2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74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Operating lease liabilities – current</w:t>
            </w:r>
          </w:p>
        </w:tc>
        <w:tc>
          <w:tcPr>
            <w:tcW w:w="26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707</w:t>
            </w:r>
          </w:p>
        </w:tc>
        <w:tc>
          <w:tcPr>
            <w:tcW w:w="2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652</w:t>
            </w:r>
          </w:p>
        </w:tc>
      </w:tr>
      <w:tr>
        <w:trPr>
          <w:trHeight w:val="255"/>
        </w:trPr>
        <w:tc>
          <w:tcPr>
            <w:tcW w:w="5740" w:type="dxa"/>
            <w:vAlign w:val="bottom"/>
            <w:tcBorders>
              <w:bottom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6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980" w:type="dxa"/>
            <w:vAlign w:val="bottom"/>
            <w:tcBorders>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1,095</w:t>
            </w:r>
          </w:p>
        </w:tc>
        <w:tc>
          <w:tcPr>
            <w:tcW w:w="24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1,021</w:t>
            </w:r>
          </w:p>
        </w:tc>
      </w:tr>
      <w:tr>
        <w:trPr>
          <w:trHeight w:val="200"/>
        </w:trPr>
        <w:tc>
          <w:tcPr>
            <w:tcW w:w="5740" w:type="dxa"/>
            <w:vAlign w:val="bottom"/>
            <w:tcBorders>
              <w:top w:val="single" w:sz="8" w:color="FEFEFE"/>
            </w:tcBorders>
            <w:shd w:val="clear" w:color="auto" w:fill="FEFEFE"/>
          </w:tcPr>
          <w:p>
            <w:pPr>
              <w:ind w:left="200"/>
              <w:spacing w:after="0" w:line="200" w:lineRule="exact"/>
              <w:rPr>
                <w:sz w:val="20"/>
                <w:szCs w:val="20"/>
                <w:color w:val="auto"/>
              </w:rPr>
            </w:pPr>
            <w:r>
              <w:rPr>
                <w:rFonts w:ascii="Times New Roman" w:cs="Times New Roman" w:eastAsia="Times New Roman" w:hAnsi="Times New Roman"/>
                <w:sz w:val="20"/>
                <w:szCs w:val="20"/>
                <w:color w:val="auto"/>
              </w:rPr>
              <w:t>Total current liabilities</w:t>
            </w:r>
          </w:p>
        </w:tc>
        <w:tc>
          <w:tcPr>
            <w:tcW w:w="260" w:type="dxa"/>
            <w:vAlign w:val="bottom"/>
            <w:tcBorders>
              <w:top w:val="single" w:sz="8" w:color="FEFEFE"/>
            </w:tcBorders>
            <w:shd w:val="clear" w:color="auto" w:fill="FEFEFE"/>
          </w:tcPr>
          <w:p>
            <w:pPr>
              <w:spacing w:after="0"/>
              <w:rPr>
                <w:sz w:val="17"/>
                <w:szCs w:val="17"/>
                <w:color w:val="auto"/>
              </w:rPr>
            </w:pPr>
          </w:p>
        </w:tc>
        <w:tc>
          <w:tcPr>
            <w:tcW w:w="300" w:type="dxa"/>
            <w:vAlign w:val="bottom"/>
            <w:tcBorders>
              <w:top w:val="single" w:sz="8" w:color="auto"/>
            </w:tcBorders>
            <w:shd w:val="clear" w:color="auto" w:fill="FEFEFE"/>
          </w:tcPr>
          <w:p>
            <w:pPr>
              <w:spacing w:after="0"/>
              <w:rPr>
                <w:sz w:val="17"/>
                <w:szCs w:val="17"/>
                <w:color w:val="auto"/>
              </w:rPr>
            </w:pPr>
          </w:p>
        </w:tc>
        <w:tc>
          <w:tcPr>
            <w:tcW w:w="1980" w:type="dxa"/>
            <w:vAlign w:val="bottom"/>
            <w:tcBorders>
              <w:top w:val="single" w:sz="8" w:color="auto"/>
            </w:tcBorders>
            <w:shd w:val="clear" w:color="auto" w:fill="FEFEFE"/>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rPr>
              <w:t>13,848</w:t>
            </w:r>
          </w:p>
        </w:tc>
        <w:tc>
          <w:tcPr>
            <w:tcW w:w="240" w:type="dxa"/>
            <w:vAlign w:val="bottom"/>
            <w:tcBorders>
              <w:top w:val="single" w:sz="8" w:color="FEFEFE"/>
            </w:tcBorders>
            <w:shd w:val="clear" w:color="auto" w:fill="FEFEFE"/>
          </w:tcPr>
          <w:p>
            <w:pPr>
              <w:spacing w:after="0"/>
              <w:rPr>
                <w:sz w:val="17"/>
                <w:szCs w:val="17"/>
                <w:color w:val="auto"/>
              </w:rPr>
            </w:pPr>
          </w:p>
        </w:tc>
        <w:tc>
          <w:tcPr>
            <w:tcW w:w="300" w:type="dxa"/>
            <w:vAlign w:val="bottom"/>
            <w:tcBorders>
              <w:top w:val="single" w:sz="8" w:color="auto"/>
            </w:tcBorders>
            <w:shd w:val="clear" w:color="auto" w:fill="FEFEFE"/>
          </w:tcPr>
          <w:p>
            <w:pPr>
              <w:spacing w:after="0"/>
              <w:rPr>
                <w:sz w:val="17"/>
                <w:szCs w:val="17"/>
                <w:color w:val="auto"/>
              </w:rPr>
            </w:pPr>
          </w:p>
        </w:tc>
        <w:tc>
          <w:tcPr>
            <w:tcW w:w="1980" w:type="dxa"/>
            <w:vAlign w:val="bottom"/>
            <w:tcBorders>
              <w:top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20"/>
                <w:szCs w:val="20"/>
                <w:color w:val="auto"/>
              </w:rPr>
              <w:t>9,486</w:t>
            </w:r>
          </w:p>
        </w:tc>
      </w:tr>
      <w:tr>
        <w:trPr>
          <w:trHeight w:val="230"/>
        </w:trPr>
        <w:tc>
          <w:tcPr>
            <w:tcW w:w="57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Convertible loan notes – non-current</w:t>
            </w:r>
          </w:p>
        </w:tc>
        <w:tc>
          <w:tcPr>
            <w:tcW w:w="2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4,394</w:t>
            </w:r>
          </w:p>
        </w:tc>
      </w:tr>
      <w:tr>
        <w:trPr>
          <w:trHeight w:val="230"/>
        </w:trPr>
        <w:tc>
          <w:tcPr>
            <w:tcW w:w="57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Warrant liabilities – non-current</w:t>
            </w:r>
          </w:p>
        </w:tc>
        <w:tc>
          <w:tcPr>
            <w:tcW w:w="26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821</w:t>
            </w:r>
          </w:p>
        </w:tc>
        <w:tc>
          <w:tcPr>
            <w:tcW w:w="2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412</w:t>
            </w:r>
          </w:p>
        </w:tc>
      </w:tr>
      <w:tr>
        <w:trPr>
          <w:trHeight w:val="230"/>
        </w:trPr>
        <w:tc>
          <w:tcPr>
            <w:tcW w:w="57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 non-current</w:t>
            </w:r>
          </w:p>
        </w:tc>
        <w:tc>
          <w:tcPr>
            <w:tcW w:w="2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187</w:t>
            </w:r>
          </w:p>
        </w:tc>
        <w:tc>
          <w:tcPr>
            <w:tcW w:w="2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906</w:t>
            </w:r>
          </w:p>
        </w:tc>
      </w:tr>
      <w:tr>
        <w:trPr>
          <w:trHeight w:val="230"/>
        </w:trPr>
        <w:tc>
          <w:tcPr>
            <w:tcW w:w="5740" w:type="dxa"/>
            <w:vAlign w:val="bottom"/>
            <w:tcBorders>
              <w:bottom w:val="single" w:sz="8" w:color="E6E6E6"/>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260" w:type="dxa"/>
            <w:vAlign w:val="bottom"/>
            <w:tcBorders>
              <w:bottom w:val="single" w:sz="8" w:color="E6E6E6"/>
            </w:tcBorders>
            <w:shd w:val="clear" w:color="auto" w:fill="FEFEFE"/>
          </w:tcPr>
          <w:p>
            <w:pPr>
              <w:spacing w:after="0"/>
              <w:rPr>
                <w:sz w:val="19"/>
                <w:szCs w:val="19"/>
                <w:color w:val="auto"/>
              </w:rPr>
            </w:pPr>
          </w:p>
        </w:tc>
        <w:tc>
          <w:tcPr>
            <w:tcW w:w="300" w:type="dxa"/>
            <w:vAlign w:val="bottom"/>
            <w:tcBorders>
              <w:bottom w:val="single" w:sz="8" w:color="auto"/>
            </w:tcBorders>
            <w:shd w:val="clear" w:color="auto" w:fill="FEFEFE"/>
          </w:tcPr>
          <w:p>
            <w:pPr>
              <w:spacing w:after="0"/>
              <w:rPr>
                <w:sz w:val="19"/>
                <w:szCs w:val="19"/>
                <w:color w:val="auto"/>
              </w:rPr>
            </w:pPr>
          </w:p>
        </w:tc>
        <w:tc>
          <w:tcPr>
            <w:tcW w:w="1980" w:type="dxa"/>
            <w:vAlign w:val="bottom"/>
            <w:tcBorders>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565</w:t>
            </w:r>
          </w:p>
        </w:tc>
        <w:tc>
          <w:tcPr>
            <w:tcW w:w="240" w:type="dxa"/>
            <w:vAlign w:val="bottom"/>
            <w:tcBorders>
              <w:bottom w:val="single" w:sz="8" w:color="E6E6E6"/>
            </w:tcBorders>
            <w:shd w:val="clear" w:color="auto" w:fill="FEFEFE"/>
          </w:tcPr>
          <w:p>
            <w:pPr>
              <w:spacing w:after="0"/>
              <w:rPr>
                <w:sz w:val="19"/>
                <w:szCs w:val="19"/>
                <w:color w:val="auto"/>
              </w:rPr>
            </w:pPr>
          </w:p>
        </w:tc>
        <w:tc>
          <w:tcPr>
            <w:tcW w:w="300" w:type="dxa"/>
            <w:vAlign w:val="bottom"/>
            <w:tcBorders>
              <w:bottom w:val="single" w:sz="8" w:color="auto"/>
            </w:tcBorders>
            <w:shd w:val="clear" w:color="auto" w:fill="FEFEFE"/>
          </w:tcPr>
          <w:p>
            <w:pPr>
              <w:spacing w:after="0"/>
              <w:rPr>
                <w:sz w:val="19"/>
                <w:szCs w:val="19"/>
                <w:color w:val="auto"/>
              </w:rPr>
            </w:pPr>
          </w:p>
        </w:tc>
        <w:tc>
          <w:tcPr>
            <w:tcW w:w="19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764</w:t>
            </w:r>
          </w:p>
        </w:tc>
      </w:tr>
      <w:tr>
        <w:trPr>
          <w:trHeight w:val="285"/>
        </w:trPr>
        <w:tc>
          <w:tcPr>
            <w:tcW w:w="5740" w:type="dxa"/>
            <w:vAlign w:val="bottom"/>
            <w:tcBorders>
              <w:bottom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liabilities</w:t>
            </w:r>
          </w:p>
        </w:tc>
        <w:tc>
          <w:tcPr>
            <w:tcW w:w="2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100"/>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980" w:type="dxa"/>
            <w:vAlign w:val="bottom"/>
            <w:tcBorders>
              <w:bottom w:val="single" w:sz="8" w:color="auto"/>
            </w:tcBorders>
            <w:shd w:val="clear" w:color="auto" w:fill="E6E6E6"/>
          </w:tcPr>
          <w:p>
            <w:pPr>
              <w:jc w:val="right"/>
              <w:ind w:right="20"/>
              <w:spacing w:after="0" w:line="220" w:lineRule="exact"/>
              <w:rPr>
                <w:sz w:val="20"/>
                <w:szCs w:val="20"/>
                <w:color w:val="auto"/>
              </w:rPr>
            </w:pPr>
            <w:r>
              <w:rPr>
                <w:rFonts w:ascii="Times New Roman" w:cs="Times New Roman" w:eastAsia="Times New Roman" w:hAnsi="Times New Roman"/>
                <w:sz w:val="20"/>
                <w:szCs w:val="20"/>
                <w:b w:val="1"/>
                <w:bCs w:val="1"/>
                <w:color w:val="auto"/>
              </w:rPr>
              <w:t>15,421</w:t>
            </w:r>
          </w:p>
        </w:tc>
        <w:tc>
          <w:tcPr>
            <w:tcW w:w="24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100"/>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98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15,962</w:t>
            </w:r>
          </w:p>
        </w:tc>
      </w:tr>
      <w:tr>
        <w:trPr>
          <w:trHeight w:val="195"/>
        </w:trPr>
        <w:tc>
          <w:tcPr>
            <w:tcW w:w="5740" w:type="dxa"/>
            <w:vAlign w:val="bottom"/>
            <w:tcBorders>
              <w:top w:val="single" w:sz="8" w:color="FEFEFE"/>
            </w:tcBorders>
            <w:shd w:val="clear" w:color="auto" w:fill="FEFEFE"/>
          </w:tcPr>
          <w:p>
            <w:pPr>
              <w:ind w:left="200"/>
              <w:spacing w:after="0" w:line="195" w:lineRule="exact"/>
              <w:rPr>
                <w:sz w:val="20"/>
                <w:szCs w:val="20"/>
                <w:color w:val="auto"/>
              </w:rPr>
            </w:pPr>
            <w:r>
              <w:rPr>
                <w:rFonts w:ascii="Times New Roman" w:cs="Times New Roman" w:eastAsia="Times New Roman" w:hAnsi="Times New Roman"/>
                <w:sz w:val="20"/>
                <w:szCs w:val="20"/>
                <w:color w:val="auto"/>
              </w:rPr>
              <w:t>Commitments and contingencies (Note 17)</w:t>
            </w:r>
          </w:p>
        </w:tc>
        <w:tc>
          <w:tcPr>
            <w:tcW w:w="260" w:type="dxa"/>
            <w:vAlign w:val="bottom"/>
            <w:tcBorders>
              <w:top w:val="single" w:sz="8" w:color="FEFEFE"/>
            </w:tcBorders>
            <w:shd w:val="clear" w:color="auto" w:fill="FEFEFE"/>
          </w:tcPr>
          <w:p>
            <w:pPr>
              <w:spacing w:after="0"/>
              <w:rPr>
                <w:sz w:val="16"/>
                <w:szCs w:val="16"/>
                <w:color w:val="auto"/>
              </w:rPr>
            </w:pPr>
          </w:p>
        </w:tc>
        <w:tc>
          <w:tcPr>
            <w:tcW w:w="300" w:type="dxa"/>
            <w:vAlign w:val="bottom"/>
            <w:tcBorders>
              <w:top w:val="single" w:sz="8" w:color="auto"/>
            </w:tcBorders>
            <w:shd w:val="clear" w:color="auto" w:fill="FEFEFE"/>
          </w:tcPr>
          <w:p>
            <w:pPr>
              <w:spacing w:after="0"/>
              <w:rPr>
                <w:sz w:val="16"/>
                <w:szCs w:val="16"/>
                <w:color w:val="auto"/>
              </w:rPr>
            </w:pPr>
          </w:p>
        </w:tc>
        <w:tc>
          <w:tcPr>
            <w:tcW w:w="1980" w:type="dxa"/>
            <w:vAlign w:val="bottom"/>
            <w:tcBorders>
              <w:top w:val="single" w:sz="8" w:color="auto"/>
            </w:tcBorders>
            <w:shd w:val="clear" w:color="auto" w:fill="FEFEFE"/>
          </w:tcPr>
          <w:p>
            <w:pPr>
              <w:spacing w:after="0"/>
              <w:rPr>
                <w:sz w:val="16"/>
                <w:szCs w:val="16"/>
                <w:color w:val="auto"/>
              </w:rPr>
            </w:pPr>
          </w:p>
        </w:tc>
        <w:tc>
          <w:tcPr>
            <w:tcW w:w="240" w:type="dxa"/>
            <w:vAlign w:val="bottom"/>
            <w:tcBorders>
              <w:top w:val="single" w:sz="8" w:color="FEFEFE"/>
            </w:tcBorders>
            <w:shd w:val="clear" w:color="auto" w:fill="FEFEFE"/>
          </w:tcPr>
          <w:p>
            <w:pPr>
              <w:spacing w:after="0"/>
              <w:rPr>
                <w:sz w:val="16"/>
                <w:szCs w:val="16"/>
                <w:color w:val="auto"/>
              </w:rPr>
            </w:pPr>
          </w:p>
        </w:tc>
        <w:tc>
          <w:tcPr>
            <w:tcW w:w="300" w:type="dxa"/>
            <w:vAlign w:val="bottom"/>
            <w:tcBorders>
              <w:top w:val="single" w:sz="8" w:color="auto"/>
            </w:tcBorders>
            <w:shd w:val="clear" w:color="auto" w:fill="FEFEFE"/>
          </w:tcPr>
          <w:p>
            <w:pPr>
              <w:spacing w:after="0"/>
              <w:rPr>
                <w:sz w:val="16"/>
                <w:szCs w:val="16"/>
                <w:color w:val="auto"/>
              </w:rPr>
            </w:pPr>
          </w:p>
        </w:tc>
        <w:tc>
          <w:tcPr>
            <w:tcW w:w="1980" w:type="dxa"/>
            <w:vAlign w:val="bottom"/>
            <w:tcBorders>
              <w:top w:val="single" w:sz="8" w:color="auto"/>
            </w:tcBorders>
            <w:shd w:val="clear" w:color="auto" w:fill="FEFEFE"/>
          </w:tcPr>
          <w:p>
            <w:pPr>
              <w:spacing w:after="0"/>
              <w:rPr>
                <w:sz w:val="16"/>
                <w:szCs w:val="16"/>
                <w:color w:val="auto"/>
              </w:rPr>
            </w:pPr>
          </w:p>
        </w:tc>
      </w:tr>
      <w:tr>
        <w:trPr>
          <w:trHeight w:val="230"/>
        </w:trPr>
        <w:tc>
          <w:tcPr>
            <w:tcW w:w="574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spacing w:after="0"/>
              <w:rPr>
                <w:sz w:val="19"/>
                <w:szCs w:val="19"/>
                <w:color w:val="auto"/>
              </w:rPr>
            </w:pPr>
          </w:p>
        </w:tc>
        <w:tc>
          <w:tcPr>
            <w:tcW w:w="2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spacing w:after="0"/>
              <w:rPr>
                <w:sz w:val="19"/>
                <w:szCs w:val="19"/>
                <w:color w:val="auto"/>
              </w:rPr>
            </w:pPr>
          </w:p>
        </w:tc>
      </w:tr>
      <w:tr>
        <w:trPr>
          <w:trHeight w:val="230"/>
        </w:trPr>
        <w:tc>
          <w:tcPr>
            <w:tcW w:w="5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tc>
        <w:tc>
          <w:tcPr>
            <w:tcW w:w="2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spacing w:after="0"/>
              <w:rPr>
                <w:sz w:val="19"/>
                <w:szCs w:val="19"/>
                <w:color w:val="auto"/>
              </w:rPr>
            </w:pPr>
          </w:p>
        </w:tc>
      </w:tr>
      <w:tr>
        <w:trPr>
          <w:trHeight w:val="209"/>
        </w:trPr>
        <w:tc>
          <w:tcPr>
            <w:tcW w:w="5740" w:type="dxa"/>
            <w:vAlign w:val="bottom"/>
            <w:shd w:val="clear" w:color="auto" w:fill="FEFEFE"/>
          </w:tcPr>
          <w:p>
            <w:pPr>
              <w:spacing w:after="0" w:line="208" w:lineRule="exact"/>
              <w:rPr>
                <w:sz w:val="20"/>
                <w:szCs w:val="20"/>
                <w:color w:val="auto"/>
              </w:rPr>
            </w:pPr>
            <w:r>
              <w:rPr>
                <w:rFonts w:ascii="Times New Roman" w:cs="Times New Roman" w:eastAsia="Times New Roman" w:hAnsi="Times New Roman"/>
                <w:sz w:val="20"/>
                <w:szCs w:val="20"/>
                <w:color w:val="auto"/>
              </w:rPr>
              <w:t>Ordinary shares, par value £0.003 per share; 775,728,034 shares issued</w:t>
            </w:r>
          </w:p>
        </w:tc>
        <w:tc>
          <w:tcPr>
            <w:tcW w:w="260" w:type="dxa"/>
            <w:vAlign w:val="bottom"/>
            <w:shd w:val="clear" w:color="auto" w:fill="FEFEFE"/>
          </w:tcPr>
          <w:p>
            <w:pPr>
              <w:spacing w:after="0"/>
              <w:rPr>
                <w:sz w:val="18"/>
                <w:szCs w:val="18"/>
                <w:color w:val="auto"/>
              </w:rPr>
            </w:pPr>
          </w:p>
        </w:tc>
        <w:tc>
          <w:tcPr>
            <w:tcW w:w="300" w:type="dxa"/>
            <w:vAlign w:val="bottom"/>
            <w:shd w:val="clear" w:color="auto" w:fill="FEFEFE"/>
          </w:tcPr>
          <w:p>
            <w:pPr>
              <w:spacing w:after="0"/>
              <w:rPr>
                <w:sz w:val="18"/>
                <w:szCs w:val="18"/>
                <w:color w:val="auto"/>
              </w:rPr>
            </w:pPr>
          </w:p>
        </w:tc>
        <w:tc>
          <w:tcPr>
            <w:tcW w:w="1980" w:type="dxa"/>
            <w:vAlign w:val="bottom"/>
            <w:shd w:val="clear" w:color="auto" w:fill="FEFEFE"/>
          </w:tcPr>
          <w:p>
            <w:pPr>
              <w:spacing w:after="0"/>
              <w:rPr>
                <w:sz w:val="18"/>
                <w:szCs w:val="18"/>
                <w:color w:val="auto"/>
              </w:rPr>
            </w:pPr>
          </w:p>
        </w:tc>
        <w:tc>
          <w:tcPr>
            <w:tcW w:w="240" w:type="dxa"/>
            <w:vAlign w:val="bottom"/>
            <w:shd w:val="clear" w:color="auto" w:fill="FEFEFE"/>
          </w:tcPr>
          <w:p>
            <w:pPr>
              <w:spacing w:after="0"/>
              <w:rPr>
                <w:sz w:val="18"/>
                <w:szCs w:val="18"/>
                <w:color w:val="auto"/>
              </w:rPr>
            </w:pPr>
          </w:p>
        </w:tc>
        <w:tc>
          <w:tcPr>
            <w:tcW w:w="300" w:type="dxa"/>
            <w:vAlign w:val="bottom"/>
            <w:shd w:val="clear" w:color="auto" w:fill="FEFEFE"/>
          </w:tcPr>
          <w:p>
            <w:pPr>
              <w:spacing w:after="0"/>
              <w:rPr>
                <w:sz w:val="18"/>
                <w:szCs w:val="18"/>
                <w:color w:val="auto"/>
              </w:rPr>
            </w:pPr>
          </w:p>
        </w:tc>
        <w:tc>
          <w:tcPr>
            <w:tcW w:w="1980" w:type="dxa"/>
            <w:vAlign w:val="bottom"/>
            <w:shd w:val="clear" w:color="auto" w:fill="FEFEFE"/>
          </w:tcPr>
          <w:p>
            <w:pPr>
              <w:spacing w:after="0"/>
              <w:rPr>
                <w:sz w:val="18"/>
                <w:szCs w:val="18"/>
                <w:color w:val="auto"/>
              </w:rPr>
            </w:pPr>
          </w:p>
        </w:tc>
      </w:tr>
      <w:tr>
        <w:trPr>
          <w:trHeight w:val="251"/>
        </w:trPr>
        <w:tc>
          <w:tcPr>
            <w:tcW w:w="57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at December 31, 2024 (December 31, 2023: 701,217,089).</w:t>
            </w:r>
          </w:p>
        </w:tc>
        <w:tc>
          <w:tcPr>
            <w:tcW w:w="26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9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3,059</w:t>
            </w:r>
          </w:p>
        </w:tc>
        <w:tc>
          <w:tcPr>
            <w:tcW w:w="2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9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2,775</w:t>
            </w:r>
          </w:p>
        </w:tc>
      </w:tr>
      <w:tr>
        <w:trPr>
          <w:trHeight w:val="230"/>
        </w:trPr>
        <w:tc>
          <w:tcPr>
            <w:tcW w:w="5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Treasury shares</w:t>
            </w:r>
          </w:p>
        </w:tc>
        <w:tc>
          <w:tcPr>
            <w:tcW w:w="2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(1,230)</w:t>
            </w:r>
          </w:p>
        </w:tc>
      </w:tr>
      <w:tr>
        <w:trPr>
          <w:trHeight w:val="230"/>
        </w:trPr>
        <w:tc>
          <w:tcPr>
            <w:tcW w:w="57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6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539,642</w:t>
            </w:r>
          </w:p>
        </w:tc>
        <w:tc>
          <w:tcPr>
            <w:tcW w:w="24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9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486,107</w:t>
            </w:r>
          </w:p>
        </w:tc>
      </w:tr>
      <w:tr>
        <w:trPr>
          <w:trHeight w:val="230"/>
        </w:trPr>
        <w:tc>
          <w:tcPr>
            <w:tcW w:w="5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2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(462,883)</w:t>
            </w:r>
          </w:p>
        </w:tc>
        <w:tc>
          <w:tcPr>
            <w:tcW w:w="2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(419,630)</w:t>
            </w:r>
          </w:p>
        </w:tc>
      </w:tr>
      <w:tr>
        <w:trPr>
          <w:trHeight w:val="230"/>
        </w:trPr>
        <w:tc>
          <w:tcPr>
            <w:tcW w:w="5740" w:type="dxa"/>
            <w:vAlign w:val="bottom"/>
            <w:tcBorders>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260" w:type="dxa"/>
            <w:vAlign w:val="bottom"/>
            <w:tcBorders>
              <w:bottom w:val="single" w:sz="8" w:color="E6E6E6"/>
            </w:tcBorders>
            <w:shd w:val="clear" w:color="auto" w:fill="FEFEFE"/>
          </w:tcPr>
          <w:p>
            <w:pPr>
              <w:spacing w:after="0"/>
              <w:rPr>
                <w:sz w:val="19"/>
                <w:szCs w:val="19"/>
                <w:color w:val="auto"/>
              </w:rPr>
            </w:pPr>
          </w:p>
        </w:tc>
        <w:tc>
          <w:tcPr>
            <w:tcW w:w="300" w:type="dxa"/>
            <w:vAlign w:val="bottom"/>
            <w:tcBorders>
              <w:bottom w:val="single" w:sz="8" w:color="auto"/>
            </w:tcBorders>
            <w:shd w:val="clear" w:color="auto" w:fill="FEFEFE"/>
          </w:tcPr>
          <w:p>
            <w:pPr>
              <w:spacing w:after="0"/>
              <w:rPr>
                <w:sz w:val="19"/>
                <w:szCs w:val="19"/>
                <w:color w:val="auto"/>
              </w:rPr>
            </w:pPr>
          </w:p>
        </w:tc>
        <w:tc>
          <w:tcPr>
            <w:tcW w:w="19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(18,849)</w:t>
            </w:r>
          </w:p>
        </w:tc>
        <w:tc>
          <w:tcPr>
            <w:tcW w:w="240" w:type="dxa"/>
            <w:vAlign w:val="bottom"/>
            <w:tcBorders>
              <w:bottom w:val="single" w:sz="8" w:color="E6E6E6"/>
            </w:tcBorders>
            <w:shd w:val="clear" w:color="auto" w:fill="FEFEFE"/>
          </w:tcPr>
          <w:p>
            <w:pPr>
              <w:spacing w:after="0"/>
              <w:rPr>
                <w:sz w:val="19"/>
                <w:szCs w:val="19"/>
                <w:color w:val="auto"/>
              </w:rPr>
            </w:pPr>
          </w:p>
        </w:tc>
        <w:tc>
          <w:tcPr>
            <w:tcW w:w="300" w:type="dxa"/>
            <w:vAlign w:val="bottom"/>
            <w:tcBorders>
              <w:bottom w:val="single" w:sz="8" w:color="auto"/>
            </w:tcBorders>
            <w:shd w:val="clear" w:color="auto" w:fill="FEFEFE"/>
          </w:tcPr>
          <w:p>
            <w:pPr>
              <w:spacing w:after="0"/>
              <w:rPr>
                <w:sz w:val="19"/>
                <w:szCs w:val="19"/>
                <w:color w:val="auto"/>
              </w:rPr>
            </w:pPr>
          </w:p>
        </w:tc>
        <w:tc>
          <w:tcPr>
            <w:tcW w:w="19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(17,485)</w:t>
            </w:r>
          </w:p>
        </w:tc>
      </w:tr>
      <w:tr>
        <w:trPr>
          <w:trHeight w:val="245"/>
        </w:trPr>
        <w:tc>
          <w:tcPr>
            <w:tcW w:w="5740" w:type="dxa"/>
            <w:vAlign w:val="bottom"/>
            <w:tcBorders>
              <w:bottom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shareholders’ equity</w:t>
            </w:r>
          </w:p>
        </w:tc>
        <w:tc>
          <w:tcPr>
            <w:tcW w:w="26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spacing w:after="0"/>
              <w:rPr>
                <w:sz w:val="20"/>
                <w:szCs w:val="20"/>
                <w:color w:val="auto"/>
              </w:rPr>
            </w:pPr>
          </w:p>
        </w:tc>
        <w:tc>
          <w:tcPr>
            <w:tcW w:w="1980" w:type="dxa"/>
            <w:vAlign w:val="bottom"/>
            <w:tcBorders>
              <w:bottom w:val="single" w:sz="8" w:color="auto"/>
            </w:tcBorders>
            <w:shd w:val="clear" w:color="auto" w:fill="E6E6E6"/>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60,969</w:t>
            </w:r>
          </w:p>
        </w:tc>
        <w:tc>
          <w:tcPr>
            <w:tcW w:w="24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spacing w:after="0"/>
              <w:rPr>
                <w:sz w:val="20"/>
                <w:szCs w:val="20"/>
                <w:color w:val="auto"/>
              </w:rPr>
            </w:pPr>
          </w:p>
        </w:tc>
        <w:tc>
          <w:tcPr>
            <w:tcW w:w="198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50,537</w:t>
            </w:r>
          </w:p>
        </w:tc>
      </w:tr>
      <w:tr>
        <w:trPr>
          <w:trHeight w:val="220"/>
        </w:trPr>
        <w:tc>
          <w:tcPr>
            <w:tcW w:w="5740" w:type="dxa"/>
            <w:vAlign w:val="bottom"/>
            <w:tcBorders>
              <w:top w:val="single" w:sz="8" w:color="FEFEFE"/>
              <w:bottom w:val="single" w:sz="8" w:color="FEFEFE"/>
            </w:tcBorders>
            <w:shd w:val="clear" w:color="auto" w:fill="FEFEFE"/>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Total liabilities and shareholders’ equity</w:t>
            </w:r>
          </w:p>
        </w:tc>
        <w:tc>
          <w:tcPr>
            <w:tcW w:w="260" w:type="dxa"/>
            <w:vAlign w:val="bottom"/>
            <w:tcBorders>
              <w:top w:val="single" w:sz="8" w:color="FEFEFE"/>
              <w:bottom w:val="single" w:sz="8" w:color="FEFEFE"/>
            </w:tcBorders>
            <w:shd w:val="clear" w:color="auto" w:fill="FEFEFE"/>
          </w:tcPr>
          <w:p>
            <w:pPr>
              <w:spacing w:after="0"/>
              <w:rPr>
                <w:sz w:val="19"/>
                <w:szCs w:val="19"/>
                <w:color w:val="auto"/>
              </w:rPr>
            </w:pPr>
          </w:p>
        </w:tc>
        <w:tc>
          <w:tcPr>
            <w:tcW w:w="300" w:type="dxa"/>
            <w:vAlign w:val="bottom"/>
            <w:tcBorders>
              <w:top w:val="single" w:sz="8" w:color="auto"/>
              <w:bottom w:val="single" w:sz="8" w:color="auto"/>
            </w:tcBorders>
            <w:shd w:val="clear" w:color="auto" w:fill="FEFEFE"/>
          </w:tcPr>
          <w:p>
            <w:pPr>
              <w:jc w:val="right"/>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980" w:type="dxa"/>
            <w:vAlign w:val="bottom"/>
            <w:tcBorders>
              <w:top w:val="single" w:sz="8" w:color="auto"/>
              <w:bottom w:val="single" w:sz="8" w:color="auto"/>
            </w:tcBorders>
            <w:shd w:val="clear" w:color="auto" w:fill="FEFEFE"/>
          </w:tcPr>
          <w:p>
            <w:pPr>
              <w:jc w:val="right"/>
              <w:ind w:right="20"/>
              <w:spacing w:after="0" w:line="200" w:lineRule="exact"/>
              <w:rPr>
                <w:sz w:val="20"/>
                <w:szCs w:val="20"/>
                <w:color w:val="auto"/>
              </w:rPr>
            </w:pPr>
            <w:r>
              <w:rPr>
                <w:rFonts w:ascii="Times New Roman" w:cs="Times New Roman" w:eastAsia="Times New Roman" w:hAnsi="Times New Roman"/>
                <w:sz w:val="20"/>
                <w:szCs w:val="20"/>
                <w:b w:val="1"/>
                <w:bCs w:val="1"/>
                <w:color w:val="auto"/>
              </w:rPr>
              <w:t>76,390</w:t>
            </w:r>
          </w:p>
        </w:tc>
        <w:tc>
          <w:tcPr>
            <w:tcW w:w="240" w:type="dxa"/>
            <w:vAlign w:val="bottom"/>
            <w:tcBorders>
              <w:top w:val="single" w:sz="8" w:color="FEFEFE"/>
              <w:bottom w:val="single" w:sz="8" w:color="FEFEFE"/>
            </w:tcBorders>
            <w:shd w:val="clear" w:color="auto" w:fill="FEFEFE"/>
          </w:tcPr>
          <w:p>
            <w:pPr>
              <w:spacing w:after="0"/>
              <w:rPr>
                <w:sz w:val="19"/>
                <w:szCs w:val="19"/>
                <w:color w:val="auto"/>
              </w:rPr>
            </w:pPr>
          </w:p>
        </w:tc>
        <w:tc>
          <w:tcPr>
            <w:tcW w:w="300" w:type="dxa"/>
            <w:vAlign w:val="bottom"/>
            <w:tcBorders>
              <w:top w:val="single" w:sz="8" w:color="auto"/>
              <w:bottom w:val="single" w:sz="8" w:color="auto"/>
            </w:tcBorders>
            <w:shd w:val="clear" w:color="auto" w:fill="FEFEFE"/>
          </w:tcPr>
          <w:p>
            <w:pPr>
              <w:jc w:val="right"/>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98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20"/>
                <w:szCs w:val="20"/>
                <w:b w:val="1"/>
                <w:bCs w:val="1"/>
                <w:color w:val="auto"/>
              </w:rPr>
              <w:t>66,499</w:t>
            </w:r>
          </w:p>
        </w:tc>
      </w:tr>
      <w:tr>
        <w:trPr>
          <w:trHeight w:val="20"/>
        </w:trPr>
        <w:tc>
          <w:tcPr>
            <w:tcW w:w="5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an integral part of these consolidated financial statements.</w:t>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10800"/>
          </w:cols>
          <w:pgMar w:left="540" w:top="745" w:right="540" w:bottom="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MEREO BIOPHARMA GROUP PLC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tbl>
      <w:tblPr>
        <w:tblLayout w:type="fixed"/>
        <w:tblInd w:w="0" w:type="dxa"/>
        <w:tblCellMar>
          <w:top w:w="0" w:type="dxa"/>
          <w:left w:w="0" w:type="dxa"/>
          <w:bottom w:w="0" w:type="dxa"/>
          <w:right w:w="0" w:type="dxa"/>
        </w:tblCellMar>
      </w:tblPr>
      <w:tr>
        <w:trPr>
          <w:trHeight w:val="275"/>
        </w:trPr>
        <w:tc>
          <w:tcPr>
            <w:tcW w:w="7240" w:type="dxa"/>
            <w:vAlign w:val="bottom"/>
            <w:gridSpan w:val="3"/>
          </w:tcPr>
          <w:p>
            <w:pPr>
              <w:ind w:left="3680"/>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09"/>
        </w:trPr>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120" w:type="dxa"/>
            <w:vAlign w:val="bottom"/>
            <w:gridSpan w:val="2"/>
          </w:tcPr>
          <w:p>
            <w:pPr>
              <w:spacing w:after="0"/>
              <w:rPr>
                <w:sz w:val="18"/>
                <w:szCs w:val="18"/>
                <w:color w:val="auto"/>
              </w:rPr>
            </w:pPr>
          </w:p>
        </w:tc>
      </w:tr>
      <w:tr>
        <w:trPr>
          <w:trHeight w:val="244"/>
        </w:trPr>
        <w:tc>
          <w:tcPr>
            <w:tcW w:w="6420" w:type="dxa"/>
            <w:vAlign w:val="bottom"/>
            <w:tcBorders>
              <w:bottom w:val="single" w:sz="8" w:color="FEFEFE"/>
            </w:tcBorders>
            <w:shd w:val="clear" w:color="auto" w:fill="FEFEFE"/>
          </w:tcPr>
          <w:p>
            <w:pPr>
              <w:spacing w:after="0"/>
              <w:rPr>
                <w:sz w:val="21"/>
                <w:szCs w:val="21"/>
                <w:color w:val="auto"/>
              </w:rPr>
            </w:pPr>
          </w:p>
        </w:tc>
        <w:tc>
          <w:tcPr>
            <w:tcW w:w="200" w:type="dxa"/>
            <w:vAlign w:val="bottom"/>
            <w:tcBorders>
              <w:bottom w:val="single" w:sz="8" w:color="FEFEFE"/>
            </w:tcBorders>
            <w:shd w:val="clear" w:color="auto" w:fill="FEFEFE"/>
          </w:tcPr>
          <w:p>
            <w:pPr>
              <w:spacing w:after="0"/>
              <w:rPr>
                <w:sz w:val="21"/>
                <w:szCs w:val="21"/>
                <w:color w:val="auto"/>
              </w:rPr>
            </w:pPr>
          </w:p>
        </w:tc>
        <w:tc>
          <w:tcPr>
            <w:tcW w:w="620" w:type="dxa"/>
            <w:vAlign w:val="bottom"/>
            <w:tcBorders>
              <w:bottom w:val="single" w:sz="8" w:color="auto"/>
            </w:tcBorders>
            <w:shd w:val="clear" w:color="auto" w:fill="FEFEFE"/>
          </w:tcPr>
          <w:p>
            <w:pPr>
              <w:spacing w:after="0"/>
              <w:rPr>
                <w:sz w:val="21"/>
                <w:szCs w:val="21"/>
                <w:color w:val="auto"/>
              </w:rPr>
            </w:pPr>
          </w:p>
        </w:tc>
        <w:tc>
          <w:tcPr>
            <w:tcW w:w="3560" w:type="dxa"/>
            <w:vAlign w:val="bottom"/>
            <w:tcBorders>
              <w:bottom w:val="single" w:sz="8" w:color="auto"/>
            </w:tcBorders>
            <w:gridSpan w:val="4"/>
            <w:shd w:val="clear" w:color="auto" w:fill="FEFEFE"/>
          </w:tcPr>
          <w:p>
            <w:pPr>
              <w:jc w:val="right"/>
              <w:ind w:right="9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34"/>
        </w:trPr>
        <w:tc>
          <w:tcPr>
            <w:tcW w:w="6420" w:type="dxa"/>
            <w:vAlign w:val="bottom"/>
            <w:tcBorders>
              <w:bottom w:val="single" w:sz="8" w:color="E6E6E6"/>
            </w:tcBorders>
            <w:shd w:val="clear" w:color="auto" w:fill="FEFEFE"/>
          </w:tcPr>
          <w:p>
            <w:pPr>
              <w:spacing w:after="0"/>
              <w:rPr>
                <w:sz w:val="20"/>
                <w:szCs w:val="20"/>
                <w:color w:val="auto"/>
              </w:rPr>
            </w:pPr>
          </w:p>
        </w:tc>
        <w:tc>
          <w:tcPr>
            <w:tcW w:w="200" w:type="dxa"/>
            <w:vAlign w:val="bottom"/>
            <w:tcBorders>
              <w:bottom w:val="single" w:sz="8" w:color="E6E6E6"/>
            </w:tcBorders>
            <w:shd w:val="clear" w:color="auto" w:fill="FEFEFE"/>
          </w:tcPr>
          <w:p>
            <w:pPr>
              <w:spacing w:after="0"/>
              <w:rPr>
                <w:sz w:val="20"/>
                <w:szCs w:val="20"/>
                <w:color w:val="auto"/>
              </w:rPr>
            </w:pPr>
          </w:p>
        </w:tc>
        <w:tc>
          <w:tcPr>
            <w:tcW w:w="620" w:type="dxa"/>
            <w:vAlign w:val="bottom"/>
            <w:tcBorders>
              <w:bottom w:val="single" w:sz="8" w:color="auto"/>
            </w:tcBorders>
            <w:shd w:val="clear" w:color="auto" w:fill="FEFEFE"/>
          </w:tcPr>
          <w:p>
            <w:pPr>
              <w:spacing w:after="0"/>
              <w:rPr>
                <w:sz w:val="20"/>
                <w:szCs w:val="20"/>
                <w:color w:val="auto"/>
              </w:rPr>
            </w:pPr>
          </w:p>
        </w:tc>
        <w:tc>
          <w:tcPr>
            <w:tcW w:w="1240" w:type="dxa"/>
            <w:vAlign w:val="bottom"/>
            <w:tcBorders>
              <w:bottom w:val="single" w:sz="8" w:color="auto"/>
            </w:tcBorders>
            <w:shd w:val="clear" w:color="auto" w:fill="FEFEFE"/>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E6E6E6"/>
            </w:tcBorders>
            <w:shd w:val="clear" w:color="auto" w:fill="FEFEFE"/>
          </w:tcPr>
          <w:p>
            <w:pPr>
              <w:spacing w:after="0"/>
              <w:rPr>
                <w:sz w:val="20"/>
                <w:szCs w:val="20"/>
                <w:color w:val="auto"/>
              </w:rPr>
            </w:pPr>
          </w:p>
        </w:tc>
        <w:tc>
          <w:tcPr>
            <w:tcW w:w="440" w:type="dxa"/>
            <w:vAlign w:val="bottom"/>
            <w:tcBorders>
              <w:bottom w:val="single" w:sz="8" w:color="auto"/>
            </w:tcBorders>
            <w:shd w:val="clear" w:color="auto" w:fill="FEFEFE"/>
          </w:tcPr>
          <w:p>
            <w:pPr>
              <w:spacing w:after="0"/>
              <w:rPr>
                <w:sz w:val="20"/>
                <w:szCs w:val="20"/>
                <w:color w:val="auto"/>
              </w:rPr>
            </w:pPr>
          </w:p>
        </w:tc>
        <w:tc>
          <w:tcPr>
            <w:tcW w:w="1680" w:type="dxa"/>
            <w:vAlign w:val="bottom"/>
            <w:tcBorders>
              <w:bottom w:val="single" w:sz="8" w:color="auto"/>
            </w:tcBorders>
            <w:shd w:val="clear" w:color="auto" w:fill="FEFEFE"/>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4"/>
        </w:trPr>
        <w:tc>
          <w:tcPr>
            <w:tcW w:w="64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00" w:type="dxa"/>
            <w:vAlign w:val="bottom"/>
            <w:shd w:val="clear" w:color="auto" w:fill="E6E6E6"/>
          </w:tcPr>
          <w:p>
            <w:pPr>
              <w:spacing w:after="0"/>
              <w:rPr>
                <w:sz w:val="20"/>
                <w:szCs w:val="20"/>
                <w:color w:val="auto"/>
              </w:rPr>
            </w:pPr>
          </w:p>
        </w:tc>
        <w:tc>
          <w:tcPr>
            <w:tcW w:w="620" w:type="dxa"/>
            <w:vAlign w:val="bottom"/>
            <w:shd w:val="clear" w:color="auto" w:fill="E6E6E6"/>
          </w:tcPr>
          <w:p>
            <w:pPr>
              <w:jc w:val="right"/>
              <w:ind w:right="42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20"/>
                <w:szCs w:val="20"/>
                <w:color w:val="auto"/>
              </w:rPr>
            </w:pPr>
          </w:p>
        </w:tc>
        <w:tc>
          <w:tcPr>
            <w:tcW w:w="440" w:type="dxa"/>
            <w:vAlign w:val="bottom"/>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10,000</w:t>
            </w:r>
          </w:p>
        </w:tc>
      </w:tr>
      <w:tr>
        <w:trPr>
          <w:trHeight w:val="244"/>
        </w:trPr>
        <w:tc>
          <w:tcPr>
            <w:tcW w:w="64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00" w:type="dxa"/>
            <w:vAlign w:val="bottom"/>
            <w:shd w:val="clear" w:color="auto" w:fill="FEFEFE"/>
          </w:tcPr>
          <w:p>
            <w:pPr>
              <w:spacing w:after="0"/>
              <w:rPr>
                <w:sz w:val="21"/>
                <w:szCs w:val="21"/>
                <w:color w:val="auto"/>
              </w:rPr>
            </w:pPr>
          </w:p>
        </w:tc>
        <w:tc>
          <w:tcPr>
            <w:tcW w:w="620" w:type="dxa"/>
            <w:vAlign w:val="bottom"/>
            <w:shd w:val="clear" w:color="auto" w:fill="FEFEFE"/>
          </w:tcPr>
          <w:p>
            <w:pPr>
              <w:spacing w:after="0"/>
              <w:rPr>
                <w:sz w:val="21"/>
                <w:szCs w:val="21"/>
                <w:color w:val="auto"/>
              </w:rPr>
            </w:pPr>
          </w:p>
        </w:tc>
        <w:tc>
          <w:tcPr>
            <w:tcW w:w="124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440" w:type="dxa"/>
            <w:vAlign w:val="bottom"/>
            <w:shd w:val="clear" w:color="auto" w:fill="FEFEFE"/>
          </w:tcPr>
          <w:p>
            <w:pPr>
              <w:spacing w:after="0"/>
              <w:rPr>
                <w:sz w:val="21"/>
                <w:szCs w:val="21"/>
                <w:color w:val="auto"/>
              </w:rPr>
            </w:pPr>
          </w:p>
        </w:tc>
        <w:tc>
          <w:tcPr>
            <w:tcW w:w="1680" w:type="dxa"/>
            <w:vAlign w:val="bottom"/>
            <w:shd w:val="clear" w:color="auto" w:fill="FEFEFE"/>
          </w:tcPr>
          <w:p>
            <w:pPr>
              <w:spacing w:after="0"/>
              <w:rPr>
                <w:sz w:val="21"/>
                <w:szCs w:val="21"/>
                <w:color w:val="auto"/>
              </w:rPr>
            </w:pPr>
          </w:p>
        </w:tc>
      </w:tr>
      <w:tr>
        <w:trPr>
          <w:trHeight w:val="244"/>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Cost of revenue</w:t>
            </w:r>
          </w:p>
        </w:tc>
        <w:tc>
          <w:tcPr>
            <w:tcW w:w="200" w:type="dxa"/>
            <w:vAlign w:val="bottom"/>
            <w:shd w:val="clear" w:color="auto" w:fill="E6E6E6"/>
          </w:tcPr>
          <w:p>
            <w:pPr>
              <w:spacing w:after="0"/>
              <w:rPr>
                <w:sz w:val="21"/>
                <w:szCs w:val="21"/>
                <w:color w:val="auto"/>
              </w:rPr>
            </w:pPr>
          </w:p>
        </w:tc>
        <w:tc>
          <w:tcPr>
            <w:tcW w:w="620" w:type="dxa"/>
            <w:vAlign w:val="bottom"/>
            <w:shd w:val="clear" w:color="auto" w:fill="E6E6E6"/>
          </w:tcPr>
          <w:p>
            <w:pPr>
              <w:spacing w:after="0"/>
              <w:rPr>
                <w:sz w:val="21"/>
                <w:szCs w:val="21"/>
                <w:color w:val="auto"/>
              </w:rPr>
            </w:pPr>
          </w:p>
        </w:tc>
        <w:tc>
          <w:tcPr>
            <w:tcW w:w="1240" w:type="dxa"/>
            <w:vAlign w:val="bottom"/>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1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(2,574)</w:t>
            </w:r>
          </w:p>
        </w:tc>
      </w:tr>
      <w:tr>
        <w:trPr>
          <w:trHeight w:val="244"/>
        </w:trPr>
        <w:tc>
          <w:tcPr>
            <w:tcW w:w="64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0" w:type="dxa"/>
            <w:vAlign w:val="bottom"/>
            <w:shd w:val="clear" w:color="auto" w:fill="FEFEFE"/>
          </w:tcPr>
          <w:p>
            <w:pPr>
              <w:spacing w:after="0"/>
              <w:rPr>
                <w:sz w:val="21"/>
                <w:szCs w:val="21"/>
                <w:color w:val="auto"/>
              </w:rPr>
            </w:pPr>
          </w:p>
        </w:tc>
        <w:tc>
          <w:tcPr>
            <w:tcW w:w="620" w:type="dxa"/>
            <w:vAlign w:val="bottom"/>
            <w:shd w:val="clear" w:color="auto" w:fill="FEFEFE"/>
          </w:tcPr>
          <w:p>
            <w:pPr>
              <w:spacing w:after="0"/>
              <w:rPr>
                <w:sz w:val="21"/>
                <w:szCs w:val="21"/>
                <w:color w:val="auto"/>
              </w:rPr>
            </w:pPr>
          </w:p>
        </w:tc>
        <w:tc>
          <w:tcPr>
            <w:tcW w:w="12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(20,930)</w:t>
            </w:r>
          </w:p>
        </w:tc>
        <w:tc>
          <w:tcPr>
            <w:tcW w:w="200" w:type="dxa"/>
            <w:vAlign w:val="bottom"/>
            <w:shd w:val="clear" w:color="auto" w:fill="FEFEFE"/>
          </w:tcPr>
          <w:p>
            <w:pPr>
              <w:spacing w:after="0"/>
              <w:rPr>
                <w:sz w:val="21"/>
                <w:szCs w:val="21"/>
                <w:color w:val="auto"/>
              </w:rPr>
            </w:pPr>
          </w:p>
        </w:tc>
        <w:tc>
          <w:tcPr>
            <w:tcW w:w="440" w:type="dxa"/>
            <w:vAlign w:val="bottom"/>
            <w:shd w:val="clear" w:color="auto" w:fill="FEFEFE"/>
          </w:tcPr>
          <w:p>
            <w:pPr>
              <w:spacing w:after="0"/>
              <w:rPr>
                <w:sz w:val="21"/>
                <w:szCs w:val="21"/>
                <w:color w:val="auto"/>
              </w:rPr>
            </w:pPr>
          </w:p>
        </w:tc>
        <w:tc>
          <w:tcPr>
            <w:tcW w:w="16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(17,418)</w:t>
            </w:r>
          </w:p>
        </w:tc>
      </w:tr>
      <w:tr>
        <w:trPr>
          <w:trHeight w:val="269"/>
        </w:trPr>
        <w:tc>
          <w:tcPr>
            <w:tcW w:w="6420" w:type="dxa"/>
            <w:vAlign w:val="bottom"/>
            <w:tcBorders>
              <w:bottom w:val="single" w:sz="8" w:color="E6E6E6"/>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0" w:type="dxa"/>
            <w:vAlign w:val="bottom"/>
            <w:tcBorders>
              <w:bottom w:val="single" w:sz="8" w:color="E6E6E6"/>
            </w:tcBorders>
            <w:shd w:val="clear" w:color="auto" w:fill="E6E6E6"/>
          </w:tcPr>
          <w:p>
            <w:pPr>
              <w:spacing w:after="0"/>
              <w:rPr>
                <w:sz w:val="22"/>
                <w:szCs w:val="22"/>
                <w:color w:val="auto"/>
              </w:rPr>
            </w:pPr>
          </w:p>
        </w:tc>
        <w:tc>
          <w:tcPr>
            <w:tcW w:w="620" w:type="dxa"/>
            <w:vAlign w:val="bottom"/>
            <w:tcBorders>
              <w:bottom w:val="single" w:sz="8" w:color="auto"/>
            </w:tcBorders>
            <w:shd w:val="clear" w:color="auto" w:fill="E6E6E6"/>
          </w:tcPr>
          <w:p>
            <w:pPr>
              <w:spacing w:after="0"/>
              <w:rPr>
                <w:sz w:val="22"/>
                <w:szCs w:val="22"/>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(26,434)</w:t>
            </w:r>
          </w:p>
        </w:tc>
        <w:tc>
          <w:tcPr>
            <w:tcW w:w="200" w:type="dxa"/>
            <w:vAlign w:val="bottom"/>
            <w:tcBorders>
              <w:bottom w:val="single" w:sz="8" w:color="E6E6E6"/>
            </w:tcBorders>
            <w:shd w:val="clear" w:color="auto" w:fill="E6E6E6"/>
          </w:tcPr>
          <w:p>
            <w:pPr>
              <w:spacing w:after="0"/>
              <w:rPr>
                <w:sz w:val="22"/>
                <w:szCs w:val="22"/>
                <w:color w:val="auto"/>
              </w:rPr>
            </w:pPr>
          </w:p>
        </w:tc>
        <w:tc>
          <w:tcPr>
            <w:tcW w:w="440" w:type="dxa"/>
            <w:vAlign w:val="bottom"/>
            <w:tcBorders>
              <w:bottom w:val="single" w:sz="8" w:color="auto"/>
            </w:tcBorders>
            <w:shd w:val="clear" w:color="auto" w:fill="E6E6E6"/>
          </w:tcPr>
          <w:p>
            <w:pPr>
              <w:spacing w:after="0"/>
              <w:rPr>
                <w:sz w:val="22"/>
                <w:szCs w:val="22"/>
                <w:color w:val="auto"/>
              </w:rPr>
            </w:pPr>
          </w:p>
        </w:tc>
        <w:tc>
          <w:tcPr>
            <w:tcW w:w="16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(18,424)</w:t>
            </w:r>
          </w:p>
        </w:tc>
      </w:tr>
      <w:tr>
        <w:trPr>
          <w:trHeight w:val="214"/>
        </w:trPr>
        <w:tc>
          <w:tcPr>
            <w:tcW w:w="6420" w:type="dxa"/>
            <w:vAlign w:val="bottom"/>
            <w:tcBorders>
              <w:top w:val="single" w:sz="8" w:color="FEFEFE"/>
            </w:tcBorders>
            <w:shd w:val="clear" w:color="auto" w:fill="FEFEFE"/>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Loss from operations</w:t>
            </w:r>
          </w:p>
        </w:tc>
        <w:tc>
          <w:tcPr>
            <w:tcW w:w="200" w:type="dxa"/>
            <w:vAlign w:val="bottom"/>
            <w:tcBorders>
              <w:top w:val="single" w:sz="8" w:color="FEFEFE"/>
            </w:tcBorders>
            <w:shd w:val="clear" w:color="auto" w:fill="FEFEFE"/>
          </w:tcPr>
          <w:p>
            <w:pPr>
              <w:spacing w:after="0"/>
              <w:rPr>
                <w:sz w:val="18"/>
                <w:szCs w:val="18"/>
                <w:color w:val="auto"/>
              </w:rPr>
            </w:pPr>
          </w:p>
        </w:tc>
        <w:tc>
          <w:tcPr>
            <w:tcW w:w="620" w:type="dxa"/>
            <w:vAlign w:val="bottom"/>
            <w:tcBorders>
              <w:top w:val="single" w:sz="8" w:color="auto"/>
            </w:tcBorders>
            <w:shd w:val="clear" w:color="auto" w:fill="FEFEFE"/>
          </w:tcPr>
          <w:p>
            <w:pPr>
              <w:spacing w:after="0"/>
              <w:rPr>
                <w:sz w:val="18"/>
                <w:szCs w:val="18"/>
                <w:color w:val="auto"/>
              </w:rPr>
            </w:pPr>
          </w:p>
        </w:tc>
        <w:tc>
          <w:tcPr>
            <w:tcW w:w="1240" w:type="dxa"/>
            <w:vAlign w:val="bottom"/>
            <w:tcBorders>
              <w:top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color w:val="auto"/>
              </w:rPr>
              <w:t>(47,364)</w:t>
            </w:r>
          </w:p>
        </w:tc>
        <w:tc>
          <w:tcPr>
            <w:tcW w:w="200" w:type="dxa"/>
            <w:vAlign w:val="bottom"/>
            <w:tcBorders>
              <w:top w:val="single" w:sz="8" w:color="FEFEFE"/>
            </w:tcBorders>
            <w:shd w:val="clear" w:color="auto" w:fill="FEFEFE"/>
          </w:tcPr>
          <w:p>
            <w:pPr>
              <w:spacing w:after="0"/>
              <w:rPr>
                <w:sz w:val="18"/>
                <w:szCs w:val="18"/>
                <w:color w:val="auto"/>
              </w:rPr>
            </w:pPr>
          </w:p>
        </w:tc>
        <w:tc>
          <w:tcPr>
            <w:tcW w:w="440" w:type="dxa"/>
            <w:vAlign w:val="bottom"/>
            <w:tcBorders>
              <w:top w:val="single" w:sz="8" w:color="auto"/>
            </w:tcBorders>
            <w:shd w:val="clear" w:color="auto" w:fill="FEFEFE"/>
          </w:tcPr>
          <w:p>
            <w:pPr>
              <w:spacing w:after="0"/>
              <w:rPr>
                <w:sz w:val="18"/>
                <w:szCs w:val="18"/>
                <w:color w:val="auto"/>
              </w:rPr>
            </w:pPr>
          </w:p>
        </w:tc>
        <w:tc>
          <w:tcPr>
            <w:tcW w:w="1680" w:type="dxa"/>
            <w:vAlign w:val="bottom"/>
            <w:tcBorders>
              <w:top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color w:val="auto"/>
              </w:rPr>
              <w:t>(28,416)</w:t>
            </w:r>
          </w:p>
        </w:tc>
      </w:tr>
      <w:tr>
        <w:trPr>
          <w:trHeight w:val="244"/>
        </w:trPr>
        <w:tc>
          <w:tcPr>
            <w:tcW w:w="64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Other income/(expenses)</w:t>
            </w:r>
          </w:p>
        </w:tc>
        <w:tc>
          <w:tcPr>
            <w:tcW w:w="200" w:type="dxa"/>
            <w:vAlign w:val="bottom"/>
            <w:shd w:val="clear" w:color="auto" w:fill="E6E6E6"/>
          </w:tcPr>
          <w:p>
            <w:pPr>
              <w:spacing w:after="0"/>
              <w:rPr>
                <w:sz w:val="21"/>
                <w:szCs w:val="21"/>
                <w:color w:val="auto"/>
              </w:rPr>
            </w:pPr>
          </w:p>
        </w:tc>
        <w:tc>
          <w:tcPr>
            <w:tcW w:w="620" w:type="dxa"/>
            <w:vAlign w:val="bottom"/>
            <w:shd w:val="clear" w:color="auto" w:fill="E6E6E6"/>
          </w:tcPr>
          <w:p>
            <w:pPr>
              <w:spacing w:after="0"/>
              <w:rPr>
                <w:sz w:val="21"/>
                <w:szCs w:val="21"/>
                <w:color w:val="auto"/>
              </w:rPr>
            </w:pPr>
          </w:p>
        </w:tc>
        <w:tc>
          <w:tcPr>
            <w:tcW w:w="124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1680" w:type="dxa"/>
            <w:vAlign w:val="bottom"/>
            <w:shd w:val="clear" w:color="auto" w:fill="E6E6E6"/>
          </w:tcPr>
          <w:p>
            <w:pPr>
              <w:spacing w:after="0"/>
              <w:rPr>
                <w:sz w:val="21"/>
                <w:szCs w:val="21"/>
                <w:color w:val="auto"/>
              </w:rPr>
            </w:pPr>
          </w:p>
        </w:tc>
      </w:tr>
      <w:tr>
        <w:trPr>
          <w:trHeight w:val="244"/>
        </w:trPr>
        <w:tc>
          <w:tcPr>
            <w:tcW w:w="64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00" w:type="dxa"/>
            <w:vAlign w:val="bottom"/>
            <w:shd w:val="clear" w:color="auto" w:fill="FEFEFE"/>
          </w:tcPr>
          <w:p>
            <w:pPr>
              <w:spacing w:after="0"/>
              <w:rPr>
                <w:sz w:val="21"/>
                <w:szCs w:val="21"/>
                <w:color w:val="auto"/>
              </w:rPr>
            </w:pPr>
          </w:p>
        </w:tc>
        <w:tc>
          <w:tcPr>
            <w:tcW w:w="620" w:type="dxa"/>
            <w:vAlign w:val="bottom"/>
            <w:shd w:val="clear" w:color="auto" w:fill="FEFEFE"/>
          </w:tcPr>
          <w:p>
            <w:pPr>
              <w:spacing w:after="0"/>
              <w:rPr>
                <w:sz w:val="21"/>
                <w:szCs w:val="21"/>
                <w:color w:val="auto"/>
              </w:rPr>
            </w:pPr>
          </w:p>
        </w:tc>
        <w:tc>
          <w:tcPr>
            <w:tcW w:w="1240" w:type="dxa"/>
            <w:vAlign w:val="bottom"/>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3,041</w:t>
            </w:r>
          </w:p>
        </w:tc>
        <w:tc>
          <w:tcPr>
            <w:tcW w:w="200" w:type="dxa"/>
            <w:vAlign w:val="bottom"/>
            <w:shd w:val="clear" w:color="auto" w:fill="FEFEFE"/>
          </w:tcPr>
          <w:p>
            <w:pPr>
              <w:spacing w:after="0"/>
              <w:rPr>
                <w:sz w:val="21"/>
                <w:szCs w:val="21"/>
                <w:color w:val="auto"/>
              </w:rPr>
            </w:pPr>
          </w:p>
        </w:tc>
        <w:tc>
          <w:tcPr>
            <w:tcW w:w="440" w:type="dxa"/>
            <w:vAlign w:val="bottom"/>
            <w:shd w:val="clear" w:color="auto" w:fill="FEFEFE"/>
          </w:tcPr>
          <w:p>
            <w:pPr>
              <w:spacing w:after="0"/>
              <w:rPr>
                <w:sz w:val="21"/>
                <w:szCs w:val="21"/>
                <w:color w:val="auto"/>
              </w:rPr>
            </w:pPr>
          </w:p>
        </w:tc>
        <w:tc>
          <w:tcPr>
            <w:tcW w:w="16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2,131</w:t>
            </w:r>
          </w:p>
        </w:tc>
      </w:tr>
      <w:tr>
        <w:trPr>
          <w:trHeight w:val="244"/>
        </w:trPr>
        <w:tc>
          <w:tcPr>
            <w:tcW w:w="64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00" w:type="dxa"/>
            <w:vAlign w:val="bottom"/>
            <w:shd w:val="clear" w:color="auto" w:fill="E6E6E6"/>
          </w:tcPr>
          <w:p>
            <w:pPr>
              <w:spacing w:after="0"/>
              <w:rPr>
                <w:sz w:val="21"/>
                <w:szCs w:val="21"/>
                <w:color w:val="auto"/>
              </w:rPr>
            </w:pPr>
          </w:p>
        </w:tc>
        <w:tc>
          <w:tcPr>
            <w:tcW w:w="620" w:type="dxa"/>
            <w:vAlign w:val="bottom"/>
            <w:shd w:val="clear" w:color="auto" w:fill="E6E6E6"/>
          </w:tcPr>
          <w:p>
            <w:pPr>
              <w:spacing w:after="0"/>
              <w:rPr>
                <w:sz w:val="21"/>
                <w:szCs w:val="21"/>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(1,370)</w:t>
            </w:r>
          </w:p>
        </w:tc>
        <w:tc>
          <w:tcPr>
            <w:tcW w:w="20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1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(2,881)</w:t>
            </w:r>
          </w:p>
        </w:tc>
      </w:tr>
      <w:tr>
        <w:trPr>
          <w:trHeight w:val="244"/>
        </w:trPr>
        <w:tc>
          <w:tcPr>
            <w:tcW w:w="64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Changes in the fair value of warrants</w:t>
            </w:r>
          </w:p>
        </w:tc>
        <w:tc>
          <w:tcPr>
            <w:tcW w:w="200" w:type="dxa"/>
            <w:vAlign w:val="bottom"/>
            <w:shd w:val="clear" w:color="auto" w:fill="FEFEFE"/>
          </w:tcPr>
          <w:p>
            <w:pPr>
              <w:spacing w:after="0"/>
              <w:rPr>
                <w:sz w:val="21"/>
                <w:szCs w:val="21"/>
                <w:color w:val="auto"/>
              </w:rPr>
            </w:pPr>
          </w:p>
        </w:tc>
        <w:tc>
          <w:tcPr>
            <w:tcW w:w="620" w:type="dxa"/>
            <w:vAlign w:val="bottom"/>
            <w:shd w:val="clear" w:color="auto" w:fill="FEFEFE"/>
          </w:tcPr>
          <w:p>
            <w:pPr>
              <w:spacing w:after="0"/>
              <w:rPr>
                <w:sz w:val="21"/>
                <w:szCs w:val="21"/>
                <w:color w:val="auto"/>
              </w:rPr>
            </w:pPr>
          </w:p>
        </w:tc>
        <w:tc>
          <w:tcPr>
            <w:tcW w:w="12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200" w:type="dxa"/>
            <w:vAlign w:val="bottom"/>
            <w:shd w:val="clear" w:color="auto" w:fill="FEFEFE"/>
          </w:tcPr>
          <w:p>
            <w:pPr>
              <w:spacing w:after="0"/>
              <w:rPr>
                <w:sz w:val="21"/>
                <w:szCs w:val="21"/>
                <w:color w:val="auto"/>
              </w:rPr>
            </w:pPr>
          </w:p>
        </w:tc>
        <w:tc>
          <w:tcPr>
            <w:tcW w:w="440" w:type="dxa"/>
            <w:vAlign w:val="bottom"/>
            <w:shd w:val="clear" w:color="auto" w:fill="FEFEFE"/>
          </w:tcPr>
          <w:p>
            <w:pPr>
              <w:spacing w:after="0"/>
              <w:rPr>
                <w:sz w:val="21"/>
                <w:szCs w:val="21"/>
                <w:color w:val="auto"/>
              </w:rPr>
            </w:pPr>
          </w:p>
        </w:tc>
        <w:tc>
          <w:tcPr>
            <w:tcW w:w="16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245</w:t>
            </w:r>
          </w:p>
        </w:tc>
      </w:tr>
      <w:tr>
        <w:trPr>
          <w:trHeight w:val="244"/>
        </w:trPr>
        <w:tc>
          <w:tcPr>
            <w:tcW w:w="64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Foreign currency transaction gain/(loss), net</w:t>
            </w:r>
          </w:p>
        </w:tc>
        <w:tc>
          <w:tcPr>
            <w:tcW w:w="200" w:type="dxa"/>
            <w:vAlign w:val="bottom"/>
            <w:shd w:val="clear" w:color="auto" w:fill="E6E6E6"/>
          </w:tcPr>
          <w:p>
            <w:pPr>
              <w:spacing w:after="0"/>
              <w:rPr>
                <w:sz w:val="21"/>
                <w:szCs w:val="21"/>
                <w:color w:val="auto"/>
              </w:rPr>
            </w:pPr>
          </w:p>
        </w:tc>
        <w:tc>
          <w:tcPr>
            <w:tcW w:w="620" w:type="dxa"/>
            <w:vAlign w:val="bottom"/>
            <w:shd w:val="clear" w:color="auto" w:fill="E6E6E6"/>
          </w:tcPr>
          <w:p>
            <w:pPr>
              <w:spacing w:after="0"/>
              <w:rPr>
                <w:sz w:val="21"/>
                <w:szCs w:val="21"/>
                <w:color w:val="auto"/>
              </w:rPr>
            </w:pPr>
          </w:p>
        </w:tc>
        <w:tc>
          <w:tcPr>
            <w:tcW w:w="1240" w:type="dxa"/>
            <w:vAlign w:val="bottom"/>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1,210</w:t>
            </w:r>
          </w:p>
        </w:tc>
        <w:tc>
          <w:tcPr>
            <w:tcW w:w="20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1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(2,347)</w:t>
            </w:r>
          </w:p>
        </w:tc>
      </w:tr>
      <w:tr>
        <w:trPr>
          <w:trHeight w:val="244"/>
        </w:trPr>
        <w:tc>
          <w:tcPr>
            <w:tcW w:w="64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Other expenses, net</w:t>
            </w:r>
          </w:p>
        </w:tc>
        <w:tc>
          <w:tcPr>
            <w:tcW w:w="200" w:type="dxa"/>
            <w:vAlign w:val="bottom"/>
            <w:shd w:val="clear" w:color="auto" w:fill="FEFEFE"/>
          </w:tcPr>
          <w:p>
            <w:pPr>
              <w:spacing w:after="0"/>
              <w:rPr>
                <w:sz w:val="21"/>
                <w:szCs w:val="21"/>
                <w:color w:val="auto"/>
              </w:rPr>
            </w:pPr>
          </w:p>
        </w:tc>
        <w:tc>
          <w:tcPr>
            <w:tcW w:w="620" w:type="dxa"/>
            <w:vAlign w:val="bottom"/>
            <w:shd w:val="clear" w:color="auto" w:fill="FEFEFE"/>
          </w:tcPr>
          <w:p>
            <w:pPr>
              <w:spacing w:after="0"/>
              <w:rPr>
                <w:sz w:val="21"/>
                <w:szCs w:val="21"/>
                <w:color w:val="auto"/>
              </w:rPr>
            </w:pPr>
          </w:p>
        </w:tc>
        <w:tc>
          <w:tcPr>
            <w:tcW w:w="1240" w:type="dxa"/>
            <w:vAlign w:val="bottom"/>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FEFEFE"/>
          </w:tcPr>
          <w:p>
            <w:pPr>
              <w:spacing w:after="0"/>
              <w:rPr>
                <w:sz w:val="21"/>
                <w:szCs w:val="21"/>
                <w:color w:val="auto"/>
              </w:rPr>
            </w:pPr>
          </w:p>
        </w:tc>
        <w:tc>
          <w:tcPr>
            <w:tcW w:w="440" w:type="dxa"/>
            <w:vAlign w:val="bottom"/>
            <w:shd w:val="clear" w:color="auto" w:fill="FEFEFE"/>
          </w:tcPr>
          <w:p>
            <w:pPr>
              <w:spacing w:after="0"/>
              <w:rPr>
                <w:sz w:val="21"/>
                <w:szCs w:val="21"/>
                <w:color w:val="auto"/>
              </w:rPr>
            </w:pPr>
          </w:p>
        </w:tc>
        <w:tc>
          <w:tcPr>
            <w:tcW w:w="16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44"/>
        </w:trPr>
        <w:tc>
          <w:tcPr>
            <w:tcW w:w="642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Benefit from research and development tax credit</w:t>
            </w:r>
          </w:p>
        </w:tc>
        <w:tc>
          <w:tcPr>
            <w:tcW w:w="200" w:type="dxa"/>
            <w:vAlign w:val="bottom"/>
            <w:tcBorders>
              <w:bottom w:val="single" w:sz="8" w:color="FEFEFE"/>
            </w:tcBorders>
            <w:shd w:val="clear" w:color="auto" w:fill="E6E6E6"/>
          </w:tcPr>
          <w:p>
            <w:pPr>
              <w:spacing w:after="0"/>
              <w:rPr>
                <w:sz w:val="21"/>
                <w:szCs w:val="21"/>
                <w:color w:val="auto"/>
              </w:rPr>
            </w:pPr>
          </w:p>
        </w:tc>
        <w:tc>
          <w:tcPr>
            <w:tcW w:w="620" w:type="dxa"/>
            <w:vAlign w:val="bottom"/>
            <w:tcBorders>
              <w:bottom w:val="single" w:sz="8" w:color="auto"/>
            </w:tcBorders>
            <w:shd w:val="clear" w:color="auto" w:fill="E6E6E6"/>
          </w:tcPr>
          <w:p>
            <w:pPr>
              <w:spacing w:after="0"/>
              <w:rPr>
                <w:sz w:val="21"/>
                <w:szCs w:val="21"/>
                <w:color w:val="auto"/>
              </w:rPr>
            </w:pPr>
          </w:p>
        </w:tc>
        <w:tc>
          <w:tcPr>
            <w:tcW w:w="1240" w:type="dxa"/>
            <w:vAlign w:val="bottom"/>
            <w:tcBorders>
              <w:bottom w:val="single" w:sz="8" w:color="auto"/>
            </w:tcBorders>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1,649</w:t>
            </w:r>
          </w:p>
        </w:tc>
        <w:tc>
          <w:tcPr>
            <w:tcW w:w="200" w:type="dxa"/>
            <w:vAlign w:val="bottom"/>
            <w:tcBorders>
              <w:bottom w:val="single" w:sz="8" w:color="FEFEFE"/>
            </w:tcBorders>
            <w:shd w:val="clear" w:color="auto" w:fill="E6E6E6"/>
          </w:tcPr>
          <w:p>
            <w:pPr>
              <w:spacing w:after="0"/>
              <w:rPr>
                <w:sz w:val="21"/>
                <w:szCs w:val="21"/>
                <w:color w:val="auto"/>
              </w:rPr>
            </w:pPr>
          </w:p>
        </w:tc>
        <w:tc>
          <w:tcPr>
            <w:tcW w:w="440" w:type="dxa"/>
            <w:vAlign w:val="bottom"/>
            <w:tcBorders>
              <w:bottom w:val="single" w:sz="8" w:color="auto"/>
            </w:tcBorders>
            <w:shd w:val="clear" w:color="auto" w:fill="E6E6E6"/>
          </w:tcPr>
          <w:p>
            <w:pPr>
              <w:spacing w:after="0"/>
              <w:rPr>
                <w:sz w:val="21"/>
                <w:szCs w:val="21"/>
                <w:color w:val="auto"/>
              </w:rPr>
            </w:pPr>
          </w:p>
        </w:tc>
        <w:tc>
          <w:tcPr>
            <w:tcW w:w="1680" w:type="dxa"/>
            <w:vAlign w:val="bottom"/>
            <w:tcBorders>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1,280</w:t>
            </w:r>
          </w:p>
        </w:tc>
      </w:tr>
      <w:tr>
        <w:trPr>
          <w:trHeight w:val="234"/>
        </w:trPr>
        <w:tc>
          <w:tcPr>
            <w:tcW w:w="64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Net loss before income tax</w:t>
            </w:r>
          </w:p>
        </w:tc>
        <w:tc>
          <w:tcPr>
            <w:tcW w:w="200" w:type="dxa"/>
            <w:vAlign w:val="bottom"/>
            <w:shd w:val="clear" w:color="auto" w:fill="FEFEFE"/>
          </w:tcPr>
          <w:p>
            <w:pPr>
              <w:spacing w:after="0"/>
              <w:rPr>
                <w:sz w:val="20"/>
                <w:szCs w:val="20"/>
                <w:color w:val="auto"/>
              </w:rPr>
            </w:pPr>
          </w:p>
        </w:tc>
        <w:tc>
          <w:tcPr>
            <w:tcW w:w="620" w:type="dxa"/>
            <w:vAlign w:val="bottom"/>
            <w:shd w:val="clear" w:color="auto" w:fill="FEFEFE"/>
          </w:tcPr>
          <w:p>
            <w:pPr>
              <w:spacing w:after="0"/>
              <w:rPr>
                <w:sz w:val="20"/>
                <w:szCs w:val="20"/>
                <w:color w:val="auto"/>
              </w:rPr>
            </w:pPr>
          </w:p>
        </w:tc>
        <w:tc>
          <w:tcPr>
            <w:tcW w:w="12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(43,253)</w:t>
            </w:r>
          </w:p>
        </w:tc>
        <w:tc>
          <w:tcPr>
            <w:tcW w:w="200" w:type="dxa"/>
            <w:vAlign w:val="bottom"/>
            <w:shd w:val="clear" w:color="auto" w:fill="FEFEFE"/>
          </w:tcPr>
          <w:p>
            <w:pPr>
              <w:spacing w:after="0"/>
              <w:rPr>
                <w:sz w:val="20"/>
                <w:szCs w:val="20"/>
                <w:color w:val="auto"/>
              </w:rPr>
            </w:pPr>
          </w:p>
        </w:tc>
        <w:tc>
          <w:tcPr>
            <w:tcW w:w="440" w:type="dxa"/>
            <w:vAlign w:val="bottom"/>
            <w:shd w:val="clear" w:color="auto" w:fill="FEFEFE"/>
          </w:tcPr>
          <w:p>
            <w:pPr>
              <w:spacing w:after="0"/>
              <w:rPr>
                <w:sz w:val="20"/>
                <w:szCs w:val="20"/>
                <w:color w:val="auto"/>
              </w:rPr>
            </w:pPr>
          </w:p>
        </w:tc>
        <w:tc>
          <w:tcPr>
            <w:tcW w:w="16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(29,998)</w:t>
            </w:r>
          </w:p>
        </w:tc>
      </w:tr>
      <w:tr>
        <w:trPr>
          <w:trHeight w:val="244"/>
        </w:trPr>
        <w:tc>
          <w:tcPr>
            <w:tcW w:w="642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200" w:type="dxa"/>
            <w:vAlign w:val="bottom"/>
            <w:tcBorders>
              <w:bottom w:val="single" w:sz="8" w:color="FEFEFE"/>
            </w:tcBorders>
            <w:shd w:val="clear" w:color="auto" w:fill="E6E6E6"/>
          </w:tcPr>
          <w:p>
            <w:pPr>
              <w:spacing w:after="0"/>
              <w:rPr>
                <w:sz w:val="21"/>
                <w:szCs w:val="21"/>
                <w:color w:val="auto"/>
              </w:rPr>
            </w:pPr>
          </w:p>
        </w:tc>
        <w:tc>
          <w:tcPr>
            <w:tcW w:w="620" w:type="dxa"/>
            <w:vAlign w:val="bottom"/>
            <w:tcBorders>
              <w:bottom w:val="single" w:sz="8" w:color="auto"/>
            </w:tcBorders>
            <w:shd w:val="clear" w:color="auto" w:fill="E6E6E6"/>
          </w:tcPr>
          <w:p>
            <w:pPr>
              <w:spacing w:after="0"/>
              <w:rPr>
                <w:sz w:val="21"/>
                <w:szCs w:val="21"/>
                <w:color w:val="auto"/>
              </w:rPr>
            </w:pPr>
          </w:p>
        </w:tc>
        <w:tc>
          <w:tcPr>
            <w:tcW w:w="1240" w:type="dxa"/>
            <w:vAlign w:val="bottom"/>
            <w:tcBorders>
              <w:bottom w:val="single" w:sz="8" w:color="auto"/>
            </w:tcBorders>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FEFEFE"/>
            </w:tcBorders>
            <w:shd w:val="clear" w:color="auto" w:fill="E6E6E6"/>
          </w:tcPr>
          <w:p>
            <w:pPr>
              <w:spacing w:after="0"/>
              <w:rPr>
                <w:sz w:val="21"/>
                <w:szCs w:val="21"/>
                <w:color w:val="auto"/>
              </w:rPr>
            </w:pPr>
          </w:p>
        </w:tc>
        <w:tc>
          <w:tcPr>
            <w:tcW w:w="440" w:type="dxa"/>
            <w:vAlign w:val="bottom"/>
            <w:tcBorders>
              <w:bottom w:val="single" w:sz="8" w:color="auto"/>
            </w:tcBorders>
            <w:shd w:val="clear" w:color="auto" w:fill="E6E6E6"/>
          </w:tcPr>
          <w:p>
            <w:pPr>
              <w:spacing w:after="0"/>
              <w:rPr>
                <w:sz w:val="21"/>
                <w:szCs w:val="21"/>
                <w:color w:val="auto"/>
              </w:rPr>
            </w:pPr>
          </w:p>
        </w:tc>
        <w:tc>
          <w:tcPr>
            <w:tcW w:w="1680" w:type="dxa"/>
            <w:vAlign w:val="bottom"/>
            <w:tcBorders>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532</w:t>
            </w:r>
          </w:p>
        </w:tc>
      </w:tr>
      <w:tr>
        <w:trPr>
          <w:trHeight w:val="234"/>
        </w:trPr>
        <w:tc>
          <w:tcPr>
            <w:tcW w:w="642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200" w:type="dxa"/>
            <w:vAlign w:val="bottom"/>
            <w:tcBorders>
              <w:bottom w:val="single" w:sz="8" w:color="FEFEFE"/>
            </w:tcBorders>
            <w:shd w:val="clear" w:color="auto" w:fill="FEFEFE"/>
          </w:tcPr>
          <w:p>
            <w:pPr>
              <w:spacing w:after="0"/>
              <w:rPr>
                <w:sz w:val="20"/>
                <w:szCs w:val="20"/>
                <w:color w:val="auto"/>
              </w:rPr>
            </w:pPr>
          </w:p>
        </w:tc>
        <w:tc>
          <w:tcPr>
            <w:tcW w:w="620" w:type="dxa"/>
            <w:vAlign w:val="bottom"/>
            <w:tcBorders>
              <w:bottom w:val="single" w:sz="8" w:color="auto"/>
            </w:tcBorders>
            <w:shd w:val="clear" w:color="auto" w:fill="FEFEFE"/>
          </w:tcPr>
          <w:p>
            <w:pPr>
              <w:jc w:val="right"/>
              <w:ind w:right="42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(43,253)</w:t>
            </w:r>
          </w:p>
        </w:tc>
        <w:tc>
          <w:tcPr>
            <w:tcW w:w="200" w:type="dxa"/>
            <w:vAlign w:val="bottom"/>
            <w:tcBorders>
              <w:bottom w:val="single" w:sz="8" w:color="FEFEFE"/>
            </w:tcBorders>
            <w:shd w:val="clear" w:color="auto" w:fill="FEFEFE"/>
          </w:tcPr>
          <w:p>
            <w:pPr>
              <w:spacing w:after="0"/>
              <w:rPr>
                <w:sz w:val="20"/>
                <w:szCs w:val="20"/>
                <w:color w:val="auto"/>
              </w:rPr>
            </w:pPr>
          </w:p>
        </w:tc>
        <w:tc>
          <w:tcPr>
            <w:tcW w:w="440" w:type="dxa"/>
            <w:vAlign w:val="bottom"/>
            <w:tcBorders>
              <w:bottom w:val="single" w:sz="8" w:color="auto"/>
            </w:tcBorders>
            <w:shd w:val="clear" w:color="auto" w:fill="FEFEFE"/>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(29,466)</w:t>
            </w:r>
          </w:p>
        </w:tc>
      </w:tr>
      <w:tr>
        <w:trPr>
          <w:trHeight w:val="20"/>
        </w:trPr>
        <w:tc>
          <w:tcPr>
            <w:tcW w:w="6420" w:type="dxa"/>
            <w:vAlign w:val="bottom"/>
            <w:tcBorders>
              <w:bottom w:val="single" w:sz="8" w:color="FEFEFE"/>
            </w:tcBorders>
            <w:shd w:val="clear" w:color="auto" w:fill="FEFEFE"/>
          </w:tcPr>
          <w:p>
            <w:pPr>
              <w:spacing w:after="0" w:line="20" w:lineRule="exact"/>
              <w:rPr>
                <w:sz w:val="1"/>
                <w:szCs w:val="1"/>
                <w:color w:val="auto"/>
              </w:rPr>
            </w:pPr>
          </w:p>
        </w:tc>
        <w:tc>
          <w:tcPr>
            <w:tcW w:w="200" w:type="dxa"/>
            <w:vAlign w:val="bottom"/>
            <w:tcBorders>
              <w:bottom w:val="single" w:sz="8" w:color="FEFEFE"/>
            </w:tcBorders>
            <w:shd w:val="clear" w:color="auto" w:fill="FEFEF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EFEFE"/>
            </w:tcBorders>
            <w:shd w:val="clear" w:color="auto" w:fill="FEFEF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9"/>
        </w:trPr>
        <w:tc>
          <w:tcPr>
            <w:tcW w:w="642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620" w:type="dxa"/>
            <w:vAlign w:val="bottom"/>
            <w:shd w:val="clear" w:color="auto" w:fill="FEFEFE"/>
          </w:tcPr>
          <w:p>
            <w:pPr>
              <w:spacing w:after="0"/>
              <w:rPr>
                <w:sz w:val="19"/>
                <w:szCs w:val="19"/>
                <w:color w:val="auto"/>
              </w:rPr>
            </w:pPr>
          </w:p>
        </w:tc>
        <w:tc>
          <w:tcPr>
            <w:tcW w:w="124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440" w:type="dxa"/>
            <w:vAlign w:val="bottom"/>
            <w:shd w:val="clear" w:color="auto" w:fill="FEFEFE"/>
          </w:tcPr>
          <w:p>
            <w:pPr>
              <w:spacing w:after="0"/>
              <w:rPr>
                <w:sz w:val="19"/>
                <w:szCs w:val="19"/>
                <w:color w:val="auto"/>
              </w:rPr>
            </w:pPr>
          </w:p>
        </w:tc>
        <w:tc>
          <w:tcPr>
            <w:tcW w:w="1680" w:type="dxa"/>
            <w:vAlign w:val="bottom"/>
            <w:shd w:val="clear" w:color="auto" w:fill="FEFEFE"/>
          </w:tcPr>
          <w:p>
            <w:pPr>
              <w:spacing w:after="0"/>
              <w:rPr>
                <w:sz w:val="19"/>
                <w:szCs w:val="19"/>
                <w:color w:val="auto"/>
              </w:rPr>
            </w:pPr>
          </w:p>
        </w:tc>
      </w:tr>
      <w:tr>
        <w:trPr>
          <w:trHeight w:val="244"/>
        </w:trPr>
        <w:tc>
          <w:tcPr>
            <w:tcW w:w="642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Loss per share – basic and diluted</w:t>
            </w:r>
          </w:p>
        </w:tc>
        <w:tc>
          <w:tcPr>
            <w:tcW w:w="200" w:type="dxa"/>
            <w:vAlign w:val="bottom"/>
            <w:tcBorders>
              <w:bottom w:val="single" w:sz="8" w:color="FEFEFE"/>
            </w:tcBorders>
            <w:shd w:val="clear" w:color="auto" w:fill="E6E6E6"/>
          </w:tcPr>
          <w:p>
            <w:pPr>
              <w:spacing w:after="0"/>
              <w:rPr>
                <w:sz w:val="21"/>
                <w:szCs w:val="21"/>
                <w:color w:val="auto"/>
              </w:rPr>
            </w:pPr>
          </w:p>
        </w:tc>
        <w:tc>
          <w:tcPr>
            <w:tcW w:w="620" w:type="dxa"/>
            <w:vAlign w:val="bottom"/>
            <w:tcBorders>
              <w:bottom w:val="single" w:sz="8" w:color="auto"/>
            </w:tcBorders>
            <w:shd w:val="clear" w:color="auto" w:fill="E6E6E6"/>
          </w:tcPr>
          <w:p>
            <w:pPr>
              <w:jc w:val="right"/>
              <w:ind w:right="42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200" w:type="dxa"/>
            <w:vAlign w:val="bottom"/>
            <w:tcBorders>
              <w:bottom w:val="single" w:sz="8" w:color="FEFEFE"/>
            </w:tcBorders>
            <w:shd w:val="clear" w:color="auto" w:fill="E6E6E6"/>
          </w:tcPr>
          <w:p>
            <w:pPr>
              <w:spacing w:after="0"/>
              <w:rPr>
                <w:sz w:val="21"/>
                <w:szCs w:val="21"/>
                <w:color w:val="auto"/>
              </w:rPr>
            </w:pPr>
          </w:p>
        </w:tc>
        <w:tc>
          <w:tcPr>
            <w:tcW w:w="440" w:type="dxa"/>
            <w:vAlign w:val="bottom"/>
            <w:tcBorders>
              <w:bottom w:val="single" w:sz="8" w:color="auto"/>
            </w:tcBorders>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(0.04)</w:t>
            </w:r>
          </w:p>
        </w:tc>
      </w:tr>
      <w:tr>
        <w:trPr>
          <w:trHeight w:val="234"/>
        </w:trPr>
        <w:tc>
          <w:tcPr>
            <w:tcW w:w="642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Weighted average shares outstanding – basic and diluted</w:t>
            </w:r>
          </w:p>
        </w:tc>
        <w:tc>
          <w:tcPr>
            <w:tcW w:w="200" w:type="dxa"/>
            <w:vAlign w:val="bottom"/>
            <w:tcBorders>
              <w:bottom w:val="single" w:sz="8" w:color="FEFEFE"/>
            </w:tcBorders>
            <w:shd w:val="clear" w:color="auto" w:fill="FEFEFE"/>
          </w:tcPr>
          <w:p>
            <w:pPr>
              <w:spacing w:after="0"/>
              <w:rPr>
                <w:sz w:val="20"/>
                <w:szCs w:val="20"/>
                <w:color w:val="auto"/>
              </w:rPr>
            </w:pPr>
          </w:p>
        </w:tc>
        <w:tc>
          <w:tcPr>
            <w:tcW w:w="620" w:type="dxa"/>
            <w:vAlign w:val="bottom"/>
            <w:tcBorders>
              <w:bottom w:val="single" w:sz="8" w:color="auto"/>
            </w:tcBorders>
            <w:shd w:val="clear" w:color="auto" w:fill="FEFEFE"/>
          </w:tcPr>
          <w:p>
            <w:pPr>
              <w:spacing w:after="0"/>
              <w:rPr>
                <w:sz w:val="20"/>
                <w:szCs w:val="20"/>
                <w:color w:val="auto"/>
              </w:rPr>
            </w:pPr>
          </w:p>
        </w:tc>
        <w:tc>
          <w:tcPr>
            <w:tcW w:w="1240" w:type="dxa"/>
            <w:vAlign w:val="bottom"/>
            <w:tcBorders>
              <w:bottom w:val="single" w:sz="8" w:color="auto"/>
            </w:tcBorders>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rPr>
              <w:t>739,624,264</w:t>
            </w:r>
          </w:p>
        </w:tc>
        <w:tc>
          <w:tcPr>
            <w:tcW w:w="200" w:type="dxa"/>
            <w:vAlign w:val="bottom"/>
            <w:tcBorders>
              <w:bottom w:val="single" w:sz="8" w:color="FEFEFE"/>
            </w:tcBorders>
            <w:shd w:val="clear" w:color="auto" w:fill="FEFEFE"/>
          </w:tcPr>
          <w:p>
            <w:pPr>
              <w:spacing w:after="0"/>
              <w:rPr>
                <w:sz w:val="20"/>
                <w:szCs w:val="20"/>
                <w:color w:val="auto"/>
              </w:rPr>
            </w:pPr>
          </w:p>
        </w:tc>
        <w:tc>
          <w:tcPr>
            <w:tcW w:w="440" w:type="dxa"/>
            <w:vAlign w:val="bottom"/>
            <w:tcBorders>
              <w:bottom w:val="single" w:sz="8" w:color="auto"/>
            </w:tcBorders>
            <w:shd w:val="clear" w:color="auto" w:fill="FEFEFE"/>
          </w:tcPr>
          <w:p>
            <w:pPr>
              <w:spacing w:after="0"/>
              <w:rPr>
                <w:sz w:val="20"/>
                <w:szCs w:val="20"/>
                <w:color w:val="auto"/>
              </w:rPr>
            </w:pPr>
          </w:p>
        </w:tc>
        <w:tc>
          <w:tcPr>
            <w:tcW w:w="1680" w:type="dxa"/>
            <w:vAlign w:val="bottom"/>
            <w:tcBorders>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659,453,921</w:t>
            </w:r>
          </w:p>
        </w:tc>
      </w:tr>
      <w:tr>
        <w:trPr>
          <w:trHeight w:val="20"/>
        </w:trPr>
        <w:tc>
          <w:tcPr>
            <w:tcW w:w="6420" w:type="dxa"/>
            <w:vAlign w:val="bottom"/>
            <w:tcBorders>
              <w:bottom w:val="single" w:sz="8" w:color="FEFEFE"/>
            </w:tcBorders>
            <w:shd w:val="clear" w:color="auto" w:fill="FEFEFE"/>
          </w:tcPr>
          <w:p>
            <w:pPr>
              <w:spacing w:after="0" w:line="20" w:lineRule="exact"/>
              <w:rPr>
                <w:sz w:val="1"/>
                <w:szCs w:val="1"/>
                <w:color w:val="auto"/>
              </w:rPr>
            </w:pPr>
          </w:p>
        </w:tc>
        <w:tc>
          <w:tcPr>
            <w:tcW w:w="200" w:type="dxa"/>
            <w:vAlign w:val="bottom"/>
            <w:tcBorders>
              <w:bottom w:val="single" w:sz="8" w:color="FEFEFE"/>
            </w:tcBorders>
            <w:shd w:val="clear" w:color="auto" w:fill="FEFEF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EFEFE"/>
            </w:tcBorders>
            <w:shd w:val="clear" w:color="auto" w:fill="FEFEF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9"/>
        </w:trPr>
        <w:tc>
          <w:tcPr>
            <w:tcW w:w="642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620" w:type="dxa"/>
            <w:vAlign w:val="bottom"/>
            <w:shd w:val="clear" w:color="auto" w:fill="FEFEFE"/>
          </w:tcPr>
          <w:p>
            <w:pPr>
              <w:spacing w:after="0"/>
              <w:rPr>
                <w:sz w:val="19"/>
                <w:szCs w:val="19"/>
                <w:color w:val="auto"/>
              </w:rPr>
            </w:pPr>
          </w:p>
        </w:tc>
        <w:tc>
          <w:tcPr>
            <w:tcW w:w="124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440" w:type="dxa"/>
            <w:vAlign w:val="bottom"/>
            <w:shd w:val="clear" w:color="auto" w:fill="FEFEFE"/>
          </w:tcPr>
          <w:p>
            <w:pPr>
              <w:spacing w:after="0"/>
              <w:rPr>
                <w:sz w:val="19"/>
                <w:szCs w:val="19"/>
                <w:color w:val="auto"/>
              </w:rPr>
            </w:pPr>
          </w:p>
        </w:tc>
        <w:tc>
          <w:tcPr>
            <w:tcW w:w="1680" w:type="dxa"/>
            <w:vAlign w:val="bottom"/>
            <w:shd w:val="clear" w:color="auto" w:fill="FEFEFE"/>
          </w:tcPr>
          <w:p>
            <w:pPr>
              <w:spacing w:after="0"/>
              <w:rPr>
                <w:sz w:val="19"/>
                <w:szCs w:val="19"/>
                <w:color w:val="auto"/>
              </w:rPr>
            </w:pPr>
          </w:p>
        </w:tc>
      </w:tr>
      <w:tr>
        <w:trPr>
          <w:trHeight w:val="244"/>
        </w:trPr>
        <w:tc>
          <w:tcPr>
            <w:tcW w:w="64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shd w:val="clear" w:color="auto" w:fill="E6E6E6"/>
          </w:tcPr>
          <w:p>
            <w:pPr>
              <w:spacing w:after="0"/>
              <w:rPr>
                <w:sz w:val="21"/>
                <w:szCs w:val="21"/>
                <w:color w:val="auto"/>
              </w:rPr>
            </w:pPr>
          </w:p>
        </w:tc>
        <w:tc>
          <w:tcPr>
            <w:tcW w:w="620" w:type="dxa"/>
            <w:vAlign w:val="bottom"/>
            <w:shd w:val="clear" w:color="auto" w:fill="E6E6E6"/>
          </w:tcPr>
          <w:p>
            <w:pPr>
              <w:jc w:val="right"/>
              <w:ind w:right="42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(43,253)</w:t>
            </w:r>
          </w:p>
        </w:tc>
        <w:tc>
          <w:tcPr>
            <w:tcW w:w="200" w:type="dxa"/>
            <w:vAlign w:val="bottom"/>
            <w:shd w:val="clear" w:color="auto" w:fill="E6E6E6"/>
          </w:tcPr>
          <w:p>
            <w:pPr>
              <w:spacing w:after="0"/>
              <w:rPr>
                <w:sz w:val="21"/>
                <w:szCs w:val="21"/>
                <w:color w:val="auto"/>
              </w:rPr>
            </w:pPr>
          </w:p>
        </w:tc>
        <w:tc>
          <w:tcPr>
            <w:tcW w:w="440" w:type="dxa"/>
            <w:vAlign w:val="bottom"/>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(29,466)</w:t>
            </w:r>
          </w:p>
        </w:tc>
      </w:tr>
      <w:tr>
        <w:trPr>
          <w:trHeight w:val="223"/>
        </w:trPr>
        <w:tc>
          <w:tcPr>
            <w:tcW w:w="6420" w:type="dxa"/>
            <w:vAlign w:val="bottom"/>
            <w:shd w:val="clear" w:color="auto" w:fill="FEFEFE"/>
          </w:tcPr>
          <w:p>
            <w:pPr>
              <w:spacing w:after="0" w:line="223" w:lineRule="exact"/>
              <w:rPr>
                <w:sz w:val="20"/>
                <w:szCs w:val="20"/>
                <w:color w:val="auto"/>
              </w:rPr>
            </w:pPr>
            <w:r>
              <w:rPr>
                <w:rFonts w:ascii="Times New Roman" w:cs="Times New Roman" w:eastAsia="Times New Roman" w:hAnsi="Times New Roman"/>
                <w:sz w:val="20"/>
                <w:szCs w:val="20"/>
                <w:color w:val="auto"/>
              </w:rPr>
              <w:t>Other comprehensive (loss)/income – Foreign currency translation adjustments,</w:t>
            </w:r>
          </w:p>
        </w:tc>
        <w:tc>
          <w:tcPr>
            <w:tcW w:w="200" w:type="dxa"/>
            <w:vAlign w:val="bottom"/>
            <w:shd w:val="clear" w:color="auto" w:fill="FEFEFE"/>
          </w:tcPr>
          <w:p>
            <w:pPr>
              <w:spacing w:after="0"/>
              <w:rPr>
                <w:sz w:val="19"/>
                <w:szCs w:val="19"/>
                <w:color w:val="auto"/>
              </w:rPr>
            </w:pPr>
          </w:p>
        </w:tc>
        <w:tc>
          <w:tcPr>
            <w:tcW w:w="620" w:type="dxa"/>
            <w:vAlign w:val="bottom"/>
            <w:shd w:val="clear" w:color="auto" w:fill="FEFEFE"/>
          </w:tcPr>
          <w:p>
            <w:pPr>
              <w:spacing w:after="0"/>
              <w:rPr>
                <w:sz w:val="19"/>
                <w:szCs w:val="19"/>
                <w:color w:val="auto"/>
              </w:rPr>
            </w:pPr>
          </w:p>
        </w:tc>
        <w:tc>
          <w:tcPr>
            <w:tcW w:w="124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440" w:type="dxa"/>
            <w:vAlign w:val="bottom"/>
            <w:shd w:val="clear" w:color="auto" w:fill="FEFEFE"/>
          </w:tcPr>
          <w:p>
            <w:pPr>
              <w:spacing w:after="0"/>
              <w:rPr>
                <w:sz w:val="19"/>
                <w:szCs w:val="19"/>
                <w:color w:val="auto"/>
              </w:rPr>
            </w:pPr>
          </w:p>
        </w:tc>
        <w:tc>
          <w:tcPr>
            <w:tcW w:w="1680" w:type="dxa"/>
            <w:vAlign w:val="bottom"/>
            <w:shd w:val="clear" w:color="auto" w:fill="FEFEFE"/>
          </w:tcPr>
          <w:p>
            <w:pPr>
              <w:spacing w:after="0"/>
              <w:rPr>
                <w:sz w:val="19"/>
                <w:szCs w:val="19"/>
                <w:color w:val="auto"/>
              </w:rPr>
            </w:pPr>
          </w:p>
        </w:tc>
      </w:tr>
      <w:tr>
        <w:trPr>
          <w:trHeight w:val="251"/>
        </w:trPr>
        <w:tc>
          <w:tcPr>
            <w:tcW w:w="6420" w:type="dxa"/>
            <w:vAlign w:val="bottom"/>
            <w:tcBorders>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of tax</w:t>
            </w:r>
          </w:p>
        </w:tc>
        <w:tc>
          <w:tcPr>
            <w:tcW w:w="200" w:type="dxa"/>
            <w:vAlign w:val="bottom"/>
            <w:tcBorders>
              <w:bottom w:val="single" w:sz="8" w:color="E6E6E6"/>
            </w:tcBorders>
            <w:shd w:val="clear" w:color="auto" w:fill="FEFEFE"/>
          </w:tcPr>
          <w:p>
            <w:pPr>
              <w:spacing w:after="0"/>
              <w:rPr>
                <w:sz w:val="21"/>
                <w:szCs w:val="21"/>
                <w:color w:val="auto"/>
              </w:rPr>
            </w:pPr>
          </w:p>
        </w:tc>
        <w:tc>
          <w:tcPr>
            <w:tcW w:w="620" w:type="dxa"/>
            <w:vAlign w:val="bottom"/>
            <w:tcBorders>
              <w:bottom w:val="single" w:sz="8" w:color="auto"/>
            </w:tcBorders>
            <w:shd w:val="clear" w:color="auto" w:fill="FEFEFE"/>
          </w:tcPr>
          <w:p>
            <w:pPr>
              <w:spacing w:after="0"/>
              <w:rPr>
                <w:sz w:val="21"/>
                <w:szCs w:val="21"/>
                <w:color w:val="auto"/>
              </w:rPr>
            </w:pPr>
          </w:p>
        </w:tc>
        <w:tc>
          <w:tcPr>
            <w:tcW w:w="12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(1,364)</w:t>
            </w:r>
          </w:p>
        </w:tc>
        <w:tc>
          <w:tcPr>
            <w:tcW w:w="200" w:type="dxa"/>
            <w:vAlign w:val="bottom"/>
            <w:tcBorders>
              <w:bottom w:val="single" w:sz="8" w:color="E6E6E6"/>
            </w:tcBorders>
            <w:shd w:val="clear" w:color="auto" w:fill="FEFEFE"/>
          </w:tcPr>
          <w:p>
            <w:pPr>
              <w:spacing w:after="0"/>
              <w:rPr>
                <w:sz w:val="21"/>
                <w:szCs w:val="21"/>
                <w:color w:val="auto"/>
              </w:rPr>
            </w:pPr>
          </w:p>
        </w:tc>
        <w:tc>
          <w:tcPr>
            <w:tcW w:w="440" w:type="dxa"/>
            <w:vAlign w:val="bottom"/>
            <w:tcBorders>
              <w:bottom w:val="single" w:sz="8" w:color="auto"/>
            </w:tcBorders>
            <w:shd w:val="clear" w:color="auto" w:fill="FEFEFE"/>
          </w:tcPr>
          <w:p>
            <w:pPr>
              <w:spacing w:after="0"/>
              <w:rPr>
                <w:sz w:val="21"/>
                <w:szCs w:val="21"/>
                <w:color w:val="auto"/>
              </w:rPr>
            </w:pPr>
          </w:p>
        </w:tc>
        <w:tc>
          <w:tcPr>
            <w:tcW w:w="1680" w:type="dxa"/>
            <w:vAlign w:val="bottom"/>
            <w:tcBorders>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4,202</w:t>
            </w:r>
          </w:p>
        </w:tc>
      </w:tr>
      <w:tr>
        <w:trPr>
          <w:trHeight w:val="234"/>
        </w:trPr>
        <w:tc>
          <w:tcPr>
            <w:tcW w:w="64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Total comprehensive loss</w:t>
            </w:r>
          </w:p>
        </w:tc>
        <w:tc>
          <w:tcPr>
            <w:tcW w:w="200" w:type="dxa"/>
            <w:vAlign w:val="bottom"/>
            <w:shd w:val="clear" w:color="auto" w:fill="E6E6E6"/>
          </w:tcPr>
          <w:p>
            <w:pPr>
              <w:spacing w:after="0"/>
              <w:rPr>
                <w:sz w:val="20"/>
                <w:szCs w:val="20"/>
                <w:color w:val="auto"/>
              </w:rPr>
            </w:pPr>
          </w:p>
        </w:tc>
        <w:tc>
          <w:tcPr>
            <w:tcW w:w="620" w:type="dxa"/>
            <w:vAlign w:val="bottom"/>
            <w:tcBorders>
              <w:bottom w:val="single" w:sz="8" w:color="auto"/>
            </w:tcBorders>
            <w:shd w:val="clear" w:color="auto" w:fill="E6E6E6"/>
          </w:tcPr>
          <w:p>
            <w:pPr>
              <w:jc w:val="right"/>
              <w:ind w:right="42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(44,617)</w:t>
            </w:r>
          </w:p>
        </w:tc>
        <w:tc>
          <w:tcPr>
            <w:tcW w:w="200" w:type="dxa"/>
            <w:vAlign w:val="bottom"/>
            <w:shd w:val="clear" w:color="auto" w:fill="E6E6E6"/>
          </w:tcPr>
          <w:p>
            <w:pPr>
              <w:spacing w:after="0"/>
              <w:rPr>
                <w:sz w:val="20"/>
                <w:szCs w:val="20"/>
                <w:color w:val="auto"/>
              </w:rPr>
            </w:pPr>
          </w:p>
        </w:tc>
        <w:tc>
          <w:tcPr>
            <w:tcW w:w="440" w:type="dxa"/>
            <w:vAlign w:val="bottom"/>
            <w:tcBorders>
              <w:bottom w:val="single" w:sz="8" w:color="auto"/>
            </w:tcBorders>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(25,264)</w:t>
            </w:r>
          </w:p>
        </w:tc>
      </w:tr>
      <w:tr>
        <w:trPr>
          <w:trHeight w:val="20"/>
        </w:trPr>
        <w:tc>
          <w:tcPr>
            <w:tcW w:w="6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an integral part of these consolidated financial statements.</w:t>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10800"/>
          </w:cols>
          <w:pgMar w:left="540" w:top="745" w:right="540" w:bottom="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MEREO BIOPHARMA GROUP PLC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240" w:type="dxa"/>
            <w:vAlign w:val="bottom"/>
            <w:tcBorders>
              <w:bottom w:val="single" w:sz="8" w:color="FEFEFE"/>
            </w:tcBorders>
            <w:shd w:val="clear" w:color="auto" w:fill="FEFEFE"/>
          </w:tcPr>
          <w:p>
            <w:pPr>
              <w:spacing w:after="0"/>
              <w:rPr>
                <w:sz w:val="22"/>
                <w:szCs w:val="22"/>
                <w:color w:val="auto"/>
              </w:rPr>
            </w:pPr>
          </w:p>
        </w:tc>
        <w:tc>
          <w:tcPr>
            <w:tcW w:w="180" w:type="dxa"/>
            <w:vAlign w:val="bottom"/>
            <w:tcBorders>
              <w:bottom w:val="single" w:sz="8" w:color="FEFEFE"/>
            </w:tcBorders>
            <w:shd w:val="clear" w:color="auto" w:fill="FEFEFE"/>
          </w:tcPr>
          <w:p>
            <w:pPr>
              <w:spacing w:after="0"/>
              <w:rPr>
                <w:sz w:val="22"/>
                <w:szCs w:val="22"/>
                <w:color w:val="auto"/>
              </w:rPr>
            </w:pPr>
          </w:p>
        </w:tc>
        <w:tc>
          <w:tcPr>
            <w:tcW w:w="300" w:type="dxa"/>
            <w:vAlign w:val="bottom"/>
            <w:tcBorders>
              <w:bottom w:val="single" w:sz="8" w:color="auto"/>
            </w:tcBorders>
            <w:shd w:val="clear" w:color="auto" w:fill="FEFEFE"/>
          </w:tcPr>
          <w:p>
            <w:pPr>
              <w:spacing w:after="0"/>
              <w:rPr>
                <w:sz w:val="22"/>
                <w:szCs w:val="22"/>
                <w:color w:val="auto"/>
              </w:rPr>
            </w:pPr>
          </w:p>
        </w:tc>
        <w:tc>
          <w:tcPr>
            <w:tcW w:w="3080" w:type="dxa"/>
            <w:vAlign w:val="bottom"/>
            <w:tcBorders>
              <w:bottom w:val="single" w:sz="8" w:color="auto"/>
            </w:tcBorders>
            <w:gridSpan w:val="4"/>
            <w:shd w:val="clear" w:color="auto" w:fill="FEFEFE"/>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34"/>
        </w:trPr>
        <w:tc>
          <w:tcPr>
            <w:tcW w:w="7240" w:type="dxa"/>
            <w:vAlign w:val="bottom"/>
            <w:tcBorders>
              <w:bottom w:val="single" w:sz="8" w:color="E6E6E6"/>
            </w:tcBorders>
            <w:shd w:val="clear" w:color="auto" w:fill="FEFEFE"/>
          </w:tcPr>
          <w:p>
            <w:pPr>
              <w:spacing w:after="0"/>
              <w:rPr>
                <w:sz w:val="20"/>
                <w:szCs w:val="20"/>
                <w:color w:val="auto"/>
              </w:rPr>
            </w:pPr>
          </w:p>
        </w:tc>
        <w:tc>
          <w:tcPr>
            <w:tcW w:w="180" w:type="dxa"/>
            <w:vAlign w:val="bottom"/>
            <w:tcBorders>
              <w:bottom w:val="single" w:sz="8" w:color="E6E6E6"/>
            </w:tcBorders>
            <w:shd w:val="clear" w:color="auto" w:fill="FEFEFE"/>
          </w:tcPr>
          <w:p>
            <w:pPr>
              <w:spacing w:after="0"/>
              <w:rPr>
                <w:sz w:val="20"/>
                <w:szCs w:val="20"/>
                <w:color w:val="auto"/>
              </w:rPr>
            </w:pPr>
          </w:p>
        </w:tc>
        <w:tc>
          <w:tcPr>
            <w:tcW w:w="300" w:type="dxa"/>
            <w:vAlign w:val="bottom"/>
            <w:tcBorders>
              <w:bottom w:val="single" w:sz="8" w:color="auto"/>
            </w:tcBorders>
            <w:shd w:val="clear" w:color="auto" w:fill="FEFEFE"/>
          </w:tcPr>
          <w:p>
            <w:pPr>
              <w:spacing w:after="0"/>
              <w:rPr>
                <w:sz w:val="20"/>
                <w:szCs w:val="20"/>
                <w:color w:val="auto"/>
              </w:rPr>
            </w:pPr>
          </w:p>
        </w:tc>
        <w:tc>
          <w:tcPr>
            <w:tcW w:w="1300" w:type="dxa"/>
            <w:vAlign w:val="bottom"/>
            <w:tcBorders>
              <w:bottom w:val="single" w:sz="8" w:color="auto"/>
            </w:tcBorders>
            <w:shd w:val="clear" w:color="auto" w:fill="FEFEFE"/>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Borders>
              <w:bottom w:val="single" w:sz="8" w:color="E6E6E6"/>
            </w:tcBorders>
            <w:shd w:val="clear" w:color="auto" w:fill="FEFEFE"/>
          </w:tcPr>
          <w:p>
            <w:pPr>
              <w:spacing w:after="0"/>
              <w:rPr>
                <w:sz w:val="20"/>
                <w:szCs w:val="20"/>
                <w:color w:val="auto"/>
              </w:rPr>
            </w:pPr>
          </w:p>
        </w:tc>
        <w:tc>
          <w:tcPr>
            <w:tcW w:w="320" w:type="dxa"/>
            <w:vAlign w:val="bottom"/>
            <w:tcBorders>
              <w:bottom w:val="single" w:sz="8" w:color="auto"/>
            </w:tcBorders>
            <w:shd w:val="clear" w:color="auto" w:fill="FEFEFE"/>
          </w:tcPr>
          <w:p>
            <w:pPr>
              <w:spacing w:after="0"/>
              <w:rPr>
                <w:sz w:val="20"/>
                <w:szCs w:val="20"/>
                <w:color w:val="auto"/>
              </w:rPr>
            </w:pPr>
          </w:p>
        </w:tc>
        <w:tc>
          <w:tcPr>
            <w:tcW w:w="1280" w:type="dxa"/>
            <w:vAlign w:val="bottom"/>
            <w:tcBorders>
              <w:bottom w:val="single" w:sz="8" w:color="auto"/>
            </w:tcBorders>
            <w:shd w:val="clear" w:color="auto" w:fill="FEFEFE"/>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4"/>
        </w:trPr>
        <w:tc>
          <w:tcPr>
            <w:tcW w:w="7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8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30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80" w:type="dxa"/>
            <w:vAlign w:val="bottom"/>
            <w:shd w:val="clear" w:color="auto" w:fill="E6E6E6"/>
          </w:tcPr>
          <w:p>
            <w:pPr>
              <w:spacing w:after="0"/>
              <w:rPr>
                <w:sz w:val="20"/>
                <w:szCs w:val="20"/>
                <w:color w:val="auto"/>
              </w:rPr>
            </w:pPr>
          </w:p>
        </w:tc>
      </w:tr>
      <w:tr>
        <w:trPr>
          <w:trHeight w:val="244"/>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shd w:val="clear" w:color="auto" w:fill="FEFEFE"/>
          </w:tcPr>
          <w:p>
            <w:pPr>
              <w:spacing w:after="0"/>
              <w:rPr>
                <w:sz w:val="21"/>
                <w:szCs w:val="21"/>
                <w:color w:val="auto"/>
              </w:rPr>
            </w:pPr>
          </w:p>
        </w:tc>
        <w:tc>
          <w:tcPr>
            <w:tcW w:w="300" w:type="dxa"/>
            <w:vAlign w:val="bottom"/>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(43,253)</w:t>
            </w:r>
          </w:p>
        </w:tc>
        <w:tc>
          <w:tcPr>
            <w:tcW w:w="180" w:type="dxa"/>
            <w:vAlign w:val="bottom"/>
            <w:shd w:val="clear" w:color="auto" w:fill="FEFEFE"/>
          </w:tcPr>
          <w:p>
            <w:pPr>
              <w:spacing w:after="0"/>
              <w:rPr>
                <w:sz w:val="21"/>
                <w:szCs w:val="21"/>
                <w:color w:val="auto"/>
              </w:rPr>
            </w:pPr>
          </w:p>
        </w:tc>
        <w:tc>
          <w:tcPr>
            <w:tcW w:w="320" w:type="dxa"/>
            <w:vAlign w:val="bottom"/>
            <w:shd w:val="clear" w:color="auto" w:fill="FEFEFE"/>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(29,466)</w:t>
            </w:r>
          </w:p>
        </w:tc>
      </w:tr>
      <w:tr>
        <w:trPr>
          <w:trHeight w:val="244"/>
        </w:trPr>
        <w:tc>
          <w:tcPr>
            <w:tcW w:w="72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spacing w:after="0"/>
              <w:rPr>
                <w:sz w:val="21"/>
                <w:szCs w:val="21"/>
                <w:color w:val="auto"/>
              </w:rPr>
            </w:pPr>
          </w:p>
        </w:tc>
      </w:tr>
      <w:tr>
        <w:trPr>
          <w:trHeight w:val="244"/>
        </w:trPr>
        <w:tc>
          <w:tcPr>
            <w:tcW w:w="724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Share-based compensation</w:t>
            </w:r>
          </w:p>
        </w:tc>
        <w:tc>
          <w:tcPr>
            <w:tcW w:w="1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0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7,390</w:t>
            </w:r>
          </w:p>
        </w:tc>
        <w:tc>
          <w:tcPr>
            <w:tcW w:w="18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4,924</w:t>
            </w:r>
          </w:p>
        </w:tc>
      </w:tr>
      <w:tr>
        <w:trPr>
          <w:trHeight w:val="244"/>
        </w:trPr>
        <w:tc>
          <w:tcPr>
            <w:tcW w:w="72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Depreciation</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143</w:t>
            </w: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171</w:t>
            </w:r>
          </w:p>
        </w:tc>
      </w:tr>
      <w:tr>
        <w:trPr>
          <w:trHeight w:val="244"/>
        </w:trPr>
        <w:tc>
          <w:tcPr>
            <w:tcW w:w="724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Amortization of intangible assets</w:t>
            </w:r>
          </w:p>
        </w:tc>
        <w:tc>
          <w:tcPr>
            <w:tcW w:w="1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0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438</w:t>
            </w:r>
          </w:p>
        </w:tc>
        <w:tc>
          <w:tcPr>
            <w:tcW w:w="18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395</w:t>
            </w:r>
          </w:p>
        </w:tc>
      </w:tr>
      <w:tr>
        <w:trPr>
          <w:trHeight w:val="244"/>
        </w:trPr>
        <w:tc>
          <w:tcPr>
            <w:tcW w:w="72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Amortization of operating lease right-of-use assets</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507</w:t>
            </w: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495</w:t>
            </w:r>
          </w:p>
        </w:tc>
      </w:tr>
      <w:tr>
        <w:trPr>
          <w:trHeight w:val="244"/>
        </w:trPr>
        <w:tc>
          <w:tcPr>
            <w:tcW w:w="724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Change in fair value of warrants</w:t>
            </w:r>
          </w:p>
        </w:tc>
        <w:tc>
          <w:tcPr>
            <w:tcW w:w="1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0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419</w:t>
            </w:r>
          </w:p>
        </w:tc>
        <w:tc>
          <w:tcPr>
            <w:tcW w:w="18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(245)</w:t>
            </w:r>
          </w:p>
        </w:tc>
      </w:tr>
      <w:tr>
        <w:trPr>
          <w:trHeight w:val="244"/>
        </w:trPr>
        <w:tc>
          <w:tcPr>
            <w:tcW w:w="72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Interest income</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44"/>
        </w:trPr>
        <w:tc>
          <w:tcPr>
            <w:tcW w:w="724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0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1,351</w:t>
            </w:r>
          </w:p>
        </w:tc>
        <w:tc>
          <w:tcPr>
            <w:tcW w:w="18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1,942</w:t>
            </w:r>
          </w:p>
        </w:tc>
      </w:tr>
      <w:tr>
        <w:trPr>
          <w:trHeight w:val="244"/>
        </w:trPr>
        <w:tc>
          <w:tcPr>
            <w:tcW w:w="72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Foreign currency transaction (gain)/loss</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(1,210)</w:t>
            </w: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2,347</w:t>
            </w:r>
          </w:p>
        </w:tc>
      </w:tr>
      <w:tr>
        <w:trPr>
          <w:trHeight w:val="244"/>
        </w:trPr>
        <w:tc>
          <w:tcPr>
            <w:tcW w:w="724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Non-cash consideration, milestone payment</w:t>
            </w:r>
          </w:p>
        </w:tc>
        <w:tc>
          <w:tcPr>
            <w:tcW w:w="1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0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1,750</w:t>
            </w:r>
          </w:p>
        </w:tc>
        <w:tc>
          <w:tcPr>
            <w:tcW w:w="18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72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spacing w:after="0"/>
              <w:rPr>
                <w:sz w:val="21"/>
                <w:szCs w:val="21"/>
                <w:color w:val="auto"/>
              </w:rPr>
            </w:pPr>
          </w:p>
        </w:tc>
      </w:tr>
      <w:tr>
        <w:trPr>
          <w:trHeight w:val="244"/>
        </w:trPr>
        <w:tc>
          <w:tcPr>
            <w:tcW w:w="724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0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2,980</w:t>
            </w:r>
          </w:p>
        </w:tc>
        <w:tc>
          <w:tcPr>
            <w:tcW w:w="18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502</w:t>
            </w:r>
          </w:p>
        </w:tc>
      </w:tr>
      <w:tr>
        <w:trPr>
          <w:trHeight w:val="244"/>
        </w:trPr>
        <w:tc>
          <w:tcPr>
            <w:tcW w:w="72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Research and development incentives receivable</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(1,649)</w:t>
            </w: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456</w:t>
            </w:r>
          </w:p>
        </w:tc>
      </w:tr>
      <w:tr>
        <w:trPr>
          <w:trHeight w:val="244"/>
        </w:trPr>
        <w:tc>
          <w:tcPr>
            <w:tcW w:w="724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1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0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146</w:t>
            </w:r>
          </w:p>
        </w:tc>
        <w:tc>
          <w:tcPr>
            <w:tcW w:w="18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(1,263)</w:t>
            </w:r>
          </w:p>
        </w:tc>
      </w:tr>
      <w:tr>
        <w:trPr>
          <w:trHeight w:val="244"/>
        </w:trPr>
        <w:tc>
          <w:tcPr>
            <w:tcW w:w="72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(710)</w:t>
            </w:r>
          </w:p>
        </w:tc>
      </w:tr>
      <w:tr>
        <w:trPr>
          <w:trHeight w:val="244"/>
        </w:trPr>
        <w:tc>
          <w:tcPr>
            <w:tcW w:w="7240" w:type="dxa"/>
            <w:vAlign w:val="bottom"/>
            <w:tcBorders>
              <w:bottom w:val="single" w:sz="8" w:color="E6E6E6"/>
            </w:tcBorders>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8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(654)</w:t>
            </w:r>
          </w:p>
        </w:tc>
        <w:tc>
          <w:tcPr>
            <w:tcW w:w="180" w:type="dxa"/>
            <w:vAlign w:val="bottom"/>
            <w:tcBorders>
              <w:bottom w:val="single" w:sz="8" w:color="E6E6E6"/>
            </w:tcBorders>
            <w:shd w:val="clear" w:color="auto" w:fill="FEFEFE"/>
          </w:tcPr>
          <w:p>
            <w:pPr>
              <w:spacing w:after="0"/>
              <w:rPr>
                <w:sz w:val="21"/>
                <w:szCs w:val="21"/>
                <w:color w:val="auto"/>
              </w:rPr>
            </w:pPr>
          </w:p>
        </w:tc>
        <w:tc>
          <w:tcPr>
            <w:tcW w:w="320" w:type="dxa"/>
            <w:vAlign w:val="bottom"/>
            <w:tcBorders>
              <w:bottom w:val="single" w:sz="8" w:color="auto"/>
            </w:tcBorders>
            <w:shd w:val="clear" w:color="auto" w:fill="FEFEFE"/>
          </w:tcPr>
          <w:p>
            <w:pPr>
              <w:spacing w:after="0"/>
              <w:rPr>
                <w:sz w:val="21"/>
                <w:szCs w:val="21"/>
                <w:color w:val="auto"/>
              </w:rPr>
            </w:pPr>
          </w:p>
        </w:tc>
        <w:tc>
          <w:tcPr>
            <w:tcW w:w="12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(578)</w:t>
            </w:r>
          </w:p>
        </w:tc>
      </w:tr>
      <w:tr>
        <w:trPr>
          <w:trHeight w:val="234"/>
        </w:trPr>
        <w:tc>
          <w:tcPr>
            <w:tcW w:w="7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Net cash used in operating activities</w:t>
            </w:r>
          </w:p>
        </w:tc>
        <w:tc>
          <w:tcPr>
            <w:tcW w:w="18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(32,834)</w:t>
            </w:r>
          </w:p>
        </w:tc>
        <w:tc>
          <w:tcPr>
            <w:tcW w:w="18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(21,132)</w:t>
            </w:r>
          </w:p>
        </w:tc>
      </w:tr>
      <w:tr>
        <w:trPr>
          <w:trHeight w:val="488"/>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80" w:type="dxa"/>
            <w:vAlign w:val="bottom"/>
            <w:shd w:val="clear" w:color="auto" w:fill="FEFEFE"/>
          </w:tcPr>
          <w:p>
            <w:pPr>
              <w:spacing w:after="0"/>
              <w:rPr>
                <w:sz w:val="24"/>
                <w:szCs w:val="24"/>
                <w:color w:val="auto"/>
              </w:rPr>
            </w:pPr>
          </w:p>
        </w:tc>
        <w:tc>
          <w:tcPr>
            <w:tcW w:w="300" w:type="dxa"/>
            <w:vAlign w:val="bottom"/>
            <w:shd w:val="clear" w:color="auto" w:fill="FEFEFE"/>
          </w:tcPr>
          <w:p>
            <w:pPr>
              <w:spacing w:after="0"/>
              <w:rPr>
                <w:sz w:val="24"/>
                <w:szCs w:val="24"/>
                <w:color w:val="auto"/>
              </w:rPr>
            </w:pPr>
          </w:p>
        </w:tc>
        <w:tc>
          <w:tcPr>
            <w:tcW w:w="130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320" w:type="dxa"/>
            <w:vAlign w:val="bottom"/>
            <w:shd w:val="clear" w:color="auto" w:fill="FEFEFE"/>
          </w:tcPr>
          <w:p>
            <w:pPr>
              <w:spacing w:after="0"/>
              <w:rPr>
                <w:sz w:val="24"/>
                <w:szCs w:val="24"/>
                <w:color w:val="auto"/>
              </w:rPr>
            </w:pPr>
          </w:p>
        </w:tc>
        <w:tc>
          <w:tcPr>
            <w:tcW w:w="1280" w:type="dxa"/>
            <w:vAlign w:val="bottom"/>
            <w:shd w:val="clear" w:color="auto" w:fill="FEFEFE"/>
          </w:tcPr>
          <w:p>
            <w:pPr>
              <w:spacing w:after="0"/>
              <w:rPr>
                <w:sz w:val="24"/>
                <w:szCs w:val="24"/>
                <w:color w:val="auto"/>
              </w:rPr>
            </w:pPr>
          </w:p>
        </w:tc>
      </w:tr>
      <w:tr>
        <w:trPr>
          <w:trHeight w:val="244"/>
        </w:trPr>
        <w:tc>
          <w:tcPr>
            <w:tcW w:w="724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Purchase of intangible assets</w:t>
            </w:r>
          </w:p>
        </w:tc>
        <w:tc>
          <w:tcPr>
            <w:tcW w:w="180" w:type="dxa"/>
            <w:vAlign w:val="bottom"/>
            <w:tcBorders>
              <w:bottom w:val="single" w:sz="8" w:color="FEFEFE"/>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(699)</w:t>
            </w:r>
          </w:p>
        </w:tc>
        <w:tc>
          <w:tcPr>
            <w:tcW w:w="180" w:type="dxa"/>
            <w:vAlign w:val="bottom"/>
            <w:tcBorders>
              <w:bottom w:val="single" w:sz="8" w:color="FEFEFE"/>
            </w:tcBorders>
            <w:shd w:val="clear" w:color="auto" w:fill="E6E6E6"/>
          </w:tcPr>
          <w:p>
            <w:pPr>
              <w:spacing w:after="0"/>
              <w:rPr>
                <w:sz w:val="21"/>
                <w:szCs w:val="21"/>
                <w:color w:val="auto"/>
              </w:rPr>
            </w:pPr>
          </w:p>
        </w:tc>
        <w:tc>
          <w:tcPr>
            <w:tcW w:w="320" w:type="dxa"/>
            <w:vAlign w:val="bottom"/>
            <w:tcBorders>
              <w:bottom w:val="single" w:sz="8" w:color="auto"/>
            </w:tcBorders>
            <w:shd w:val="clear" w:color="auto" w:fill="E6E6E6"/>
          </w:tcPr>
          <w:p>
            <w:pPr>
              <w:spacing w:after="0"/>
              <w:rPr>
                <w:sz w:val="21"/>
                <w:szCs w:val="21"/>
                <w:color w:val="auto"/>
              </w:rPr>
            </w:pPr>
          </w:p>
        </w:tc>
        <w:tc>
          <w:tcPr>
            <w:tcW w:w="12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(419)</w:t>
            </w:r>
          </w:p>
        </w:tc>
      </w:tr>
      <w:tr>
        <w:trPr>
          <w:trHeight w:val="234"/>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180" w:type="dxa"/>
            <w:vAlign w:val="bottom"/>
            <w:shd w:val="clear" w:color="auto" w:fill="FEFEFE"/>
          </w:tcPr>
          <w:p>
            <w:pPr>
              <w:spacing w:after="0"/>
              <w:rPr>
                <w:sz w:val="20"/>
                <w:szCs w:val="20"/>
                <w:color w:val="auto"/>
              </w:rPr>
            </w:pPr>
          </w:p>
        </w:tc>
        <w:tc>
          <w:tcPr>
            <w:tcW w:w="300" w:type="dxa"/>
            <w:vAlign w:val="bottom"/>
            <w:shd w:val="clear" w:color="auto" w:fill="FEFEFE"/>
          </w:tcPr>
          <w:p>
            <w:pPr>
              <w:spacing w:after="0"/>
              <w:rPr>
                <w:sz w:val="20"/>
                <w:szCs w:val="20"/>
                <w:color w:val="auto"/>
              </w:rPr>
            </w:pP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(699)</w:t>
            </w:r>
          </w:p>
        </w:tc>
        <w:tc>
          <w:tcPr>
            <w:tcW w:w="180" w:type="dxa"/>
            <w:vAlign w:val="bottom"/>
            <w:shd w:val="clear" w:color="auto" w:fill="FEFEFE"/>
          </w:tcPr>
          <w:p>
            <w:pPr>
              <w:spacing w:after="0"/>
              <w:rPr>
                <w:sz w:val="20"/>
                <w:szCs w:val="20"/>
                <w:color w:val="auto"/>
              </w:rPr>
            </w:pPr>
          </w:p>
        </w:tc>
        <w:tc>
          <w:tcPr>
            <w:tcW w:w="320" w:type="dxa"/>
            <w:vAlign w:val="bottom"/>
            <w:shd w:val="clear" w:color="auto" w:fill="FEFEFE"/>
          </w:tcPr>
          <w:p>
            <w:pPr>
              <w:spacing w:after="0"/>
              <w:rPr>
                <w:sz w:val="20"/>
                <w:szCs w:val="20"/>
                <w:color w:val="auto"/>
              </w:rPr>
            </w:pP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(419)</w:t>
            </w:r>
          </w:p>
        </w:tc>
      </w:tr>
      <w:tr>
        <w:trPr>
          <w:trHeight w:val="244"/>
        </w:trPr>
        <w:tc>
          <w:tcPr>
            <w:tcW w:w="724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00" w:type="dxa"/>
            <w:vAlign w:val="bottom"/>
            <w:shd w:val="clear" w:color="auto" w:fill="FEFEFE"/>
          </w:tcPr>
          <w:p>
            <w:pPr>
              <w:spacing w:after="0"/>
              <w:rPr>
                <w:sz w:val="21"/>
                <w:szCs w:val="21"/>
                <w:color w:val="auto"/>
              </w:rPr>
            </w:pPr>
          </w:p>
        </w:tc>
        <w:tc>
          <w:tcPr>
            <w:tcW w:w="18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280" w:type="dxa"/>
            <w:vAlign w:val="bottom"/>
            <w:shd w:val="clear" w:color="auto" w:fill="FEFEFE"/>
          </w:tcPr>
          <w:p>
            <w:pPr>
              <w:spacing w:after="0"/>
              <w:rPr>
                <w:sz w:val="21"/>
                <w:szCs w:val="21"/>
                <w:color w:val="auto"/>
              </w:rPr>
            </w:pPr>
          </w:p>
        </w:tc>
      </w:tr>
      <w:tr>
        <w:trPr>
          <w:trHeight w:val="244"/>
        </w:trPr>
        <w:tc>
          <w:tcPr>
            <w:tcW w:w="7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spacing w:after="0"/>
              <w:rPr>
                <w:sz w:val="21"/>
                <w:szCs w:val="21"/>
                <w:color w:val="auto"/>
              </w:rPr>
            </w:pPr>
          </w:p>
        </w:tc>
      </w:tr>
      <w:tr>
        <w:trPr>
          <w:trHeight w:val="244"/>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Proceeds from financing agreement with TAP</w:t>
            </w:r>
          </w:p>
        </w:tc>
        <w:tc>
          <w:tcPr>
            <w:tcW w:w="1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0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100</w:t>
            </w:r>
          </w:p>
        </w:tc>
      </w:tr>
      <w:tr>
        <w:trPr>
          <w:trHeight w:val="244"/>
        </w:trPr>
        <w:tc>
          <w:tcPr>
            <w:tcW w:w="7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Proceeds from issuance of ordinary shares</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47,000</w:t>
            </w: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11,605</w:t>
            </w:r>
          </w:p>
        </w:tc>
      </w:tr>
      <w:tr>
        <w:trPr>
          <w:trHeight w:val="244"/>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Transaction costs on issuance of ordinary shares</w:t>
            </w:r>
          </w:p>
        </w:tc>
        <w:tc>
          <w:tcPr>
            <w:tcW w:w="1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(853)</w:t>
            </w:r>
          </w:p>
        </w:tc>
        <w:tc>
          <w:tcPr>
            <w:tcW w:w="18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(511)</w:t>
            </w:r>
          </w:p>
        </w:tc>
      </w:tr>
      <w:tr>
        <w:trPr>
          <w:trHeight w:val="244"/>
        </w:trPr>
        <w:tc>
          <w:tcPr>
            <w:tcW w:w="7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Transaction costs on convertible loan notes</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44"/>
        </w:trPr>
        <w:tc>
          <w:tcPr>
            <w:tcW w:w="7240" w:type="dxa"/>
            <w:vAlign w:val="bottom"/>
            <w:tcBorders>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Redemption of convertible loan notes</w:t>
            </w:r>
          </w:p>
        </w:tc>
        <w:tc>
          <w:tcPr>
            <w:tcW w:w="18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6E6E6"/>
            </w:tcBorders>
            <w:shd w:val="clear" w:color="auto" w:fill="FEFEFE"/>
          </w:tcPr>
          <w:p>
            <w:pPr>
              <w:spacing w:after="0"/>
              <w:rPr>
                <w:sz w:val="21"/>
                <w:szCs w:val="21"/>
                <w:color w:val="auto"/>
              </w:rPr>
            </w:pPr>
          </w:p>
        </w:tc>
        <w:tc>
          <w:tcPr>
            <w:tcW w:w="320" w:type="dxa"/>
            <w:vAlign w:val="bottom"/>
            <w:tcBorders>
              <w:bottom w:val="single" w:sz="8" w:color="auto"/>
            </w:tcBorders>
            <w:shd w:val="clear" w:color="auto" w:fill="FEFEFE"/>
          </w:tcPr>
          <w:p>
            <w:pPr>
              <w:spacing w:after="0"/>
              <w:rPr>
                <w:sz w:val="21"/>
                <w:szCs w:val="21"/>
                <w:color w:val="auto"/>
              </w:rPr>
            </w:pPr>
          </w:p>
        </w:tc>
        <w:tc>
          <w:tcPr>
            <w:tcW w:w="12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(3,188)</w:t>
            </w:r>
          </w:p>
        </w:tc>
      </w:tr>
      <w:tr>
        <w:trPr>
          <w:trHeight w:val="234"/>
        </w:trPr>
        <w:tc>
          <w:tcPr>
            <w:tcW w:w="7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Net cash provided by financing activities</w:t>
            </w:r>
          </w:p>
        </w:tc>
        <w:tc>
          <w:tcPr>
            <w:tcW w:w="18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3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46,147</w:t>
            </w:r>
          </w:p>
        </w:tc>
        <w:tc>
          <w:tcPr>
            <w:tcW w:w="18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7,973</w:t>
            </w:r>
          </w:p>
        </w:tc>
      </w:tr>
      <w:tr>
        <w:trPr>
          <w:trHeight w:val="488"/>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Effect of exchange rate changes</w:t>
            </w:r>
          </w:p>
        </w:tc>
        <w:tc>
          <w:tcPr>
            <w:tcW w:w="180" w:type="dxa"/>
            <w:vAlign w:val="bottom"/>
            <w:shd w:val="clear" w:color="auto" w:fill="FEFEFE"/>
          </w:tcPr>
          <w:p>
            <w:pPr>
              <w:spacing w:after="0"/>
              <w:rPr>
                <w:sz w:val="24"/>
                <w:szCs w:val="24"/>
                <w:color w:val="auto"/>
              </w:rPr>
            </w:pPr>
          </w:p>
        </w:tc>
        <w:tc>
          <w:tcPr>
            <w:tcW w:w="300" w:type="dxa"/>
            <w:vAlign w:val="bottom"/>
            <w:shd w:val="clear" w:color="auto" w:fill="FEFEFE"/>
          </w:tcPr>
          <w:p>
            <w:pPr>
              <w:spacing w:after="0"/>
              <w:rPr>
                <w:sz w:val="24"/>
                <w:szCs w:val="24"/>
                <w:color w:val="auto"/>
              </w:rPr>
            </w:pPr>
          </w:p>
        </w:tc>
        <w:tc>
          <w:tcPr>
            <w:tcW w:w="13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80" w:type="dxa"/>
            <w:vAlign w:val="bottom"/>
            <w:shd w:val="clear" w:color="auto" w:fill="FEFEFE"/>
          </w:tcPr>
          <w:p>
            <w:pPr>
              <w:spacing w:after="0"/>
              <w:rPr>
                <w:sz w:val="24"/>
                <w:szCs w:val="24"/>
                <w:color w:val="auto"/>
              </w:rPr>
            </w:pPr>
          </w:p>
        </w:tc>
        <w:tc>
          <w:tcPr>
            <w:tcW w:w="320" w:type="dxa"/>
            <w:vAlign w:val="bottom"/>
            <w:shd w:val="clear" w:color="auto" w:fill="FEFEFE"/>
          </w:tcPr>
          <w:p>
            <w:pPr>
              <w:spacing w:after="0"/>
              <w:rPr>
                <w:sz w:val="24"/>
                <w:szCs w:val="24"/>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2,818</w:t>
            </w:r>
          </w:p>
        </w:tc>
      </w:tr>
      <w:tr>
        <w:trPr>
          <w:trHeight w:val="244"/>
        </w:trPr>
        <w:tc>
          <w:tcPr>
            <w:tcW w:w="7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Increase/(decrease) in cash and cash equivalents</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12,381</w:t>
            </w: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(10,761)</w:t>
            </w:r>
          </w:p>
        </w:tc>
      </w:tr>
      <w:tr>
        <w:trPr>
          <w:trHeight w:val="244"/>
        </w:trPr>
        <w:tc>
          <w:tcPr>
            <w:tcW w:w="7240" w:type="dxa"/>
            <w:vAlign w:val="bottom"/>
            <w:tcBorders>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Cash and cash equivalents at January 1,</w:t>
            </w:r>
          </w:p>
        </w:tc>
        <w:tc>
          <w:tcPr>
            <w:tcW w:w="18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300" w:type="dxa"/>
            <w:vAlign w:val="bottom"/>
            <w:tcBorders>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57,421</w:t>
            </w:r>
          </w:p>
        </w:tc>
        <w:tc>
          <w:tcPr>
            <w:tcW w:w="180" w:type="dxa"/>
            <w:vAlign w:val="bottom"/>
            <w:tcBorders>
              <w:bottom w:val="single" w:sz="8" w:color="E6E6E6"/>
            </w:tcBorders>
            <w:shd w:val="clear" w:color="auto" w:fill="FEFEFE"/>
          </w:tcPr>
          <w:p>
            <w:pPr>
              <w:spacing w:after="0"/>
              <w:rPr>
                <w:sz w:val="21"/>
                <w:szCs w:val="21"/>
                <w:color w:val="auto"/>
              </w:rPr>
            </w:pPr>
          </w:p>
        </w:tc>
        <w:tc>
          <w:tcPr>
            <w:tcW w:w="320" w:type="dxa"/>
            <w:vAlign w:val="bottom"/>
            <w:tcBorders>
              <w:bottom w:val="single" w:sz="8" w:color="auto"/>
            </w:tcBorders>
            <w:shd w:val="clear" w:color="auto" w:fill="FEFEFE"/>
          </w:tcPr>
          <w:p>
            <w:pPr>
              <w:spacing w:after="0"/>
              <w:rPr>
                <w:sz w:val="21"/>
                <w:szCs w:val="21"/>
                <w:color w:val="auto"/>
              </w:rPr>
            </w:pPr>
          </w:p>
        </w:tc>
        <w:tc>
          <w:tcPr>
            <w:tcW w:w="1280" w:type="dxa"/>
            <w:vAlign w:val="bottom"/>
            <w:tcBorders>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68,182</w:t>
            </w:r>
          </w:p>
        </w:tc>
      </w:tr>
      <w:tr>
        <w:trPr>
          <w:trHeight w:val="274"/>
        </w:trPr>
        <w:tc>
          <w:tcPr>
            <w:tcW w:w="724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 at December 31,</w:t>
            </w:r>
          </w:p>
        </w:tc>
        <w:tc>
          <w:tcPr>
            <w:tcW w:w="180" w:type="dxa"/>
            <w:vAlign w:val="bottom"/>
            <w:tcBorders>
              <w:bottom w:val="single" w:sz="8" w:color="FEFEFE"/>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300" w:type="dxa"/>
            <w:vAlign w:val="bottom"/>
            <w:tcBorders>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69,802</w:t>
            </w:r>
          </w:p>
        </w:tc>
        <w:tc>
          <w:tcPr>
            <w:tcW w:w="180" w:type="dxa"/>
            <w:vAlign w:val="bottom"/>
            <w:tcBorders>
              <w:bottom w:val="single" w:sz="8" w:color="FEFEFE"/>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80" w:type="dxa"/>
            <w:vAlign w:val="bottom"/>
            <w:tcBorders>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57,421</w:t>
            </w:r>
          </w:p>
        </w:tc>
      </w:tr>
      <w:tr>
        <w:trPr>
          <w:trHeight w:val="473"/>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w:t>
            </w:r>
          </w:p>
        </w:tc>
        <w:tc>
          <w:tcPr>
            <w:tcW w:w="180" w:type="dxa"/>
            <w:vAlign w:val="bottom"/>
            <w:shd w:val="clear" w:color="auto" w:fill="FEFEFE"/>
          </w:tcPr>
          <w:p>
            <w:pPr>
              <w:spacing w:after="0"/>
              <w:rPr>
                <w:sz w:val="24"/>
                <w:szCs w:val="24"/>
                <w:color w:val="auto"/>
              </w:rPr>
            </w:pPr>
          </w:p>
        </w:tc>
        <w:tc>
          <w:tcPr>
            <w:tcW w:w="300" w:type="dxa"/>
            <w:vAlign w:val="bottom"/>
            <w:shd w:val="clear" w:color="auto" w:fill="FEFEFE"/>
          </w:tcPr>
          <w:p>
            <w:pPr>
              <w:spacing w:after="0"/>
              <w:rPr>
                <w:sz w:val="24"/>
                <w:szCs w:val="24"/>
                <w:color w:val="auto"/>
              </w:rPr>
            </w:pPr>
          </w:p>
        </w:tc>
        <w:tc>
          <w:tcPr>
            <w:tcW w:w="1300" w:type="dxa"/>
            <w:vAlign w:val="bottom"/>
            <w:shd w:val="clear" w:color="auto" w:fill="FEFEFE"/>
          </w:tcPr>
          <w:p>
            <w:pPr>
              <w:spacing w:after="0"/>
              <w:rPr>
                <w:sz w:val="24"/>
                <w:szCs w:val="24"/>
                <w:color w:val="auto"/>
              </w:rPr>
            </w:pPr>
          </w:p>
        </w:tc>
        <w:tc>
          <w:tcPr>
            <w:tcW w:w="180" w:type="dxa"/>
            <w:vAlign w:val="bottom"/>
            <w:shd w:val="clear" w:color="auto" w:fill="FEFEFE"/>
          </w:tcPr>
          <w:p>
            <w:pPr>
              <w:spacing w:after="0"/>
              <w:rPr>
                <w:sz w:val="24"/>
                <w:szCs w:val="24"/>
                <w:color w:val="auto"/>
              </w:rPr>
            </w:pPr>
          </w:p>
        </w:tc>
        <w:tc>
          <w:tcPr>
            <w:tcW w:w="320" w:type="dxa"/>
            <w:vAlign w:val="bottom"/>
            <w:shd w:val="clear" w:color="auto" w:fill="FEFEFE"/>
          </w:tcPr>
          <w:p>
            <w:pPr>
              <w:spacing w:after="0"/>
              <w:rPr>
                <w:sz w:val="24"/>
                <w:szCs w:val="24"/>
                <w:color w:val="auto"/>
              </w:rPr>
            </w:pPr>
          </w:p>
        </w:tc>
        <w:tc>
          <w:tcPr>
            <w:tcW w:w="1280" w:type="dxa"/>
            <w:vAlign w:val="bottom"/>
            <w:shd w:val="clear" w:color="auto" w:fill="FEFEFE"/>
          </w:tcPr>
          <w:p>
            <w:pPr>
              <w:spacing w:after="0"/>
              <w:rPr>
                <w:sz w:val="24"/>
                <w:szCs w:val="24"/>
                <w:color w:val="auto"/>
              </w:rPr>
            </w:pPr>
          </w:p>
        </w:tc>
      </w:tr>
      <w:tr>
        <w:trPr>
          <w:trHeight w:val="244"/>
        </w:trPr>
        <w:tc>
          <w:tcPr>
            <w:tcW w:w="7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Cash paid for interest</w:t>
            </w:r>
          </w:p>
        </w:tc>
        <w:tc>
          <w:tcPr>
            <w:tcW w:w="1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884</w:t>
            </w:r>
          </w:p>
        </w:tc>
      </w:tr>
      <w:tr>
        <w:trPr>
          <w:trHeight w:val="244"/>
        </w:trPr>
        <w:tc>
          <w:tcPr>
            <w:tcW w:w="7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Cash paid/(received) for income taxes</w:t>
            </w:r>
          </w:p>
        </w:tc>
        <w:tc>
          <w:tcPr>
            <w:tcW w:w="1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0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FEFEFE"/>
          </w:tcPr>
          <w:p>
            <w:pPr>
              <w:spacing w:after="0"/>
              <w:rPr>
                <w:sz w:val="21"/>
                <w:szCs w:val="21"/>
                <w:color w:val="auto"/>
              </w:rPr>
            </w:pPr>
          </w:p>
        </w:tc>
        <w:tc>
          <w:tcPr>
            <w:tcW w:w="320" w:type="dxa"/>
            <w:vAlign w:val="bottom"/>
            <w:shd w:val="clear" w:color="auto" w:fill="FEFEFE"/>
          </w:tcPr>
          <w:p>
            <w:pPr>
              <w:spacing w:after="0"/>
              <w:rPr>
                <w:sz w:val="21"/>
                <w:szCs w:val="21"/>
                <w:color w:val="auto"/>
              </w:rPr>
            </w:pP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(1,337)</w:t>
            </w: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an integral part of these consolidated financial statements.</w:t>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10800"/>
          </w:cols>
          <w:pgMar w:left="540" w:top="745" w:right="540" w:bottom="0" w:gutter="0" w:footer="0" w:header="0"/>
          <w:type w:val="continuous"/>
        </w:sectPr>
      </w:pPr>
    </w:p>
    <w:bookmarkStart w:id="114" w:name="page115"/>
    <w:bookmarkEnd w:id="114"/>
    <w:p>
      <w:pPr>
        <w:jc w:val="center"/>
        <w:spacing w:after="0" w:line="263" w:lineRule="auto"/>
        <w:rPr>
          <w:sz w:val="20"/>
          <w:szCs w:val="20"/>
          <w:color w:val="auto"/>
        </w:rPr>
      </w:pPr>
      <w:r>
        <w:rPr>
          <w:rFonts w:ascii="Times New Roman" w:cs="Times New Roman" w:eastAsia="Times New Roman" w:hAnsi="Times New Roman"/>
          <w:sz w:val="20"/>
          <w:szCs w:val="20"/>
          <w:b w:val="1"/>
          <w:bCs w:val="1"/>
          <w:color w:val="auto"/>
        </w:rPr>
        <w:t>MEREO BIOPHARMA GROUP PLC CONSOLIDATED STATEMENTS OF CHANGES IN EQUITY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shd w:val="clear" w:color="auto" w:fill="FEFEFE"/>
          </w:tcPr>
          <w:p>
            <w:pPr>
              <w:spacing w:after="0"/>
              <w:rPr>
                <w:sz w:val="13"/>
                <w:szCs w:val="13"/>
                <w:color w:val="auto"/>
              </w:rPr>
            </w:pPr>
          </w:p>
        </w:tc>
        <w:tc>
          <w:tcPr>
            <w:tcW w:w="92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50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88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1020" w:type="dxa"/>
            <w:vAlign w:val="bottom"/>
            <w:shd w:val="clear" w:color="auto" w:fill="FEFEFE"/>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78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800" w:type="dxa"/>
            <w:vAlign w:val="bottom"/>
            <w:shd w:val="clear" w:color="auto" w:fill="FEFEFE"/>
          </w:tcPr>
          <w:p>
            <w:pPr>
              <w:spacing w:after="0"/>
              <w:rPr>
                <w:sz w:val="13"/>
                <w:szCs w:val="13"/>
                <w:color w:val="auto"/>
              </w:rPr>
            </w:pPr>
          </w:p>
        </w:tc>
      </w:tr>
      <w:tr>
        <w:trPr>
          <w:trHeight w:val="161"/>
        </w:trPr>
        <w:tc>
          <w:tcPr>
            <w:tcW w:w="3320" w:type="dxa"/>
            <w:vAlign w:val="bottom"/>
            <w:shd w:val="clear" w:color="auto" w:fill="FEFEFE"/>
          </w:tcPr>
          <w:p>
            <w:pPr>
              <w:spacing w:after="0"/>
              <w:rPr>
                <w:sz w:val="13"/>
                <w:szCs w:val="13"/>
                <w:color w:val="auto"/>
              </w:rPr>
            </w:pPr>
          </w:p>
        </w:tc>
        <w:tc>
          <w:tcPr>
            <w:tcW w:w="92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50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880" w:type="dxa"/>
            <w:vAlign w:val="bottom"/>
            <w:shd w:val="clear" w:color="auto" w:fill="FEFEFE"/>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1020" w:type="dxa"/>
            <w:vAlign w:val="bottom"/>
            <w:shd w:val="clear" w:color="auto" w:fill="FEFEFE"/>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78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800" w:type="dxa"/>
            <w:vAlign w:val="bottom"/>
            <w:shd w:val="clear" w:color="auto" w:fill="FEFEFE"/>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8"/>
        </w:trPr>
        <w:tc>
          <w:tcPr>
            <w:tcW w:w="3320" w:type="dxa"/>
            <w:vAlign w:val="bottom"/>
            <w:tcBorders>
              <w:bottom w:val="single" w:sz="8" w:color="FEFEFE"/>
            </w:tcBorders>
            <w:shd w:val="clear" w:color="auto" w:fill="FEFEFE"/>
          </w:tcPr>
          <w:p>
            <w:pPr>
              <w:spacing w:after="0"/>
              <w:rPr>
                <w:sz w:val="15"/>
                <w:szCs w:val="15"/>
                <w:color w:val="auto"/>
              </w:rPr>
            </w:pPr>
          </w:p>
        </w:tc>
        <w:tc>
          <w:tcPr>
            <w:tcW w:w="1560" w:type="dxa"/>
            <w:vAlign w:val="bottom"/>
            <w:tcBorders>
              <w:bottom w:val="single" w:sz="8" w:color="auto"/>
            </w:tcBorders>
            <w:gridSpan w:val="3"/>
            <w:shd w:val="clear" w:color="auto" w:fill="FEFEFE"/>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Borders>
              <w:bottom w:val="single" w:sz="8" w:color="FEFEFE"/>
            </w:tcBorders>
            <w:shd w:val="clear" w:color="auto" w:fill="FEFEFE"/>
          </w:tcPr>
          <w:p>
            <w:pPr>
              <w:spacing w:after="0"/>
              <w:rPr>
                <w:sz w:val="15"/>
                <w:szCs w:val="15"/>
                <w:color w:val="auto"/>
              </w:rPr>
            </w:pPr>
          </w:p>
        </w:tc>
        <w:tc>
          <w:tcPr>
            <w:tcW w:w="1480" w:type="dxa"/>
            <w:vAlign w:val="bottom"/>
            <w:tcBorders>
              <w:bottom w:val="single" w:sz="8" w:color="auto"/>
            </w:tcBorders>
            <w:gridSpan w:val="4"/>
            <w:shd w:val="clear" w:color="auto" w:fill="FEFEFE"/>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100" w:type="dxa"/>
            <w:vAlign w:val="bottom"/>
            <w:tcBorders>
              <w:bottom w:val="single" w:sz="8" w:color="FEFEFE"/>
            </w:tcBorders>
            <w:shd w:val="clear" w:color="auto" w:fill="FEFEFE"/>
          </w:tcPr>
          <w:p>
            <w:pPr>
              <w:spacing w:after="0"/>
              <w:rPr>
                <w:sz w:val="15"/>
                <w:szCs w:val="15"/>
                <w:color w:val="auto"/>
              </w:rPr>
            </w:pPr>
          </w:p>
        </w:tc>
        <w:tc>
          <w:tcPr>
            <w:tcW w:w="80" w:type="dxa"/>
            <w:vAlign w:val="bottom"/>
            <w:tcBorders>
              <w:bottom w:val="single" w:sz="8" w:color="FEFEFE"/>
            </w:tcBorders>
            <w:shd w:val="clear" w:color="auto" w:fill="FEFEFE"/>
          </w:tcPr>
          <w:p>
            <w:pPr>
              <w:spacing w:after="0"/>
              <w:rPr>
                <w:sz w:val="15"/>
                <w:szCs w:val="15"/>
                <w:color w:val="auto"/>
              </w:rPr>
            </w:pPr>
          </w:p>
        </w:tc>
        <w:tc>
          <w:tcPr>
            <w:tcW w:w="880" w:type="dxa"/>
            <w:vAlign w:val="bottom"/>
            <w:tcBorders>
              <w:bottom w:val="single" w:sz="8" w:color="FEFEFE"/>
            </w:tcBorders>
            <w:shd w:val="clear" w:color="auto" w:fill="FEFEFE"/>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Borders>
              <w:bottom w:val="single" w:sz="8" w:color="FEFEFE"/>
            </w:tcBorders>
            <w:shd w:val="clear" w:color="auto" w:fill="FEFEFE"/>
          </w:tcPr>
          <w:p>
            <w:pPr>
              <w:spacing w:after="0"/>
              <w:rPr>
                <w:sz w:val="15"/>
                <w:szCs w:val="15"/>
                <w:color w:val="auto"/>
              </w:rPr>
            </w:pPr>
          </w:p>
        </w:tc>
        <w:tc>
          <w:tcPr>
            <w:tcW w:w="1100" w:type="dxa"/>
            <w:vAlign w:val="bottom"/>
            <w:tcBorders>
              <w:bottom w:val="single" w:sz="8" w:color="FEFEFE"/>
            </w:tcBorders>
            <w:gridSpan w:val="2"/>
            <w:shd w:val="clear" w:color="auto" w:fill="FEFEFE"/>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Borders>
              <w:bottom w:val="single" w:sz="8" w:color="FEFEFE"/>
            </w:tcBorders>
            <w:shd w:val="clear" w:color="auto" w:fill="FEFEFE"/>
          </w:tcPr>
          <w:p>
            <w:pPr>
              <w:spacing w:after="0"/>
              <w:rPr>
                <w:sz w:val="15"/>
                <w:szCs w:val="15"/>
                <w:color w:val="auto"/>
              </w:rPr>
            </w:pPr>
          </w:p>
        </w:tc>
        <w:tc>
          <w:tcPr>
            <w:tcW w:w="920" w:type="dxa"/>
            <w:vAlign w:val="bottom"/>
            <w:tcBorders>
              <w:bottom w:val="single" w:sz="8" w:color="FEFEFE"/>
            </w:tcBorders>
            <w:gridSpan w:val="2"/>
            <w:shd w:val="clear" w:color="auto" w:fill="FEFEFE"/>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bottom w:val="single" w:sz="8" w:color="FEFEFE"/>
            </w:tcBorders>
            <w:shd w:val="clear" w:color="auto" w:fill="FEFEFE"/>
          </w:tcPr>
          <w:p>
            <w:pPr>
              <w:spacing w:after="0"/>
              <w:rPr>
                <w:sz w:val="15"/>
                <w:szCs w:val="15"/>
                <w:color w:val="auto"/>
              </w:rPr>
            </w:pPr>
          </w:p>
        </w:tc>
        <w:tc>
          <w:tcPr>
            <w:tcW w:w="960" w:type="dxa"/>
            <w:vAlign w:val="bottom"/>
            <w:tcBorders>
              <w:bottom w:val="single" w:sz="8" w:color="FEFEFE"/>
            </w:tcBorders>
            <w:gridSpan w:val="2"/>
            <w:shd w:val="clear" w:color="auto" w:fill="FEFEFE"/>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65"/>
        </w:trPr>
        <w:tc>
          <w:tcPr>
            <w:tcW w:w="3320" w:type="dxa"/>
            <w:vAlign w:val="bottom"/>
            <w:tcBorders>
              <w:bottom w:val="single" w:sz="8" w:color="E6E6E6"/>
            </w:tcBorders>
            <w:shd w:val="clear" w:color="auto" w:fill="FEFEFE"/>
          </w:tcPr>
          <w:p>
            <w:pPr>
              <w:spacing w:after="0"/>
              <w:rPr>
                <w:sz w:val="14"/>
                <w:szCs w:val="14"/>
                <w:color w:val="auto"/>
              </w:rPr>
            </w:pPr>
          </w:p>
        </w:tc>
        <w:tc>
          <w:tcPr>
            <w:tcW w:w="920" w:type="dxa"/>
            <w:vAlign w:val="bottom"/>
            <w:tcBorders>
              <w:bottom w:val="single" w:sz="8" w:color="auto"/>
            </w:tcBorders>
            <w:shd w:val="clear" w:color="auto" w:fill="FEFEFE"/>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E6E6E6"/>
            </w:tcBorders>
            <w:shd w:val="clear" w:color="auto" w:fill="FEFEFE"/>
          </w:tcPr>
          <w:p>
            <w:pPr>
              <w:spacing w:after="0"/>
              <w:rPr>
                <w:sz w:val="14"/>
                <w:szCs w:val="14"/>
                <w:color w:val="auto"/>
              </w:rPr>
            </w:pPr>
          </w:p>
        </w:tc>
        <w:tc>
          <w:tcPr>
            <w:tcW w:w="540" w:type="dxa"/>
            <w:vAlign w:val="bottom"/>
            <w:tcBorders>
              <w:bottom w:val="single" w:sz="8" w:color="auto"/>
            </w:tcBorders>
            <w:shd w:val="clear" w:color="auto" w:fill="FEFEFE"/>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E6E6E6"/>
            </w:tcBorders>
            <w:shd w:val="clear" w:color="auto" w:fill="FEFEFE"/>
          </w:tcPr>
          <w:p>
            <w:pPr>
              <w:spacing w:after="0"/>
              <w:rPr>
                <w:sz w:val="14"/>
                <w:szCs w:val="14"/>
                <w:color w:val="auto"/>
              </w:rPr>
            </w:pPr>
          </w:p>
        </w:tc>
        <w:tc>
          <w:tcPr>
            <w:tcW w:w="800" w:type="dxa"/>
            <w:vAlign w:val="bottom"/>
            <w:tcBorders>
              <w:bottom w:val="single" w:sz="8" w:color="auto"/>
            </w:tcBorders>
            <w:shd w:val="clear" w:color="auto" w:fill="FEFEFE"/>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E6E6E6"/>
            </w:tcBorders>
            <w:shd w:val="clear" w:color="auto" w:fill="FEFEFE"/>
          </w:tcPr>
          <w:p>
            <w:pPr>
              <w:spacing w:after="0"/>
              <w:rPr>
                <w:sz w:val="14"/>
                <w:szCs w:val="14"/>
                <w:color w:val="auto"/>
              </w:rPr>
            </w:pPr>
          </w:p>
        </w:tc>
        <w:tc>
          <w:tcPr>
            <w:tcW w:w="80" w:type="dxa"/>
            <w:vAlign w:val="bottom"/>
            <w:tcBorders>
              <w:bottom w:val="single" w:sz="8" w:color="auto"/>
            </w:tcBorders>
            <w:shd w:val="clear" w:color="auto" w:fill="FEFEFE"/>
          </w:tcPr>
          <w:p>
            <w:pPr>
              <w:spacing w:after="0"/>
              <w:rPr>
                <w:sz w:val="14"/>
                <w:szCs w:val="14"/>
                <w:color w:val="auto"/>
              </w:rPr>
            </w:pPr>
          </w:p>
        </w:tc>
        <w:tc>
          <w:tcPr>
            <w:tcW w:w="500" w:type="dxa"/>
            <w:vAlign w:val="bottom"/>
            <w:tcBorders>
              <w:bottom w:val="single" w:sz="8" w:color="auto"/>
            </w:tcBorders>
            <w:shd w:val="clear" w:color="auto" w:fill="FEFEFE"/>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00" w:type="dxa"/>
            <w:vAlign w:val="bottom"/>
            <w:tcBorders>
              <w:bottom w:val="single" w:sz="8" w:color="E6E6E6"/>
            </w:tcBorders>
            <w:shd w:val="clear" w:color="auto" w:fill="FEFEFE"/>
          </w:tcPr>
          <w:p>
            <w:pPr>
              <w:spacing w:after="0"/>
              <w:rPr>
                <w:sz w:val="14"/>
                <w:szCs w:val="14"/>
                <w:color w:val="auto"/>
              </w:rPr>
            </w:pPr>
          </w:p>
        </w:tc>
        <w:tc>
          <w:tcPr>
            <w:tcW w:w="80" w:type="dxa"/>
            <w:vAlign w:val="bottom"/>
            <w:tcBorders>
              <w:bottom w:val="single" w:sz="8" w:color="auto"/>
            </w:tcBorders>
            <w:shd w:val="clear" w:color="auto" w:fill="FEFEFE"/>
          </w:tcPr>
          <w:p>
            <w:pPr>
              <w:spacing w:after="0"/>
              <w:rPr>
                <w:sz w:val="14"/>
                <w:szCs w:val="14"/>
                <w:color w:val="auto"/>
              </w:rPr>
            </w:pPr>
          </w:p>
        </w:tc>
        <w:tc>
          <w:tcPr>
            <w:tcW w:w="880" w:type="dxa"/>
            <w:vAlign w:val="bottom"/>
            <w:tcBorders>
              <w:bottom w:val="single" w:sz="8" w:color="auto"/>
            </w:tcBorders>
            <w:shd w:val="clear" w:color="auto" w:fill="FEFEFE"/>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Borders>
              <w:bottom w:val="single" w:sz="8" w:color="E6E6E6"/>
            </w:tcBorders>
            <w:shd w:val="clear" w:color="auto" w:fill="FEFEFE"/>
          </w:tcPr>
          <w:p>
            <w:pPr>
              <w:spacing w:after="0"/>
              <w:rPr>
                <w:sz w:val="14"/>
                <w:szCs w:val="14"/>
                <w:color w:val="auto"/>
              </w:rPr>
            </w:pPr>
          </w:p>
        </w:tc>
        <w:tc>
          <w:tcPr>
            <w:tcW w:w="80" w:type="dxa"/>
            <w:vAlign w:val="bottom"/>
            <w:tcBorders>
              <w:bottom w:val="single" w:sz="8" w:color="auto"/>
            </w:tcBorders>
            <w:shd w:val="clear" w:color="auto" w:fill="FEFEFE"/>
          </w:tcPr>
          <w:p>
            <w:pPr>
              <w:spacing w:after="0"/>
              <w:rPr>
                <w:sz w:val="14"/>
                <w:szCs w:val="14"/>
                <w:color w:val="auto"/>
              </w:rPr>
            </w:pPr>
          </w:p>
        </w:tc>
        <w:tc>
          <w:tcPr>
            <w:tcW w:w="1020" w:type="dxa"/>
            <w:vAlign w:val="bottom"/>
            <w:tcBorders>
              <w:bottom w:val="single" w:sz="8" w:color="auto"/>
            </w:tcBorders>
            <w:shd w:val="clear" w:color="auto" w:fill="FEFEFE"/>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100" w:type="dxa"/>
            <w:vAlign w:val="bottom"/>
            <w:tcBorders>
              <w:bottom w:val="single" w:sz="8" w:color="E6E6E6"/>
            </w:tcBorders>
            <w:shd w:val="clear" w:color="auto" w:fill="FEFEFE"/>
          </w:tcPr>
          <w:p>
            <w:pPr>
              <w:spacing w:after="0"/>
              <w:rPr>
                <w:sz w:val="14"/>
                <w:szCs w:val="14"/>
                <w:color w:val="auto"/>
              </w:rPr>
            </w:pPr>
          </w:p>
        </w:tc>
        <w:tc>
          <w:tcPr>
            <w:tcW w:w="140" w:type="dxa"/>
            <w:vAlign w:val="bottom"/>
            <w:tcBorders>
              <w:bottom w:val="single" w:sz="8" w:color="auto"/>
            </w:tcBorders>
            <w:shd w:val="clear" w:color="auto" w:fill="FEFEFE"/>
          </w:tcPr>
          <w:p>
            <w:pPr>
              <w:spacing w:after="0"/>
              <w:rPr>
                <w:sz w:val="14"/>
                <w:szCs w:val="14"/>
                <w:color w:val="auto"/>
              </w:rPr>
            </w:pPr>
          </w:p>
        </w:tc>
        <w:tc>
          <w:tcPr>
            <w:tcW w:w="780" w:type="dxa"/>
            <w:vAlign w:val="bottom"/>
            <w:tcBorders>
              <w:bottom w:val="single" w:sz="8" w:color="auto"/>
            </w:tcBorders>
            <w:shd w:val="clear" w:color="auto" w:fill="FEFEFE"/>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E6E6E6"/>
            </w:tcBorders>
            <w:shd w:val="clear" w:color="auto" w:fill="FEFEFE"/>
          </w:tcPr>
          <w:p>
            <w:pPr>
              <w:spacing w:after="0"/>
              <w:rPr>
                <w:sz w:val="14"/>
                <w:szCs w:val="14"/>
                <w:color w:val="auto"/>
              </w:rPr>
            </w:pPr>
          </w:p>
        </w:tc>
        <w:tc>
          <w:tcPr>
            <w:tcW w:w="160" w:type="dxa"/>
            <w:vAlign w:val="bottom"/>
            <w:tcBorders>
              <w:bottom w:val="single" w:sz="8" w:color="auto"/>
            </w:tcBorders>
            <w:shd w:val="clear" w:color="auto" w:fill="FEFEFE"/>
          </w:tcPr>
          <w:p>
            <w:pPr>
              <w:spacing w:after="0"/>
              <w:rPr>
                <w:sz w:val="14"/>
                <w:szCs w:val="14"/>
                <w:color w:val="auto"/>
              </w:rPr>
            </w:pPr>
          </w:p>
        </w:tc>
        <w:tc>
          <w:tcPr>
            <w:tcW w:w="800" w:type="dxa"/>
            <w:vAlign w:val="bottom"/>
            <w:tcBorders>
              <w:bottom w:val="single" w:sz="8" w:color="auto"/>
            </w:tcBorders>
            <w:shd w:val="clear" w:color="auto" w:fill="FEFEFE"/>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65"/>
        </w:trPr>
        <w:tc>
          <w:tcPr>
            <w:tcW w:w="3320" w:type="dxa"/>
            <w:vAlign w:val="bottom"/>
            <w:tcBorders>
              <w:bottom w:val="single" w:sz="8" w:color="FEFEFE"/>
            </w:tcBorders>
            <w:shd w:val="clear" w:color="auto" w:fill="E6E6E6"/>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2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624,928,519</w:t>
            </w:r>
          </w:p>
        </w:tc>
        <w:tc>
          <w:tcPr>
            <w:tcW w:w="100" w:type="dxa"/>
            <w:vAlign w:val="bottom"/>
            <w:tcBorders>
              <w:bottom w:val="single" w:sz="8" w:color="FEFEFE"/>
            </w:tcBorders>
            <w:shd w:val="clear" w:color="auto" w:fill="E6E6E6"/>
          </w:tcPr>
          <w:p>
            <w:pPr>
              <w:spacing w:after="0"/>
              <w:rPr>
                <w:sz w:val="14"/>
                <w:szCs w:val="14"/>
                <w:color w:val="auto"/>
              </w:rPr>
            </w:pPr>
          </w:p>
        </w:tc>
        <w:tc>
          <w:tcPr>
            <w:tcW w:w="54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5"/>
              </w:rPr>
              <w:t>$ 2,478</w:t>
            </w:r>
          </w:p>
        </w:tc>
        <w:tc>
          <w:tcPr>
            <w:tcW w:w="100" w:type="dxa"/>
            <w:vAlign w:val="bottom"/>
            <w:tcBorders>
              <w:bottom w:val="single" w:sz="8" w:color="FEFEFE"/>
            </w:tcBorders>
            <w:shd w:val="clear" w:color="auto" w:fill="E6E6E6"/>
          </w:tcPr>
          <w:p>
            <w:pPr>
              <w:spacing w:after="0"/>
              <w:rPr>
                <w:sz w:val="14"/>
                <w:szCs w:val="14"/>
                <w:color w:val="auto"/>
              </w:rPr>
            </w:pPr>
          </w:p>
        </w:tc>
        <w:tc>
          <w:tcPr>
            <w:tcW w:w="80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1,003,030</w:t>
            </w:r>
          </w:p>
        </w:tc>
        <w:tc>
          <w:tcPr>
            <w:tcW w:w="100" w:type="dxa"/>
            <w:vAlign w:val="bottom"/>
            <w:tcBorders>
              <w:bottom w:val="single" w:sz="8" w:color="FEFEFE"/>
            </w:tcBorders>
            <w:shd w:val="clear" w:color="auto" w:fill="E6E6E6"/>
          </w:tcPr>
          <w:p>
            <w:pPr>
              <w:spacing w:after="0"/>
              <w:rPr>
                <w:sz w:val="14"/>
                <w:szCs w:val="14"/>
                <w:color w:val="auto"/>
              </w:rPr>
            </w:pPr>
          </w:p>
        </w:tc>
        <w:tc>
          <w:tcPr>
            <w:tcW w:w="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4"/>
                <w:szCs w:val="14"/>
                <w:b w:val="1"/>
                <w:bCs w:val="1"/>
                <w:color w:val="auto"/>
              </w:rPr>
              <w:t>(1,335)</w:t>
            </w:r>
          </w:p>
        </w:tc>
        <w:tc>
          <w:tcPr>
            <w:tcW w:w="100" w:type="dxa"/>
            <w:vAlign w:val="bottom"/>
            <w:tcBorders>
              <w:bottom w:val="single" w:sz="8" w:color="FEFEFE"/>
            </w:tcBorders>
            <w:shd w:val="clear" w:color="auto" w:fill="E6E6E6"/>
          </w:tcPr>
          <w:p>
            <w:pPr>
              <w:spacing w:after="0"/>
              <w:rPr>
                <w:sz w:val="14"/>
                <w:szCs w:val="14"/>
                <w:color w:val="auto"/>
              </w:rPr>
            </w:pPr>
          </w:p>
        </w:tc>
        <w:tc>
          <w:tcPr>
            <w:tcW w:w="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476,521</w:t>
            </w:r>
          </w:p>
        </w:tc>
        <w:tc>
          <w:tcPr>
            <w:tcW w:w="100" w:type="dxa"/>
            <w:vAlign w:val="bottom"/>
            <w:tcBorders>
              <w:bottom w:val="single" w:sz="8" w:color="FEFEFE"/>
            </w:tcBorders>
            <w:shd w:val="clear" w:color="auto" w:fill="E6E6E6"/>
          </w:tcPr>
          <w:p>
            <w:pPr>
              <w:spacing w:after="0"/>
              <w:rPr>
                <w:sz w:val="14"/>
                <w:szCs w:val="14"/>
                <w:color w:val="auto"/>
              </w:rPr>
            </w:pPr>
          </w:p>
        </w:tc>
        <w:tc>
          <w:tcPr>
            <w:tcW w:w="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4"/>
                <w:szCs w:val="14"/>
                <w:b w:val="1"/>
                <w:bCs w:val="1"/>
                <w:color w:val="auto"/>
              </w:rPr>
              <w:t>(21,687)</w:t>
            </w:r>
          </w:p>
        </w:tc>
        <w:tc>
          <w:tcPr>
            <w:tcW w:w="100" w:type="dxa"/>
            <w:vAlign w:val="bottom"/>
            <w:tcBorders>
              <w:bottom w:val="single" w:sz="8" w:color="FEFEFE"/>
            </w:tcBorders>
            <w:shd w:val="clear" w:color="auto" w:fill="E6E6E6"/>
          </w:tcPr>
          <w:p>
            <w:pPr>
              <w:spacing w:after="0"/>
              <w:rPr>
                <w:sz w:val="14"/>
                <w:szCs w:val="14"/>
                <w:color w:val="auto"/>
              </w:rPr>
            </w:pPr>
          </w:p>
        </w:tc>
        <w:tc>
          <w:tcPr>
            <w:tcW w:w="140" w:type="dxa"/>
            <w:vAlign w:val="bottom"/>
            <w:tcBorders>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4"/>
                <w:szCs w:val="14"/>
                <w:b w:val="1"/>
                <w:bCs w:val="1"/>
                <w:color w:val="auto"/>
              </w:rPr>
              <w:t>(404,575)</w:t>
            </w:r>
          </w:p>
        </w:tc>
        <w:tc>
          <w:tcPr>
            <w:tcW w:w="100" w:type="dxa"/>
            <w:vAlign w:val="bottom"/>
            <w:tcBorders>
              <w:bottom w:val="single" w:sz="8" w:color="FEFEFE"/>
            </w:tcBorders>
            <w:shd w:val="clear" w:color="auto" w:fill="E6E6E6"/>
          </w:tcPr>
          <w:p>
            <w:pPr>
              <w:spacing w:after="0"/>
              <w:rPr>
                <w:sz w:val="14"/>
                <w:szCs w:val="14"/>
                <w:color w:val="auto"/>
              </w:rPr>
            </w:pPr>
          </w:p>
        </w:tc>
        <w:tc>
          <w:tcPr>
            <w:tcW w:w="160" w:type="dxa"/>
            <w:vAlign w:val="bottom"/>
            <w:tcBorders>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51,402</w:t>
            </w:r>
          </w:p>
        </w:tc>
      </w:tr>
      <w:tr>
        <w:trPr>
          <w:trHeight w:val="165"/>
        </w:trPr>
        <w:tc>
          <w:tcPr>
            <w:tcW w:w="3320" w:type="dxa"/>
            <w:vAlign w:val="bottom"/>
            <w:shd w:val="clear" w:color="auto" w:fill="FEFEFE"/>
          </w:tcPr>
          <w:p>
            <w:pPr>
              <w:ind w:left="8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4"/>
                <w:szCs w:val="14"/>
                <w:color w:val="auto"/>
              </w:rPr>
            </w:pPr>
          </w:p>
        </w:tc>
        <w:tc>
          <w:tcPr>
            <w:tcW w:w="54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4"/>
                <w:szCs w:val="14"/>
                <w:color w:val="auto"/>
              </w:rPr>
            </w:pPr>
          </w:p>
        </w:tc>
        <w:tc>
          <w:tcPr>
            <w:tcW w:w="8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4"/>
                <w:szCs w:val="14"/>
                <w:color w:val="auto"/>
              </w:rPr>
            </w:pPr>
          </w:p>
        </w:tc>
        <w:tc>
          <w:tcPr>
            <w:tcW w:w="80" w:type="dxa"/>
            <w:vAlign w:val="bottom"/>
            <w:shd w:val="clear" w:color="auto" w:fill="FEFEFE"/>
          </w:tcPr>
          <w:p>
            <w:pPr>
              <w:spacing w:after="0"/>
              <w:rPr>
                <w:sz w:val="14"/>
                <w:szCs w:val="14"/>
                <w:color w:val="auto"/>
              </w:rPr>
            </w:pPr>
          </w:p>
        </w:tc>
        <w:tc>
          <w:tcPr>
            <w:tcW w:w="5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4"/>
                <w:szCs w:val="14"/>
                <w:color w:val="auto"/>
              </w:rPr>
            </w:pPr>
          </w:p>
        </w:tc>
        <w:tc>
          <w:tcPr>
            <w:tcW w:w="80" w:type="dxa"/>
            <w:vAlign w:val="bottom"/>
            <w:shd w:val="clear" w:color="auto" w:fill="FEFEFE"/>
          </w:tcPr>
          <w:p>
            <w:pPr>
              <w:spacing w:after="0"/>
              <w:rPr>
                <w:sz w:val="14"/>
                <w:szCs w:val="14"/>
                <w:color w:val="auto"/>
              </w:rPr>
            </w:pPr>
          </w:p>
        </w:tc>
        <w:tc>
          <w:tcPr>
            <w:tcW w:w="88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4"/>
                <w:szCs w:val="14"/>
                <w:color w:val="auto"/>
              </w:rPr>
            </w:pPr>
          </w:p>
        </w:tc>
        <w:tc>
          <w:tcPr>
            <w:tcW w:w="80" w:type="dxa"/>
            <w:vAlign w:val="bottom"/>
            <w:shd w:val="clear" w:color="auto" w:fill="FEFEFE"/>
          </w:tcPr>
          <w:p>
            <w:pPr>
              <w:spacing w:after="0"/>
              <w:rPr>
                <w:sz w:val="14"/>
                <w:szCs w:val="14"/>
                <w:color w:val="auto"/>
              </w:rPr>
            </w:pPr>
          </w:p>
        </w:tc>
        <w:tc>
          <w:tcPr>
            <w:tcW w:w="10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4"/>
                <w:szCs w:val="14"/>
                <w:color w:val="auto"/>
              </w:rPr>
            </w:pPr>
          </w:p>
        </w:tc>
        <w:tc>
          <w:tcPr>
            <w:tcW w:w="140" w:type="dxa"/>
            <w:vAlign w:val="bottom"/>
            <w:shd w:val="clear" w:color="auto" w:fill="FEFEFE"/>
          </w:tcPr>
          <w:p>
            <w:pPr>
              <w:spacing w:after="0"/>
              <w:rPr>
                <w:sz w:val="14"/>
                <w:szCs w:val="14"/>
                <w:color w:val="auto"/>
              </w:rPr>
            </w:pPr>
          </w:p>
        </w:tc>
        <w:tc>
          <w:tcPr>
            <w:tcW w:w="7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(29,466)</w:t>
            </w:r>
          </w:p>
        </w:tc>
        <w:tc>
          <w:tcPr>
            <w:tcW w:w="100" w:type="dxa"/>
            <w:vAlign w:val="bottom"/>
            <w:shd w:val="clear" w:color="auto" w:fill="FEFEFE"/>
          </w:tcPr>
          <w:p>
            <w:pPr>
              <w:spacing w:after="0"/>
              <w:rPr>
                <w:sz w:val="14"/>
                <w:szCs w:val="14"/>
                <w:color w:val="auto"/>
              </w:rPr>
            </w:pPr>
          </w:p>
        </w:tc>
        <w:tc>
          <w:tcPr>
            <w:tcW w:w="160" w:type="dxa"/>
            <w:vAlign w:val="bottom"/>
            <w:shd w:val="clear" w:color="auto" w:fill="FEFEFE"/>
          </w:tcPr>
          <w:p>
            <w:pPr>
              <w:spacing w:after="0"/>
              <w:rPr>
                <w:sz w:val="14"/>
                <w:szCs w:val="14"/>
                <w:color w:val="auto"/>
              </w:rPr>
            </w:pP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(29,466)</w:t>
            </w:r>
          </w:p>
        </w:tc>
      </w:tr>
      <w:tr>
        <w:trPr>
          <w:trHeight w:val="175"/>
        </w:trPr>
        <w:tc>
          <w:tcPr>
            <w:tcW w:w="3320" w:type="dxa"/>
            <w:vAlign w:val="bottom"/>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54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8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5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88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10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4,202</w:t>
            </w:r>
          </w:p>
        </w:tc>
        <w:tc>
          <w:tcPr>
            <w:tcW w:w="10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78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8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4,202</w:t>
            </w:r>
          </w:p>
        </w:tc>
      </w:tr>
      <w:tr>
        <w:trPr>
          <w:trHeight w:val="175"/>
        </w:trPr>
        <w:tc>
          <w:tcPr>
            <w:tcW w:w="3320" w:type="dxa"/>
            <w:vAlign w:val="bottom"/>
            <w:shd w:val="clear" w:color="auto" w:fill="FEFEFE"/>
          </w:tcPr>
          <w:p>
            <w:pPr>
              <w:ind w:left="80"/>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54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5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88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4,924</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0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78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8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4,924</w:t>
            </w:r>
          </w:p>
        </w:tc>
      </w:tr>
      <w:tr>
        <w:trPr>
          <w:trHeight w:val="175"/>
        </w:trPr>
        <w:tc>
          <w:tcPr>
            <w:tcW w:w="3320" w:type="dxa"/>
            <w:vAlign w:val="bottom"/>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Exercise of share options</w:t>
            </w:r>
          </w:p>
        </w:tc>
        <w:tc>
          <w:tcPr>
            <w:tcW w:w="9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54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(79,630)</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5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10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78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8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320" w:type="dxa"/>
            <w:vAlign w:val="bottom"/>
            <w:shd w:val="clear" w:color="auto" w:fill="FEFEFE"/>
          </w:tcPr>
          <w:p>
            <w:pPr>
              <w:ind w:left="80"/>
              <w:spacing w:after="0"/>
              <w:rPr>
                <w:sz w:val="20"/>
                <w:szCs w:val="20"/>
                <w:color w:val="auto"/>
              </w:rPr>
            </w:pPr>
            <w:r>
              <w:rPr>
                <w:rFonts w:ascii="Times New Roman" w:cs="Times New Roman" w:eastAsia="Times New Roman" w:hAnsi="Times New Roman"/>
                <w:sz w:val="14"/>
                <w:szCs w:val="14"/>
                <w:color w:val="auto"/>
              </w:rPr>
              <w:t>Delivery of shares on vesting of deferred restricted</w:t>
            </w:r>
          </w:p>
        </w:tc>
        <w:tc>
          <w:tcPr>
            <w:tcW w:w="92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50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88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102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78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800" w:type="dxa"/>
            <w:vAlign w:val="bottom"/>
            <w:shd w:val="clear" w:color="auto" w:fill="FEFEFE"/>
          </w:tcPr>
          <w:p>
            <w:pPr>
              <w:spacing w:after="0"/>
              <w:rPr>
                <w:sz w:val="13"/>
                <w:szCs w:val="13"/>
                <w:color w:val="auto"/>
              </w:rPr>
            </w:pPr>
          </w:p>
        </w:tc>
      </w:tr>
      <w:tr>
        <w:trPr>
          <w:trHeight w:val="176"/>
        </w:trPr>
        <w:tc>
          <w:tcPr>
            <w:tcW w:w="3320" w:type="dxa"/>
            <w:vAlign w:val="bottom"/>
            <w:shd w:val="clear" w:color="auto" w:fill="FEFEFE"/>
          </w:tcPr>
          <w:p>
            <w:pPr>
              <w:ind w:left="80"/>
              <w:spacing w:after="0"/>
              <w:rPr>
                <w:sz w:val="20"/>
                <w:szCs w:val="20"/>
                <w:color w:val="auto"/>
              </w:rPr>
            </w:pPr>
            <w:r>
              <w:rPr>
                <w:rFonts w:ascii="Times New Roman" w:cs="Times New Roman" w:eastAsia="Times New Roman" w:hAnsi="Times New Roman"/>
                <w:sz w:val="14"/>
                <w:szCs w:val="14"/>
                <w:color w:val="auto"/>
              </w:rPr>
              <w:t>stock units</w:t>
            </w:r>
          </w:p>
        </w:tc>
        <w:tc>
          <w:tcPr>
            <w:tcW w:w="9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501,380</w:t>
            </w:r>
          </w:p>
        </w:tc>
        <w:tc>
          <w:tcPr>
            <w:tcW w:w="640" w:type="dxa"/>
            <w:vAlign w:val="bottom"/>
            <w:gridSpan w:val="2"/>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FEFEFE"/>
          </w:tcPr>
          <w:p>
            <w:pPr>
              <w:spacing w:after="0"/>
              <w:rPr>
                <w:sz w:val="15"/>
                <w:szCs w:val="15"/>
                <w:color w:val="auto"/>
              </w:rPr>
            </w:pPr>
          </w:p>
        </w:tc>
        <w:tc>
          <w:tcPr>
            <w:tcW w:w="8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5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88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0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78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8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r>
      <w:tr>
        <w:trPr>
          <w:trHeight w:val="175"/>
        </w:trPr>
        <w:tc>
          <w:tcPr>
            <w:tcW w:w="3320" w:type="dxa"/>
            <w:vAlign w:val="bottom"/>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Issuance of shares, net of discount</w:t>
            </w:r>
          </w:p>
        </w:tc>
        <w:tc>
          <w:tcPr>
            <w:tcW w:w="9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48,367,095</w:t>
            </w:r>
          </w:p>
        </w:tc>
        <w:tc>
          <w:tcPr>
            <w:tcW w:w="640" w:type="dxa"/>
            <w:vAlign w:val="bottom"/>
            <w:gridSpan w:val="2"/>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E6E6E6"/>
          </w:tcPr>
          <w:p>
            <w:pPr>
              <w:spacing w:after="0"/>
              <w:rPr>
                <w:sz w:val="15"/>
                <w:szCs w:val="15"/>
                <w:color w:val="auto"/>
              </w:rPr>
            </w:pPr>
          </w:p>
        </w:tc>
        <w:tc>
          <w:tcPr>
            <w:tcW w:w="8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5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88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11,284</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10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78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8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11,470</w:t>
            </w:r>
          </w:p>
        </w:tc>
      </w:tr>
      <w:tr>
        <w:trPr>
          <w:trHeight w:val="175"/>
        </w:trPr>
        <w:tc>
          <w:tcPr>
            <w:tcW w:w="3320" w:type="dxa"/>
            <w:vAlign w:val="bottom"/>
            <w:shd w:val="clear" w:color="auto" w:fill="FEFEFE"/>
          </w:tcPr>
          <w:p>
            <w:pPr>
              <w:ind w:left="80"/>
              <w:spacing w:after="0"/>
              <w:rPr>
                <w:sz w:val="20"/>
                <w:szCs w:val="20"/>
                <w:color w:val="auto"/>
              </w:rPr>
            </w:pPr>
            <w:r>
              <w:rPr>
                <w:rFonts w:ascii="Times New Roman" w:cs="Times New Roman" w:eastAsia="Times New Roman" w:hAnsi="Times New Roman"/>
                <w:sz w:val="14"/>
                <w:szCs w:val="14"/>
                <w:color w:val="auto"/>
              </w:rPr>
              <w:t>Conversion of convertible loan note</w:t>
            </w:r>
          </w:p>
        </w:tc>
        <w:tc>
          <w:tcPr>
            <w:tcW w:w="9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27,420,095</w:t>
            </w:r>
          </w:p>
        </w:tc>
        <w:tc>
          <w:tcPr>
            <w:tcW w:w="640" w:type="dxa"/>
            <w:vAlign w:val="bottom"/>
            <w:gridSpan w:val="2"/>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FEFEFE"/>
          </w:tcPr>
          <w:p>
            <w:pPr>
              <w:spacing w:after="0"/>
              <w:rPr>
                <w:sz w:val="15"/>
                <w:szCs w:val="15"/>
                <w:color w:val="auto"/>
              </w:rPr>
            </w:pPr>
          </w:p>
        </w:tc>
        <w:tc>
          <w:tcPr>
            <w:tcW w:w="8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5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(6,569)</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0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78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14,411</w:t>
            </w:r>
          </w:p>
        </w:tc>
        <w:tc>
          <w:tcPr>
            <w:tcW w:w="10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8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7,950</w:t>
            </w:r>
          </w:p>
        </w:tc>
      </w:tr>
      <w:tr>
        <w:trPr>
          <w:trHeight w:val="175"/>
        </w:trPr>
        <w:tc>
          <w:tcPr>
            <w:tcW w:w="3320" w:type="dxa"/>
            <w:vAlign w:val="bottom"/>
            <w:tcBorders>
              <w:bottom w:val="single" w:sz="8" w:color="FEFEFE"/>
            </w:tcBorders>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Issuance of warrants</w:t>
            </w:r>
          </w:p>
        </w:tc>
        <w:tc>
          <w:tcPr>
            <w:tcW w:w="92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FEFEFE"/>
            </w:tcBorders>
            <w:shd w:val="clear" w:color="auto" w:fill="E6E6E6"/>
          </w:tcPr>
          <w:p>
            <w:pPr>
              <w:spacing w:after="0"/>
              <w:rPr>
                <w:sz w:val="15"/>
                <w:szCs w:val="15"/>
                <w:color w:val="auto"/>
              </w:rPr>
            </w:pPr>
          </w:p>
        </w:tc>
        <w:tc>
          <w:tcPr>
            <w:tcW w:w="54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FEFEFE"/>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FEFEFE"/>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50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FEFEFE"/>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8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FEFEFE"/>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102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FEFEFE"/>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FEFEFE"/>
            </w:tcBorders>
            <w:shd w:val="clear" w:color="auto" w:fill="E6E6E6"/>
          </w:tcPr>
          <w:p>
            <w:pPr>
              <w:spacing w:after="0"/>
              <w:rPr>
                <w:sz w:val="15"/>
                <w:szCs w:val="15"/>
                <w:color w:val="auto"/>
              </w:rPr>
            </w:pPr>
          </w:p>
        </w:tc>
        <w:tc>
          <w:tcPr>
            <w:tcW w:w="16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52</w:t>
            </w:r>
          </w:p>
        </w:tc>
      </w:tr>
      <w:tr>
        <w:trPr>
          <w:trHeight w:val="165"/>
        </w:trPr>
        <w:tc>
          <w:tcPr>
            <w:tcW w:w="3320" w:type="dxa"/>
            <w:vAlign w:val="bottom"/>
            <w:tcBorders>
              <w:bottom w:val="single" w:sz="8" w:color="E6E6E6"/>
            </w:tcBorders>
            <w:shd w:val="clear" w:color="auto" w:fill="FEFEFE"/>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20" w:type="dxa"/>
            <w:vAlign w:val="bottom"/>
            <w:tcBorders>
              <w:bottom w:val="single" w:sz="8" w:color="auto"/>
            </w:tcBorders>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701,217,089</w:t>
            </w:r>
          </w:p>
        </w:tc>
        <w:tc>
          <w:tcPr>
            <w:tcW w:w="100" w:type="dxa"/>
            <w:vAlign w:val="bottom"/>
            <w:tcBorders>
              <w:bottom w:val="single" w:sz="8" w:color="E6E6E6"/>
            </w:tcBorders>
            <w:shd w:val="clear" w:color="auto" w:fill="FEFEFE"/>
          </w:tcPr>
          <w:p>
            <w:pPr>
              <w:spacing w:after="0"/>
              <w:rPr>
                <w:sz w:val="14"/>
                <w:szCs w:val="14"/>
                <w:color w:val="auto"/>
              </w:rPr>
            </w:pPr>
          </w:p>
        </w:tc>
        <w:tc>
          <w:tcPr>
            <w:tcW w:w="540" w:type="dxa"/>
            <w:vAlign w:val="bottom"/>
            <w:tcBorders>
              <w:bottom w:val="single" w:sz="8" w:color="auto"/>
            </w:tcBorders>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5"/>
              </w:rPr>
              <w:t>$ 2,775</w:t>
            </w:r>
          </w:p>
        </w:tc>
        <w:tc>
          <w:tcPr>
            <w:tcW w:w="100" w:type="dxa"/>
            <w:vAlign w:val="bottom"/>
            <w:tcBorders>
              <w:bottom w:val="single" w:sz="8" w:color="E6E6E6"/>
            </w:tcBorders>
            <w:shd w:val="clear" w:color="auto" w:fill="FEFEFE"/>
          </w:tcPr>
          <w:p>
            <w:pPr>
              <w:spacing w:after="0"/>
              <w:rPr>
                <w:sz w:val="14"/>
                <w:szCs w:val="14"/>
                <w:color w:val="auto"/>
              </w:rPr>
            </w:pPr>
          </w:p>
        </w:tc>
        <w:tc>
          <w:tcPr>
            <w:tcW w:w="800" w:type="dxa"/>
            <w:vAlign w:val="bottom"/>
            <w:tcBorders>
              <w:bottom w:val="single" w:sz="8" w:color="auto"/>
            </w:tcBorders>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923,400</w:t>
            </w:r>
          </w:p>
        </w:tc>
        <w:tc>
          <w:tcPr>
            <w:tcW w:w="100" w:type="dxa"/>
            <w:vAlign w:val="bottom"/>
            <w:tcBorders>
              <w:bottom w:val="single" w:sz="8" w:color="E6E6E6"/>
            </w:tcBorders>
            <w:shd w:val="clear" w:color="auto" w:fill="FEFEFE"/>
          </w:tcPr>
          <w:p>
            <w:pPr>
              <w:spacing w:after="0"/>
              <w:rPr>
                <w:sz w:val="14"/>
                <w:szCs w:val="14"/>
                <w:color w:val="auto"/>
              </w:rPr>
            </w:pPr>
          </w:p>
        </w:tc>
        <w:tc>
          <w:tcPr>
            <w:tcW w:w="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b w:val="1"/>
                <w:bCs w:val="1"/>
                <w:color w:val="auto"/>
              </w:rPr>
              <w:t>(1,230)</w:t>
            </w:r>
          </w:p>
        </w:tc>
        <w:tc>
          <w:tcPr>
            <w:tcW w:w="100" w:type="dxa"/>
            <w:vAlign w:val="bottom"/>
            <w:tcBorders>
              <w:bottom w:val="single" w:sz="8" w:color="E6E6E6"/>
            </w:tcBorders>
            <w:shd w:val="clear" w:color="auto" w:fill="FEFEFE"/>
          </w:tcPr>
          <w:p>
            <w:pPr>
              <w:spacing w:after="0"/>
              <w:rPr>
                <w:sz w:val="14"/>
                <w:szCs w:val="14"/>
                <w:color w:val="auto"/>
              </w:rPr>
            </w:pPr>
          </w:p>
        </w:tc>
        <w:tc>
          <w:tcPr>
            <w:tcW w:w="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486,107</w:t>
            </w:r>
          </w:p>
        </w:tc>
        <w:tc>
          <w:tcPr>
            <w:tcW w:w="100" w:type="dxa"/>
            <w:vAlign w:val="bottom"/>
            <w:tcBorders>
              <w:bottom w:val="single" w:sz="8" w:color="E6E6E6"/>
            </w:tcBorders>
            <w:shd w:val="clear" w:color="auto" w:fill="FEFEFE"/>
          </w:tcPr>
          <w:p>
            <w:pPr>
              <w:spacing w:after="0"/>
              <w:rPr>
                <w:sz w:val="14"/>
                <w:szCs w:val="14"/>
                <w:color w:val="auto"/>
              </w:rPr>
            </w:pPr>
          </w:p>
        </w:tc>
        <w:tc>
          <w:tcPr>
            <w:tcW w:w="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b w:val="1"/>
                <w:bCs w:val="1"/>
                <w:color w:val="auto"/>
              </w:rPr>
              <w:t>(17,485)</w:t>
            </w:r>
          </w:p>
        </w:tc>
        <w:tc>
          <w:tcPr>
            <w:tcW w:w="100" w:type="dxa"/>
            <w:vAlign w:val="bottom"/>
            <w:tcBorders>
              <w:bottom w:val="single" w:sz="8" w:color="E6E6E6"/>
            </w:tcBorders>
            <w:shd w:val="clear" w:color="auto" w:fill="FEFEFE"/>
          </w:tcPr>
          <w:p>
            <w:pPr>
              <w:spacing w:after="0"/>
              <w:rPr>
                <w:sz w:val="14"/>
                <w:szCs w:val="14"/>
                <w:color w:val="auto"/>
              </w:rPr>
            </w:pPr>
          </w:p>
        </w:tc>
        <w:tc>
          <w:tcPr>
            <w:tcW w:w="14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b w:val="1"/>
                <w:bCs w:val="1"/>
                <w:color w:val="auto"/>
              </w:rPr>
              <w:t>(419,630)</w:t>
            </w:r>
          </w:p>
        </w:tc>
        <w:tc>
          <w:tcPr>
            <w:tcW w:w="100" w:type="dxa"/>
            <w:vAlign w:val="bottom"/>
            <w:tcBorders>
              <w:bottom w:val="single" w:sz="8" w:color="E6E6E6"/>
            </w:tcBorders>
            <w:shd w:val="clear" w:color="auto" w:fill="FEFEFE"/>
          </w:tcPr>
          <w:p>
            <w:pPr>
              <w:spacing w:after="0"/>
              <w:rPr>
                <w:sz w:val="14"/>
                <w:szCs w:val="14"/>
                <w:color w:val="auto"/>
              </w:rPr>
            </w:pPr>
          </w:p>
        </w:tc>
        <w:tc>
          <w:tcPr>
            <w:tcW w:w="1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50,537</w:t>
            </w:r>
          </w:p>
        </w:tc>
      </w:tr>
      <w:tr>
        <w:trPr>
          <w:trHeight w:val="165"/>
        </w:trPr>
        <w:tc>
          <w:tcPr>
            <w:tcW w:w="3320" w:type="dxa"/>
            <w:vAlign w:val="bottom"/>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4"/>
                <w:szCs w:val="14"/>
                <w:color w:val="auto"/>
              </w:rPr>
            </w:pPr>
          </w:p>
        </w:tc>
        <w:tc>
          <w:tcPr>
            <w:tcW w:w="54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4"/>
                <w:szCs w:val="14"/>
                <w:color w:val="auto"/>
              </w:rPr>
            </w:pPr>
          </w:p>
        </w:tc>
        <w:tc>
          <w:tcPr>
            <w:tcW w:w="8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5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88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10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(43,253)</w:t>
            </w:r>
          </w:p>
        </w:tc>
        <w:tc>
          <w:tcPr>
            <w:tcW w:w="100" w:type="dxa"/>
            <w:vAlign w:val="bottom"/>
            <w:shd w:val="clear" w:color="auto" w:fill="E6E6E6"/>
          </w:tcPr>
          <w:p>
            <w:pPr>
              <w:spacing w:after="0"/>
              <w:rPr>
                <w:sz w:val="14"/>
                <w:szCs w:val="14"/>
                <w:color w:val="auto"/>
              </w:rPr>
            </w:pPr>
          </w:p>
        </w:tc>
        <w:tc>
          <w:tcPr>
            <w:tcW w:w="160" w:type="dxa"/>
            <w:vAlign w:val="bottom"/>
            <w:shd w:val="clear" w:color="auto" w:fill="E6E6E6"/>
          </w:tcPr>
          <w:p>
            <w:pPr>
              <w:spacing w:after="0"/>
              <w:rPr>
                <w:sz w:val="14"/>
                <w:szCs w:val="14"/>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(43,253)</w:t>
            </w:r>
          </w:p>
        </w:tc>
      </w:tr>
      <w:tr>
        <w:trPr>
          <w:trHeight w:val="175"/>
        </w:trPr>
        <w:tc>
          <w:tcPr>
            <w:tcW w:w="3320" w:type="dxa"/>
            <w:vAlign w:val="bottom"/>
            <w:shd w:val="clear" w:color="auto" w:fill="FEFEFE"/>
          </w:tcPr>
          <w:p>
            <w:pPr>
              <w:ind w:left="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54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5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88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78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(1,364)</w:t>
            </w:r>
          </w:p>
        </w:tc>
      </w:tr>
      <w:tr>
        <w:trPr>
          <w:trHeight w:val="175"/>
        </w:trPr>
        <w:tc>
          <w:tcPr>
            <w:tcW w:w="3320" w:type="dxa"/>
            <w:vAlign w:val="bottom"/>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54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8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5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88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7,390</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10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78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8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7,390</w:t>
            </w:r>
          </w:p>
        </w:tc>
      </w:tr>
      <w:tr>
        <w:trPr>
          <w:trHeight w:val="175"/>
        </w:trPr>
        <w:tc>
          <w:tcPr>
            <w:tcW w:w="3320" w:type="dxa"/>
            <w:vAlign w:val="bottom"/>
            <w:shd w:val="clear" w:color="auto" w:fill="FEFEFE"/>
          </w:tcPr>
          <w:p>
            <w:pPr>
              <w:ind w:left="80"/>
              <w:spacing w:after="0"/>
              <w:rPr>
                <w:sz w:val="20"/>
                <w:szCs w:val="20"/>
                <w:color w:val="auto"/>
              </w:rPr>
            </w:pPr>
            <w:r>
              <w:rPr>
                <w:rFonts w:ascii="Times New Roman" w:cs="Times New Roman" w:eastAsia="Times New Roman" w:hAnsi="Times New Roman"/>
                <w:sz w:val="14"/>
                <w:szCs w:val="14"/>
                <w:color w:val="auto"/>
              </w:rPr>
              <w:t>Exercise of share options</w:t>
            </w:r>
          </w:p>
        </w:tc>
        <w:tc>
          <w:tcPr>
            <w:tcW w:w="9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2,685,420</w:t>
            </w:r>
          </w:p>
        </w:tc>
        <w:tc>
          <w:tcPr>
            <w:tcW w:w="640" w:type="dxa"/>
            <w:vAlign w:val="bottom"/>
            <w:gridSpan w:val="2"/>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11</w:t>
            </w:r>
          </w:p>
        </w:tc>
        <w:tc>
          <w:tcPr>
            <w:tcW w:w="90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(210,485)</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5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0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78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5"/>
        </w:trPr>
        <w:tc>
          <w:tcPr>
            <w:tcW w:w="3320" w:type="dxa"/>
            <w:vAlign w:val="bottom"/>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Delivery of shares on vesting of restricted stock units</w:t>
            </w:r>
          </w:p>
        </w:tc>
        <w:tc>
          <w:tcPr>
            <w:tcW w:w="9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433,880</w:t>
            </w:r>
          </w:p>
        </w:tc>
        <w:tc>
          <w:tcPr>
            <w:tcW w:w="640" w:type="dxa"/>
            <w:vAlign w:val="bottom"/>
            <w:gridSpan w:val="2"/>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(712,915)</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5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10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78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0"/>
        </w:trPr>
        <w:tc>
          <w:tcPr>
            <w:tcW w:w="3320" w:type="dxa"/>
            <w:vAlign w:val="bottom"/>
            <w:shd w:val="clear" w:color="auto" w:fill="FEFEFE"/>
          </w:tcPr>
          <w:p>
            <w:pPr>
              <w:ind w:left="80"/>
              <w:spacing w:after="0"/>
              <w:rPr>
                <w:sz w:val="20"/>
                <w:szCs w:val="20"/>
                <w:color w:val="auto"/>
              </w:rPr>
            </w:pPr>
            <w:r>
              <w:rPr>
                <w:rFonts w:ascii="Times New Roman" w:cs="Times New Roman" w:eastAsia="Times New Roman" w:hAnsi="Times New Roman"/>
                <w:sz w:val="14"/>
                <w:szCs w:val="14"/>
                <w:color w:val="auto"/>
              </w:rPr>
              <w:t>Delivery of shares on vesting of performance based</w:t>
            </w:r>
          </w:p>
        </w:tc>
        <w:tc>
          <w:tcPr>
            <w:tcW w:w="92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54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50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88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102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78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800" w:type="dxa"/>
            <w:vAlign w:val="bottom"/>
            <w:shd w:val="clear" w:color="auto" w:fill="FEFEFE"/>
          </w:tcPr>
          <w:p>
            <w:pPr>
              <w:spacing w:after="0"/>
              <w:rPr>
                <w:sz w:val="13"/>
                <w:szCs w:val="13"/>
                <w:color w:val="auto"/>
              </w:rPr>
            </w:pPr>
          </w:p>
        </w:tc>
      </w:tr>
      <w:tr>
        <w:trPr>
          <w:trHeight w:val="176"/>
        </w:trPr>
        <w:tc>
          <w:tcPr>
            <w:tcW w:w="3320" w:type="dxa"/>
            <w:vAlign w:val="bottom"/>
            <w:shd w:val="clear" w:color="auto" w:fill="FEFEFE"/>
          </w:tcPr>
          <w:p>
            <w:pPr>
              <w:ind w:left="80"/>
              <w:spacing w:after="0"/>
              <w:rPr>
                <w:sz w:val="20"/>
                <w:szCs w:val="20"/>
                <w:color w:val="auto"/>
              </w:rPr>
            </w:pPr>
            <w:r>
              <w:rPr>
                <w:rFonts w:ascii="Times New Roman" w:cs="Times New Roman" w:eastAsia="Times New Roman" w:hAnsi="Times New Roman"/>
                <w:sz w:val="14"/>
                <w:szCs w:val="14"/>
                <w:color w:val="auto"/>
              </w:rPr>
              <w:t>restricted stock units</w:t>
            </w:r>
          </w:p>
        </w:tc>
        <w:tc>
          <w:tcPr>
            <w:tcW w:w="9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6,690,755</w:t>
            </w:r>
          </w:p>
        </w:tc>
        <w:tc>
          <w:tcPr>
            <w:tcW w:w="640" w:type="dxa"/>
            <w:vAlign w:val="bottom"/>
            <w:gridSpan w:val="2"/>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FEFEFE"/>
          </w:tcPr>
          <w:p>
            <w:pPr>
              <w:spacing w:after="0"/>
              <w:rPr>
                <w:sz w:val="15"/>
                <w:szCs w:val="15"/>
                <w:color w:val="auto"/>
              </w:rPr>
            </w:pPr>
          </w:p>
        </w:tc>
        <w:tc>
          <w:tcPr>
            <w:tcW w:w="8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50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02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780" w:type="dxa"/>
            <w:vAlign w:val="bottom"/>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5"/>
        </w:trPr>
        <w:tc>
          <w:tcPr>
            <w:tcW w:w="3320" w:type="dxa"/>
            <w:vAlign w:val="bottom"/>
            <w:shd w:val="clear" w:color="auto" w:fill="E6E6E6"/>
          </w:tcPr>
          <w:p>
            <w:pPr>
              <w:ind w:left="80"/>
              <w:spacing w:after="0"/>
              <w:rPr>
                <w:sz w:val="20"/>
                <w:szCs w:val="20"/>
                <w:color w:val="auto"/>
              </w:rPr>
            </w:pPr>
            <w:r>
              <w:rPr>
                <w:rFonts w:ascii="Times New Roman" w:cs="Times New Roman" w:eastAsia="Times New Roman" w:hAnsi="Times New Roman"/>
                <w:sz w:val="14"/>
                <w:szCs w:val="14"/>
                <w:color w:val="auto"/>
              </w:rPr>
              <w:t>Issuance of shares, net of discount</w:t>
            </w:r>
          </w:p>
        </w:tc>
        <w:tc>
          <w:tcPr>
            <w:tcW w:w="9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64,700,890</w:t>
            </w:r>
          </w:p>
        </w:tc>
        <w:tc>
          <w:tcPr>
            <w:tcW w:w="640" w:type="dxa"/>
            <w:vAlign w:val="bottom"/>
            <w:gridSpan w:val="2"/>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E6E6E6"/>
          </w:tcPr>
          <w:p>
            <w:pPr>
              <w:spacing w:after="0"/>
              <w:rPr>
                <w:sz w:val="15"/>
                <w:szCs w:val="15"/>
                <w:color w:val="auto"/>
              </w:rPr>
            </w:pPr>
          </w:p>
        </w:tc>
        <w:tc>
          <w:tcPr>
            <w:tcW w:w="8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5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88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48,503</w:t>
            </w:r>
          </w:p>
        </w:tc>
        <w:tc>
          <w:tcPr>
            <w:tcW w:w="100" w:type="dxa"/>
            <w:vAlign w:val="bottom"/>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102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78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8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color w:val="auto"/>
              </w:rPr>
              <w:t>48,749</w:t>
            </w:r>
          </w:p>
        </w:tc>
      </w:tr>
      <w:tr>
        <w:trPr>
          <w:trHeight w:val="175"/>
        </w:trPr>
        <w:tc>
          <w:tcPr>
            <w:tcW w:w="3320" w:type="dxa"/>
            <w:vAlign w:val="bottom"/>
            <w:tcBorders>
              <w:bottom w:val="single" w:sz="8" w:color="E6E6E6"/>
            </w:tcBorders>
            <w:shd w:val="clear" w:color="auto" w:fill="FEFEFE"/>
          </w:tcPr>
          <w:p>
            <w:pPr>
              <w:ind w:left="80"/>
              <w:spacing w:after="0"/>
              <w:rPr>
                <w:sz w:val="20"/>
                <w:szCs w:val="20"/>
                <w:color w:val="auto"/>
              </w:rPr>
            </w:pPr>
            <w:r>
              <w:rPr>
                <w:rFonts w:ascii="Times New Roman" w:cs="Times New Roman" w:eastAsia="Times New Roman" w:hAnsi="Times New Roman"/>
                <w:sz w:val="14"/>
                <w:szCs w:val="14"/>
                <w:color w:val="auto"/>
              </w:rPr>
              <w:t>Transaction costs on issuance of shares</w:t>
            </w:r>
          </w:p>
        </w:tc>
        <w:tc>
          <w:tcPr>
            <w:tcW w:w="920" w:type="dxa"/>
            <w:vAlign w:val="bottom"/>
            <w:tcBorders>
              <w:bottom w:val="single" w:sz="8" w:color="auto"/>
            </w:tcBorders>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6E6E6"/>
            </w:tcBorders>
            <w:shd w:val="clear" w:color="auto" w:fill="FEFEFE"/>
          </w:tcPr>
          <w:p>
            <w:pPr>
              <w:spacing w:after="0"/>
              <w:rPr>
                <w:sz w:val="15"/>
                <w:szCs w:val="15"/>
                <w:color w:val="auto"/>
              </w:rPr>
            </w:pPr>
          </w:p>
        </w:tc>
        <w:tc>
          <w:tcPr>
            <w:tcW w:w="540" w:type="dxa"/>
            <w:vAlign w:val="bottom"/>
            <w:tcBorders>
              <w:bottom w:val="single" w:sz="8" w:color="auto"/>
            </w:tcBorders>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6E6E6"/>
            </w:tcBorders>
            <w:shd w:val="clear" w:color="auto" w:fill="FEFEFE"/>
          </w:tcPr>
          <w:p>
            <w:pPr>
              <w:spacing w:after="0"/>
              <w:rPr>
                <w:sz w:val="15"/>
                <w:szCs w:val="15"/>
                <w:color w:val="auto"/>
              </w:rPr>
            </w:pPr>
          </w:p>
        </w:tc>
        <w:tc>
          <w:tcPr>
            <w:tcW w:w="800" w:type="dxa"/>
            <w:vAlign w:val="bottom"/>
            <w:tcBorders>
              <w:bottom w:val="single" w:sz="8" w:color="auto"/>
            </w:tcBorders>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6E6E6"/>
            </w:tcBorders>
            <w:shd w:val="clear" w:color="auto" w:fill="FEFEFE"/>
          </w:tcPr>
          <w:p>
            <w:pPr>
              <w:spacing w:after="0"/>
              <w:rPr>
                <w:sz w:val="15"/>
                <w:szCs w:val="15"/>
                <w:color w:val="auto"/>
              </w:rPr>
            </w:pPr>
          </w:p>
        </w:tc>
        <w:tc>
          <w:tcPr>
            <w:tcW w:w="80" w:type="dxa"/>
            <w:vAlign w:val="bottom"/>
            <w:tcBorders>
              <w:bottom w:val="single" w:sz="8" w:color="auto"/>
            </w:tcBorders>
            <w:shd w:val="clear" w:color="auto" w:fill="FEFEFE"/>
          </w:tcPr>
          <w:p>
            <w:pPr>
              <w:spacing w:after="0"/>
              <w:rPr>
                <w:sz w:val="15"/>
                <w:szCs w:val="15"/>
                <w:color w:val="auto"/>
              </w:rPr>
            </w:pPr>
          </w:p>
        </w:tc>
        <w:tc>
          <w:tcPr>
            <w:tcW w:w="500" w:type="dxa"/>
            <w:vAlign w:val="bottom"/>
            <w:tcBorders>
              <w:bottom w:val="single" w:sz="8" w:color="auto"/>
            </w:tcBorders>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6E6E6"/>
            </w:tcBorders>
            <w:shd w:val="clear" w:color="auto" w:fill="FEFEFE"/>
          </w:tcPr>
          <w:p>
            <w:pPr>
              <w:spacing w:after="0"/>
              <w:rPr>
                <w:sz w:val="15"/>
                <w:szCs w:val="15"/>
                <w:color w:val="auto"/>
              </w:rPr>
            </w:pPr>
          </w:p>
        </w:tc>
        <w:tc>
          <w:tcPr>
            <w:tcW w:w="80" w:type="dxa"/>
            <w:vAlign w:val="bottom"/>
            <w:tcBorders>
              <w:bottom w:val="single" w:sz="8" w:color="auto"/>
            </w:tcBorders>
            <w:shd w:val="clear" w:color="auto" w:fill="FEFEFE"/>
          </w:tcPr>
          <w:p>
            <w:pPr>
              <w:spacing w:after="0"/>
              <w:rPr>
                <w:sz w:val="15"/>
                <w:szCs w:val="15"/>
                <w:color w:val="auto"/>
              </w:rPr>
            </w:pPr>
          </w:p>
        </w:tc>
        <w:tc>
          <w:tcPr>
            <w:tcW w:w="8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Borders>
              <w:bottom w:val="single" w:sz="8" w:color="E6E6E6"/>
            </w:tcBorders>
            <w:shd w:val="clear" w:color="auto" w:fill="FEFEFE"/>
          </w:tcPr>
          <w:p>
            <w:pPr>
              <w:spacing w:after="0"/>
              <w:rPr>
                <w:sz w:val="15"/>
                <w:szCs w:val="15"/>
                <w:color w:val="auto"/>
              </w:rPr>
            </w:pPr>
          </w:p>
        </w:tc>
        <w:tc>
          <w:tcPr>
            <w:tcW w:w="80" w:type="dxa"/>
            <w:vAlign w:val="bottom"/>
            <w:tcBorders>
              <w:bottom w:val="single" w:sz="8" w:color="auto"/>
            </w:tcBorders>
            <w:shd w:val="clear" w:color="auto" w:fill="FEFEFE"/>
          </w:tcPr>
          <w:p>
            <w:pPr>
              <w:spacing w:after="0"/>
              <w:rPr>
                <w:sz w:val="15"/>
                <w:szCs w:val="15"/>
                <w:color w:val="auto"/>
              </w:rPr>
            </w:pPr>
          </w:p>
        </w:tc>
        <w:tc>
          <w:tcPr>
            <w:tcW w:w="1020" w:type="dxa"/>
            <w:vAlign w:val="bottom"/>
            <w:tcBorders>
              <w:bottom w:val="single" w:sz="8" w:color="auto"/>
            </w:tcBorders>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6E6E6"/>
            </w:tcBorders>
            <w:shd w:val="clear" w:color="auto" w:fill="FEFEFE"/>
          </w:tcPr>
          <w:p>
            <w:pPr>
              <w:spacing w:after="0"/>
              <w:rPr>
                <w:sz w:val="15"/>
                <w:szCs w:val="15"/>
                <w:color w:val="auto"/>
              </w:rPr>
            </w:pPr>
          </w:p>
        </w:tc>
        <w:tc>
          <w:tcPr>
            <w:tcW w:w="140" w:type="dxa"/>
            <w:vAlign w:val="bottom"/>
            <w:tcBorders>
              <w:bottom w:val="single" w:sz="8" w:color="auto"/>
            </w:tcBorders>
            <w:shd w:val="clear" w:color="auto" w:fill="FEFEFE"/>
          </w:tcPr>
          <w:p>
            <w:pPr>
              <w:spacing w:after="0"/>
              <w:rPr>
                <w:sz w:val="15"/>
                <w:szCs w:val="15"/>
                <w:color w:val="auto"/>
              </w:rPr>
            </w:pPr>
          </w:p>
        </w:tc>
        <w:tc>
          <w:tcPr>
            <w:tcW w:w="780" w:type="dxa"/>
            <w:vAlign w:val="bottom"/>
            <w:tcBorders>
              <w:bottom w:val="single" w:sz="8" w:color="auto"/>
            </w:tcBorders>
            <w:shd w:val="clear" w:color="auto" w:fill="FEFEFE"/>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6E6E6"/>
            </w:tcBorders>
            <w:shd w:val="clear" w:color="auto" w:fill="FEFEFE"/>
          </w:tcPr>
          <w:p>
            <w:pPr>
              <w:spacing w:after="0"/>
              <w:rPr>
                <w:sz w:val="15"/>
                <w:szCs w:val="15"/>
                <w:color w:val="auto"/>
              </w:rPr>
            </w:pPr>
          </w:p>
        </w:tc>
        <w:tc>
          <w:tcPr>
            <w:tcW w:w="160" w:type="dxa"/>
            <w:vAlign w:val="bottom"/>
            <w:tcBorders>
              <w:bottom w:val="single" w:sz="8" w:color="auto"/>
            </w:tcBorders>
            <w:shd w:val="clear" w:color="auto" w:fill="FEFEFE"/>
          </w:tcPr>
          <w:p>
            <w:pPr>
              <w:spacing w:after="0"/>
              <w:rPr>
                <w:sz w:val="15"/>
                <w:szCs w:val="15"/>
                <w:color w:val="auto"/>
              </w:rPr>
            </w:pPr>
          </w:p>
        </w:tc>
        <w:tc>
          <w:tcPr>
            <w:tcW w:w="8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4"/>
                <w:szCs w:val="14"/>
                <w:color w:val="auto"/>
              </w:rPr>
              <w:t>(1,039)</w:t>
            </w:r>
          </w:p>
        </w:tc>
      </w:tr>
      <w:tr>
        <w:trPr>
          <w:trHeight w:val="165"/>
        </w:trPr>
        <w:tc>
          <w:tcPr>
            <w:tcW w:w="33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92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775,728,034</w:t>
            </w:r>
          </w:p>
        </w:tc>
        <w:tc>
          <w:tcPr>
            <w:tcW w:w="100" w:type="dxa"/>
            <w:vAlign w:val="bottom"/>
            <w:shd w:val="clear" w:color="auto" w:fill="E6E6E6"/>
          </w:tcPr>
          <w:p>
            <w:pPr>
              <w:spacing w:after="0"/>
              <w:rPr>
                <w:sz w:val="14"/>
                <w:szCs w:val="14"/>
                <w:color w:val="auto"/>
              </w:rPr>
            </w:pPr>
          </w:p>
        </w:tc>
        <w:tc>
          <w:tcPr>
            <w:tcW w:w="54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5"/>
              </w:rPr>
              <w:t>$ 3,059</w:t>
            </w:r>
          </w:p>
        </w:tc>
        <w:tc>
          <w:tcPr>
            <w:tcW w:w="100" w:type="dxa"/>
            <w:vAlign w:val="bottom"/>
            <w:shd w:val="clear" w:color="auto" w:fill="E6E6E6"/>
          </w:tcPr>
          <w:p>
            <w:pPr>
              <w:spacing w:after="0"/>
              <w:rPr>
                <w:sz w:val="14"/>
                <w:szCs w:val="14"/>
                <w:color w:val="auto"/>
              </w:rPr>
            </w:pPr>
          </w:p>
        </w:tc>
        <w:tc>
          <w:tcPr>
            <w:tcW w:w="80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E6E6E6"/>
          </w:tcPr>
          <w:p>
            <w:pPr>
              <w:spacing w:after="0"/>
              <w:rPr>
                <w:sz w:val="14"/>
                <w:szCs w:val="14"/>
                <w:color w:val="auto"/>
              </w:rPr>
            </w:pPr>
          </w:p>
        </w:tc>
        <w:tc>
          <w:tcPr>
            <w:tcW w:w="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E6E6E6"/>
          </w:tcPr>
          <w:p>
            <w:pPr>
              <w:spacing w:after="0"/>
              <w:rPr>
                <w:sz w:val="14"/>
                <w:szCs w:val="14"/>
                <w:color w:val="auto"/>
              </w:rPr>
            </w:pPr>
          </w:p>
        </w:tc>
        <w:tc>
          <w:tcPr>
            <w:tcW w:w="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539,642</w:t>
            </w:r>
          </w:p>
        </w:tc>
        <w:tc>
          <w:tcPr>
            <w:tcW w:w="100" w:type="dxa"/>
            <w:vAlign w:val="bottom"/>
            <w:shd w:val="clear" w:color="auto" w:fill="E6E6E6"/>
          </w:tcPr>
          <w:p>
            <w:pPr>
              <w:spacing w:after="0"/>
              <w:rPr>
                <w:sz w:val="14"/>
                <w:szCs w:val="14"/>
                <w:color w:val="auto"/>
              </w:rPr>
            </w:pPr>
          </w:p>
        </w:tc>
        <w:tc>
          <w:tcPr>
            <w:tcW w:w="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4"/>
                <w:szCs w:val="14"/>
                <w:b w:val="1"/>
                <w:bCs w:val="1"/>
                <w:color w:val="auto"/>
              </w:rPr>
              <w:t>(18,849)</w:t>
            </w:r>
          </w:p>
        </w:tc>
        <w:tc>
          <w:tcPr>
            <w:tcW w:w="100" w:type="dxa"/>
            <w:vAlign w:val="bottom"/>
            <w:shd w:val="clear" w:color="auto" w:fill="E6E6E6"/>
          </w:tcPr>
          <w:p>
            <w:pPr>
              <w:spacing w:after="0"/>
              <w:rPr>
                <w:sz w:val="14"/>
                <w:szCs w:val="14"/>
                <w:color w:val="auto"/>
              </w:rPr>
            </w:pPr>
          </w:p>
        </w:tc>
        <w:tc>
          <w:tcPr>
            <w:tcW w:w="140" w:type="dxa"/>
            <w:vAlign w:val="bottom"/>
            <w:tcBorders>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4"/>
                <w:szCs w:val="14"/>
                <w:b w:val="1"/>
                <w:bCs w:val="1"/>
                <w:color w:val="auto"/>
              </w:rPr>
              <w:t>(462,883)</w:t>
            </w:r>
          </w:p>
        </w:tc>
        <w:tc>
          <w:tcPr>
            <w:tcW w:w="100" w:type="dxa"/>
            <w:vAlign w:val="bottom"/>
            <w:shd w:val="clear" w:color="auto" w:fill="E6E6E6"/>
          </w:tcPr>
          <w:p>
            <w:pPr>
              <w:spacing w:after="0"/>
              <w:rPr>
                <w:sz w:val="14"/>
                <w:szCs w:val="14"/>
                <w:color w:val="auto"/>
              </w:rPr>
            </w:pPr>
          </w:p>
        </w:tc>
        <w:tc>
          <w:tcPr>
            <w:tcW w:w="160" w:type="dxa"/>
            <w:vAlign w:val="bottom"/>
            <w:tcBorders>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E6E6E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60,969</w:t>
            </w:r>
          </w:p>
        </w:tc>
      </w:tr>
      <w:tr>
        <w:trPr>
          <w:trHeight w:val="20"/>
        </w:trPr>
        <w:tc>
          <w:tcPr>
            <w:tcW w:w="3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an integral part of these consolidated financial statements.</w:t>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10800"/>
          </w:cols>
          <w:pgMar w:left="540" w:top="745" w:right="540" w:bottom="0" w:gutter="0" w:footer="0" w:header="0"/>
          <w:type w:val="continuous"/>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MEREO BIOPHARMA GROUP PLC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business</w:t>
      </w:r>
    </w:p>
    <w:p>
      <w:pPr>
        <w:spacing w:after="0" w:line="243"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Mereo BioPharma Group plc (the “Company” or “Mereo”) is United Kingdom (“U.K.”) based biopharmaceutical company focused on the development of innovative therapeutics for rare diseases. The Company has developed a portfolio of late-stage clinical product candidates, and its two rare disease product candidates are setrusumab for the treatment of OI and alvelestat primarily for the treatment of severe AATD-LD.</w:t>
      </w:r>
    </w:p>
    <w:p>
      <w:pPr>
        <w:spacing w:after="0" w:line="190" w:lineRule="exact"/>
        <w:rPr>
          <w:sz w:val="20"/>
          <w:szCs w:val="20"/>
          <w:color w:val="auto"/>
        </w:rPr>
      </w:pPr>
    </w:p>
    <w:p>
      <w:pPr>
        <w:ind w:right="300" w:firstLine="720"/>
        <w:spacing w:after="0" w:line="259" w:lineRule="auto"/>
        <w:rPr>
          <w:sz w:val="20"/>
          <w:szCs w:val="20"/>
          <w:color w:val="auto"/>
        </w:rPr>
      </w:pPr>
      <w:r>
        <w:rPr>
          <w:rFonts w:ascii="Times New Roman" w:cs="Times New Roman" w:eastAsia="Times New Roman" w:hAnsi="Times New Roman"/>
          <w:sz w:val="20"/>
          <w:szCs w:val="20"/>
          <w:color w:val="auto"/>
        </w:rPr>
        <w:t>The Company is a public limited company incorporated and domiciled in the U.K., and registered in England, with shares publicly traded on the Nasdaq Capital Market via American Depositary Shares (“ADSs”) under the ticker symbol “MREO”. The Company’s registered office is located at Fourth Floor, 1 Cavendish Place, London, W1G 0QF, United Kingdom.</w:t>
      </w:r>
    </w:p>
    <w:p>
      <w:pPr>
        <w:spacing w:after="0" w:line="182" w:lineRule="exact"/>
        <w:rPr>
          <w:sz w:val="20"/>
          <w:szCs w:val="20"/>
          <w:color w:val="auto"/>
        </w:rPr>
      </w:pPr>
    </w:p>
    <w:p>
      <w:pPr>
        <w:ind w:right="4740"/>
        <w:spacing w:after="0" w:line="492" w:lineRule="auto"/>
        <w:rPr>
          <w:sz w:val="20"/>
          <w:szCs w:val="20"/>
          <w:color w:val="auto"/>
        </w:rPr>
      </w:pPr>
      <w:r>
        <w:rPr>
          <w:rFonts w:ascii="Times New Roman" w:cs="Times New Roman" w:eastAsia="Times New Roman" w:hAnsi="Times New Roman"/>
          <w:sz w:val="20"/>
          <w:szCs w:val="20"/>
          <w:b w:val="1"/>
          <w:bCs w:val="1"/>
          <w:color w:val="auto"/>
        </w:rPr>
        <w:t xml:space="preserve">2. Basis of presentation and summary of significant accounting policies </w:t>
      </w:r>
      <w:r>
        <w:rPr>
          <w:rFonts w:ascii="Times New Roman" w:cs="Times New Roman" w:eastAsia="Times New Roman" w:hAnsi="Times New Roman"/>
          <w:sz w:val="20"/>
          <w:szCs w:val="20"/>
          <w:b w:val="1"/>
          <w:bCs w:val="1"/>
          <w:i w:val="1"/>
          <w:iCs w:val="1"/>
          <w:color w:val="auto"/>
        </w:rPr>
        <w:t>Basis of presentation</w:t>
      </w:r>
    </w:p>
    <w:p>
      <w:pPr>
        <w:ind w:right="100" w:firstLine="720"/>
        <w:spacing w:after="0" w:line="27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U.S. GAAP and pursuant to the rules and regulations of the SEC for annual financial reporting.</w:t>
      </w:r>
    </w:p>
    <w:p>
      <w:pPr>
        <w:spacing w:after="0" w:line="165" w:lineRule="exact"/>
        <w:rPr>
          <w:sz w:val="20"/>
          <w:szCs w:val="20"/>
          <w:color w:val="auto"/>
        </w:rPr>
      </w:pPr>
    </w:p>
    <w:p>
      <w:pPr>
        <w:ind w:right="280" w:firstLine="720"/>
        <w:spacing w:after="0" w:line="253" w:lineRule="auto"/>
        <w:rPr>
          <w:sz w:val="20"/>
          <w:szCs w:val="20"/>
          <w:color w:val="auto"/>
        </w:rPr>
      </w:pPr>
      <w:r>
        <w:rPr>
          <w:rFonts w:ascii="Times New Roman" w:cs="Times New Roman" w:eastAsia="Times New Roman" w:hAnsi="Times New Roman"/>
          <w:sz w:val="20"/>
          <w:szCs w:val="20"/>
          <w:color w:val="auto"/>
        </w:rPr>
        <w:t>The consolidated financial statements are presented in U.S. dollars (“$”), which is the reporting currency of the Company. The functional currency of the Company is pound sterling (“£”). The functional currency of consolidated subsidiaries are pound sterling and U.S. dollar. All amounts disclosed in the consolidated financial statements and notes have been rounded to the nearest thousand, unless otherwise stated.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Going concern</w:t>
      </w:r>
    </w:p>
    <w:p>
      <w:pPr>
        <w:spacing w:after="0" w:line="238" w:lineRule="exact"/>
        <w:rPr>
          <w:sz w:val="20"/>
          <w:szCs w:val="20"/>
          <w:color w:val="auto"/>
        </w:rPr>
      </w:pPr>
    </w:p>
    <w:p>
      <w:pPr>
        <w:ind w:right="40" w:firstLine="720"/>
        <w:spacing w:after="0" w:line="270" w:lineRule="auto"/>
        <w:rPr>
          <w:sz w:val="20"/>
          <w:szCs w:val="20"/>
          <w:color w:val="auto"/>
        </w:rPr>
      </w:pPr>
      <w:r>
        <w:rPr>
          <w:rFonts w:ascii="Times New Roman" w:cs="Times New Roman" w:eastAsia="Times New Roman" w:hAnsi="Times New Roman"/>
          <w:sz w:val="19"/>
          <w:szCs w:val="19"/>
          <w:color w:val="auto"/>
        </w:rPr>
        <w:t>The Company has prepared its financial statements on the basis that it will continue as a going concern. 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w:t>
      </w:r>
    </w:p>
    <w:p>
      <w:pPr>
        <w:spacing w:after="0" w:line="17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206"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Company has historically been loss making, anticipates that it will continue to incur losses for the foreseeable future, and had an accumulated deficit of $462.9 million as of December 31, 2024. The Company has funded these losses through a combination of public equity financings, private equity and debt financings and various license and collaboration agreements, and it expects it will continue to do so until such time as it can generate significant revenue from product sales, or other commercial revenues, if ever, or through licensing and/or collaboration agreements for its rare disease or oncology product candidates. On June 17, 2024, the Company raised net proceeds of $47.0 million before issuance costs through an underwritten registered direct offering of its ADSs, though there is no assurance that it will continue to be successful in obtaining sufficient funding on terms acceptable to the Company to fund continuing operations, if at all.</w:t>
      </w:r>
    </w:p>
    <w:p>
      <w:pPr>
        <w:spacing w:after="0" w:line="202"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As of December 31, 2024, the Company had cash and cash equivalents of $69.8 million. The Company expects that its cash and cash equivalents as of December 31, 2024 will be sufficient to fund its operations and capital expenditure requirements for at least twelve months from the date of filing of this Annual Report on Form 10-K.</w:t>
      </w:r>
    </w:p>
    <w:p>
      <w:pPr>
        <w:sectPr>
          <w:pgSz w:w="11880" w:h="15480" w:orient="portrait"/>
          <w:cols w:equalWidth="0" w:num="1">
            <w:col w:w="10780"/>
          </w:cols>
          <w:pgMar w:left="540" w:top="74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10780"/>
          </w:cols>
          <w:pgMar w:left="540" w:top="745" w:right="56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consolidation</w:t>
      </w:r>
    </w:p>
    <w:p>
      <w:pPr>
        <w:spacing w:after="0" w:line="238" w:lineRule="exact"/>
        <w:rPr>
          <w:sz w:val="20"/>
          <w:szCs w:val="20"/>
          <w:color w:val="auto"/>
        </w:rPr>
      </w:pPr>
    </w:p>
    <w:p>
      <w:pPr>
        <w:ind w:right="380" w:firstLine="720"/>
        <w:spacing w:after="0" w:line="279" w:lineRule="auto"/>
        <w:rPr>
          <w:sz w:val="20"/>
          <w:szCs w:val="20"/>
          <w:color w:val="auto"/>
        </w:rPr>
      </w:pPr>
      <w:r>
        <w:rPr>
          <w:rFonts w:ascii="Times New Roman" w:cs="Times New Roman" w:eastAsia="Times New Roman" w:hAnsi="Times New Roman"/>
          <w:sz w:val="20"/>
          <w:szCs w:val="20"/>
          <w:color w:val="auto"/>
        </w:rPr>
        <w:t>The consolidated financial information comprises the financial statements of Mereo BioPharma Group plc and its wholly owned subsidiaries. All intercompany balances and transactions have been eliminated on consolidation.</w:t>
      </w:r>
    </w:p>
    <w:p>
      <w:pPr>
        <w:spacing w:after="0" w:line="165"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The Company previously had an employee benefit trust (“EBT”) to facilitate share transactions pursuant to employee equity award schemes until it was terminated during the year ended December 31, 2024 as the remaining shares it held were used to satisfy the exercise or vesting of awards. Although the EBT was a separate legal entity from the Company, prior to termination, it was consolidated into the Company’s results in accordance with the rules in ASC Topic 810, Consolidations (“ASC 810”) on special purpose entities. The Company was deemed to control the EBT principally because the trust could not operate without the funding the Company provided.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While there are no estimates and assumptions made in the consolidated financial statements that are considered to be critical, the Company's financial statements include, among others, estimates about revenue recognition on contracts with customers and convertible loan notes. Estimates are periodically reviewed in light of changes in circumstances, facts and experience. Changes in estimates are recorded in the period in which they become known. Actual results could differ from those estimates.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Segmental information</w:t>
      </w:r>
    </w:p>
    <w:p>
      <w:pPr>
        <w:spacing w:after="0" w:line="23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 the Company’s operations and manage its business as a single operating segment, which is the business of developing rare disease therapies; however, the Company operates in two geographic regions: the U.K. and the U.S. The Company’s long-lived assets are primarily located in the U.K. As of December 31, 2024, no property and equipment was located in the U.S. (2023: $0.1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significant counterparties</w:t>
      </w:r>
    </w:p>
    <w:p>
      <w:pPr>
        <w:spacing w:after="0" w:line="238"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The Company is dependent on a number of third parties for the delivery of its programs and, where required, pays upfront deposits and fees in advance of the delivery of services. The Company considers all of its material counterparties to be creditworthy and the credit risk for each of its major counterparties to be low, but continues to assess credit risk as part of its management of these third-party relationships. Financial instruments that subject the Company to credit risk consist primarily of cash and cash equivalents. The Company places cash and cash equivalents with established financial institutions with strong credit ratings. The Company’s maximum exposure to credit risk for the components of the balance sheet of December 31, 2024 are the carrying amounts. The Company has no significant off-balance sheet risk or concentration of credit risk, such as foreign exchange contracts, options contracts, or other foreign hedging arrangements.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Company’s ongoing major or central operations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w:t>
      </w:r>
    </w:p>
    <w:p>
      <w:pPr>
        <w:spacing w:after="0" w:line="206" w:lineRule="exact"/>
        <w:rPr>
          <w:sz w:val="20"/>
          <w:szCs w:val="20"/>
          <w:color w:val="auto"/>
        </w:rPr>
      </w:pPr>
    </w:p>
    <w:p>
      <w:pPr>
        <w:ind w:right="140" w:firstLine="720"/>
        <w:spacing w:after="0" w:line="307" w:lineRule="auto"/>
        <w:rPr>
          <w:sz w:val="20"/>
          <w:szCs w:val="20"/>
          <w:color w:val="auto"/>
        </w:rPr>
      </w:pPr>
      <w:r>
        <w:rPr>
          <w:rFonts w:ascii="Times New Roman" w:cs="Times New Roman" w:eastAsia="Times New Roman" w:hAnsi="Times New Roman"/>
          <w:sz w:val="19"/>
          <w:szCs w:val="19"/>
          <w:color w:val="auto"/>
        </w:rPr>
        <w:t>The terms of these arrangements typically include payment to the Company of one or more of the following: nonrefundable, upfront license fees; payments for research and development services; fees upon the exercise of options to obtain additional services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10800"/>
          </w:cols>
          <w:pgMar w:left="540" w:top="1220" w:right="540" w:bottom="0" w:gutter="0" w:footer="0" w:header="0"/>
        </w:sectPr>
      </w:pPr>
    </w:p>
    <w:bookmarkStart w:id="117" w:name="page118"/>
    <w:bookmarkEnd w:id="117"/>
    <w:p>
      <w:pPr>
        <w:ind w:right="360"/>
        <w:spacing w:after="0" w:line="279" w:lineRule="auto"/>
        <w:rPr>
          <w:sz w:val="20"/>
          <w:szCs w:val="20"/>
          <w:color w:val="auto"/>
        </w:rPr>
      </w:pPr>
      <w:r>
        <w:rPr>
          <w:rFonts w:ascii="Times New Roman" w:cs="Times New Roman" w:eastAsia="Times New Roman" w:hAnsi="Times New Roman"/>
          <w:sz w:val="20"/>
          <w:szCs w:val="20"/>
          <w:color w:val="auto"/>
        </w:rPr>
        <w:t>or licenses; payments based upon the achievement of defined collaboration objectives; future regulatory and sales-based milestone payments; and royalties on net sales of future products.</w:t>
      </w:r>
    </w:p>
    <w:p>
      <w:pPr>
        <w:spacing w:after="0" w:line="165" w:lineRule="exact"/>
        <w:rPr>
          <w:sz w:val="20"/>
          <w:szCs w:val="20"/>
          <w:color w:val="auto"/>
        </w:rPr>
      </w:pPr>
    </w:p>
    <w:p>
      <w:pPr>
        <w:jc w:val="both"/>
        <w:ind w:right="180" w:firstLine="720"/>
        <w:spacing w:after="0" w:line="253" w:lineRule="auto"/>
        <w:rPr>
          <w:sz w:val="20"/>
          <w:szCs w:val="20"/>
          <w:color w:val="auto"/>
        </w:rPr>
      </w:pPr>
      <w:r>
        <w:rPr>
          <w:rFonts w:ascii="Times New Roman" w:cs="Times New Roman" w:eastAsia="Times New Roman" w:hAnsi="Times New Roman"/>
          <w:sz w:val="20"/>
          <w:szCs w:val="20"/>
          <w:color w:val="auto"/>
        </w:rPr>
        <w:t>Where the Company has performed significant development activities for its product candidates, including the setrusumab and leflutrozole partnerships described in Note 14, receipts from agreements with third parties are considered to be proceeds derived from customers of the Company’s ongoing major or central operations and therefore the Company recognizes revenue in accordance with ASC Topic 606, Revenue from Contracts with Customers (“ASC 606”).</w:t>
      </w:r>
    </w:p>
    <w:p>
      <w:pPr>
        <w:spacing w:after="0" w:line="190" w:lineRule="exact"/>
        <w:rPr>
          <w:sz w:val="20"/>
          <w:szCs w:val="20"/>
          <w:color w:val="auto"/>
        </w:rPr>
      </w:pPr>
    </w:p>
    <w:p>
      <w:pPr>
        <w:ind w:right="20" w:firstLine="770"/>
        <w:spacing w:after="0" w:line="279" w:lineRule="auto"/>
        <w:rPr>
          <w:sz w:val="20"/>
          <w:szCs w:val="20"/>
          <w:color w:val="auto"/>
        </w:rPr>
      </w:pPr>
      <w:r>
        <w:rPr>
          <w:rFonts w:ascii="Times New Roman" w:cs="Times New Roman" w:eastAsia="Times New Roman" w:hAnsi="Times New Roman"/>
          <w:sz w:val="20"/>
          <w:szCs w:val="20"/>
          <w:color w:val="auto"/>
        </w:rPr>
        <w:t>Under ASC 606, an entity recognizes revenue when its customer obtains control of promised goods or services, in an amount that reflects the consideration which the entity expects to receive in exchange for those goods or services.</w:t>
      </w:r>
    </w:p>
    <w:p>
      <w:pPr>
        <w:spacing w:after="0" w:line="165" w:lineRule="exact"/>
        <w:rPr>
          <w:sz w:val="20"/>
          <w:szCs w:val="20"/>
          <w:color w:val="auto"/>
        </w:rPr>
      </w:pPr>
    </w:p>
    <w:p>
      <w:pPr>
        <w:ind w:right="80" w:firstLine="720"/>
        <w:spacing w:after="0"/>
        <w:rPr>
          <w:sz w:val="20"/>
          <w:szCs w:val="20"/>
          <w:color w:val="auto"/>
        </w:rPr>
      </w:pPr>
      <w:r>
        <w:rPr>
          <w:rFonts w:ascii="Times New Roman" w:cs="Times New Roman" w:eastAsia="Times New Roman" w:hAnsi="Times New Roman"/>
          <w:sz w:val="20"/>
          <w:szCs w:val="20"/>
          <w:color w:val="auto"/>
        </w:rPr>
        <w:t>To determine revenue recognition for arrangements that the Company determines are within the scope of ASC 606, it performs the following five steps: (i) identify the contract(s) with a customer; (ii) identify the performance obligations in the contract;</w:t>
      </w:r>
    </w:p>
    <w:p>
      <w:pPr>
        <w:spacing w:after="0" w:line="247" w:lineRule="auto"/>
        <w:tabs>
          <w:tab w:leader="none" w:pos="35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entity will collect substantially all of the consideration it is entitled to in exchange for the goods or services it transfers to the customer.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200" w:lineRule="exact"/>
        <w:rPr>
          <w:sz w:val="20"/>
          <w:szCs w:val="20"/>
          <w:color w:val="auto"/>
        </w:rPr>
      </w:pPr>
    </w:p>
    <w:p>
      <w:pPr>
        <w:ind w:right="400" w:firstLine="720"/>
        <w:spacing w:after="0" w:line="253" w:lineRule="auto"/>
        <w:rPr>
          <w:sz w:val="20"/>
          <w:szCs w:val="20"/>
          <w:color w:val="auto"/>
        </w:rPr>
      </w:pPr>
      <w:r>
        <w:rPr>
          <w:rFonts w:ascii="Times New Roman" w:cs="Times New Roman" w:eastAsia="Times New Roman" w:hAnsi="Times New Roman"/>
          <w:sz w:val="20"/>
          <w:szCs w:val="20"/>
          <w:color w:val="auto"/>
        </w:rPr>
        <w:t>Once a contract is determined to be within the scope of ASC 606, the Company assesses the goods or services promised within the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pacing w:after="0" w:line="190"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Performance obligations are promised goods or services in a contract to transfer a distinct good or service to the customer. The promised goods or services in the Company’s contracts with customers primarily consist of license rights to the Company’s intellectual property, research and development services and options to obtain additional licenses, such as a commercialization license for a potential product candidate.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collaboration partner to develop the intellectual property on their own and whether the required expertise is readily available. In addition, the Company considers whether the customer can benefit from a promise for its intended purpose without the receipt of the remaining promises, whether the value of the promise is dependent on the unsatisfied promises, whether there are other vendors that could provide the remaining promises, and whether it is separately identifiable from the remaining promises.</w:t>
      </w:r>
    </w:p>
    <w:p>
      <w:pPr>
        <w:spacing w:after="0" w:line="208"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auto"/>
        </w:rPr>
        <w:t>The Company estimates the transaction price based on the amount of consideration the Company expects to receive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 The Company utilizes either the most likely amount method or expected value method to estimate variable consideration to include in the transaction price based on which method better predicts the amount of consideration expected to be received.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The initial transaction price of a contract does not include amounts associated with customer option payments.</w:t>
      </w:r>
    </w:p>
    <w:p>
      <w:pPr>
        <w:spacing w:after="0" w:line="20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After the transaction price is determined, it is allocated to the identified performance obligations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probabilities of technical and regulatory success and the estimated costs. Based on the current agreements in effect, there is limited judgment in determining the revenue and transaction price.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the Company would expect to receive for each performance obligation.</w:t>
      </w:r>
    </w:p>
    <w:p>
      <w:pPr>
        <w:sectPr>
          <w:pgSz w:w="11880" w:h="15480" w:orient="portrait"/>
          <w:cols w:equalWidth="0" w:num="1">
            <w:col w:w="10800"/>
          </w:cols>
          <w:pgMar w:left="540" w:top="748" w:right="540" w:bottom="8"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1880" w:h="15480" w:orient="portrait"/>
          <w:cols w:equalWidth="0" w:num="1">
            <w:col w:w="10800"/>
          </w:cols>
          <w:pgMar w:left="540" w:top="748" w:right="540" w:bottom="8" w:gutter="0" w:footer="0" w:header="0"/>
          <w:type w:val="continuous"/>
        </w:sectPr>
      </w:pPr>
    </w:p>
    <w:bookmarkStart w:id="118" w:name="page119"/>
    <w:bookmarkEnd w:id="118"/>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The Company then recognizes as revenue the amount of the transaction price that is allocated to the respective performance obligation when (or as) each performance obligation is satisfied at a point in time or over time, and if over time, the facts and circumstances of each respective contract will be used to determine the revenue recognition pattern. The Company currently does not have any revenue that is being recognized over a time period.</w:t>
      </w:r>
    </w:p>
    <w:p>
      <w:pPr>
        <w:spacing w:after="0" w:line="190" w:lineRule="exact"/>
        <w:rPr>
          <w:sz w:val="20"/>
          <w:szCs w:val="20"/>
          <w:color w:val="auto"/>
        </w:rPr>
      </w:pPr>
    </w:p>
    <w:p>
      <w:pPr>
        <w:ind w:right="180" w:firstLine="720"/>
        <w:spacing w:after="0" w:line="279" w:lineRule="auto"/>
        <w:rPr>
          <w:sz w:val="20"/>
          <w:szCs w:val="20"/>
          <w:color w:val="auto"/>
        </w:rPr>
      </w:pPr>
      <w:r>
        <w:rPr>
          <w:rFonts w:ascii="Times New Roman" w:cs="Times New Roman" w:eastAsia="Times New Roman" w:hAnsi="Times New Roman"/>
          <w:sz w:val="20"/>
          <w:szCs w:val="20"/>
          <w:color w:val="auto"/>
        </w:rPr>
        <w:t>Payments to third parties arising as a direct consequence of the revenue recognized are also recorded within cost of revenue in the Company’s consolidated statements of operations and comprehensive loss.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revenue</w:t>
      </w:r>
    </w:p>
    <w:p>
      <w:pPr>
        <w:spacing w:after="0" w:line="237" w:lineRule="exact"/>
        <w:rPr>
          <w:sz w:val="20"/>
          <w:szCs w:val="20"/>
          <w:color w:val="auto"/>
        </w:rPr>
      </w:pPr>
    </w:p>
    <w:p>
      <w:pPr>
        <w:jc w:val="both"/>
        <w:ind w:right="100" w:firstLine="720"/>
        <w:spacing w:after="0" w:line="259" w:lineRule="auto"/>
        <w:rPr>
          <w:sz w:val="20"/>
          <w:szCs w:val="20"/>
          <w:color w:val="auto"/>
        </w:rPr>
      </w:pPr>
      <w:r>
        <w:rPr>
          <w:rFonts w:ascii="Times New Roman" w:cs="Times New Roman" w:eastAsia="Times New Roman" w:hAnsi="Times New Roman"/>
          <w:sz w:val="20"/>
          <w:szCs w:val="20"/>
          <w:color w:val="auto"/>
        </w:rPr>
        <w:t>The Company has no approved product candidates and accordingly has not generated any revenue from commercial product sales. Revenue to date has been generated principally from licensing arrangements and collaboration agreements with a small number of the Company's customers.</w:t>
      </w:r>
    </w:p>
    <w:p>
      <w:pPr>
        <w:spacing w:after="0" w:line="185" w:lineRule="exact"/>
        <w:rPr>
          <w:sz w:val="20"/>
          <w:szCs w:val="20"/>
          <w:color w:val="auto"/>
        </w:rPr>
      </w:pPr>
    </w:p>
    <w:p>
      <w:pPr>
        <w:ind w:right="380" w:firstLine="720"/>
        <w:spacing w:after="0" w:line="259" w:lineRule="auto"/>
        <w:rPr>
          <w:sz w:val="20"/>
          <w:szCs w:val="20"/>
          <w:color w:val="auto"/>
        </w:rPr>
      </w:pPr>
      <w:r>
        <w:rPr>
          <w:rFonts w:ascii="Times New Roman" w:cs="Times New Roman" w:eastAsia="Times New Roman" w:hAnsi="Times New Roman"/>
          <w:sz w:val="20"/>
          <w:szCs w:val="20"/>
          <w:color w:val="auto"/>
        </w:rPr>
        <w:t>If a license to the Company's intellectual property is determined to be distinct from the other performance obligations identified in the arrangement, the Company recognizes revenues from non-refundable, upfront fees allocated to the license at such time as the license is transferred to the licensee and the licensee is able to use, and benefit from, the license.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Contingent milestone payments</w:t>
      </w:r>
    </w:p>
    <w:p>
      <w:pPr>
        <w:spacing w:after="0" w:line="23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Company's licensing arrangements and collaboration agreements may include development, regulatory and sales milestones. ASC 606 constrains the amount of variable consideration included in the transaction price in that either all, or a portion, of variable consideration should be included in the transaction price. The variable consideration should be included only to the extent that it is probable that a significant reversal in the amount of cumulative revenue recognized will not occur when the uncertainty associated with the variable consideration is subsequently resolved. The Company evaluates the probability of the milestones being reached and estimates the amount to be included in the transaction price using the most likely amount method. The Company evaluates factors such as the scientific, clinical, regulatory, commercial and other risks that must be overcome to achieve the particular milestone in making this assessment. If it is probable that a significant revenue reversal would not occur, the associated milestone value is included in the transaction price. Milestone payments that are not within the Company's control, such as regulatory approvals, are not considered probable of being achieved until those approvals are received. At the end of each reporting period, the Company re-evaluates the probability of achievement of such milestones and any related constraints and, if necessary, adjusts the estimate of the overall transaction price. Any such adjustments are recorded on a cumulative catch up basis, which would affect revenue and net loss in the period of adjustment.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R&amp;D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expenses</w:t>
      </w:r>
    </w:p>
    <w:p>
      <w:pPr>
        <w:spacing w:after="0" w:line="243"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auto"/>
        </w:rPr>
        <w:t>Research and development costs are expensed as incurred on an accruals basis in accordance with ASC Topic 730, Research and Development (“ASC 730”) because they have no alternative future uses. These expenses are comprised of the costs of the Company’s proprietary research and development efforts, including preclinical studies, clinical trials, manufacturing costs, employee salaries and benefits and share-based compensation expense, contract services including external research and development expenses incurred under arrangements with third parties such as CRO, facilities costs, overhead costs and other related expenses. Intellectual property costs incurred on each drug candidate and costs associated with pre-commercial activities to support pricing and reimbursement by health technology assessment authorities and payor decision-makers in Europe are excluded from R&amp;D expenses and are recognized within general and administrative expenses. Research and development costs that are paid in advance of performance are recorded as a prepaid expense and expensed over the service period as the services are provided. Accruals and prepayments for research and development expenses typically include fees and costs to be paid to CROs in relation to clinical trials and CMOs in relation to the manufacture of drug substance and drug product. These accruals and prepayments are calculated each period based on regular review and challenge by the relevant program manager of the detailed activity analysis provided directly by CROs and CMOs to determine their completeness and accuracy.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8"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The Company accounts for income taxes in accordance with ASC Topic 740, Income Taxes (“ASC 740”), using the asset and liability method, which requires the recognition of deferred tax assets and liabilities for the expected future tax consequences of events that have been recognized in the consolidated financial statements or in its tax returns. Deferred tax assets and liabilities are determined based on the difference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deferred tax assets will be recovered in the future to the extent management believes, based upon the weight of available evidence, that it is more likely than not that all or a portion of the deferred</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F-11</w:t>
      </w:r>
    </w:p>
    <w:p>
      <w:pPr>
        <w:sectPr>
          <w:pgSz w:w="11880" w:h="15480" w:orient="portrait"/>
          <w:cols w:equalWidth="0" w:num="1">
            <w:col w:w="10800"/>
          </w:cols>
          <w:pgMar w:left="540" w:top="748" w:right="540" w:bottom="0" w:gutter="0" w:footer="0" w:header="0"/>
        </w:sectPr>
      </w:pPr>
    </w:p>
    <w:bookmarkStart w:id="119" w:name="page120"/>
    <w:bookmarkEnd w:id="119"/>
    <w:p>
      <w:pPr>
        <w:ind w:right="100"/>
        <w:spacing w:after="0" w:line="249" w:lineRule="auto"/>
        <w:rPr>
          <w:sz w:val="20"/>
          <w:szCs w:val="20"/>
          <w:color w:val="auto"/>
        </w:rPr>
      </w:pPr>
      <w:r>
        <w:rPr>
          <w:rFonts w:ascii="Times New Roman" w:cs="Times New Roman" w:eastAsia="Times New Roman" w:hAnsi="Times New Roman"/>
          <w:sz w:val="20"/>
          <w:szCs w:val="20"/>
          <w:color w:val="auto"/>
        </w:rPr>
        <w:t>tax assets will not be realized, a valuation allowance is established through a charge to income tax expense. Potential for recovery of deferred tax assets is evaluated by estimating the future taxable profits expected and considering prudent and feasible tax planning strategies. Deferred tax assets and liabilities are offset when there is a legally enforceable right to set off current tax assets against current tax liabilities and when they relate to income taxes levied by the same taxation authority and the Company intends to settle its current tax assets and liabilities on a net basis.</w:t>
      </w:r>
    </w:p>
    <w:p>
      <w:pPr>
        <w:spacing w:after="0" w:line="197"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Company accounts for uncertainty in income taxes by applying a two-step process to determine the amount of tax benefit to be recognized. First, the tax position is evaluated to determine the likelihood that it will be sustained upon external examination by the taxing authorities. If the tax position is deemed more-likely-than-not to be sustained, the tax position is then assessed as the amount of benefit to recognize in the consolidated financial statements. The amount of benefits that may be used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00" w:lineRule="exact"/>
        <w:rPr>
          <w:sz w:val="20"/>
          <w:szCs w:val="20"/>
          <w:color w:val="auto"/>
        </w:rPr>
      </w:pPr>
    </w:p>
    <w:p>
      <w:pPr>
        <w:ind w:right="360" w:firstLine="720"/>
        <w:spacing w:after="0" w:line="259" w:lineRule="auto"/>
        <w:rPr>
          <w:sz w:val="20"/>
          <w:szCs w:val="20"/>
          <w:color w:val="auto"/>
        </w:rPr>
      </w:pPr>
      <w:r>
        <w:rPr>
          <w:rFonts w:ascii="Times New Roman" w:cs="Times New Roman" w:eastAsia="Times New Roman" w:hAnsi="Times New Roman"/>
          <w:sz w:val="20"/>
          <w:szCs w:val="20"/>
          <w:color w:val="auto"/>
        </w:rPr>
        <w:t>The Company recognizes interest related to unrecognized tax benefits within interest expense in the accompanying consolidated statements of operations and comprehensive loss. As of December 31, 2024 and 2023, no material accrued interest is included in the related tax liability line in the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U.K. R&amp;D tax credit</w:t>
      </w:r>
    </w:p>
    <w:p>
      <w:pPr>
        <w:spacing w:after="0" w:line="238" w:lineRule="exact"/>
        <w:rPr>
          <w:sz w:val="20"/>
          <w:szCs w:val="20"/>
          <w:color w:val="auto"/>
        </w:rPr>
      </w:pPr>
    </w:p>
    <w:p>
      <w:pPr>
        <w:jc w:val="both"/>
        <w:ind w:right="420" w:firstLine="720"/>
        <w:spacing w:after="0" w:line="259" w:lineRule="auto"/>
        <w:rPr>
          <w:sz w:val="20"/>
          <w:szCs w:val="20"/>
          <w:color w:val="auto"/>
        </w:rPr>
      </w:pPr>
      <w:r>
        <w:rPr>
          <w:rFonts w:ascii="Times New Roman" w:cs="Times New Roman" w:eastAsia="Times New Roman" w:hAnsi="Times New Roman"/>
          <w:sz w:val="20"/>
          <w:szCs w:val="20"/>
          <w:color w:val="auto"/>
        </w:rPr>
        <w:t>The Company is subject to corporate taxation in the U.K. Due to the nature of the business, the Company has generated operating losses since inception. The benefit from R&amp;D tax credits is recognized in the consolidated statements of operations and comprehensive loss, and represents the research and development tax credits recoverable in the U.K.</w:t>
      </w:r>
    </w:p>
    <w:p>
      <w:pPr>
        <w:spacing w:after="0" w:line="185"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The U.K. R&amp;D tax credit is fully refundable to the Company and is not dependent on current or future taxable income. As a result, the Company has recorded the entire benefit from the U.K. R&amp;D tax credit as a benefit which is included in net loss before income tax and, accordingly, not reflected it as part of the income tax provision. If, in the future, any U.K. R&amp;D tax credits generated are needed to offset a corporate income tax liability in the U.K., the relevant portion would be recorded as a benefit within the income tax provision and any refundable portion not dependent on taxable income would continue to be recorded within the benefit from research and development tax credit in the consolidated statement of operations and comprehensive loss.</w:t>
      </w:r>
    </w:p>
    <w:p>
      <w:pPr>
        <w:spacing w:after="0" w:line="200"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As a company that carries out extensive R&amp;D activities, it benefits from the U.K. small and medium sized enterprises research and development relief, or SME R&amp;D Relief, which provides relief against U.K. Corporation Tax and enables it to surrender some of its trading losses that arise from its research and development activities for a cash rebate (the "R&amp;D tax credit"). Pursuant to changes made by the Finance Act 2023, for expenditure incurred on or after April 1, 2023, a cash rebate of up to 27% for R&amp;D intensive companies where at least 30% of their total expenditure is on qualifying R&amp;D, or for non-R&amp;D intensive companies, a cash rebate of up to 18.6% of eligible R&amp;D expenditure is available. From April 1, 2023, certain subcontracted qualifying research expenditures are eligible for a cash rebate of up to 17.53% for R&amp;D intensive companies or 12.09% for other companies. The difference in cash rebate for qualifying subcontracted expenditure vs. other qualifying expenditure is due to a statutory restriction of 65% being applied to unconnected qualifying subcontracted expenditure, thus restricting the benefit available. We do not currently expect to qualify as an R&amp;D intensive company.</w:t>
      </w:r>
    </w:p>
    <w:p>
      <w:pPr>
        <w:spacing w:after="0" w:line="202"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Pursuant to changes made by the Finance Act 2024, for accounting periods starting on or after April 1, 2024, the new merged scheme will come into effect for all companies, other than loss making R&amp;D intensive SMEs. For loss making R&amp;D intensive SMEs, the enhanced R&amp;D intensive support (“ERIS”) regime will be available (for companies where at least 30% of their total expenditure including any connected companies is on qualifying R&amp;D). Under the new merged scheme, we expect to benefit from the taxable credit for qualifying R&amp;D expenditure which may either be offset against corporation tax liabilities or paid net of tax as a cash credit where there is no liability in the future. Subcontracted expenditure in most cases is expected to be a qualifying cost (unless it relates to non-qualifying costs subcontracted overseas) under the new merged scheme.</w:t>
      </w:r>
    </w:p>
    <w:p>
      <w:pPr>
        <w:spacing w:after="0" w:line="200"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In the event the Company generates revenues in the future, it may also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the Company expects a long-term lower rate of corporation tax to apply to it. If, however, there are unexpected adverse changes to the U.K. R&amp;D tax credit regime or the “patent box” regime, or for any reason it is unable to qualify for these regimes, or it is unable to use net operating loss and tax credit carryforwards and certain built-in losses to reduce future tax payments, the Company's business, results of operations, and financial condition may be adversely affected.</w:t>
      </w:r>
    </w:p>
    <w:p>
      <w:pPr>
        <w:sectPr>
          <w:pgSz w:w="11880" w:h="15480" w:orient="portrait"/>
          <w:cols w:equalWidth="0" w:num="1">
            <w:col w:w="10780"/>
          </w:cols>
          <w:pgMar w:left="540" w:top="748" w:right="5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10780"/>
          </w:cols>
          <w:pgMar w:left="540" w:top="748" w:right="560" w:bottom="8"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currencies</w:t>
      </w:r>
    </w:p>
    <w:p>
      <w:pPr>
        <w:spacing w:after="0" w:line="23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Company maintains its consolidated financial statements in its functional currency, which is pound sterling. This is also the functional currency of the wholly-owned subsidiaries which are consolidated, with the exception of Mereo BioPharma 5, for which the functional currency is U.S. dollars.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consolidated statements of operations and comprehensive loss.</w:t>
      </w:r>
    </w:p>
    <w:p>
      <w:pPr>
        <w:spacing w:after="0" w:line="200" w:lineRule="exact"/>
        <w:rPr>
          <w:sz w:val="20"/>
          <w:szCs w:val="20"/>
          <w:color w:val="auto"/>
        </w:rPr>
      </w:pPr>
    </w:p>
    <w:p>
      <w:pPr>
        <w:ind w:right="200" w:firstLine="720"/>
        <w:spacing w:after="0" w:line="247" w:lineRule="auto"/>
        <w:rPr>
          <w:sz w:val="20"/>
          <w:szCs w:val="20"/>
          <w:color w:val="auto"/>
        </w:rPr>
      </w:pPr>
      <w:r>
        <w:rPr>
          <w:rFonts w:ascii="Times New Roman" w:cs="Times New Roman" w:eastAsia="Times New Roman" w:hAnsi="Times New Roman"/>
          <w:sz w:val="20"/>
          <w:szCs w:val="20"/>
          <w:color w:val="auto"/>
        </w:rPr>
        <w:t>For financial reporting purposes, the consolidated financial statements of the Company have been presented in U.S. dollars, the reporting currency. The financial statements of entities are translated from their functional currency into U.S. dollars as follows: assets and liabilities are translated at the exchange rates at the balance sheet dates, revenue, operating expenses and other income/ (expense), net are translated at the average exchange rates for the periods presented, and shareholders’ equity is translated at the prevailing historical exchange rates. Translation adjustments are not included in determining net loss but are included as a foreign exchange adjustment to other comprehensive income, a component of shareholders’ equity.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238" w:lineRule="exact"/>
        <w:rPr>
          <w:sz w:val="20"/>
          <w:szCs w:val="20"/>
          <w:color w:val="auto"/>
        </w:rPr>
      </w:pPr>
    </w:p>
    <w:p>
      <w:pPr>
        <w:ind w:right="160" w:firstLine="720"/>
        <w:spacing w:after="0" w:line="259" w:lineRule="auto"/>
        <w:rPr>
          <w:sz w:val="20"/>
          <w:szCs w:val="20"/>
          <w:color w:val="auto"/>
        </w:rPr>
      </w:pPr>
      <w:r>
        <w:rPr>
          <w:rFonts w:ascii="Times New Roman" w:cs="Times New Roman" w:eastAsia="Times New Roman" w:hAnsi="Times New Roman"/>
          <w:sz w:val="20"/>
          <w:szCs w:val="20"/>
          <w:color w:val="auto"/>
        </w:rPr>
        <w:t>Property and equipment is stated at cost, net of accumulated depreciation and accumulated impairment losses, if any. Such cost includes the cost of replacing part of the equipment if the recognition criteria are met. All other repair and maintenance costs are recognized in profit or loss as incurred.</w:t>
      </w:r>
    </w:p>
    <w:p>
      <w:pPr>
        <w:spacing w:after="0" w:line="185"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20"/>
          <w:szCs w:val="20"/>
          <w:color w:val="auto"/>
        </w:rPr>
        <w:t>Depreciation is computed using the straight-line method over the estimated useful lives of the related assets. Useful lives of various property and equipment are as follows:</w:t>
      </w:r>
    </w:p>
    <w:p>
      <w:pPr>
        <w:spacing w:after="0" w:line="201" w:lineRule="exact"/>
        <w:rPr>
          <w:sz w:val="20"/>
          <w:szCs w:val="20"/>
          <w:color w:val="auto"/>
        </w:rPr>
      </w:pPr>
    </w:p>
    <w:tbl>
      <w:tblPr>
        <w:tblLayout w:type="fixed"/>
        <w:tblInd w:w="720" w:type="dxa"/>
        <w:tblCellMar>
          <w:top w:w="0" w:type="dxa"/>
          <w:left w:w="0" w:type="dxa"/>
          <w:bottom w:w="0" w:type="dxa"/>
          <w:right w:w="0" w:type="dxa"/>
        </w:tblCellMar>
      </w:tblPr>
      <w:tr>
        <w:trPr>
          <w:trHeight w:val="282"/>
        </w:trPr>
        <w:tc>
          <w:tcPr>
            <w:tcW w:w="220" w:type="dxa"/>
            <w:vAlign w:val="bottom"/>
          </w:tcPr>
          <w:p>
            <w:pPr>
              <w:jc w:val="right"/>
              <w:ind w:right="20"/>
              <w:spacing w:after="0"/>
              <w:rPr>
                <w:sz w:val="20"/>
                <w:szCs w:val="20"/>
                <w:color w:val="auto"/>
              </w:rPr>
            </w:pPr>
            <w:r>
              <w:rPr>
                <w:rFonts w:ascii="Arial" w:cs="Arial" w:eastAsia="Arial" w:hAnsi="Arial"/>
                <w:sz w:val="20"/>
                <w:szCs w:val="20"/>
                <w:color w:val="auto"/>
                <w:w w:val="71"/>
              </w:rPr>
              <w:t>8</w:t>
            </w:r>
          </w:p>
        </w:tc>
        <w:tc>
          <w:tcPr>
            <w:tcW w:w="2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Leasehold improvements</w:t>
            </w:r>
          </w:p>
        </w:tc>
        <w:tc>
          <w:tcPr>
            <w:tcW w:w="29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shorter of lease term or ten years</w:t>
            </w:r>
          </w:p>
        </w:tc>
      </w:tr>
      <w:tr>
        <w:trPr>
          <w:trHeight w:val="520"/>
        </w:trPr>
        <w:tc>
          <w:tcPr>
            <w:tcW w:w="220" w:type="dxa"/>
            <w:vAlign w:val="bottom"/>
          </w:tcPr>
          <w:p>
            <w:pPr>
              <w:jc w:val="right"/>
              <w:ind w:right="20"/>
              <w:spacing w:after="0"/>
              <w:rPr>
                <w:sz w:val="20"/>
                <w:szCs w:val="20"/>
                <w:color w:val="auto"/>
              </w:rPr>
            </w:pPr>
            <w:r>
              <w:rPr>
                <w:rFonts w:ascii="Arial" w:cs="Arial" w:eastAsia="Arial" w:hAnsi="Arial"/>
                <w:sz w:val="20"/>
                <w:szCs w:val="20"/>
                <w:color w:val="auto"/>
                <w:w w:val="71"/>
              </w:rPr>
              <w:t>8</w:t>
            </w:r>
          </w:p>
        </w:tc>
        <w:tc>
          <w:tcPr>
            <w:tcW w:w="2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Office equipment</w:t>
            </w:r>
          </w:p>
        </w:tc>
        <w:tc>
          <w:tcPr>
            <w:tcW w:w="29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five years</w:t>
            </w:r>
          </w:p>
        </w:tc>
      </w:tr>
      <w:tr>
        <w:trPr>
          <w:trHeight w:val="520"/>
        </w:trPr>
        <w:tc>
          <w:tcPr>
            <w:tcW w:w="220" w:type="dxa"/>
            <w:vAlign w:val="bottom"/>
          </w:tcPr>
          <w:p>
            <w:pPr>
              <w:jc w:val="right"/>
              <w:ind w:right="20"/>
              <w:spacing w:after="0"/>
              <w:rPr>
                <w:sz w:val="20"/>
                <w:szCs w:val="20"/>
                <w:color w:val="auto"/>
              </w:rPr>
            </w:pPr>
            <w:r>
              <w:rPr>
                <w:rFonts w:ascii="Arial" w:cs="Arial" w:eastAsia="Arial" w:hAnsi="Arial"/>
                <w:sz w:val="20"/>
                <w:szCs w:val="20"/>
                <w:color w:val="auto"/>
                <w:w w:val="71"/>
              </w:rPr>
              <w:t>8</w:t>
            </w:r>
          </w:p>
        </w:tc>
        <w:tc>
          <w:tcPr>
            <w:tcW w:w="2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 equipment</w:t>
            </w:r>
          </w:p>
        </w:tc>
        <w:tc>
          <w:tcPr>
            <w:tcW w:w="29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three years</w:t>
            </w:r>
          </w:p>
        </w:tc>
      </w:tr>
    </w:tbl>
    <w:p>
      <w:pPr>
        <w:spacing w:after="0" w:line="232" w:lineRule="exact"/>
        <w:rPr>
          <w:sz w:val="20"/>
          <w:szCs w:val="20"/>
          <w:color w:val="auto"/>
        </w:rPr>
      </w:pPr>
    </w:p>
    <w:p>
      <w:pPr>
        <w:ind w:right="220" w:firstLine="720"/>
        <w:spacing w:after="0" w:line="259" w:lineRule="auto"/>
        <w:rPr>
          <w:sz w:val="20"/>
          <w:szCs w:val="20"/>
          <w:color w:val="auto"/>
        </w:rPr>
      </w:pPr>
      <w:r>
        <w:rPr>
          <w:rFonts w:ascii="Times New Roman" w:cs="Times New Roman" w:eastAsia="Times New Roman" w:hAnsi="Times New Roman"/>
          <w:sz w:val="20"/>
          <w:szCs w:val="20"/>
          <w:color w:val="auto"/>
        </w:rPr>
        <w:t>Property and equipment is derecognized upon disposal or when no future economic benefits are expected from its use. Any gain or loss arising on derecognition of the asset (calculated as the difference between the net disposal proceeds and the carrying amount of the asset) is included in the consolidated statement of operations and comprehensive loss when the asset is derecognized.</w:t>
      </w:r>
    </w:p>
    <w:p>
      <w:pPr>
        <w:spacing w:after="0" w:line="185" w:lineRule="exact"/>
        <w:rPr>
          <w:sz w:val="20"/>
          <w:szCs w:val="20"/>
          <w:color w:val="auto"/>
        </w:rPr>
      </w:pPr>
    </w:p>
    <w:p>
      <w:pPr>
        <w:ind w:right="360" w:firstLine="720"/>
        <w:spacing w:after="0" w:line="279" w:lineRule="auto"/>
        <w:rPr>
          <w:sz w:val="20"/>
          <w:szCs w:val="20"/>
          <w:color w:val="auto"/>
        </w:rPr>
      </w:pPr>
      <w:r>
        <w:rPr>
          <w:rFonts w:ascii="Times New Roman" w:cs="Times New Roman" w:eastAsia="Times New Roman" w:hAnsi="Times New Roman"/>
          <w:sz w:val="20"/>
          <w:szCs w:val="20"/>
          <w:color w:val="auto"/>
        </w:rPr>
        <w:t>The residual values, useful lives and methods of depreciation of property, plant and equipment are reviewed annually and adjusted prospectively, if appropriate.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38"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Leases are accounted for under ASC Topic 842, Leases (“ASC 842”). The Company only has operating leases. The Company assesses whether a contract is, or contains, a lease at inception of the contract. The Company recognizes a right-of-use (“ROU”) asset and a corresponding liability with respect to all lease arrangements in which it is a lessee. ROU assets and liabilities are recognized at the commencement date based on the present value of remaining lease payments. For this purpose, the Company considers only payments that are fixed and determinable at the time of commencement.</w:t>
      </w:r>
    </w:p>
    <w:p>
      <w:pPr>
        <w:spacing w:after="0" w:line="197" w:lineRule="exact"/>
        <w:rPr>
          <w:sz w:val="20"/>
          <w:szCs w:val="20"/>
          <w:color w:val="auto"/>
        </w:rPr>
      </w:pPr>
    </w:p>
    <w:p>
      <w:pPr>
        <w:ind w:right="240" w:firstLine="720"/>
        <w:spacing w:after="0" w:line="259" w:lineRule="auto"/>
        <w:rPr>
          <w:sz w:val="20"/>
          <w:szCs w:val="20"/>
          <w:color w:val="auto"/>
        </w:rPr>
      </w:pPr>
      <w:r>
        <w:rPr>
          <w:rFonts w:ascii="Times New Roman" w:cs="Times New Roman" w:eastAsia="Times New Roman" w:hAnsi="Times New Roman"/>
          <w:sz w:val="20"/>
          <w:szCs w:val="20"/>
          <w:color w:val="auto"/>
        </w:rPr>
        <w:t>As the Company's leases do not provide an implicit rate, the Company determines the incremental borrowing rate in calculating the present value of lease payments. The ROU assets also include any lease payments made prior to commencement and are recorded net of any lease incentives received.</w:t>
      </w:r>
    </w:p>
    <w:p>
      <w:pPr>
        <w:spacing w:after="0" w:line="185" w:lineRule="exact"/>
        <w:rPr>
          <w:sz w:val="20"/>
          <w:szCs w:val="20"/>
          <w:color w:val="auto"/>
        </w:rPr>
      </w:pPr>
    </w:p>
    <w:p>
      <w:pPr>
        <w:ind w:right="20" w:firstLine="720"/>
        <w:spacing w:after="0" w:line="270" w:lineRule="auto"/>
        <w:rPr>
          <w:sz w:val="20"/>
          <w:szCs w:val="20"/>
          <w:color w:val="auto"/>
        </w:rPr>
      </w:pPr>
      <w:r>
        <w:rPr>
          <w:rFonts w:ascii="Times New Roman" w:cs="Times New Roman" w:eastAsia="Times New Roman" w:hAnsi="Times New Roman"/>
          <w:sz w:val="19"/>
          <w:szCs w:val="19"/>
          <w:color w:val="auto"/>
        </w:rPr>
        <w:t>The Company’s lease terms may include options to extend or terminate the lease. When it is reasonably certain the Company will exercise such options the term of the lease will be amended and the ROU asset and corresponding liability will be measured based on inclusion the option term. The Company accounts for lease and non-lease components separately. The non-lease components are service and maintenance charges and are accounted for separately. There are no variable lease costs associated with the current leases.</w:t>
      </w:r>
    </w:p>
    <w:p>
      <w:pPr>
        <w:sectPr>
          <w:pgSz w:w="11880" w:h="15480" w:orient="portrait"/>
          <w:cols w:equalWidth="0" w:num="1">
            <w:col w:w="10800"/>
          </w:cols>
          <w:pgMar w:left="540" w:top="1220" w:right="540" w:bottom="8"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10800"/>
          </w:cols>
          <w:pgMar w:left="540" w:top="1220" w:right="540" w:bottom="8" w:gutter="0" w:footer="0" w:header="0"/>
          <w:type w:val="continuous"/>
        </w:sectPr>
      </w:pPr>
    </w:p>
    <w:bookmarkStart w:id="121" w:name="page122"/>
    <w:bookmarkEnd w:id="121"/>
    <w:p>
      <w:pPr>
        <w:ind w:right="880" w:firstLine="720"/>
        <w:spacing w:after="0" w:line="279" w:lineRule="auto"/>
        <w:rPr>
          <w:sz w:val="20"/>
          <w:szCs w:val="20"/>
          <w:color w:val="auto"/>
        </w:rPr>
      </w:pPr>
      <w:r>
        <w:rPr>
          <w:rFonts w:ascii="Times New Roman" w:cs="Times New Roman" w:eastAsia="Times New Roman" w:hAnsi="Times New Roman"/>
          <w:sz w:val="20"/>
          <w:szCs w:val="20"/>
          <w:color w:val="auto"/>
        </w:rPr>
        <w:t>Operating leases are included in right-of-use assets and in current and non-current operating lease liabilities on the Company's consolidated balance sheets.</w:t>
      </w:r>
    </w:p>
    <w:p>
      <w:pPr>
        <w:spacing w:after="0" w:line="165" w:lineRule="exact"/>
        <w:rPr>
          <w:sz w:val="20"/>
          <w:szCs w:val="20"/>
          <w:color w:val="auto"/>
        </w:rPr>
      </w:pPr>
    </w:p>
    <w:p>
      <w:pPr>
        <w:ind w:right="80" w:firstLine="720"/>
        <w:spacing w:after="0" w:line="279" w:lineRule="auto"/>
        <w:rPr>
          <w:sz w:val="20"/>
          <w:szCs w:val="20"/>
          <w:color w:val="auto"/>
        </w:rPr>
      </w:pPr>
      <w:r>
        <w:rPr>
          <w:rFonts w:ascii="Times New Roman" w:cs="Times New Roman" w:eastAsia="Times New Roman" w:hAnsi="Times New Roman"/>
          <w:sz w:val="20"/>
          <w:szCs w:val="20"/>
          <w:color w:val="auto"/>
        </w:rPr>
        <w:t>Lease expense for lease payments is considered operating lease costs and is recognized on a straight-line basis over the lease term. The lease terms for the underlying assets is as follows:</w:t>
      </w:r>
    </w:p>
    <w:p>
      <w:pPr>
        <w:spacing w:after="0" w:line="155" w:lineRule="exact"/>
        <w:rPr>
          <w:sz w:val="20"/>
          <w:szCs w:val="20"/>
          <w:color w:val="auto"/>
        </w:rPr>
      </w:pPr>
    </w:p>
    <w:p>
      <w:pPr>
        <w:ind w:left="720"/>
        <w:spacing w:after="0"/>
        <w:tabs>
          <w:tab w:leader="none" w:pos="1060" w:val="left"/>
          <w:tab w:leader="none" w:pos="3720" w:val="left"/>
        </w:tabs>
        <w:rPr>
          <w:sz w:val="20"/>
          <w:szCs w:val="20"/>
          <w:color w:val="auto"/>
        </w:rPr>
      </w:pPr>
      <w:r>
        <w:rPr>
          <w:rFonts w:ascii="Arial" w:cs="Arial" w:eastAsia="Arial" w:hAnsi="Arial"/>
          <w:sz w:val="20"/>
          <w:szCs w:val="20"/>
          <w:color w:val="auto"/>
        </w:rPr>
        <w:t>8</w:t>
      </w:r>
      <w:r>
        <w:rPr>
          <w:sz w:val="20"/>
          <w:szCs w:val="20"/>
          <w:color w:val="auto"/>
        </w:rPr>
        <w:tab/>
      </w:r>
      <w:r>
        <w:rPr>
          <w:rFonts w:ascii="Times New Roman" w:cs="Times New Roman" w:eastAsia="Times New Roman" w:hAnsi="Times New Roman"/>
          <w:sz w:val="20"/>
          <w:szCs w:val="20"/>
          <w:color w:val="auto"/>
        </w:rPr>
        <w:t>Right-of-use asset (building)</w:t>
      </w:r>
      <w:r>
        <w:rPr>
          <w:sz w:val="20"/>
          <w:szCs w:val="20"/>
          <w:color w:val="auto"/>
        </w:rPr>
        <w:tab/>
      </w:r>
      <w:r>
        <w:rPr>
          <w:rFonts w:ascii="Times New Roman" w:cs="Times New Roman" w:eastAsia="Times New Roman" w:hAnsi="Times New Roman"/>
          <w:sz w:val="19"/>
          <w:szCs w:val="19"/>
          <w:color w:val="auto"/>
        </w:rPr>
        <w:t>six to nine years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38" w:lineRule="exact"/>
        <w:rPr>
          <w:sz w:val="20"/>
          <w:szCs w:val="20"/>
          <w:color w:val="auto"/>
        </w:rPr>
      </w:pPr>
    </w:p>
    <w:p>
      <w:pPr>
        <w:ind w:right="600" w:firstLine="720"/>
        <w:spacing w:after="0" w:line="279" w:lineRule="auto"/>
        <w:rPr>
          <w:sz w:val="20"/>
          <w:szCs w:val="20"/>
          <w:color w:val="auto"/>
        </w:rPr>
      </w:pPr>
      <w:r>
        <w:rPr>
          <w:rFonts w:ascii="Times New Roman" w:cs="Times New Roman" w:eastAsia="Times New Roman" w:hAnsi="Times New Roman"/>
          <w:sz w:val="20"/>
          <w:szCs w:val="20"/>
          <w:color w:val="auto"/>
        </w:rPr>
        <w:t>Identifiable intangible assets within the scope of ASC 730 that are purchased from others for a particular research and development project outside of a business combination, and that have no alternative future uses are expensed as incurred.</w:t>
      </w:r>
    </w:p>
    <w:p>
      <w:pPr>
        <w:spacing w:after="0" w:line="165"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Intangible assets that have an alternative future use, or which are outside the scope of ASC 730, are accounted for under ASC Topic 350, Intangibles – Goodwill and Other (“ASC 350”) and are initially recorded at cost, which is the fair value of the consideration paid on the acquisition date.</w:t>
      </w:r>
    </w:p>
    <w:p>
      <w:pPr>
        <w:spacing w:after="0" w:line="185" w:lineRule="exact"/>
        <w:rPr>
          <w:sz w:val="20"/>
          <w:szCs w:val="20"/>
          <w:color w:val="auto"/>
        </w:rPr>
      </w:pPr>
    </w:p>
    <w:p>
      <w:pPr>
        <w:ind w:right="260" w:firstLine="720"/>
        <w:spacing w:after="0" w:line="247" w:lineRule="auto"/>
        <w:rPr>
          <w:sz w:val="20"/>
          <w:szCs w:val="20"/>
          <w:color w:val="auto"/>
        </w:rPr>
      </w:pPr>
      <w:r>
        <w:rPr>
          <w:rFonts w:ascii="Times New Roman" w:cs="Times New Roman" w:eastAsia="Times New Roman" w:hAnsi="Times New Roman"/>
          <w:sz w:val="20"/>
          <w:szCs w:val="20"/>
          <w:color w:val="auto"/>
        </w:rPr>
        <w:t>Consideration that is contingent on future events is included in the cost of the asset (irrespective of whether the asset is subsequently expensed under ASC 730) with a corresponding contingent consideration liability recorded if the contingency is both probable and estimable. However, where the liability is payable in a variable number of shares based on a fixed monetary amount known at the inception of an arrangement, it is initially recorded at fair value and presented as a liability under ASC Topic 480, Distinguishing Liabilities from Equity. The Company continues to reassess the fair value of such instruments each reporting period until the milestones are achieved, if ever, and the issuance of shares occurs.</w:t>
      </w:r>
    </w:p>
    <w:p>
      <w:pPr>
        <w:spacing w:after="0" w:line="200" w:lineRule="exact"/>
        <w:rPr>
          <w:sz w:val="20"/>
          <w:szCs w:val="20"/>
          <w:color w:val="auto"/>
        </w:rPr>
      </w:pPr>
    </w:p>
    <w:p>
      <w:pPr>
        <w:ind w:right="260" w:firstLine="720"/>
        <w:spacing w:after="0" w:line="247" w:lineRule="auto"/>
        <w:rPr>
          <w:sz w:val="20"/>
          <w:szCs w:val="20"/>
          <w:color w:val="auto"/>
        </w:rPr>
      </w:pPr>
      <w:r>
        <w:rPr>
          <w:rFonts w:ascii="Times New Roman" w:cs="Times New Roman" w:eastAsia="Times New Roman" w:hAnsi="Times New Roman"/>
          <w:sz w:val="20"/>
          <w:szCs w:val="20"/>
          <w:color w:val="auto"/>
        </w:rPr>
        <w:t>Given the pervasive uncertainty involved in establishing the amounts, timing and likelihood of the future cash flows, including the Company’s ability to secure either a partnership or alternative forms of non-dilutive financing, the possible terms and rate of such a partnership or financing, the clinical and regulatory performance of the product candidate and the lack of comparable recent transactions, the Company has determined the fair value of the equity milestones to be paid in a variable number of shares pursuant to its Amended AstraZeneca License Agreement to be negligible and therefore assigned a nil value to the instrument as of December 31, 2024.</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Intangible assets that have been acquired in a business combination are initially recorded at fair value.</w:t>
      </w:r>
    </w:p>
    <w:p>
      <w:pPr>
        <w:spacing w:after="0" w:line="240" w:lineRule="exact"/>
        <w:rPr>
          <w:sz w:val="20"/>
          <w:szCs w:val="20"/>
          <w:color w:val="auto"/>
        </w:rPr>
      </w:pPr>
    </w:p>
    <w:p>
      <w:pPr>
        <w:ind w:right="280" w:firstLine="720"/>
        <w:spacing w:after="0" w:line="249" w:lineRule="auto"/>
        <w:rPr>
          <w:sz w:val="20"/>
          <w:szCs w:val="20"/>
          <w:color w:val="auto"/>
        </w:rPr>
      </w:pPr>
      <w:r>
        <w:rPr>
          <w:rFonts w:ascii="Times New Roman" w:cs="Times New Roman" w:eastAsia="Times New Roman" w:hAnsi="Times New Roman"/>
          <w:sz w:val="20"/>
          <w:szCs w:val="20"/>
          <w:color w:val="auto"/>
        </w:rPr>
        <w:t>Intangible assets are amortized over their estimated useful economic life from the date they are available for use and are recognized in general and administrative expenses. An intangible asset is derecognized on disposal, or when no future economic benefits are expected from use or disposal. Gains or losses arising from derecognition of an intangible asset, measured as the difference between the net disposal proceeds and the carrying amount of the asset, are recognized in profit or loss when the asset is derecognized.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w:t>
      </w:r>
    </w:p>
    <w:p>
      <w:pPr>
        <w:spacing w:after="0" w:line="238"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The Company’s financial instruments consist of cash and cash equivalents, accounts receivable, accounts payable, certain accrued expenses, warrant liabilities and the liability components of convertible loan notes and other financing arrangements. Cash, cash equivalents, accounts receivable, accounts payable and accrued expenses are initially recorded and subsequently measured at cost, which is considered to approximate their fair value due to the short-term nature of such financial instruments. The carrying value of warrant liabilities and convertible loan notes is explained in the sections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Embedded derivatives</w:t>
      </w:r>
    </w:p>
    <w:p>
      <w:pPr>
        <w:spacing w:after="0" w:line="238" w:lineRule="exact"/>
        <w:rPr>
          <w:sz w:val="20"/>
          <w:szCs w:val="20"/>
          <w:color w:val="auto"/>
        </w:rPr>
      </w:pPr>
    </w:p>
    <w:p>
      <w:pPr>
        <w:ind w:right="360" w:firstLine="720"/>
        <w:spacing w:after="0" w:line="259" w:lineRule="auto"/>
        <w:rPr>
          <w:sz w:val="20"/>
          <w:szCs w:val="20"/>
          <w:color w:val="auto"/>
        </w:rPr>
      </w:pPr>
      <w:r>
        <w:rPr>
          <w:rFonts w:ascii="Times New Roman" w:cs="Times New Roman" w:eastAsia="Times New Roman" w:hAnsi="Times New Roman"/>
          <w:sz w:val="20"/>
          <w:szCs w:val="20"/>
          <w:color w:val="auto"/>
        </w:rPr>
        <w:t>The Company reviews the terms of convertible loan notes and other hybrid financing arrangements to determine whether there are embedded derivative instruments, including conversion options that are required to be bifurcated and accounted for separately either as a derivative financial instrument or an equity instrument.</w:t>
      </w:r>
    </w:p>
    <w:p>
      <w:pPr>
        <w:spacing w:after="0" w:line="185" w:lineRule="exact"/>
        <w:rPr>
          <w:sz w:val="20"/>
          <w:szCs w:val="20"/>
          <w:color w:val="auto"/>
        </w:rPr>
      </w:pPr>
    </w:p>
    <w:p>
      <w:pPr>
        <w:ind w:right="160" w:firstLine="720"/>
        <w:spacing w:after="0" w:line="307" w:lineRule="auto"/>
        <w:rPr>
          <w:sz w:val="20"/>
          <w:szCs w:val="20"/>
          <w:color w:val="auto"/>
        </w:rPr>
      </w:pPr>
      <w:r>
        <w:rPr>
          <w:rFonts w:ascii="Times New Roman" w:cs="Times New Roman" w:eastAsia="Times New Roman" w:hAnsi="Times New Roman"/>
          <w:sz w:val="19"/>
          <w:szCs w:val="19"/>
          <w:color w:val="auto"/>
        </w:rPr>
        <w:t>Derivative financial instruments are initially measured at fair value, and then re-valued at each reporting date, with changes in the fair value reported in the consolidated statements of operations and comprehensive loss as a component of net income.</w:t>
      </w:r>
    </w:p>
    <w:p>
      <w:pPr>
        <w:spacing w:after="0" w:line="141" w:lineRule="exact"/>
        <w:rPr>
          <w:sz w:val="20"/>
          <w:szCs w:val="20"/>
          <w:color w:val="auto"/>
        </w:rPr>
      </w:pPr>
    </w:p>
    <w:p>
      <w:pPr>
        <w:ind w:right="140" w:firstLine="720"/>
        <w:spacing w:after="0" w:line="279" w:lineRule="auto"/>
        <w:rPr>
          <w:sz w:val="20"/>
          <w:szCs w:val="20"/>
          <w:color w:val="auto"/>
        </w:rPr>
      </w:pPr>
      <w:r>
        <w:rPr>
          <w:rFonts w:ascii="Times New Roman" w:cs="Times New Roman" w:eastAsia="Times New Roman" w:hAnsi="Times New Roman"/>
          <w:sz w:val="20"/>
          <w:szCs w:val="20"/>
          <w:color w:val="auto"/>
        </w:rPr>
        <w:t>The discount from face value of the liability component remaining from allocating some or all of the proceeds of the hybrid instrument to the derivative, together with the stated rate of interest on the instrument, is amortized over the life of the instrument</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F-14</w:t>
      </w:r>
    </w:p>
    <w:p>
      <w:pPr>
        <w:sectPr>
          <w:pgSz w:w="11880" w:h="15480" w:orient="portrait"/>
          <w:cols w:equalWidth="0" w:num="1">
            <w:col w:w="10760"/>
          </w:cols>
          <w:pgMar w:left="540" w:top="748" w:right="580" w:bottom="0" w:gutter="0" w:footer="0" w:header="0"/>
        </w:sectPr>
      </w:pPr>
    </w:p>
    <w:bookmarkStart w:id="122" w:name="page123"/>
    <w:bookmarkEnd w:id="122"/>
    <w:p>
      <w:pPr>
        <w:ind w:right="300"/>
        <w:spacing w:after="0" w:line="259" w:lineRule="auto"/>
        <w:rPr>
          <w:sz w:val="20"/>
          <w:szCs w:val="20"/>
          <w:color w:val="auto"/>
        </w:rPr>
      </w:pPr>
      <w:r>
        <w:rPr>
          <w:rFonts w:ascii="Times New Roman" w:cs="Times New Roman" w:eastAsia="Times New Roman" w:hAnsi="Times New Roman"/>
          <w:sz w:val="20"/>
          <w:szCs w:val="20"/>
          <w:color w:val="auto"/>
        </w:rPr>
        <w:t>through periodic charges to consolidated statements of operations and comprehensive loss, using the effective interest method. Embedded derivatives that are bifurcated and recognized as liability instruments are presented in a separate line in the consolidated balance sheets.</w:t>
      </w:r>
    </w:p>
    <w:p>
      <w:pPr>
        <w:spacing w:after="0" w:line="185"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20"/>
          <w:szCs w:val="20"/>
          <w:color w:val="auto"/>
        </w:rPr>
        <w:t>Embedded derivative instruments that meet the criteria of equity instruments under ASC Topic 815-40, Contracts in Entity’s Own Equity (</w:t>
      </w:r>
      <w:r>
        <w:rPr>
          <w:rFonts w:ascii="Times New Roman" w:cs="Times New Roman" w:eastAsia="Times New Roman" w:hAnsi="Times New Roman"/>
          <w:sz w:val="20"/>
          <w:szCs w:val="20"/>
          <w:i w:val="1"/>
          <w:iCs w:val="1"/>
          <w:color w:val="auto"/>
        </w:rPr>
        <w:t>Subtopic 815-40</w:t>
      </w:r>
      <w:r>
        <w:rPr>
          <w:rFonts w:ascii="Times New Roman" w:cs="Times New Roman" w:eastAsia="Times New Roman" w:hAnsi="Times New Roman"/>
          <w:sz w:val="20"/>
          <w:szCs w:val="20"/>
          <w:color w:val="auto"/>
        </w:rPr>
        <w:t>) are initially recognized within additional paid-in capital at an amount determined by allocating the proceeds between the debt and equity components based on their relative fair values.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loan notes</w:t>
      </w:r>
    </w:p>
    <w:p>
      <w:pPr>
        <w:spacing w:after="0" w:line="238" w:lineRule="exact"/>
        <w:rPr>
          <w:sz w:val="20"/>
          <w:szCs w:val="20"/>
          <w:color w:val="auto"/>
        </w:rPr>
      </w:pPr>
    </w:p>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Convertible loan notes are accounted for in accordance with ASC Topic 470-20, Debt with Conversion and Other Options as amended by ASU 2020-06, Debt with Conversion and Other Options (Subtopic 470-20) and Derivatives and Hedging—Contracts in Entity’s Own Equity (Subtopic 815-40) which the Company early adopted on January 1, 2021 on a fully retrospective basis.</w:t>
      </w:r>
    </w:p>
    <w:p>
      <w:pPr>
        <w:spacing w:after="0" w:line="185"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As described in Note 11, the Company issued two hybrid financial instruments in 2020; the Novartis Loan Note and the Private Placement Loan Notes, which both included multiple instruments, including convertible loan notes and warrants. For both hybrid financial instruments, pursuant to ASC Subtopic 470-20, the Company separately accounted for the liability component of the convertible loan notes, the embedded conversion option and the warrants.</w:t>
      </w:r>
    </w:p>
    <w:p>
      <w:pPr>
        <w:spacing w:after="0" w:line="190" w:lineRule="exact"/>
        <w:rPr>
          <w:sz w:val="20"/>
          <w:szCs w:val="20"/>
          <w:color w:val="auto"/>
        </w:rPr>
      </w:pPr>
    </w:p>
    <w:p>
      <w:pPr>
        <w:jc w:val="both"/>
        <w:ind w:right="180" w:firstLine="720"/>
        <w:spacing w:after="0" w:line="259" w:lineRule="auto"/>
        <w:rPr>
          <w:sz w:val="20"/>
          <w:szCs w:val="20"/>
          <w:color w:val="auto"/>
        </w:rPr>
      </w:pPr>
      <w:r>
        <w:rPr>
          <w:rFonts w:ascii="Times New Roman" w:cs="Times New Roman" w:eastAsia="Times New Roman" w:hAnsi="Times New Roman"/>
          <w:sz w:val="20"/>
          <w:szCs w:val="20"/>
          <w:color w:val="auto"/>
        </w:rPr>
        <w:t>In the case of the Novartis Loan Note, both the conversion option and the warrants were separately accounted for as equity instruments upon issuance. The conversion option and warrants are accounted for as equity instruments as they met the requirements to be considered indexed to the Company's own shares under Subtopic 815-40.</w:t>
      </w:r>
    </w:p>
    <w:p>
      <w:pPr>
        <w:spacing w:after="0" w:line="185"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In the case of the Private Placement Loan Notes, both the conversion option and the warrants were initially separately accounted for as derivative instruments under ASC 815, however upon the passing of certain resolutions of the Company’s shareholders on June 30, 2020, the classification of the conversion option was reassessed and reclassified as an equity instrument. The warrants continued to be separately accounted for as derivative liabilities.</w:t>
      </w:r>
    </w:p>
    <w:p>
      <w:pPr>
        <w:spacing w:after="0" w:line="19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Consideration received for hybrid financial instruments containing convertible debt is initially allocated to the fair value of separately recognized derivative instruments that will be subsequently remeasured at fair value under ASC 815, including the warrants issued with the Private Placement Loan Notes. The remaining consideration is allocated to the liability portion of the convertible loan notes and any other separately recognized equity instruments, such as the embedded conversion option, based on the relative fair value of each instrument.</w:t>
      </w:r>
    </w:p>
    <w:p>
      <w:pPr>
        <w:spacing w:after="0" w:line="197" w:lineRule="exact"/>
        <w:rPr>
          <w:sz w:val="20"/>
          <w:szCs w:val="20"/>
          <w:color w:val="auto"/>
        </w:rPr>
      </w:pPr>
    </w:p>
    <w:p>
      <w:pPr>
        <w:ind w:right="160" w:firstLine="720"/>
        <w:spacing w:after="0" w:line="253" w:lineRule="auto"/>
        <w:rPr>
          <w:sz w:val="20"/>
          <w:szCs w:val="20"/>
          <w:color w:val="auto"/>
        </w:rPr>
      </w:pPr>
      <w:r>
        <w:rPr>
          <w:rFonts w:ascii="Times New Roman" w:cs="Times New Roman" w:eastAsia="Times New Roman" w:hAnsi="Times New Roman"/>
          <w:sz w:val="20"/>
          <w:szCs w:val="20"/>
          <w:color w:val="auto"/>
        </w:rPr>
        <w:t>Where none of the embedded derivatives are required to be subsequently remeasured at fair value, including the Novartis Loan Note, the consideration is allocated to all elements based on the relative fair value of each instrument. As the conversion option in the Novartis Loan Note is classified as an equity instrument, it qualifies for the scope exception for contracts indexed to the Company's own equity and as such is allocated to additional paid-in capital and accounted for at the initial recognition amount.</w:t>
      </w:r>
    </w:p>
    <w:p>
      <w:pPr>
        <w:spacing w:after="0" w:line="190" w:lineRule="exact"/>
        <w:rPr>
          <w:sz w:val="20"/>
          <w:szCs w:val="20"/>
          <w:color w:val="auto"/>
        </w:rPr>
      </w:pPr>
    </w:p>
    <w:p>
      <w:pPr>
        <w:ind w:right="540" w:firstLine="720"/>
        <w:spacing w:after="0" w:line="279" w:lineRule="auto"/>
        <w:rPr>
          <w:sz w:val="20"/>
          <w:szCs w:val="20"/>
          <w:color w:val="auto"/>
        </w:rPr>
      </w:pPr>
      <w:r>
        <w:rPr>
          <w:rFonts w:ascii="Times New Roman" w:cs="Times New Roman" w:eastAsia="Times New Roman" w:hAnsi="Times New Roman"/>
          <w:sz w:val="20"/>
          <w:szCs w:val="20"/>
          <w:color w:val="auto"/>
        </w:rPr>
        <w:t>Changes to the terms of convertible loan notes are evaluated to determine whether they constitute an extinguishment or modification. Changes are accounted for as an extinguishment if:</w:t>
      </w:r>
    </w:p>
    <w:p>
      <w:pPr>
        <w:spacing w:after="0" w:line="165" w:lineRule="exact"/>
        <w:rPr>
          <w:sz w:val="20"/>
          <w:szCs w:val="20"/>
          <w:color w:val="auto"/>
        </w:rPr>
      </w:pPr>
    </w:p>
    <w:p>
      <w:pPr>
        <w:ind w:left="1080" w:right="360" w:hanging="360"/>
        <w:spacing w:after="0" w:line="279" w:lineRule="auto"/>
        <w:tabs>
          <w:tab w:leader="none" w:pos="10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cause the present value of the cash flows under the terms of the new debt instrument to be at least 10% different from the present value of the remaining cash flows under the terms of the original instrument; or</w:t>
      </w:r>
    </w:p>
    <w:p>
      <w:pPr>
        <w:spacing w:after="0" w:line="165" w:lineRule="exact"/>
        <w:rPr>
          <w:rFonts w:ascii="Times New Roman" w:cs="Times New Roman" w:eastAsia="Times New Roman" w:hAnsi="Times New Roman"/>
          <w:sz w:val="20"/>
          <w:szCs w:val="20"/>
          <w:color w:val="auto"/>
        </w:rPr>
      </w:pPr>
    </w:p>
    <w:p>
      <w:pPr>
        <w:ind w:left="1080" w:right="200" w:hanging="360"/>
        <w:spacing w:after="0" w:line="279" w:lineRule="auto"/>
        <w:tabs>
          <w:tab w:leader="none" w:pos="10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change the fair value of the embedded conversion option by more than 10% of the carrying amount of the original debt instrument immediately before the modification; or</w:t>
      </w:r>
    </w:p>
    <w:p>
      <w:pPr>
        <w:spacing w:after="0" w:line="165" w:lineRule="exact"/>
        <w:rPr>
          <w:rFonts w:ascii="Times New Roman" w:cs="Times New Roman" w:eastAsia="Times New Roman" w:hAnsi="Times New Roman"/>
          <w:sz w:val="20"/>
          <w:szCs w:val="20"/>
          <w:color w:val="auto"/>
        </w:rPr>
      </w:pPr>
    </w:p>
    <w:p>
      <w:pPr>
        <w:ind w:left="1080" w:right="780" w:hanging="360"/>
        <w:spacing w:after="0" w:line="279" w:lineRule="auto"/>
        <w:tabs>
          <w:tab w:leader="none" w:pos="10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add a substantive conversion option or eliminate a conversion option that was substantive at the date of the modification or exchange.</w:t>
      </w:r>
    </w:p>
    <w:p>
      <w:pPr>
        <w:spacing w:after="0" w:line="165"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Where changes are extinguishments, the liability component is derecognized and new component recognized in the same way as described above on initial recognition. The difference between the carrying value of the original debt and the fair value of the new component will be recognized as an extinguishment gain or loss. For the years ended December 31, 2024 and 2023, no extinguishment gain or loss was recognized in the consolidated statements of operations and comprehensive loss.</w:t>
      </w:r>
    </w:p>
    <w:p>
      <w:pPr>
        <w:spacing w:after="0" w:line="190" w:lineRule="exact"/>
        <w:rPr>
          <w:sz w:val="20"/>
          <w:szCs w:val="20"/>
          <w:color w:val="auto"/>
        </w:rPr>
      </w:pPr>
    </w:p>
    <w:p>
      <w:pPr>
        <w:ind w:right="720" w:firstLine="720"/>
        <w:spacing w:after="0" w:line="307" w:lineRule="auto"/>
        <w:rPr>
          <w:sz w:val="20"/>
          <w:szCs w:val="20"/>
          <w:color w:val="auto"/>
        </w:rPr>
      </w:pPr>
      <w:r>
        <w:rPr>
          <w:rFonts w:ascii="Times New Roman" w:cs="Times New Roman" w:eastAsia="Times New Roman" w:hAnsi="Times New Roman"/>
          <w:sz w:val="19"/>
          <w:szCs w:val="19"/>
          <w:color w:val="auto"/>
        </w:rPr>
        <w:t>Where changes are modifications, the carrying value of the liability component is adjusted to the present value of the modified cash flows discounted at the original effective interest rate, net of identifiable transaction costs, with the difference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1880" w:h="15480" w:orient="portrait"/>
          <w:cols w:equalWidth="0" w:num="1">
            <w:col w:w="10800"/>
          </w:cols>
          <w:pgMar w:left="540" w:top="748" w:right="540" w:bottom="0" w:gutter="0" w:footer="0" w:header="0"/>
        </w:sectPr>
      </w:pPr>
    </w:p>
    <w:bookmarkStart w:id="123" w:name="page124"/>
    <w:bookmarkEnd w:id="123"/>
    <w:p>
      <w:pPr>
        <w:spacing w:after="0" w:line="13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recognized by accreting the new carrying value to its face value using a revised effective interest rate and the accretion recognized in interest income. If the conversion option had previously been classified as a financial liability, but had been reclassified to equity (as was the case with the Private Placement Loan Notes) the carrying value of the liability is also adjusted to reflect any increase (but not decrease) in the fair value of the embedded, un-separated, conversion option with a corresponding adjustment to additional paid-in capital. The revised carrying value is accreted to the value of the principal plus accrued interest payable at maturity using the new effective interest rate.</w:t>
      </w:r>
    </w:p>
    <w:p>
      <w:pPr>
        <w:spacing w:after="0" w:line="200" w:lineRule="exact"/>
        <w:rPr>
          <w:sz w:val="20"/>
          <w:szCs w:val="20"/>
          <w:color w:val="auto"/>
        </w:rPr>
      </w:pPr>
    </w:p>
    <w:p>
      <w:pPr>
        <w:ind w:right="160" w:firstLine="720"/>
        <w:spacing w:after="0" w:line="253" w:lineRule="auto"/>
        <w:rPr>
          <w:sz w:val="20"/>
          <w:szCs w:val="20"/>
          <w:color w:val="auto"/>
        </w:rPr>
      </w:pPr>
      <w:r>
        <w:rPr>
          <w:rFonts w:ascii="Times New Roman" w:cs="Times New Roman" w:eastAsia="Times New Roman" w:hAnsi="Times New Roman"/>
          <w:sz w:val="20"/>
          <w:szCs w:val="20"/>
          <w:color w:val="auto"/>
        </w:rPr>
        <w:t>Upon any conversion of the convertible loan notes in accordance with the conversion privileges provided in the terms of the instrument, the carrying value is adjusted for any unamortized capitalized transaction costs, which are recognized within interest expense. The carrying value is reduced by the cash consideration received and any excess or deficit after recognizing the nominal value of the ordinary shares issued is recognized within additional paid-in capital.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liabilities</w:t>
      </w:r>
    </w:p>
    <w:p>
      <w:pPr>
        <w:spacing w:after="0" w:line="238" w:lineRule="exact"/>
        <w:rPr>
          <w:sz w:val="20"/>
          <w:szCs w:val="20"/>
          <w:color w:val="auto"/>
        </w:rPr>
      </w:pPr>
    </w:p>
    <w:p>
      <w:pPr>
        <w:ind w:right="20" w:firstLine="720"/>
        <w:spacing w:after="0" w:line="279" w:lineRule="auto"/>
        <w:rPr>
          <w:sz w:val="20"/>
          <w:szCs w:val="20"/>
          <w:color w:val="auto"/>
        </w:rPr>
      </w:pPr>
      <w:r>
        <w:rPr>
          <w:rFonts w:ascii="Times New Roman" w:cs="Times New Roman" w:eastAsia="Times New Roman" w:hAnsi="Times New Roman"/>
          <w:sz w:val="20"/>
          <w:szCs w:val="20"/>
          <w:color w:val="auto"/>
        </w:rPr>
        <w:t>The Company issued warrants as part of a private placement transaction on June 30, 2020 and to its previous lenders pursuant to the terms of its loan facility in August 2017 and October 2018. The private placement warrants expired in June 2023.</w:t>
      </w:r>
    </w:p>
    <w:p>
      <w:pPr>
        <w:spacing w:after="0" w:line="165" w:lineRule="exact"/>
        <w:rPr>
          <w:sz w:val="20"/>
          <w:szCs w:val="20"/>
          <w:color w:val="auto"/>
        </w:rPr>
      </w:pPr>
    </w:p>
    <w:p>
      <w:pPr>
        <w:ind w:right="540" w:firstLine="720"/>
        <w:spacing w:after="0" w:line="259" w:lineRule="auto"/>
        <w:rPr>
          <w:sz w:val="20"/>
          <w:szCs w:val="20"/>
          <w:color w:val="auto"/>
        </w:rPr>
      </w:pPr>
      <w:r>
        <w:rPr>
          <w:rFonts w:ascii="Times New Roman" w:cs="Times New Roman" w:eastAsia="Times New Roman" w:hAnsi="Times New Roman"/>
          <w:sz w:val="20"/>
          <w:szCs w:val="20"/>
          <w:color w:val="auto"/>
        </w:rPr>
        <w:t>The warrants were classified as liabilities as they included provisions that could require cash settlement. The warrant instruments are recorded at fair value, with changes in the fair value recognized in the consolidated statements of operations and comprehensive loss as a component of net loss, where the terms of the warrant instruments allow for cashless exercise.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classified warrants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has issued the following equity classified warrants:</w:t>
      </w:r>
    </w:p>
    <w:p>
      <w:pPr>
        <w:spacing w:after="0" w:line="259" w:lineRule="exact"/>
        <w:rPr>
          <w:sz w:val="20"/>
          <w:szCs w:val="20"/>
          <w:color w:val="auto"/>
        </w:rPr>
      </w:pPr>
    </w:p>
    <w:p>
      <w:pPr>
        <w:ind w:left="1080" w:right="120" w:hanging="360"/>
        <w:spacing w:after="0" w:line="242" w:lineRule="auto"/>
        <w:tabs>
          <w:tab w:leader="none" w:pos="10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first tranche of warrants over 1,449,614 ordinary shares with a subscription price of £0.265 per ordinary share in conjunction with the Novartis Loan Note in 2020 and a second tranche of warrants over a further 2,000,000 ordinary shares with a subscription price of £0.15 per ordinary share in conjunction with amendments made to the Novartis Loan Note in 2023. The first tranche were exercisable until February 10, 2025 and an exercise notice was received on February 7, 2025. The Company subsequently received $0.5 million in cash in satisfaction of the subscription price and issued and allotted 1,449,610 shares (equivalent to 289,922 ADSs). The second tranche of warrants are exercisable until February 10, 2028. The value allocated to both tranches of warrants was recognized in additional paid-in capital at issuance as described above.</w:t>
      </w:r>
    </w:p>
    <w:p>
      <w:pPr>
        <w:spacing w:after="0" w:line="220" w:lineRule="exact"/>
        <w:rPr>
          <w:rFonts w:ascii="Times New Roman" w:cs="Times New Roman" w:eastAsia="Times New Roman" w:hAnsi="Times New Roman"/>
          <w:sz w:val="22"/>
          <w:szCs w:val="22"/>
          <w:color w:val="auto"/>
        </w:rPr>
      </w:pPr>
    </w:p>
    <w:p>
      <w:pPr>
        <w:ind w:left="1080" w:right="80" w:hanging="360"/>
        <w:spacing w:after="0" w:line="241" w:lineRule="auto"/>
        <w:tabs>
          <w:tab w:leader="none" w:pos="10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October 2018, the Company entered into a funding agreement with The Alpha-1 Project (“TAP”), which provided for total payments of $0.4 million, of which the final installment of $0.1 million was received in May 2023. In exchange for funding, the Company issued warrants over a total of 1,551,699 ordinary shares, allowing TAP to subscribe for ordinary shares in the Company. Under the agreement, TAP is potentially entitled to receive a payment equivalent to the amounts received by Mereo (up to a maximum of $0.4 million) conditional on and within thirty days of the first regulatory approval for alvelestat. The agreement was accounted for as a compound instrument that includes both debt and equity components with the carrying value of each component established based on the relative fair value of each component. The amount allocated to the liability component is accreted back to the face value over the period to the earliest reasonable repayment date using the effective interest method. The amount allocated to the warrants was recognized in additional paid-in capital and is not subsequently remeasured.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w:t>
      </w:r>
    </w:p>
    <w:p>
      <w:pPr>
        <w:spacing w:after="0" w:line="238" w:lineRule="exact"/>
        <w:rPr>
          <w:sz w:val="20"/>
          <w:szCs w:val="20"/>
          <w:color w:val="auto"/>
        </w:rPr>
      </w:pPr>
    </w:p>
    <w:p>
      <w:pPr>
        <w:ind w:right="260" w:firstLine="720"/>
        <w:spacing w:after="0" w:line="307" w:lineRule="auto"/>
        <w:rPr>
          <w:sz w:val="20"/>
          <w:szCs w:val="20"/>
          <w:color w:val="auto"/>
        </w:rPr>
      </w:pPr>
      <w:r>
        <w:rPr>
          <w:rFonts w:ascii="Times New Roman" w:cs="Times New Roman" w:eastAsia="Times New Roman" w:hAnsi="Times New Roman"/>
          <w:sz w:val="19"/>
          <w:szCs w:val="19"/>
          <w:color w:val="auto"/>
        </w:rPr>
        <w:t>The Company follows the guidance in ASC Topic 820, Fair Value Measurements and Disclosures (“ASC 820”) which defines fair value and establishes a fair value hierarchy that prioritizes the inputs to valuation techniques used to measure fair value.</w:t>
      </w:r>
    </w:p>
    <w:p>
      <w:pPr>
        <w:spacing w:after="0" w:line="141" w:lineRule="exact"/>
        <w:rPr>
          <w:sz w:val="20"/>
          <w:szCs w:val="20"/>
          <w:color w:val="auto"/>
        </w:rPr>
      </w:pPr>
    </w:p>
    <w:p>
      <w:pPr>
        <w:ind w:right="140" w:firstLine="720"/>
        <w:spacing w:after="0" w:line="279" w:lineRule="auto"/>
        <w:rPr>
          <w:sz w:val="20"/>
          <w:szCs w:val="20"/>
          <w:color w:val="auto"/>
        </w:rPr>
      </w:pPr>
      <w:r>
        <w:rPr>
          <w:rFonts w:ascii="Times New Roman" w:cs="Times New Roman" w:eastAsia="Times New Roman" w:hAnsi="Times New Roman"/>
          <w:sz w:val="20"/>
          <w:szCs w:val="20"/>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16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spacing w:after="0" w:line="200" w:lineRule="exact"/>
        <w:rPr>
          <w:sz w:val="20"/>
          <w:szCs w:val="20"/>
          <w:color w:val="auto"/>
        </w:rPr>
      </w:pPr>
    </w:p>
    <w:p>
      <w:pPr>
        <w:ind w:left="5220" w:right="2080" w:hanging="4500"/>
        <w:spacing w:after="0" w:line="716" w:lineRule="auto"/>
        <w:tabs>
          <w:tab w:leader="none" w:pos="1089"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Level 1 — quoted (unadjusted) market prices in active markets for identical assets or liabilities. F-16</w:t>
      </w:r>
    </w:p>
    <w:p>
      <w:pPr>
        <w:sectPr>
          <w:pgSz w:w="11880" w:h="15614" w:orient="portrait"/>
          <w:cols w:equalWidth="0" w:num="1">
            <w:col w:w="10800"/>
          </w:cols>
          <w:pgMar w:left="540" w:top="748" w:right="540" w:bottom="0" w:gutter="0" w:footer="0" w:header="0"/>
        </w:sectPr>
      </w:pPr>
    </w:p>
    <w:bookmarkStart w:id="124" w:name="page125"/>
    <w:bookmarkEnd w:id="124"/>
    <w:p>
      <w:pPr>
        <w:ind w:left="1080" w:right="520" w:hanging="360"/>
        <w:spacing w:after="0" w:line="278" w:lineRule="auto"/>
        <w:tabs>
          <w:tab w:leader="none" w:pos="108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Level 2 — valuation techniques for which the lowest level input that is significant to the fair value measurement is directly or indirectly observable.</w:t>
      </w:r>
    </w:p>
    <w:p>
      <w:pPr>
        <w:spacing w:after="0" w:line="180" w:lineRule="exact"/>
        <w:rPr>
          <w:rFonts w:ascii="Arial" w:cs="Arial" w:eastAsia="Arial" w:hAnsi="Arial"/>
          <w:sz w:val="20"/>
          <w:szCs w:val="20"/>
          <w:color w:val="auto"/>
        </w:rPr>
      </w:pPr>
    </w:p>
    <w:p>
      <w:pPr>
        <w:ind w:left="1080" w:right="520" w:hanging="360"/>
        <w:spacing w:after="0" w:line="278" w:lineRule="auto"/>
        <w:tabs>
          <w:tab w:leader="none" w:pos="108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Level 3 — valuation techniques for which the lowest level input that is significant to the fair value measurement is unobservable.</w:t>
      </w:r>
    </w:p>
    <w:p>
      <w:pPr>
        <w:spacing w:after="0" w:line="166" w:lineRule="exact"/>
        <w:rPr>
          <w:sz w:val="20"/>
          <w:szCs w:val="20"/>
          <w:color w:val="auto"/>
        </w:rPr>
      </w:pPr>
    </w:p>
    <w:p>
      <w:pPr>
        <w:ind w:right="200" w:firstLine="720"/>
        <w:spacing w:after="0" w:line="253" w:lineRule="auto"/>
        <w:rPr>
          <w:sz w:val="20"/>
          <w:szCs w:val="20"/>
          <w:color w:val="auto"/>
        </w:rPr>
      </w:pPr>
      <w:r>
        <w:rPr>
          <w:rFonts w:ascii="Times New Roman" w:cs="Times New Roman" w:eastAsia="Times New Roman" w:hAnsi="Times New Roman"/>
          <w:sz w:val="20"/>
          <w:szCs w:val="20"/>
          <w:color w:val="auto"/>
        </w:rPr>
        <w:t>For assets and liabilities that are recognized in the consolidated financial statements on a recurring basis, the Company determines whether transfers have occurred between levels in the hierarchy by reassessing categorization (based on the lowest level input that is significant to the fair value measurement as a whole) at the end of each reporting period. There were no transfers within the fair value hierarchy during the years ended December 31, 2024 and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38" w:lineRule="exact"/>
        <w:rPr>
          <w:sz w:val="20"/>
          <w:szCs w:val="20"/>
          <w:color w:val="auto"/>
        </w:rPr>
      </w:pPr>
    </w:p>
    <w:p>
      <w:pPr>
        <w:ind w:right="260" w:firstLine="720"/>
        <w:spacing w:after="0" w:line="279" w:lineRule="auto"/>
        <w:rPr>
          <w:sz w:val="20"/>
          <w:szCs w:val="20"/>
          <w:color w:val="auto"/>
        </w:rPr>
      </w:pPr>
      <w:r>
        <w:rPr>
          <w:rFonts w:ascii="Times New Roman" w:cs="Times New Roman" w:eastAsia="Times New Roman" w:hAnsi="Times New Roman"/>
          <w:sz w:val="20"/>
          <w:szCs w:val="20"/>
          <w:color w:val="auto"/>
        </w:rPr>
        <w:t>Cash and cash equivalents in the consolidated balance sheets comprise cash at banks along with short-term deposits with a maturity of three months or less from placement.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238" w:lineRule="exact"/>
        <w:rPr>
          <w:sz w:val="20"/>
          <w:szCs w:val="20"/>
          <w:color w:val="auto"/>
        </w:rPr>
      </w:pPr>
    </w:p>
    <w:p>
      <w:pPr>
        <w:ind w:right="160" w:firstLine="720"/>
        <w:spacing w:after="0" w:line="259" w:lineRule="auto"/>
        <w:rPr>
          <w:sz w:val="20"/>
          <w:szCs w:val="20"/>
          <w:color w:val="auto"/>
        </w:rPr>
      </w:pPr>
      <w:r>
        <w:rPr>
          <w:rFonts w:ascii="Times New Roman" w:cs="Times New Roman" w:eastAsia="Times New Roman" w:hAnsi="Times New Roman"/>
          <w:sz w:val="20"/>
          <w:szCs w:val="20"/>
          <w:color w:val="auto"/>
        </w:rPr>
        <w:t>Employees (including executives) and non-executive directors of the Company receive remuneration in the form of share-based compensation, whereby employees and non-executive directors render services as consideration for equity instruments (equity settled transactions). Incentives in the form of ADSs are provided to employees and non-executive directors under various plans.</w:t>
      </w:r>
    </w:p>
    <w:p>
      <w:pPr>
        <w:spacing w:after="0" w:line="185"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In accordance with ASC Topic 718, Stock Compensation (“ASC 718”), the total amounts to be expensed for these incentives are expensed through the consolidated statements of operations and comprehensive loss and are measured based on the grant-date fair value of the awards and recognized over the period during which the employee or non-executive director is required to perform services in exchange for the award (generally the vesting period of the award).</w:t>
      </w:r>
    </w:p>
    <w:p>
      <w:pPr>
        <w:spacing w:after="0" w:line="190" w:lineRule="exact"/>
        <w:rPr>
          <w:sz w:val="20"/>
          <w:szCs w:val="20"/>
          <w:color w:val="auto"/>
        </w:rPr>
      </w:pPr>
    </w:p>
    <w:p>
      <w:pPr>
        <w:ind w:right="40" w:firstLine="720"/>
        <w:spacing w:after="0" w:line="270" w:lineRule="auto"/>
        <w:rPr>
          <w:sz w:val="20"/>
          <w:szCs w:val="20"/>
          <w:color w:val="auto"/>
        </w:rPr>
      </w:pPr>
      <w:r>
        <w:rPr>
          <w:rFonts w:ascii="Times New Roman" w:cs="Times New Roman" w:eastAsia="Times New Roman" w:hAnsi="Times New Roman"/>
          <w:sz w:val="19"/>
          <w:szCs w:val="19"/>
          <w:color w:val="auto"/>
        </w:rPr>
        <w:t>In accordance with ASC 718, the cancellation of share options is accounted for as an acceleration of the vesting period and therefore any amount unrecognized that would otherwise have been recorded in future accounting periods is recognized immediately. The Company has elected to recognize the effect of forfeitures on share-based compensation when they occur. Any differences in compensation recognized at the time of forfeiture are recorded as a cumulative adjustment in the period in which the forfeiture occurs.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Treasury shares</w:t>
      </w:r>
    </w:p>
    <w:p>
      <w:pPr>
        <w:spacing w:after="0" w:line="23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Until it was terminated during the year ended December 31, 2024, the EBT held ADSs as treasury shares to satisfy the exercise of options and the vesting of restricted stock units under the Company’s share-based incentive schemes. The EBT was a Jersey-based trust which was initially funded by a loan from the Company, which it utilized to purchase shares in sufficient quantity to fulfill the envisaged awards. In accordance with ASC Topic 505, Equity (“ASC 505”), these shares were deducted from ordinary shares on the consolidated balance sheet at their nominal value. Shares held by the EBT were included in the consolidated balance sheets as a reduction in additional paid-in capital.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income/(loss)</w:t>
      </w:r>
    </w:p>
    <w:p>
      <w:pPr>
        <w:spacing w:after="0" w:line="238" w:lineRule="exact"/>
        <w:rPr>
          <w:sz w:val="20"/>
          <w:szCs w:val="20"/>
          <w:color w:val="auto"/>
        </w:rPr>
      </w:pPr>
    </w:p>
    <w:p>
      <w:pPr>
        <w:ind w:right="300" w:firstLine="720"/>
        <w:spacing w:after="0" w:line="253" w:lineRule="auto"/>
        <w:rPr>
          <w:sz w:val="20"/>
          <w:szCs w:val="20"/>
          <w:color w:val="auto"/>
        </w:rPr>
      </w:pPr>
      <w:r>
        <w:rPr>
          <w:rFonts w:ascii="Times New Roman" w:cs="Times New Roman" w:eastAsia="Times New Roman" w:hAnsi="Times New Roman"/>
          <w:sz w:val="20"/>
          <w:szCs w:val="20"/>
          <w:color w:val="auto"/>
        </w:rPr>
        <w:t>Comprehensive income/(loss) includes net income/(loss) as well as other changes in shareholders’ equity that result from transactions and economic events other than those with shareholders. The Company records unrealized gains and losses related to foreign currency translation as a component of other comprehensive income/(loss) in the consolidated statements of operations and comprehensive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Ordinary shares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Ordinary shares are classified in shareholders’ equity and represent issued share capital.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paid-in capital</w:t>
      </w:r>
    </w:p>
    <w:p>
      <w:pPr>
        <w:spacing w:after="0" w:line="238" w:lineRule="exact"/>
        <w:rPr>
          <w:sz w:val="20"/>
          <w:szCs w:val="20"/>
          <w:color w:val="auto"/>
        </w:rPr>
      </w:pPr>
    </w:p>
    <w:p>
      <w:pPr>
        <w:ind w:right="300" w:firstLine="720"/>
        <w:spacing w:after="0" w:line="259" w:lineRule="auto"/>
        <w:rPr>
          <w:sz w:val="20"/>
          <w:szCs w:val="20"/>
          <w:color w:val="auto"/>
        </w:rPr>
      </w:pPr>
      <w:r>
        <w:rPr>
          <w:rFonts w:ascii="Times New Roman" w:cs="Times New Roman" w:eastAsia="Times New Roman" w:hAnsi="Times New Roman"/>
          <w:sz w:val="20"/>
          <w:szCs w:val="20"/>
          <w:color w:val="auto"/>
        </w:rPr>
        <w:t>Additional paid-in capital is classified in shareholders’ equity and includes the difference between the price paid per share and the nominal value. The equity element of share-based compensation is also recognized in additional paid-in capital as are derivative instruments that meet the requirements for equity classification.</w:t>
      </w:r>
    </w:p>
    <w:p>
      <w:pPr>
        <w:sectPr>
          <w:pgSz w:w="11880" w:h="15480" w:orient="portrait"/>
          <w:cols w:equalWidth="0" w:num="1">
            <w:col w:w="10780"/>
          </w:cols>
          <w:pgMar w:left="540" w:top="763" w:right="560" w:bottom="8"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F-17</w:t>
      </w:r>
    </w:p>
    <w:p>
      <w:pPr>
        <w:sectPr>
          <w:pgSz w:w="11880" w:h="15480" w:orient="portrait"/>
          <w:cols w:equalWidth="0" w:num="1">
            <w:col w:w="10780"/>
          </w:cols>
          <w:pgMar w:left="540" w:top="763" w:right="560" w:bottom="8" w:gutter="0" w:footer="0" w:header="0"/>
          <w:type w:val="continuous"/>
        </w:sectPr>
      </w:pPr>
    </w:p>
    <w:bookmarkStart w:id="125" w:name="page126"/>
    <w:bookmarkEnd w:id="125"/>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Incremental costs incurred and directly attributable to the offering of equity securities are deducted from the related proceeds of the offering. The net amount is recorded as additional paid-in capital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income/(loss) per share</w:t>
      </w:r>
    </w:p>
    <w:p>
      <w:pPr>
        <w:spacing w:after="0" w:line="238"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Basic net income/(loss) per share is computed by dividing the net income/(loss) attributable to ordinary shareholders by the weighted-average number of ordinary shares outstanding for the reporting period without consideration for potentially dilutive securities. Net income/(loss) attributable to ordinary shareholders is computed as if all net income/(loss) for the period had been distributed. During periods in which the Company incurred a net loss, the Company allocates no net loss to participating securities because they do not have a contractual obligation to share in the net loss of the Company.</w:t>
      </w:r>
    </w:p>
    <w:p>
      <w:pPr>
        <w:spacing w:after="0" w:line="197" w:lineRule="exact"/>
        <w:rPr>
          <w:sz w:val="20"/>
          <w:szCs w:val="20"/>
          <w:color w:val="auto"/>
        </w:rPr>
      </w:pPr>
    </w:p>
    <w:p>
      <w:pPr>
        <w:ind w:right="440" w:firstLine="720"/>
        <w:spacing w:after="0" w:line="259" w:lineRule="auto"/>
        <w:rPr>
          <w:sz w:val="20"/>
          <w:szCs w:val="20"/>
          <w:color w:val="auto"/>
        </w:rPr>
      </w:pPr>
      <w:r>
        <w:rPr>
          <w:rFonts w:ascii="Times New Roman" w:cs="Times New Roman" w:eastAsia="Times New Roman" w:hAnsi="Times New Roman"/>
          <w:sz w:val="20"/>
          <w:szCs w:val="20"/>
          <w:color w:val="auto"/>
        </w:rPr>
        <w:t>The Company computes diluted net income/(loss) per ordinary share after giving consideration to all potentially dilutive ordinary equivalents, including share options outstanding during the period, except where the effect of such non-participating securities would be antidilutive.</w:t>
      </w:r>
    </w:p>
    <w:p>
      <w:pPr>
        <w:spacing w:after="0" w:line="185"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Diluted net income/(loss) per share is computed by dividing the net income/(loss) attributable to ordinary shareholders by the weighted average number of ordinary shares and dilutive ordinary share equivalents outstanding for the period, determined using the treasury stock and if-converted methods.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Recent accounting pronouncements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3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2023-07, Improvements to Reportable Segment Disclosures. </w:t>
      </w:r>
      <w:r>
        <w:rPr>
          <w:rFonts w:ascii="Times New Roman" w:cs="Times New Roman" w:eastAsia="Times New Roman" w:hAnsi="Times New Roman"/>
          <w:sz w:val="20"/>
          <w:szCs w:val="20"/>
          <w:color w:val="191919"/>
        </w:rPr>
        <w:t>The amendments</w:t>
      </w:r>
      <w:r>
        <w:rPr>
          <w:rFonts w:ascii="Times New Roman" w:cs="Times New Roman" w:eastAsia="Times New Roman" w:hAnsi="Times New Roman"/>
          <w:sz w:val="20"/>
          <w:szCs w:val="20"/>
          <w:color w:val="auto"/>
        </w:rPr>
        <w:t xml:space="preserve"> require incremental disclosures related to a public entity’s reportable segments but does not change the definition of a segment, the method for determining segments, or the criteria for aggregating operating segments into reportable segments. The biggest change in the ASU is the requirement for a public entity to disclose its significant segment expense categories and amounts for each reportable segment. </w:t>
      </w:r>
      <w:r>
        <w:rPr>
          <w:rFonts w:ascii="Times New Roman" w:cs="Times New Roman" w:eastAsia="Times New Roman" w:hAnsi="Times New Roman"/>
          <w:sz w:val="20"/>
          <w:szCs w:val="20"/>
          <w:color w:val="191919"/>
        </w:rPr>
        <w:t>The Company adopted this standard for the period ended December 31, 2024 on a retrospective basis and the adoption did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91919"/>
        </w:rPr>
        <w:t>not have a material impact on its consolidated financial statements and related disclosures other than the inclusion of the breakdown of R&amp;D expenses within the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238" w:lineRule="exact"/>
        <w:rPr>
          <w:sz w:val="20"/>
          <w:szCs w:val="20"/>
          <w:color w:val="auto"/>
        </w:rPr>
      </w:pPr>
    </w:p>
    <w:p>
      <w:pPr>
        <w:ind w:right="460" w:firstLine="720"/>
        <w:spacing w:after="0" w:line="307" w:lineRule="auto"/>
        <w:rPr>
          <w:sz w:val="20"/>
          <w:szCs w:val="20"/>
          <w:color w:val="auto"/>
        </w:rPr>
      </w:pPr>
      <w:r>
        <w:rPr>
          <w:rFonts w:ascii="Times New Roman" w:cs="Times New Roman" w:eastAsia="Times New Roman" w:hAnsi="Times New Roman"/>
          <w:sz w:val="19"/>
          <w:szCs w:val="19"/>
          <w:color w:val="auto"/>
        </w:rPr>
        <w:t>In December 2023, the FASB issued ASU 2023-09, Improvements to Income Tax disclosures. The standard requires disaggregated information about a reporting entity’s effective tax rate reconciliation as well as information on income taxes paid.</w:t>
      </w:r>
    </w:p>
    <w:p>
      <w:pPr>
        <w:spacing w:after="0" w:line="1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key provisions under effective tax rate reconciliations are as follows:</w:t>
      </w:r>
    </w:p>
    <w:p>
      <w:pPr>
        <w:spacing w:after="0" w:line="134" w:lineRule="exact"/>
        <w:rPr>
          <w:sz w:val="20"/>
          <w:szCs w:val="20"/>
          <w:color w:val="auto"/>
        </w:rPr>
      </w:pPr>
    </w:p>
    <w:p>
      <w:pPr>
        <w:ind w:left="980" w:right="80" w:hanging="491"/>
        <w:spacing w:after="0" w:line="252" w:lineRule="auto"/>
        <w:tabs>
          <w:tab w:leader="none" w:pos="98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The ASU requires public business entities, on an annual basis, to provide a tabular rate reconciliation (using both percentages and reporting currency amounts) of the reported income tax expense (or benefit) from continuing operations, to the product of the income (or loss) from continuing operations before income taxes and the applicable statutory federal income tax rate of the country of domicile using specific categories, and;</w:t>
      </w:r>
    </w:p>
    <w:p>
      <w:pPr>
        <w:spacing w:after="0" w:line="87" w:lineRule="exact"/>
        <w:rPr>
          <w:rFonts w:ascii="Arial" w:cs="Arial" w:eastAsia="Arial" w:hAnsi="Arial"/>
          <w:sz w:val="20"/>
          <w:szCs w:val="20"/>
          <w:color w:val="auto"/>
        </w:rPr>
      </w:pPr>
    </w:p>
    <w:p>
      <w:pPr>
        <w:ind w:left="980" w:right="360" w:hanging="491"/>
        <w:spacing w:after="0" w:line="278" w:lineRule="auto"/>
        <w:tabs>
          <w:tab w:leader="none" w:pos="98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Separate disclosure for any reconciling items within certain categories that are equal to or greater than a specified quantitative threshold. The quantitative threshold for the designated categories requiring further disaggregation is 5%.</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key provisions under income taxes paid are as follows:</w:t>
      </w:r>
    </w:p>
    <w:p>
      <w:pPr>
        <w:spacing w:after="0" w:line="134" w:lineRule="exact"/>
        <w:rPr>
          <w:sz w:val="20"/>
          <w:szCs w:val="20"/>
          <w:color w:val="auto"/>
        </w:rPr>
      </w:pPr>
    </w:p>
    <w:p>
      <w:pPr>
        <w:ind w:left="980" w:right="100" w:hanging="491"/>
        <w:spacing w:after="0" w:line="278" w:lineRule="auto"/>
        <w:tabs>
          <w:tab w:leader="none" w:pos="9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The ASU requires all reporting entities to disclose the year-to-date amount of income taxes paid (net of refunds received) disaggregated by federal, state, and foreign; and</w:t>
      </w:r>
    </w:p>
    <w:p>
      <w:pPr>
        <w:spacing w:after="0" w:line="60" w:lineRule="exact"/>
        <w:rPr>
          <w:rFonts w:ascii="Arial" w:cs="Arial" w:eastAsia="Arial" w:hAnsi="Arial"/>
          <w:sz w:val="20"/>
          <w:szCs w:val="20"/>
          <w:color w:val="auto"/>
        </w:rPr>
      </w:pPr>
    </w:p>
    <w:p>
      <w:pPr>
        <w:jc w:val="both"/>
        <w:ind w:left="980" w:right="480" w:hanging="491"/>
        <w:spacing w:after="0" w:line="259" w:lineRule="auto"/>
        <w:tabs>
          <w:tab w:leader="none" w:pos="9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It also requires additional disaggregated information on income taxes paid (net of refunds received) to an individual jurisdiction equal to or greater than 5% of total income taxes paid (net of refunds received). An entity may identify a country, state, or local territory as an individual jurisdiction.</w:t>
      </w:r>
    </w:p>
    <w:p>
      <w:pPr>
        <w:spacing w:after="0" w:line="184" w:lineRule="exact"/>
        <w:rPr>
          <w:sz w:val="20"/>
          <w:szCs w:val="20"/>
          <w:color w:val="auto"/>
        </w:rPr>
      </w:pPr>
    </w:p>
    <w:p>
      <w:pPr>
        <w:jc w:val="both"/>
        <w:ind w:right="320" w:firstLine="720"/>
        <w:spacing w:after="0" w:line="259" w:lineRule="auto"/>
        <w:rPr>
          <w:sz w:val="20"/>
          <w:szCs w:val="20"/>
          <w:color w:val="auto"/>
        </w:rPr>
      </w:pPr>
      <w:r>
        <w:rPr>
          <w:rFonts w:ascii="Times New Roman" w:cs="Times New Roman" w:eastAsia="Times New Roman" w:hAnsi="Times New Roman"/>
          <w:sz w:val="20"/>
          <w:szCs w:val="20"/>
          <w:color w:val="auto"/>
        </w:rPr>
        <w:t>ASU 2023-09 is effective for fiscal periods beginning after December 15, 2024. The Company is currently evaluating the impact of the adoption of this ASU on the consolidated financial statements, but does not believe the adoption of this standard will have a material impact on the consolidated financial statements.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F-18</w:t>
      </w:r>
    </w:p>
    <w:p>
      <w:pPr>
        <w:sectPr>
          <w:pgSz w:w="11880" w:h="15480" w:orient="portrait"/>
          <w:cols w:equalWidth="0" w:num="1">
            <w:col w:w="10780"/>
          </w:cols>
          <w:pgMar w:left="540" w:top="748" w:right="560" w:bottom="0" w:gutter="0" w:footer="0" w:header="0"/>
        </w:sectPr>
      </w:pPr>
    </w:p>
    <w:bookmarkStart w:id="126" w:name="page127"/>
    <w:bookmarkEnd w:id="126"/>
    <w:p>
      <w:pPr>
        <w:ind w:right="560" w:firstLine="720"/>
        <w:spacing w:after="0" w:line="245" w:lineRule="auto"/>
        <w:rPr>
          <w:sz w:val="20"/>
          <w:szCs w:val="20"/>
          <w:color w:val="auto"/>
        </w:rPr>
      </w:pPr>
      <w:r>
        <w:rPr>
          <w:rFonts w:ascii="Times New Roman" w:cs="Times New Roman" w:eastAsia="Times New Roman" w:hAnsi="Times New Roman"/>
          <w:sz w:val="20"/>
          <w:szCs w:val="20"/>
          <w:color w:val="auto"/>
        </w:rPr>
        <w:t>In November 2024, the FASB issued ASC No. 2024-03, Income Statement—Reporting Comprehensive Income— Expense Disaggregation Disclosures (Subtopic 220-40), which requires more detailed disclosures about specified categories of expenses included in certain expense captions presented on the face of the consolidated statements of operations and comprehensive loss, including employee compensation, depreciation and amortization. ASU No. 2024-03 is effective in annual reporting periods beginning after December 15, 2026, and interim periods within annual reporting periods beginning after December 15, 2027. Early adoption is permitted. The amendments may be applied either prospectively to financial statement issued for reporting periods after the effective date of the ASU or retrospectively to all prior periods presented. The Company is currently evaluating the impact of the adopting of ASU No. 2024-03 on its consolidated financial statement disclosures.</w:t>
      </w:r>
    </w:p>
    <w:p>
      <w:pPr>
        <w:spacing w:after="0" w:line="202" w:lineRule="exact"/>
        <w:rPr>
          <w:sz w:val="20"/>
          <w:szCs w:val="20"/>
          <w:color w:val="auto"/>
        </w:rPr>
      </w:pPr>
    </w:p>
    <w:p>
      <w:pPr>
        <w:ind w:right="560" w:firstLine="720"/>
        <w:spacing w:after="0" w:line="259" w:lineRule="auto"/>
        <w:rPr>
          <w:sz w:val="20"/>
          <w:szCs w:val="20"/>
          <w:color w:val="auto"/>
        </w:rPr>
      </w:pPr>
      <w:r>
        <w:rPr>
          <w:rFonts w:ascii="Times New Roman" w:cs="Times New Roman" w:eastAsia="Times New Roman" w:hAnsi="Times New Roman"/>
          <w:sz w:val="20"/>
          <w:szCs w:val="20"/>
          <w:color w:val="auto"/>
        </w:rPr>
        <w:t>Other accounting standards that have been issued by the FASB or other standards-setting bodies that do not require adoption until a future date are not expected to have a material impact on the Company's consolidated financial statements upon adoption.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Fair value measurement</w:t>
      </w:r>
    </w:p>
    <w:p>
      <w:pPr>
        <w:spacing w:after="0" w:line="243" w:lineRule="exact"/>
        <w:rPr>
          <w:sz w:val="20"/>
          <w:szCs w:val="20"/>
          <w:color w:val="auto"/>
        </w:rPr>
      </w:pPr>
    </w:p>
    <w:p>
      <w:pPr>
        <w:ind w:right="40"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summarizes the Company’s financial assets and liabilities measured at fair value on a recurring basis and classified under the appropriate level of the fair value hierarchy as described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520" w:type="dxa"/>
            <w:vAlign w:val="bottom"/>
            <w:tcBorders>
              <w:bottom w:val="single" w:sz="8" w:color="FEFEFE"/>
            </w:tcBorders>
            <w:shd w:val="clear" w:color="auto" w:fill="FEFEFE"/>
          </w:tcPr>
          <w:p>
            <w:pPr>
              <w:spacing w:after="0"/>
              <w:rPr>
                <w:sz w:val="22"/>
                <w:szCs w:val="22"/>
                <w:color w:val="auto"/>
              </w:rPr>
            </w:pPr>
          </w:p>
        </w:tc>
        <w:tc>
          <w:tcPr>
            <w:tcW w:w="1120" w:type="dxa"/>
            <w:vAlign w:val="bottom"/>
            <w:tcBorders>
              <w:bottom w:val="single" w:sz="8" w:color="auto"/>
            </w:tcBorders>
            <w:shd w:val="clear" w:color="auto" w:fill="FEFEFE"/>
          </w:tcPr>
          <w:p>
            <w:pPr>
              <w:spacing w:after="0"/>
              <w:rPr>
                <w:sz w:val="22"/>
                <w:szCs w:val="22"/>
                <w:color w:val="auto"/>
              </w:rPr>
            </w:pPr>
          </w:p>
        </w:tc>
        <w:tc>
          <w:tcPr>
            <w:tcW w:w="2920" w:type="dxa"/>
            <w:vAlign w:val="bottom"/>
            <w:tcBorders>
              <w:bottom w:val="single" w:sz="8" w:color="auto"/>
            </w:tcBorders>
            <w:gridSpan w:val="2"/>
            <w:shd w:val="clear" w:color="auto" w:fill="FEFEFE"/>
          </w:tcPr>
          <w:p>
            <w:pPr>
              <w:ind w:left="42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1240" w:type="dxa"/>
            <w:vAlign w:val="bottom"/>
            <w:tcBorders>
              <w:bottom w:val="single" w:sz="8" w:color="auto"/>
            </w:tcBorders>
            <w:shd w:val="clear" w:color="auto" w:fill="FEFEFE"/>
          </w:tcPr>
          <w:p>
            <w:pPr>
              <w:spacing w:after="0"/>
              <w:rPr>
                <w:sz w:val="22"/>
                <w:szCs w:val="22"/>
                <w:color w:val="auto"/>
              </w:rPr>
            </w:pPr>
          </w:p>
        </w:tc>
      </w:tr>
      <w:tr>
        <w:trPr>
          <w:trHeight w:val="224"/>
        </w:trPr>
        <w:tc>
          <w:tcPr>
            <w:tcW w:w="5520" w:type="dxa"/>
            <w:vAlign w:val="bottom"/>
            <w:shd w:val="clear" w:color="auto" w:fill="FEFEFE"/>
          </w:tcPr>
          <w:p>
            <w:pPr>
              <w:spacing w:after="0"/>
              <w:rPr>
                <w:sz w:val="19"/>
                <w:szCs w:val="19"/>
                <w:color w:val="auto"/>
              </w:rPr>
            </w:pPr>
          </w:p>
        </w:tc>
        <w:tc>
          <w:tcPr>
            <w:tcW w:w="1120" w:type="dxa"/>
            <w:vAlign w:val="bottom"/>
            <w:shd w:val="clear" w:color="auto" w:fill="FEFEFE"/>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auto"/>
              </w:rPr>
              <w:t>Total</w:t>
            </w:r>
          </w:p>
        </w:tc>
        <w:tc>
          <w:tcPr>
            <w:tcW w:w="1580" w:type="dxa"/>
            <w:vAlign w:val="bottom"/>
            <w:shd w:val="clear" w:color="auto" w:fill="FEFEFE"/>
          </w:tcPr>
          <w:p>
            <w:pPr>
              <w:ind w:left="480"/>
              <w:spacing w:after="0" w:line="224" w:lineRule="exact"/>
              <w:rPr>
                <w:sz w:val="20"/>
                <w:szCs w:val="20"/>
                <w:color w:val="auto"/>
              </w:rPr>
            </w:pPr>
            <w:r>
              <w:rPr>
                <w:rFonts w:ascii="Times New Roman" w:cs="Times New Roman" w:eastAsia="Times New Roman" w:hAnsi="Times New Roman"/>
                <w:sz w:val="20"/>
                <w:szCs w:val="20"/>
                <w:b w:val="1"/>
                <w:bCs w:val="1"/>
                <w:color w:val="auto"/>
              </w:rPr>
              <w:t>Level 1</w:t>
            </w:r>
          </w:p>
        </w:tc>
        <w:tc>
          <w:tcPr>
            <w:tcW w:w="1340" w:type="dxa"/>
            <w:vAlign w:val="bottom"/>
            <w:shd w:val="clear" w:color="auto" w:fill="FEFEFE"/>
          </w:tcPr>
          <w:p>
            <w:pPr>
              <w:ind w:left="240"/>
              <w:spacing w:after="0" w:line="224" w:lineRule="exact"/>
              <w:rPr>
                <w:sz w:val="20"/>
                <w:szCs w:val="20"/>
                <w:color w:val="auto"/>
              </w:rPr>
            </w:pPr>
            <w:r>
              <w:rPr>
                <w:rFonts w:ascii="Times New Roman" w:cs="Times New Roman" w:eastAsia="Times New Roman" w:hAnsi="Times New Roman"/>
                <w:sz w:val="20"/>
                <w:szCs w:val="20"/>
                <w:b w:val="1"/>
                <w:bCs w:val="1"/>
                <w:color w:val="auto"/>
              </w:rPr>
              <w:t>Level 2</w:t>
            </w:r>
          </w:p>
        </w:tc>
        <w:tc>
          <w:tcPr>
            <w:tcW w:w="1240" w:type="dxa"/>
            <w:vAlign w:val="bottom"/>
            <w:shd w:val="clear" w:color="auto" w:fill="FEFEFE"/>
          </w:tcPr>
          <w:p>
            <w:pPr>
              <w:ind w:left="260"/>
              <w:spacing w:after="0" w:line="224" w:lineRule="exact"/>
              <w:rPr>
                <w:sz w:val="20"/>
                <w:szCs w:val="20"/>
                <w:color w:val="auto"/>
              </w:rPr>
            </w:pPr>
            <w:r>
              <w:rPr>
                <w:rFonts w:ascii="Times New Roman" w:cs="Times New Roman" w:eastAsia="Times New Roman" w:hAnsi="Times New Roman"/>
                <w:sz w:val="20"/>
                <w:szCs w:val="20"/>
                <w:b w:val="1"/>
                <w:bCs w:val="1"/>
                <w:color w:val="auto"/>
              </w:rPr>
              <w:t>Level 3</w:t>
            </w:r>
          </w:p>
        </w:tc>
      </w:tr>
      <w:tr>
        <w:trPr>
          <w:trHeight w:val="254"/>
        </w:trPr>
        <w:tc>
          <w:tcPr>
            <w:tcW w:w="5520" w:type="dxa"/>
            <w:vAlign w:val="bottom"/>
            <w:shd w:val="clear" w:color="auto" w:fill="FEFEFE"/>
          </w:tcPr>
          <w:p>
            <w:pPr>
              <w:spacing w:after="0"/>
              <w:rPr>
                <w:sz w:val="22"/>
                <w:szCs w:val="22"/>
                <w:color w:val="auto"/>
              </w:rPr>
            </w:pPr>
          </w:p>
        </w:tc>
        <w:tc>
          <w:tcPr>
            <w:tcW w:w="11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($'000)</w:t>
            </w:r>
          </w:p>
        </w:tc>
        <w:tc>
          <w:tcPr>
            <w:tcW w:w="1580" w:type="dxa"/>
            <w:vAlign w:val="bottom"/>
            <w:shd w:val="clear" w:color="auto" w:fill="FEFEFE"/>
          </w:tcPr>
          <w:p>
            <w:pPr>
              <w:ind w:left="480"/>
              <w:spacing w:after="0"/>
              <w:rPr>
                <w:sz w:val="20"/>
                <w:szCs w:val="20"/>
                <w:color w:val="auto"/>
              </w:rPr>
            </w:pPr>
            <w:r>
              <w:rPr>
                <w:rFonts w:ascii="Times New Roman" w:cs="Times New Roman" w:eastAsia="Times New Roman" w:hAnsi="Times New Roman"/>
                <w:sz w:val="20"/>
                <w:szCs w:val="20"/>
                <w:b w:val="1"/>
                <w:bCs w:val="1"/>
                <w:color w:val="auto"/>
              </w:rPr>
              <w:t>($'000)</w:t>
            </w:r>
          </w:p>
        </w:tc>
        <w:tc>
          <w:tcPr>
            <w:tcW w:w="1340" w:type="dxa"/>
            <w:vAlign w:val="bottom"/>
            <w:shd w:val="clear" w:color="auto" w:fill="FEFEFE"/>
          </w:tcPr>
          <w:p>
            <w:pPr>
              <w:ind w:left="260"/>
              <w:spacing w:after="0"/>
              <w:rPr>
                <w:sz w:val="20"/>
                <w:szCs w:val="20"/>
                <w:color w:val="auto"/>
              </w:rPr>
            </w:pPr>
            <w:r>
              <w:rPr>
                <w:rFonts w:ascii="Times New Roman" w:cs="Times New Roman" w:eastAsia="Times New Roman" w:hAnsi="Times New Roman"/>
                <w:sz w:val="20"/>
                <w:szCs w:val="20"/>
                <w:b w:val="1"/>
                <w:bCs w:val="1"/>
                <w:color w:val="auto"/>
              </w:rPr>
              <w:t>($'000)</w:t>
            </w:r>
          </w:p>
        </w:tc>
        <w:tc>
          <w:tcPr>
            <w:tcW w:w="1240" w:type="dxa"/>
            <w:vAlign w:val="bottom"/>
            <w:shd w:val="clear" w:color="auto" w:fill="FEFEFE"/>
          </w:tcPr>
          <w:p>
            <w:pPr>
              <w:ind w:left="260"/>
              <w:spacing w:after="0"/>
              <w:rPr>
                <w:sz w:val="20"/>
                <w:szCs w:val="20"/>
                <w:color w:val="auto"/>
              </w:rPr>
            </w:pPr>
            <w:r>
              <w:rPr>
                <w:rFonts w:ascii="Times New Roman" w:cs="Times New Roman" w:eastAsia="Times New Roman" w:hAnsi="Times New Roman"/>
                <w:sz w:val="20"/>
                <w:szCs w:val="20"/>
                <w:b w:val="1"/>
                <w:bCs w:val="1"/>
                <w:color w:val="auto"/>
              </w:rPr>
              <w:t>($'000)</w:t>
            </w:r>
          </w:p>
        </w:tc>
      </w:tr>
      <w:tr>
        <w:trPr>
          <w:trHeight w:val="230"/>
        </w:trPr>
        <w:tc>
          <w:tcPr>
            <w:tcW w:w="55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1120" w:type="dxa"/>
            <w:vAlign w:val="bottom"/>
            <w:shd w:val="clear" w:color="auto" w:fill="E6E6E6"/>
          </w:tcPr>
          <w:p>
            <w:pPr>
              <w:spacing w:after="0"/>
              <w:rPr>
                <w:sz w:val="19"/>
                <w:szCs w:val="19"/>
                <w:color w:val="auto"/>
              </w:rPr>
            </w:pPr>
          </w:p>
        </w:tc>
        <w:tc>
          <w:tcPr>
            <w:tcW w:w="158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c>
          <w:tcPr>
            <w:tcW w:w="1240" w:type="dxa"/>
            <w:vAlign w:val="bottom"/>
            <w:shd w:val="clear" w:color="auto" w:fill="E6E6E6"/>
          </w:tcPr>
          <w:p>
            <w:pPr>
              <w:spacing w:after="0"/>
              <w:rPr>
                <w:sz w:val="19"/>
                <w:szCs w:val="19"/>
                <w:color w:val="auto"/>
              </w:rPr>
            </w:pPr>
          </w:p>
        </w:tc>
      </w:tr>
      <w:tr>
        <w:trPr>
          <w:trHeight w:val="230"/>
        </w:trPr>
        <w:tc>
          <w:tcPr>
            <w:tcW w:w="55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Warrant liabilities</w:t>
            </w: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821</w:t>
            </w:r>
          </w:p>
        </w:tc>
        <w:tc>
          <w:tcPr>
            <w:tcW w:w="1580" w:type="dxa"/>
            <w:vAlign w:val="bottom"/>
            <w:shd w:val="clear" w:color="auto" w:fill="FEFEFE"/>
          </w:tcPr>
          <w:p>
            <w:pPr>
              <w:ind w:left="1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FEFEFE"/>
          </w:tcPr>
          <w:p>
            <w:pPr>
              <w:ind w:left="800"/>
              <w:spacing w:after="0"/>
              <w:rPr>
                <w:sz w:val="20"/>
                <w:szCs w:val="20"/>
                <w:color w:val="auto"/>
              </w:rPr>
            </w:pPr>
            <w:r>
              <w:rPr>
                <w:rFonts w:ascii="Times New Roman" w:cs="Times New Roman" w:eastAsia="Times New Roman" w:hAnsi="Times New Roman"/>
                <w:sz w:val="20"/>
                <w:szCs w:val="20"/>
                <w:color w:val="auto"/>
              </w:rPr>
              <w:t>821</w:t>
            </w:r>
          </w:p>
        </w:tc>
        <w:tc>
          <w:tcPr>
            <w:tcW w:w="1240" w:type="dxa"/>
            <w:vAlign w:val="bottom"/>
            <w:shd w:val="clear" w:color="auto" w:fill="FEFEFE"/>
          </w:tcPr>
          <w:p>
            <w:pPr>
              <w:ind w:left="94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920" w:type="dxa"/>
            <w:vAlign w:val="bottom"/>
            <w:gridSpan w:val="2"/>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520" w:type="dxa"/>
            <w:vAlign w:val="bottom"/>
            <w:tcBorders>
              <w:bottom w:val="single" w:sz="8" w:color="FEFEFE"/>
            </w:tcBorders>
            <w:shd w:val="clear" w:color="auto" w:fill="FEFEFE"/>
          </w:tcPr>
          <w:p>
            <w:pPr>
              <w:spacing w:after="0"/>
              <w:rPr>
                <w:sz w:val="19"/>
                <w:szCs w:val="19"/>
                <w:color w:val="auto"/>
              </w:rPr>
            </w:pPr>
          </w:p>
        </w:tc>
        <w:tc>
          <w:tcPr>
            <w:tcW w:w="1120" w:type="dxa"/>
            <w:vAlign w:val="bottom"/>
            <w:tcBorders>
              <w:bottom w:val="single" w:sz="8" w:color="auto"/>
            </w:tcBorders>
            <w:shd w:val="clear" w:color="auto" w:fill="FEFEFE"/>
          </w:tcPr>
          <w:p>
            <w:pPr>
              <w:spacing w:after="0"/>
              <w:rPr>
                <w:sz w:val="19"/>
                <w:szCs w:val="19"/>
                <w:color w:val="auto"/>
              </w:rPr>
            </w:pPr>
          </w:p>
        </w:tc>
        <w:tc>
          <w:tcPr>
            <w:tcW w:w="2920" w:type="dxa"/>
            <w:vAlign w:val="bottom"/>
            <w:tcBorders>
              <w:bottom w:val="single" w:sz="8" w:color="auto"/>
            </w:tcBorders>
            <w:gridSpan w:val="2"/>
            <w:shd w:val="clear" w:color="auto" w:fill="FEFEFE"/>
          </w:tcPr>
          <w:p>
            <w:pPr>
              <w:ind w:left="420"/>
              <w:spacing w:after="0"/>
              <w:rPr>
                <w:sz w:val="20"/>
                <w:szCs w:val="20"/>
                <w:color w:val="auto"/>
              </w:rPr>
            </w:pPr>
            <w:r>
              <w:rPr>
                <w:rFonts w:ascii="Times New Roman" w:cs="Times New Roman" w:eastAsia="Times New Roman" w:hAnsi="Times New Roman"/>
                <w:sz w:val="20"/>
                <w:szCs w:val="20"/>
                <w:b w:val="1"/>
                <w:bCs w:val="1"/>
                <w:color w:val="auto"/>
              </w:rPr>
              <w:t>As of December 31, 2023</w:t>
            </w:r>
          </w:p>
        </w:tc>
        <w:tc>
          <w:tcPr>
            <w:tcW w:w="1240" w:type="dxa"/>
            <w:vAlign w:val="bottom"/>
            <w:tcBorders>
              <w:bottom w:val="single" w:sz="8" w:color="auto"/>
            </w:tcBorders>
            <w:shd w:val="clear" w:color="auto" w:fill="FEFEFE"/>
          </w:tcPr>
          <w:p>
            <w:pPr>
              <w:spacing w:after="0"/>
              <w:rPr>
                <w:sz w:val="19"/>
                <w:szCs w:val="19"/>
                <w:color w:val="auto"/>
              </w:rPr>
            </w:pPr>
          </w:p>
        </w:tc>
      </w:tr>
      <w:tr>
        <w:trPr>
          <w:trHeight w:val="224"/>
        </w:trPr>
        <w:tc>
          <w:tcPr>
            <w:tcW w:w="5520" w:type="dxa"/>
            <w:vAlign w:val="bottom"/>
            <w:shd w:val="clear" w:color="auto" w:fill="FEFEFE"/>
          </w:tcPr>
          <w:p>
            <w:pPr>
              <w:spacing w:after="0"/>
              <w:rPr>
                <w:sz w:val="19"/>
                <w:szCs w:val="19"/>
                <w:color w:val="auto"/>
              </w:rPr>
            </w:pPr>
          </w:p>
        </w:tc>
        <w:tc>
          <w:tcPr>
            <w:tcW w:w="1120" w:type="dxa"/>
            <w:vAlign w:val="bottom"/>
            <w:shd w:val="clear" w:color="auto" w:fill="FEFEFE"/>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auto"/>
              </w:rPr>
              <w:t>Total</w:t>
            </w:r>
          </w:p>
        </w:tc>
        <w:tc>
          <w:tcPr>
            <w:tcW w:w="1580" w:type="dxa"/>
            <w:vAlign w:val="bottom"/>
            <w:shd w:val="clear" w:color="auto" w:fill="FEFEFE"/>
          </w:tcPr>
          <w:p>
            <w:pPr>
              <w:ind w:left="480"/>
              <w:spacing w:after="0" w:line="224" w:lineRule="exact"/>
              <w:rPr>
                <w:sz w:val="20"/>
                <w:szCs w:val="20"/>
                <w:color w:val="auto"/>
              </w:rPr>
            </w:pPr>
            <w:r>
              <w:rPr>
                <w:rFonts w:ascii="Times New Roman" w:cs="Times New Roman" w:eastAsia="Times New Roman" w:hAnsi="Times New Roman"/>
                <w:sz w:val="20"/>
                <w:szCs w:val="20"/>
                <w:b w:val="1"/>
                <w:bCs w:val="1"/>
                <w:color w:val="auto"/>
              </w:rPr>
              <w:t>Level 1</w:t>
            </w:r>
          </w:p>
        </w:tc>
        <w:tc>
          <w:tcPr>
            <w:tcW w:w="1340" w:type="dxa"/>
            <w:vAlign w:val="bottom"/>
            <w:shd w:val="clear" w:color="auto" w:fill="FEFEFE"/>
          </w:tcPr>
          <w:p>
            <w:pPr>
              <w:ind w:left="240"/>
              <w:spacing w:after="0" w:line="224" w:lineRule="exact"/>
              <w:rPr>
                <w:sz w:val="20"/>
                <w:szCs w:val="20"/>
                <w:color w:val="auto"/>
              </w:rPr>
            </w:pPr>
            <w:r>
              <w:rPr>
                <w:rFonts w:ascii="Times New Roman" w:cs="Times New Roman" w:eastAsia="Times New Roman" w:hAnsi="Times New Roman"/>
                <w:sz w:val="20"/>
                <w:szCs w:val="20"/>
                <w:b w:val="1"/>
                <w:bCs w:val="1"/>
                <w:color w:val="auto"/>
              </w:rPr>
              <w:t>Level 2</w:t>
            </w:r>
          </w:p>
        </w:tc>
        <w:tc>
          <w:tcPr>
            <w:tcW w:w="1240" w:type="dxa"/>
            <w:vAlign w:val="bottom"/>
            <w:shd w:val="clear" w:color="auto" w:fill="FEFEFE"/>
          </w:tcPr>
          <w:p>
            <w:pPr>
              <w:ind w:left="260"/>
              <w:spacing w:after="0" w:line="224" w:lineRule="exact"/>
              <w:rPr>
                <w:sz w:val="20"/>
                <w:szCs w:val="20"/>
                <w:color w:val="auto"/>
              </w:rPr>
            </w:pPr>
            <w:r>
              <w:rPr>
                <w:rFonts w:ascii="Times New Roman" w:cs="Times New Roman" w:eastAsia="Times New Roman" w:hAnsi="Times New Roman"/>
                <w:sz w:val="20"/>
                <w:szCs w:val="20"/>
                <w:b w:val="1"/>
                <w:bCs w:val="1"/>
                <w:color w:val="auto"/>
              </w:rPr>
              <w:t>Level 3</w:t>
            </w:r>
          </w:p>
        </w:tc>
      </w:tr>
      <w:tr>
        <w:trPr>
          <w:trHeight w:val="254"/>
        </w:trPr>
        <w:tc>
          <w:tcPr>
            <w:tcW w:w="5520" w:type="dxa"/>
            <w:vAlign w:val="bottom"/>
            <w:shd w:val="clear" w:color="auto" w:fill="FEFEFE"/>
          </w:tcPr>
          <w:p>
            <w:pPr>
              <w:spacing w:after="0"/>
              <w:rPr>
                <w:sz w:val="22"/>
                <w:szCs w:val="22"/>
                <w:color w:val="auto"/>
              </w:rPr>
            </w:pPr>
          </w:p>
        </w:tc>
        <w:tc>
          <w:tcPr>
            <w:tcW w:w="11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($'000)</w:t>
            </w:r>
          </w:p>
        </w:tc>
        <w:tc>
          <w:tcPr>
            <w:tcW w:w="1580" w:type="dxa"/>
            <w:vAlign w:val="bottom"/>
            <w:shd w:val="clear" w:color="auto" w:fill="FEFEFE"/>
          </w:tcPr>
          <w:p>
            <w:pPr>
              <w:ind w:left="480"/>
              <w:spacing w:after="0"/>
              <w:rPr>
                <w:sz w:val="20"/>
                <w:szCs w:val="20"/>
                <w:color w:val="auto"/>
              </w:rPr>
            </w:pPr>
            <w:r>
              <w:rPr>
                <w:rFonts w:ascii="Times New Roman" w:cs="Times New Roman" w:eastAsia="Times New Roman" w:hAnsi="Times New Roman"/>
                <w:sz w:val="20"/>
                <w:szCs w:val="20"/>
                <w:b w:val="1"/>
                <w:bCs w:val="1"/>
                <w:color w:val="auto"/>
              </w:rPr>
              <w:t>($'000)</w:t>
            </w:r>
          </w:p>
        </w:tc>
        <w:tc>
          <w:tcPr>
            <w:tcW w:w="1340" w:type="dxa"/>
            <w:vAlign w:val="bottom"/>
            <w:shd w:val="clear" w:color="auto" w:fill="FEFEFE"/>
          </w:tcPr>
          <w:p>
            <w:pPr>
              <w:ind w:left="260"/>
              <w:spacing w:after="0"/>
              <w:rPr>
                <w:sz w:val="20"/>
                <w:szCs w:val="20"/>
                <w:color w:val="auto"/>
              </w:rPr>
            </w:pPr>
            <w:r>
              <w:rPr>
                <w:rFonts w:ascii="Times New Roman" w:cs="Times New Roman" w:eastAsia="Times New Roman" w:hAnsi="Times New Roman"/>
                <w:sz w:val="20"/>
                <w:szCs w:val="20"/>
                <w:b w:val="1"/>
                <w:bCs w:val="1"/>
                <w:color w:val="auto"/>
              </w:rPr>
              <w:t>($'000)</w:t>
            </w:r>
          </w:p>
        </w:tc>
        <w:tc>
          <w:tcPr>
            <w:tcW w:w="1240" w:type="dxa"/>
            <w:vAlign w:val="bottom"/>
            <w:shd w:val="clear" w:color="auto" w:fill="FEFEFE"/>
          </w:tcPr>
          <w:p>
            <w:pPr>
              <w:ind w:left="260"/>
              <w:spacing w:after="0"/>
              <w:rPr>
                <w:sz w:val="20"/>
                <w:szCs w:val="20"/>
                <w:color w:val="auto"/>
              </w:rPr>
            </w:pPr>
            <w:r>
              <w:rPr>
                <w:rFonts w:ascii="Times New Roman" w:cs="Times New Roman" w:eastAsia="Times New Roman" w:hAnsi="Times New Roman"/>
                <w:sz w:val="20"/>
                <w:szCs w:val="20"/>
                <w:b w:val="1"/>
                <w:bCs w:val="1"/>
                <w:color w:val="auto"/>
              </w:rPr>
              <w:t>($'000)</w:t>
            </w:r>
          </w:p>
        </w:tc>
      </w:tr>
      <w:tr>
        <w:trPr>
          <w:trHeight w:val="230"/>
        </w:trPr>
        <w:tc>
          <w:tcPr>
            <w:tcW w:w="55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1120" w:type="dxa"/>
            <w:vAlign w:val="bottom"/>
            <w:shd w:val="clear" w:color="auto" w:fill="E6E6E6"/>
          </w:tcPr>
          <w:p>
            <w:pPr>
              <w:spacing w:after="0"/>
              <w:rPr>
                <w:sz w:val="19"/>
                <w:szCs w:val="19"/>
                <w:color w:val="auto"/>
              </w:rPr>
            </w:pPr>
          </w:p>
        </w:tc>
        <w:tc>
          <w:tcPr>
            <w:tcW w:w="158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c>
          <w:tcPr>
            <w:tcW w:w="1240" w:type="dxa"/>
            <w:vAlign w:val="bottom"/>
            <w:shd w:val="clear" w:color="auto" w:fill="E6E6E6"/>
          </w:tcPr>
          <w:p>
            <w:pPr>
              <w:spacing w:after="0"/>
              <w:rPr>
                <w:sz w:val="19"/>
                <w:szCs w:val="19"/>
                <w:color w:val="auto"/>
              </w:rPr>
            </w:pPr>
          </w:p>
        </w:tc>
      </w:tr>
      <w:tr>
        <w:trPr>
          <w:trHeight w:val="230"/>
        </w:trPr>
        <w:tc>
          <w:tcPr>
            <w:tcW w:w="55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Warrant liabilities</w:t>
            </w: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1580" w:type="dxa"/>
            <w:vAlign w:val="bottom"/>
            <w:shd w:val="clear" w:color="auto" w:fill="FEFEFE"/>
          </w:tcPr>
          <w:p>
            <w:pPr>
              <w:ind w:left="11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FEFEFE"/>
          </w:tcPr>
          <w:p>
            <w:pPr>
              <w:ind w:left="800"/>
              <w:spacing w:after="0"/>
              <w:rPr>
                <w:sz w:val="20"/>
                <w:szCs w:val="20"/>
                <w:color w:val="auto"/>
              </w:rPr>
            </w:pPr>
            <w:r>
              <w:rPr>
                <w:rFonts w:ascii="Times New Roman" w:cs="Times New Roman" w:eastAsia="Times New Roman" w:hAnsi="Times New Roman"/>
                <w:sz w:val="20"/>
                <w:szCs w:val="20"/>
                <w:color w:val="auto"/>
              </w:rPr>
              <w:t>412</w:t>
            </w:r>
          </w:p>
        </w:tc>
        <w:tc>
          <w:tcPr>
            <w:tcW w:w="1240" w:type="dxa"/>
            <w:vAlign w:val="bottom"/>
            <w:shd w:val="clear" w:color="auto" w:fill="FEFEFE"/>
          </w:tcPr>
          <w:p>
            <w:pPr>
              <w:ind w:left="940"/>
              <w:spacing w:after="0"/>
              <w:rPr>
                <w:sz w:val="20"/>
                <w:szCs w:val="20"/>
                <w:color w:val="auto"/>
              </w:rPr>
            </w:pPr>
            <w:r>
              <w:rPr>
                <w:rFonts w:ascii="Times New Roman" w:cs="Times New Roman" w:eastAsia="Times New Roman" w:hAnsi="Times New Roman"/>
                <w:sz w:val="20"/>
                <w:szCs w:val="20"/>
                <w:color w:val="auto"/>
              </w:rPr>
              <w:t>—</w:t>
            </w:r>
          </w:p>
        </w:tc>
      </w:tr>
    </w:tbl>
    <w:p>
      <w:pPr>
        <w:spacing w:after="0" w:line="2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There were no transfers between Level 1 and Level 2 during the years ended December 31,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5. Prepaid expenses and other current assets</w:t>
            </w: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449"/>
        </w:trPr>
        <w:tc>
          <w:tcPr>
            <w:tcW w:w="700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Prepaid expenses and other current assets consisted of the following:</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1080" w:type="dxa"/>
            <w:vAlign w:val="bottom"/>
          </w:tcPr>
          <w:p>
            <w:pPr>
              <w:spacing w:after="0"/>
              <w:rPr>
                <w:sz w:val="19"/>
                <w:szCs w:val="19"/>
                <w:color w:val="auto"/>
              </w:rPr>
            </w:pPr>
          </w:p>
        </w:tc>
        <w:tc>
          <w:tcPr>
            <w:tcW w:w="5920" w:type="dxa"/>
            <w:vAlign w:val="bottom"/>
            <w:tcBorders>
              <w:bottom w:val="single" w:sz="8" w:color="FEFEFE"/>
            </w:tcBorders>
            <w:shd w:val="clear" w:color="auto" w:fill="FEFEFE"/>
          </w:tcPr>
          <w:p>
            <w:pPr>
              <w:spacing w:after="0"/>
              <w:rPr>
                <w:sz w:val="19"/>
                <w:szCs w:val="19"/>
                <w:color w:val="auto"/>
              </w:rPr>
            </w:pPr>
          </w:p>
        </w:tc>
        <w:tc>
          <w:tcPr>
            <w:tcW w:w="1300" w:type="dxa"/>
            <w:vAlign w:val="bottom"/>
            <w:tcBorders>
              <w:bottom w:val="single" w:sz="8" w:color="auto"/>
            </w:tcBorders>
            <w:gridSpan w:val="2"/>
            <w:shd w:val="clear" w:color="auto" w:fill="FEFEFE"/>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0" w:type="dxa"/>
            <w:vAlign w:val="bottom"/>
            <w:tcBorders>
              <w:bottom w:val="single" w:sz="8" w:color="FEFEFE"/>
            </w:tcBorders>
            <w:shd w:val="clear" w:color="auto" w:fill="FEFEFE"/>
          </w:tcPr>
          <w:p>
            <w:pPr>
              <w:spacing w:after="0"/>
              <w:rPr>
                <w:sz w:val="19"/>
                <w:szCs w:val="19"/>
                <w:color w:val="auto"/>
              </w:rPr>
            </w:pPr>
          </w:p>
        </w:tc>
        <w:tc>
          <w:tcPr>
            <w:tcW w:w="1300" w:type="dxa"/>
            <w:vAlign w:val="bottom"/>
            <w:tcBorders>
              <w:bottom w:val="single" w:sz="8" w:color="auto"/>
            </w:tcBorders>
            <w:gridSpan w:val="2"/>
            <w:shd w:val="clear" w:color="auto" w:fill="FEFEFE"/>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20"/>
        </w:trPr>
        <w:tc>
          <w:tcPr>
            <w:tcW w:w="1080" w:type="dxa"/>
            <w:vAlign w:val="bottom"/>
          </w:tcPr>
          <w:p>
            <w:pPr>
              <w:spacing w:after="0"/>
              <w:rPr>
                <w:sz w:val="19"/>
                <w:szCs w:val="19"/>
                <w:color w:val="auto"/>
              </w:rPr>
            </w:pPr>
          </w:p>
        </w:tc>
        <w:tc>
          <w:tcPr>
            <w:tcW w:w="5920" w:type="dxa"/>
            <w:vAlign w:val="bottom"/>
            <w:tcBorders>
              <w:bottom w:val="single" w:sz="8" w:color="FEFEFE"/>
            </w:tcBorders>
            <w:shd w:val="clear" w:color="auto" w:fill="FEFEFE"/>
          </w:tcPr>
          <w:p>
            <w:pPr>
              <w:spacing w:after="0"/>
              <w:rPr>
                <w:sz w:val="19"/>
                <w:szCs w:val="19"/>
                <w:color w:val="auto"/>
              </w:rPr>
            </w:pPr>
          </w:p>
        </w:tc>
        <w:tc>
          <w:tcPr>
            <w:tcW w:w="1300" w:type="dxa"/>
            <w:vAlign w:val="bottom"/>
            <w:tcBorders>
              <w:bottom w:val="single" w:sz="8" w:color="auto"/>
            </w:tcBorders>
            <w:gridSpan w:val="2"/>
            <w:shd w:val="clear" w:color="auto" w:fill="FEFEFE"/>
          </w:tcPr>
          <w:p>
            <w:pPr>
              <w:jc w:val="right"/>
              <w:ind w:right="40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Borders>
              <w:bottom w:val="single" w:sz="8" w:color="FEFEFE"/>
            </w:tcBorders>
            <w:shd w:val="clear" w:color="auto" w:fill="FEFEFE"/>
          </w:tcPr>
          <w:p>
            <w:pPr>
              <w:spacing w:after="0"/>
              <w:rPr>
                <w:sz w:val="19"/>
                <w:szCs w:val="19"/>
                <w:color w:val="auto"/>
              </w:rPr>
            </w:pPr>
          </w:p>
        </w:tc>
        <w:tc>
          <w:tcPr>
            <w:tcW w:w="1300" w:type="dxa"/>
            <w:vAlign w:val="bottom"/>
            <w:tcBorders>
              <w:bottom w:val="single" w:sz="8" w:color="auto"/>
            </w:tcBorders>
            <w:gridSpan w:val="2"/>
            <w:shd w:val="clear" w:color="auto" w:fill="FEFEFE"/>
          </w:tcPr>
          <w:p>
            <w:pPr>
              <w:jc w:val="right"/>
              <w:ind w:right="38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1080" w:type="dxa"/>
            <w:vAlign w:val="bottom"/>
          </w:tcPr>
          <w:p>
            <w:pPr>
              <w:spacing w:after="0"/>
              <w:rPr>
                <w:sz w:val="19"/>
                <w:szCs w:val="19"/>
                <w:color w:val="auto"/>
              </w:rPr>
            </w:pPr>
          </w:p>
        </w:tc>
        <w:tc>
          <w:tcPr>
            <w:tcW w:w="5920" w:type="dxa"/>
            <w:vAlign w:val="bottom"/>
            <w:shd w:val="clear" w:color="auto" w:fill="FEFEFE"/>
          </w:tcPr>
          <w:p>
            <w:pPr>
              <w:spacing w:after="0"/>
              <w:rPr>
                <w:sz w:val="19"/>
                <w:szCs w:val="19"/>
                <w:color w:val="auto"/>
              </w:rPr>
            </w:pPr>
          </w:p>
        </w:tc>
        <w:tc>
          <w:tcPr>
            <w:tcW w:w="48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shd w:val="clear" w:color="auto" w:fill="FEFEFE"/>
          </w:tcPr>
          <w:p>
            <w:pPr>
              <w:jc w:val="right"/>
              <w:ind w:right="300"/>
              <w:spacing w:after="0" w:line="220" w:lineRule="exact"/>
              <w:rPr>
                <w:sz w:val="20"/>
                <w:szCs w:val="20"/>
                <w:color w:val="auto"/>
              </w:rPr>
            </w:pPr>
            <w:r>
              <w:rPr>
                <w:rFonts w:ascii="Times New Roman" w:cs="Times New Roman" w:eastAsia="Times New Roman" w:hAnsi="Times New Roman"/>
                <w:sz w:val="20"/>
                <w:szCs w:val="20"/>
                <w:b w:val="1"/>
                <w:bCs w:val="1"/>
                <w:color w:val="auto"/>
                <w:w w:val="94"/>
              </w:rPr>
              <w:t>'000)</w:t>
            </w:r>
          </w:p>
        </w:tc>
        <w:tc>
          <w:tcPr>
            <w:tcW w:w="120" w:type="dxa"/>
            <w:vAlign w:val="bottom"/>
            <w:shd w:val="clear" w:color="auto" w:fill="FEFEFE"/>
          </w:tcPr>
          <w:p>
            <w:pPr>
              <w:spacing w:after="0"/>
              <w:rPr>
                <w:sz w:val="19"/>
                <w:szCs w:val="19"/>
                <w:color w:val="auto"/>
              </w:rPr>
            </w:pPr>
          </w:p>
        </w:tc>
        <w:tc>
          <w:tcPr>
            <w:tcW w:w="48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shd w:val="clear" w:color="auto" w:fill="FEFEFE"/>
          </w:tcPr>
          <w:p>
            <w:pPr>
              <w:jc w:val="right"/>
              <w:ind w:right="300"/>
              <w:spacing w:after="0" w:line="220" w:lineRule="exact"/>
              <w:rPr>
                <w:sz w:val="20"/>
                <w:szCs w:val="20"/>
                <w:color w:val="auto"/>
              </w:rPr>
            </w:pPr>
            <w:r>
              <w:rPr>
                <w:rFonts w:ascii="Times New Roman" w:cs="Times New Roman" w:eastAsia="Times New Roman" w:hAnsi="Times New Roman"/>
                <w:sz w:val="20"/>
                <w:szCs w:val="20"/>
                <w:b w:val="1"/>
                <w:bCs w:val="1"/>
                <w:color w:val="auto"/>
                <w:w w:val="94"/>
              </w:rPr>
              <w:t>'000)</w:t>
            </w:r>
          </w:p>
        </w:tc>
      </w:tr>
      <w:tr>
        <w:trPr>
          <w:trHeight w:val="230"/>
        </w:trPr>
        <w:tc>
          <w:tcPr>
            <w:tcW w:w="1080" w:type="dxa"/>
            <w:vAlign w:val="bottom"/>
          </w:tcPr>
          <w:p>
            <w:pPr>
              <w:spacing w:after="0"/>
              <w:rPr>
                <w:sz w:val="19"/>
                <w:szCs w:val="19"/>
                <w:color w:val="auto"/>
              </w:rPr>
            </w:pPr>
          </w:p>
        </w:tc>
        <w:tc>
          <w:tcPr>
            <w:tcW w:w="5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VAT receivable</w:t>
            </w:r>
          </w:p>
        </w:tc>
        <w:tc>
          <w:tcPr>
            <w:tcW w:w="4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120" w:type="dxa"/>
            <w:vAlign w:val="bottom"/>
            <w:shd w:val="clear" w:color="auto" w:fill="E6E6E6"/>
          </w:tcPr>
          <w:p>
            <w:pPr>
              <w:spacing w:after="0"/>
              <w:rPr>
                <w:sz w:val="19"/>
                <w:szCs w:val="19"/>
                <w:color w:val="auto"/>
              </w:rPr>
            </w:pPr>
          </w:p>
        </w:tc>
        <w:tc>
          <w:tcPr>
            <w:tcW w:w="4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599</w:t>
            </w:r>
          </w:p>
        </w:tc>
      </w:tr>
      <w:tr>
        <w:trPr>
          <w:trHeight w:val="230"/>
        </w:trPr>
        <w:tc>
          <w:tcPr>
            <w:tcW w:w="1080" w:type="dxa"/>
            <w:vAlign w:val="bottom"/>
          </w:tcPr>
          <w:p>
            <w:pPr>
              <w:spacing w:after="0"/>
              <w:rPr>
                <w:sz w:val="19"/>
                <w:szCs w:val="19"/>
                <w:color w:val="auto"/>
              </w:rPr>
            </w:pPr>
          </w:p>
        </w:tc>
        <w:tc>
          <w:tcPr>
            <w:tcW w:w="59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Prepaid research and development services</w:t>
            </w:r>
          </w:p>
        </w:tc>
        <w:tc>
          <w:tcPr>
            <w:tcW w:w="480" w:type="dxa"/>
            <w:vAlign w:val="bottom"/>
            <w:shd w:val="clear" w:color="auto" w:fill="FEFEFE"/>
          </w:tcPr>
          <w:p>
            <w:pPr>
              <w:spacing w:after="0"/>
              <w:rPr>
                <w:sz w:val="19"/>
                <w:szCs w:val="19"/>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120" w:type="dxa"/>
            <w:vAlign w:val="bottom"/>
            <w:shd w:val="clear" w:color="auto" w:fill="FEFEFE"/>
          </w:tcPr>
          <w:p>
            <w:pPr>
              <w:spacing w:after="0"/>
              <w:rPr>
                <w:sz w:val="19"/>
                <w:szCs w:val="19"/>
                <w:color w:val="auto"/>
              </w:rPr>
            </w:pPr>
          </w:p>
        </w:tc>
        <w:tc>
          <w:tcPr>
            <w:tcW w:w="480" w:type="dxa"/>
            <w:vAlign w:val="bottom"/>
            <w:shd w:val="clear" w:color="auto" w:fill="FEFEFE"/>
          </w:tcPr>
          <w:p>
            <w:pPr>
              <w:spacing w:after="0"/>
              <w:rPr>
                <w:sz w:val="19"/>
                <w:szCs w:val="19"/>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632</w:t>
            </w:r>
          </w:p>
        </w:tc>
      </w:tr>
      <w:tr>
        <w:trPr>
          <w:trHeight w:val="230"/>
        </w:trPr>
        <w:tc>
          <w:tcPr>
            <w:tcW w:w="1080" w:type="dxa"/>
            <w:vAlign w:val="bottom"/>
          </w:tcPr>
          <w:p>
            <w:pPr>
              <w:spacing w:after="0"/>
              <w:rPr>
                <w:sz w:val="19"/>
                <w:szCs w:val="19"/>
                <w:color w:val="auto"/>
              </w:rPr>
            </w:pPr>
          </w:p>
        </w:tc>
        <w:tc>
          <w:tcPr>
            <w:tcW w:w="5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Insurance claim receivable</w:t>
            </w:r>
          </w:p>
        </w:tc>
        <w:tc>
          <w:tcPr>
            <w:tcW w:w="48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19"/>
                <w:szCs w:val="19"/>
                <w:color w:val="auto"/>
              </w:rPr>
            </w:pPr>
          </w:p>
        </w:tc>
        <w:tc>
          <w:tcPr>
            <w:tcW w:w="48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1,950</w:t>
            </w:r>
          </w:p>
        </w:tc>
      </w:tr>
      <w:tr>
        <w:trPr>
          <w:trHeight w:val="230"/>
        </w:trPr>
        <w:tc>
          <w:tcPr>
            <w:tcW w:w="1080" w:type="dxa"/>
            <w:vAlign w:val="bottom"/>
          </w:tcPr>
          <w:p>
            <w:pPr>
              <w:spacing w:after="0"/>
              <w:rPr>
                <w:sz w:val="19"/>
                <w:szCs w:val="19"/>
                <w:color w:val="auto"/>
              </w:rPr>
            </w:pPr>
          </w:p>
        </w:tc>
        <w:tc>
          <w:tcPr>
            <w:tcW w:w="59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Security deposits</w:t>
            </w:r>
          </w:p>
        </w:tc>
        <w:tc>
          <w:tcPr>
            <w:tcW w:w="480" w:type="dxa"/>
            <w:vAlign w:val="bottom"/>
            <w:shd w:val="clear" w:color="auto" w:fill="FEFEFE"/>
          </w:tcPr>
          <w:p>
            <w:pPr>
              <w:spacing w:after="0"/>
              <w:rPr>
                <w:sz w:val="19"/>
                <w:szCs w:val="19"/>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120" w:type="dxa"/>
            <w:vAlign w:val="bottom"/>
            <w:shd w:val="clear" w:color="auto" w:fill="FEFEFE"/>
          </w:tcPr>
          <w:p>
            <w:pPr>
              <w:spacing w:after="0"/>
              <w:rPr>
                <w:sz w:val="19"/>
                <w:szCs w:val="19"/>
                <w:color w:val="auto"/>
              </w:rPr>
            </w:pPr>
          </w:p>
        </w:tc>
        <w:tc>
          <w:tcPr>
            <w:tcW w:w="480" w:type="dxa"/>
            <w:vAlign w:val="bottom"/>
            <w:shd w:val="clear" w:color="auto" w:fill="FEFEFE"/>
          </w:tcPr>
          <w:p>
            <w:pPr>
              <w:spacing w:after="0"/>
              <w:rPr>
                <w:sz w:val="19"/>
                <w:szCs w:val="19"/>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615</w:t>
            </w:r>
          </w:p>
        </w:tc>
      </w:tr>
      <w:tr>
        <w:trPr>
          <w:trHeight w:val="230"/>
        </w:trPr>
        <w:tc>
          <w:tcPr>
            <w:tcW w:w="1080" w:type="dxa"/>
            <w:vAlign w:val="bottom"/>
          </w:tcPr>
          <w:p>
            <w:pPr>
              <w:spacing w:after="0"/>
              <w:rPr>
                <w:sz w:val="19"/>
                <w:szCs w:val="19"/>
                <w:color w:val="auto"/>
              </w:rPr>
            </w:pPr>
          </w:p>
        </w:tc>
        <w:tc>
          <w:tcPr>
            <w:tcW w:w="5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Prepaid insurance premiums</w:t>
            </w:r>
          </w:p>
        </w:tc>
        <w:tc>
          <w:tcPr>
            <w:tcW w:w="48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1,003</w:t>
            </w:r>
          </w:p>
        </w:tc>
        <w:tc>
          <w:tcPr>
            <w:tcW w:w="120" w:type="dxa"/>
            <w:vAlign w:val="bottom"/>
            <w:shd w:val="clear" w:color="auto" w:fill="E6E6E6"/>
          </w:tcPr>
          <w:p>
            <w:pPr>
              <w:spacing w:after="0"/>
              <w:rPr>
                <w:sz w:val="19"/>
                <w:szCs w:val="19"/>
                <w:color w:val="auto"/>
              </w:rPr>
            </w:pPr>
          </w:p>
        </w:tc>
        <w:tc>
          <w:tcPr>
            <w:tcW w:w="480" w:type="dxa"/>
            <w:vAlign w:val="bottom"/>
            <w:shd w:val="clear" w:color="auto" w:fill="E6E6E6"/>
          </w:tcPr>
          <w:p>
            <w:pPr>
              <w:spacing w:after="0"/>
              <w:rPr>
                <w:sz w:val="19"/>
                <w:szCs w:val="19"/>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1,020</w:t>
            </w:r>
          </w:p>
        </w:tc>
      </w:tr>
      <w:tr>
        <w:trPr>
          <w:trHeight w:val="230"/>
        </w:trPr>
        <w:tc>
          <w:tcPr>
            <w:tcW w:w="1080" w:type="dxa"/>
            <w:vAlign w:val="bottom"/>
          </w:tcPr>
          <w:p>
            <w:pPr>
              <w:spacing w:after="0"/>
              <w:rPr>
                <w:sz w:val="19"/>
                <w:szCs w:val="19"/>
                <w:color w:val="auto"/>
              </w:rPr>
            </w:pPr>
          </w:p>
        </w:tc>
        <w:tc>
          <w:tcPr>
            <w:tcW w:w="5920" w:type="dxa"/>
            <w:vAlign w:val="bottom"/>
            <w:tcBorders>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Other prepaid expenses and current assets</w:t>
            </w:r>
          </w:p>
        </w:tc>
        <w:tc>
          <w:tcPr>
            <w:tcW w:w="480" w:type="dxa"/>
            <w:vAlign w:val="bottom"/>
            <w:tcBorders>
              <w:bottom w:val="single" w:sz="8" w:color="auto"/>
            </w:tcBorders>
            <w:shd w:val="clear" w:color="auto" w:fill="FEFEFE"/>
          </w:tcPr>
          <w:p>
            <w:pPr>
              <w:spacing w:after="0"/>
              <w:rPr>
                <w:sz w:val="19"/>
                <w:szCs w:val="19"/>
                <w:color w:val="auto"/>
              </w:rPr>
            </w:pPr>
          </w:p>
        </w:tc>
        <w:tc>
          <w:tcPr>
            <w:tcW w:w="8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20" w:type="dxa"/>
            <w:vAlign w:val="bottom"/>
            <w:tcBorders>
              <w:bottom w:val="single" w:sz="8" w:color="E6E6E6"/>
            </w:tcBorders>
            <w:shd w:val="clear" w:color="auto" w:fill="FEFEFE"/>
          </w:tcPr>
          <w:p>
            <w:pPr>
              <w:spacing w:after="0"/>
              <w:rPr>
                <w:sz w:val="19"/>
                <w:szCs w:val="19"/>
                <w:color w:val="auto"/>
              </w:rPr>
            </w:pPr>
          </w:p>
        </w:tc>
        <w:tc>
          <w:tcPr>
            <w:tcW w:w="480" w:type="dxa"/>
            <w:vAlign w:val="bottom"/>
            <w:tcBorders>
              <w:bottom w:val="single" w:sz="8" w:color="auto"/>
            </w:tcBorders>
            <w:shd w:val="clear" w:color="auto" w:fill="FEFEFE"/>
          </w:tcPr>
          <w:p>
            <w:pPr>
              <w:spacing w:after="0"/>
              <w:rPr>
                <w:sz w:val="19"/>
                <w:szCs w:val="19"/>
                <w:color w:val="auto"/>
              </w:rPr>
            </w:pPr>
          </w:p>
        </w:tc>
        <w:tc>
          <w:tcPr>
            <w:tcW w:w="8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340</w:t>
            </w:r>
          </w:p>
        </w:tc>
      </w:tr>
      <w:tr>
        <w:trPr>
          <w:trHeight w:val="220"/>
        </w:trPr>
        <w:tc>
          <w:tcPr>
            <w:tcW w:w="1080" w:type="dxa"/>
            <w:vAlign w:val="bottom"/>
          </w:tcPr>
          <w:p>
            <w:pPr>
              <w:spacing w:after="0"/>
              <w:rPr>
                <w:sz w:val="19"/>
                <w:szCs w:val="19"/>
                <w:color w:val="auto"/>
              </w:rPr>
            </w:pPr>
          </w:p>
        </w:tc>
        <w:tc>
          <w:tcPr>
            <w:tcW w:w="59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480" w:type="dxa"/>
            <w:vAlign w:val="bottom"/>
            <w:tcBorders>
              <w:bottom w:val="single" w:sz="8" w:color="auto"/>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2,175</w:t>
            </w:r>
          </w:p>
        </w:tc>
        <w:tc>
          <w:tcPr>
            <w:tcW w:w="120" w:type="dxa"/>
            <w:vAlign w:val="bottom"/>
            <w:shd w:val="clear" w:color="auto" w:fill="E6E6E6"/>
          </w:tcPr>
          <w:p>
            <w:pPr>
              <w:spacing w:after="0"/>
              <w:rPr>
                <w:sz w:val="19"/>
                <w:szCs w:val="19"/>
                <w:color w:val="auto"/>
              </w:rPr>
            </w:pPr>
          </w:p>
        </w:tc>
        <w:tc>
          <w:tcPr>
            <w:tcW w:w="480" w:type="dxa"/>
            <w:vAlign w:val="bottom"/>
            <w:tcBorders>
              <w:bottom w:val="single" w:sz="8" w:color="auto"/>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5,156</w:t>
            </w:r>
          </w:p>
        </w:tc>
      </w:tr>
      <w:tr>
        <w:trPr>
          <w:trHeight w:val="20"/>
        </w:trPr>
        <w:tc>
          <w:tcPr>
            <w:tcW w:w="10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1D1D1D"/>
        </w:rPr>
        <w:t>Prepaid insurance premiums included within Other prepaid expenses and current assets in prior periods have been separately disclosed for the years ended December 31, 2024 and 2023, accordingly, certain prior year amounts have been reclassified for consistency with the current year presentation. These reclassifications had no effect on the reported results of operations.</w:t>
      </w:r>
    </w:p>
    <w:p>
      <w:pPr>
        <w:sectPr>
          <w:pgSz w:w="11880" w:h="15480" w:orient="portrait"/>
          <w:cols w:equalWidth="0" w:num="1">
            <w:col w:w="10800"/>
          </w:cols>
          <w:pgMar w:left="540" w:top="748"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1880" w:h="15480" w:orient="portrait"/>
          <w:cols w:equalWidth="0" w:num="1">
            <w:col w:w="10800"/>
          </w:cols>
          <w:pgMar w:left="540" w:top="748" w:right="540" w:bottom="8"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75"/>
        </w:trPr>
        <w:tc>
          <w:tcPr>
            <w:tcW w:w="6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6. Property and equipment, net</w:t>
            </w: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449"/>
        </w:trPr>
        <w:tc>
          <w:tcPr>
            <w:tcW w:w="682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Property and equipment, net consists of the following:</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80" w:type="dxa"/>
            <w:vAlign w:val="bottom"/>
          </w:tcPr>
          <w:p>
            <w:pPr>
              <w:spacing w:after="0"/>
              <w:rPr>
                <w:sz w:val="19"/>
                <w:szCs w:val="19"/>
                <w:color w:val="auto"/>
              </w:rPr>
            </w:pPr>
          </w:p>
        </w:tc>
        <w:tc>
          <w:tcPr>
            <w:tcW w:w="5740" w:type="dxa"/>
            <w:vAlign w:val="bottom"/>
            <w:tcBorders>
              <w:bottom w:val="single" w:sz="8" w:color="FEFEFE"/>
            </w:tcBorders>
            <w:shd w:val="clear" w:color="auto" w:fill="FEFEFE"/>
          </w:tcPr>
          <w:p>
            <w:pPr>
              <w:spacing w:after="0"/>
              <w:rPr>
                <w:sz w:val="19"/>
                <w:szCs w:val="19"/>
                <w:color w:val="auto"/>
              </w:rPr>
            </w:pPr>
          </w:p>
        </w:tc>
        <w:tc>
          <w:tcPr>
            <w:tcW w:w="1520" w:type="dxa"/>
            <w:vAlign w:val="bottom"/>
            <w:tcBorders>
              <w:bottom w:val="single" w:sz="8" w:color="auto"/>
            </w:tcBorders>
            <w:gridSpan w:val="2"/>
            <w:shd w:val="clear" w:color="auto" w:fill="FEFEFE"/>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0" w:type="dxa"/>
            <w:vAlign w:val="bottom"/>
            <w:tcBorders>
              <w:bottom w:val="single" w:sz="8" w:color="FEFEFE"/>
            </w:tcBorders>
            <w:shd w:val="clear" w:color="auto" w:fill="FEFEFE"/>
          </w:tcPr>
          <w:p>
            <w:pPr>
              <w:spacing w:after="0"/>
              <w:rPr>
                <w:sz w:val="19"/>
                <w:szCs w:val="19"/>
                <w:color w:val="auto"/>
              </w:rPr>
            </w:pPr>
          </w:p>
        </w:tc>
        <w:tc>
          <w:tcPr>
            <w:tcW w:w="1260" w:type="dxa"/>
            <w:vAlign w:val="bottom"/>
            <w:tcBorders>
              <w:bottom w:val="single" w:sz="8" w:color="auto"/>
            </w:tcBorders>
            <w:gridSpan w:val="2"/>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20"/>
        </w:trPr>
        <w:tc>
          <w:tcPr>
            <w:tcW w:w="1080" w:type="dxa"/>
            <w:vAlign w:val="bottom"/>
          </w:tcPr>
          <w:p>
            <w:pPr>
              <w:spacing w:after="0"/>
              <w:rPr>
                <w:sz w:val="19"/>
                <w:szCs w:val="19"/>
                <w:color w:val="auto"/>
              </w:rPr>
            </w:pPr>
          </w:p>
        </w:tc>
        <w:tc>
          <w:tcPr>
            <w:tcW w:w="5740" w:type="dxa"/>
            <w:vAlign w:val="bottom"/>
            <w:tcBorders>
              <w:bottom w:val="single" w:sz="8" w:color="FEFEFE"/>
            </w:tcBorders>
            <w:shd w:val="clear" w:color="auto" w:fill="FEFEFE"/>
          </w:tcPr>
          <w:p>
            <w:pPr>
              <w:spacing w:after="0"/>
              <w:rPr>
                <w:sz w:val="19"/>
                <w:szCs w:val="19"/>
                <w:color w:val="auto"/>
              </w:rPr>
            </w:pPr>
          </w:p>
        </w:tc>
        <w:tc>
          <w:tcPr>
            <w:tcW w:w="1520" w:type="dxa"/>
            <w:vAlign w:val="bottom"/>
            <w:tcBorders>
              <w:bottom w:val="single" w:sz="8" w:color="auto"/>
            </w:tcBorders>
            <w:gridSpan w:val="2"/>
            <w:shd w:val="clear" w:color="auto" w:fill="FEFEFE"/>
          </w:tcPr>
          <w:p>
            <w:pPr>
              <w:jc w:val="right"/>
              <w:ind w:right="50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Borders>
              <w:bottom w:val="single" w:sz="8" w:color="FEFEFE"/>
            </w:tcBorders>
            <w:shd w:val="clear" w:color="auto" w:fill="FEFEFE"/>
          </w:tcPr>
          <w:p>
            <w:pPr>
              <w:spacing w:after="0"/>
              <w:rPr>
                <w:sz w:val="19"/>
                <w:szCs w:val="19"/>
                <w:color w:val="auto"/>
              </w:rPr>
            </w:pPr>
          </w:p>
        </w:tc>
        <w:tc>
          <w:tcPr>
            <w:tcW w:w="1260" w:type="dxa"/>
            <w:vAlign w:val="bottom"/>
            <w:tcBorders>
              <w:bottom w:val="single" w:sz="8" w:color="auto"/>
            </w:tcBorders>
            <w:gridSpan w:val="2"/>
            <w:shd w:val="clear" w:color="auto" w:fill="FEFEFE"/>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1080" w:type="dxa"/>
            <w:vAlign w:val="bottom"/>
          </w:tcPr>
          <w:p>
            <w:pPr>
              <w:spacing w:after="0"/>
              <w:rPr>
                <w:sz w:val="19"/>
                <w:szCs w:val="19"/>
                <w:color w:val="auto"/>
              </w:rPr>
            </w:pPr>
          </w:p>
        </w:tc>
        <w:tc>
          <w:tcPr>
            <w:tcW w:w="5740" w:type="dxa"/>
            <w:vAlign w:val="bottom"/>
            <w:shd w:val="clear" w:color="auto" w:fill="FEFEFE"/>
          </w:tcPr>
          <w:p>
            <w:pPr>
              <w:spacing w:after="0"/>
              <w:rPr>
                <w:sz w:val="19"/>
                <w:szCs w:val="19"/>
                <w:color w:val="auto"/>
              </w:rPr>
            </w:pPr>
          </w:p>
        </w:tc>
        <w:tc>
          <w:tcPr>
            <w:tcW w:w="58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shd w:val="clear" w:color="auto" w:fill="FEFEFE"/>
          </w:tcPr>
          <w:p>
            <w:pPr>
              <w:jc w:val="right"/>
              <w:ind w:right="420"/>
              <w:spacing w:after="0" w:line="220" w:lineRule="exact"/>
              <w:rPr>
                <w:sz w:val="20"/>
                <w:szCs w:val="20"/>
                <w:color w:val="auto"/>
              </w:rPr>
            </w:pPr>
            <w:r>
              <w:rPr>
                <w:rFonts w:ascii="Times New Roman" w:cs="Times New Roman" w:eastAsia="Times New Roman" w:hAnsi="Times New Roman"/>
                <w:sz w:val="20"/>
                <w:szCs w:val="20"/>
                <w:b w:val="1"/>
                <w:bCs w:val="1"/>
                <w:color w:val="auto"/>
                <w:w w:val="94"/>
              </w:rPr>
              <w:t>'000)</w:t>
            </w:r>
          </w:p>
        </w:tc>
        <w:tc>
          <w:tcPr>
            <w:tcW w:w="120" w:type="dxa"/>
            <w:vAlign w:val="bottom"/>
            <w:shd w:val="clear" w:color="auto" w:fill="FEFEFE"/>
          </w:tcPr>
          <w:p>
            <w:pPr>
              <w:spacing w:after="0"/>
              <w:rPr>
                <w:sz w:val="19"/>
                <w:szCs w:val="19"/>
                <w:color w:val="auto"/>
              </w:rPr>
            </w:pPr>
          </w:p>
        </w:tc>
        <w:tc>
          <w:tcPr>
            <w:tcW w:w="46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shd w:val="clear" w:color="auto" w:fill="FEFEFE"/>
          </w:tcPr>
          <w:p>
            <w:pPr>
              <w:jc w:val="right"/>
              <w:ind w:right="280"/>
              <w:spacing w:after="0" w:line="220" w:lineRule="exact"/>
              <w:rPr>
                <w:sz w:val="20"/>
                <w:szCs w:val="20"/>
                <w:color w:val="auto"/>
              </w:rPr>
            </w:pPr>
            <w:r>
              <w:rPr>
                <w:rFonts w:ascii="Times New Roman" w:cs="Times New Roman" w:eastAsia="Times New Roman" w:hAnsi="Times New Roman"/>
                <w:sz w:val="20"/>
                <w:szCs w:val="20"/>
                <w:b w:val="1"/>
                <w:bCs w:val="1"/>
                <w:color w:val="auto"/>
                <w:w w:val="94"/>
              </w:rPr>
              <w:t>'000)</w:t>
            </w:r>
          </w:p>
        </w:tc>
      </w:tr>
      <w:tr>
        <w:trPr>
          <w:trHeight w:val="230"/>
        </w:trPr>
        <w:tc>
          <w:tcPr>
            <w:tcW w:w="1080" w:type="dxa"/>
            <w:vAlign w:val="bottom"/>
          </w:tcPr>
          <w:p>
            <w:pPr>
              <w:spacing w:after="0"/>
              <w:rPr>
                <w:sz w:val="19"/>
                <w:szCs w:val="19"/>
                <w:color w:val="auto"/>
              </w:rPr>
            </w:pPr>
          </w:p>
        </w:tc>
        <w:tc>
          <w:tcPr>
            <w:tcW w:w="5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580" w:type="dxa"/>
            <w:vAlign w:val="bottom"/>
            <w:shd w:val="clear" w:color="auto" w:fill="E6E6E6"/>
          </w:tcPr>
          <w:p>
            <w:pPr>
              <w:jc w:val="right"/>
              <w:ind w:right="3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120" w:type="dxa"/>
            <w:vAlign w:val="bottom"/>
            <w:shd w:val="clear" w:color="auto" w:fill="E6E6E6"/>
          </w:tcPr>
          <w:p>
            <w:pPr>
              <w:spacing w:after="0"/>
              <w:rPr>
                <w:sz w:val="19"/>
                <w:szCs w:val="19"/>
                <w:color w:val="auto"/>
              </w:rPr>
            </w:pPr>
          </w:p>
        </w:tc>
        <w:tc>
          <w:tcPr>
            <w:tcW w:w="4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710</w:t>
            </w:r>
          </w:p>
        </w:tc>
      </w:tr>
      <w:tr>
        <w:trPr>
          <w:trHeight w:val="230"/>
        </w:trPr>
        <w:tc>
          <w:tcPr>
            <w:tcW w:w="1080" w:type="dxa"/>
            <w:vAlign w:val="bottom"/>
          </w:tcPr>
          <w:p>
            <w:pPr>
              <w:spacing w:after="0"/>
              <w:rPr>
                <w:sz w:val="19"/>
                <w:szCs w:val="19"/>
                <w:color w:val="auto"/>
              </w:rPr>
            </w:pPr>
          </w:p>
        </w:tc>
        <w:tc>
          <w:tcPr>
            <w:tcW w:w="57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Office equipment</w:t>
            </w:r>
          </w:p>
        </w:tc>
        <w:tc>
          <w:tcPr>
            <w:tcW w:w="580" w:type="dxa"/>
            <w:vAlign w:val="bottom"/>
            <w:shd w:val="clear" w:color="auto" w:fill="FEFEFE"/>
          </w:tcPr>
          <w:p>
            <w:pPr>
              <w:spacing w:after="0"/>
              <w:rPr>
                <w:sz w:val="19"/>
                <w:szCs w:val="19"/>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120" w:type="dxa"/>
            <w:vAlign w:val="bottom"/>
            <w:shd w:val="clear" w:color="auto" w:fill="FEFEFE"/>
          </w:tcPr>
          <w:p>
            <w:pPr>
              <w:spacing w:after="0"/>
              <w:rPr>
                <w:sz w:val="19"/>
                <w:szCs w:val="19"/>
                <w:color w:val="auto"/>
              </w:rPr>
            </w:pPr>
          </w:p>
        </w:tc>
        <w:tc>
          <w:tcPr>
            <w:tcW w:w="460" w:type="dxa"/>
            <w:vAlign w:val="bottom"/>
            <w:shd w:val="clear" w:color="auto" w:fill="FEFEFE"/>
          </w:tcPr>
          <w:p>
            <w:pPr>
              <w:spacing w:after="0"/>
              <w:rPr>
                <w:sz w:val="19"/>
                <w:szCs w:val="19"/>
                <w:color w:val="auto"/>
              </w:rPr>
            </w:pP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199</w:t>
            </w:r>
          </w:p>
        </w:tc>
      </w:tr>
      <w:tr>
        <w:trPr>
          <w:trHeight w:val="230"/>
        </w:trPr>
        <w:tc>
          <w:tcPr>
            <w:tcW w:w="1080" w:type="dxa"/>
            <w:vAlign w:val="bottom"/>
          </w:tcPr>
          <w:p>
            <w:pPr>
              <w:spacing w:after="0"/>
              <w:rPr>
                <w:sz w:val="19"/>
                <w:szCs w:val="19"/>
                <w:color w:val="auto"/>
              </w:rPr>
            </w:pPr>
          </w:p>
        </w:tc>
        <w:tc>
          <w:tcPr>
            <w:tcW w:w="574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IT equipment</w:t>
            </w:r>
          </w:p>
        </w:tc>
        <w:tc>
          <w:tcPr>
            <w:tcW w:w="580" w:type="dxa"/>
            <w:vAlign w:val="bottom"/>
            <w:tcBorders>
              <w:bottom w:val="single" w:sz="8" w:color="auto"/>
            </w:tcBorders>
            <w:shd w:val="clear" w:color="auto" w:fill="E6E6E6"/>
          </w:tcPr>
          <w:p>
            <w:pPr>
              <w:spacing w:after="0"/>
              <w:rPr>
                <w:sz w:val="19"/>
                <w:szCs w:val="19"/>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120" w:type="dxa"/>
            <w:vAlign w:val="bottom"/>
            <w:tcBorders>
              <w:bottom w:val="single" w:sz="8" w:color="FEFEFE"/>
            </w:tcBorders>
            <w:shd w:val="clear" w:color="auto" w:fill="E6E6E6"/>
          </w:tcPr>
          <w:p>
            <w:pPr>
              <w:spacing w:after="0"/>
              <w:rPr>
                <w:sz w:val="19"/>
                <w:szCs w:val="19"/>
                <w:color w:val="auto"/>
              </w:rPr>
            </w:pPr>
          </w:p>
        </w:tc>
        <w:tc>
          <w:tcPr>
            <w:tcW w:w="460" w:type="dxa"/>
            <w:vAlign w:val="bottom"/>
            <w:tcBorders>
              <w:bottom w:val="single" w:sz="8" w:color="auto"/>
            </w:tcBorders>
            <w:shd w:val="clear" w:color="auto" w:fill="E6E6E6"/>
          </w:tcPr>
          <w:p>
            <w:pPr>
              <w:spacing w:after="0"/>
              <w:rPr>
                <w:sz w:val="19"/>
                <w:szCs w:val="19"/>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296</w:t>
            </w:r>
          </w:p>
        </w:tc>
      </w:tr>
      <w:tr>
        <w:trPr>
          <w:trHeight w:val="220"/>
        </w:trPr>
        <w:tc>
          <w:tcPr>
            <w:tcW w:w="1080" w:type="dxa"/>
            <w:vAlign w:val="bottom"/>
          </w:tcPr>
          <w:p>
            <w:pPr>
              <w:spacing w:after="0"/>
              <w:rPr>
                <w:sz w:val="19"/>
                <w:szCs w:val="19"/>
                <w:color w:val="auto"/>
              </w:rPr>
            </w:pPr>
          </w:p>
        </w:tc>
        <w:tc>
          <w:tcPr>
            <w:tcW w:w="5740" w:type="dxa"/>
            <w:vAlign w:val="bottom"/>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Property and equipment, at cost</w:t>
            </w:r>
          </w:p>
        </w:tc>
        <w:tc>
          <w:tcPr>
            <w:tcW w:w="580" w:type="dxa"/>
            <w:vAlign w:val="bottom"/>
            <w:shd w:val="clear" w:color="auto" w:fill="FEFEFE"/>
          </w:tcPr>
          <w:p>
            <w:pPr>
              <w:spacing w:after="0"/>
              <w:rPr>
                <w:sz w:val="19"/>
                <w:szCs w:val="19"/>
                <w:color w:val="auto"/>
              </w:rPr>
            </w:pPr>
          </w:p>
        </w:tc>
        <w:tc>
          <w:tcPr>
            <w:tcW w:w="94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1,206</w:t>
            </w:r>
          </w:p>
        </w:tc>
        <w:tc>
          <w:tcPr>
            <w:tcW w:w="120" w:type="dxa"/>
            <w:vAlign w:val="bottom"/>
            <w:shd w:val="clear" w:color="auto" w:fill="FEFEFE"/>
          </w:tcPr>
          <w:p>
            <w:pPr>
              <w:spacing w:after="0"/>
              <w:rPr>
                <w:sz w:val="19"/>
                <w:szCs w:val="19"/>
                <w:color w:val="auto"/>
              </w:rPr>
            </w:pPr>
          </w:p>
        </w:tc>
        <w:tc>
          <w:tcPr>
            <w:tcW w:w="460" w:type="dxa"/>
            <w:vAlign w:val="bottom"/>
            <w:shd w:val="clear" w:color="auto" w:fill="FEFEFE"/>
          </w:tcPr>
          <w:p>
            <w:pPr>
              <w:spacing w:after="0"/>
              <w:rPr>
                <w:sz w:val="19"/>
                <w:szCs w:val="19"/>
                <w:color w:val="auto"/>
              </w:rPr>
            </w:pPr>
          </w:p>
        </w:tc>
        <w:tc>
          <w:tcPr>
            <w:tcW w:w="80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1,205</w:t>
            </w:r>
          </w:p>
        </w:tc>
      </w:tr>
      <w:tr>
        <w:trPr>
          <w:trHeight w:val="230"/>
        </w:trPr>
        <w:tc>
          <w:tcPr>
            <w:tcW w:w="1080" w:type="dxa"/>
            <w:vAlign w:val="bottom"/>
          </w:tcPr>
          <w:p>
            <w:pPr>
              <w:spacing w:after="0"/>
              <w:rPr>
                <w:sz w:val="19"/>
                <w:szCs w:val="19"/>
                <w:color w:val="auto"/>
              </w:rPr>
            </w:pPr>
          </w:p>
        </w:tc>
        <w:tc>
          <w:tcPr>
            <w:tcW w:w="574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580" w:type="dxa"/>
            <w:vAlign w:val="bottom"/>
            <w:tcBorders>
              <w:bottom w:val="single" w:sz="8" w:color="auto"/>
            </w:tcBorders>
            <w:shd w:val="clear" w:color="auto" w:fill="E6E6E6"/>
          </w:tcPr>
          <w:p>
            <w:pPr>
              <w:spacing w:after="0"/>
              <w:rPr>
                <w:sz w:val="19"/>
                <w:szCs w:val="19"/>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(949)</w:t>
            </w:r>
          </w:p>
        </w:tc>
        <w:tc>
          <w:tcPr>
            <w:tcW w:w="120" w:type="dxa"/>
            <w:vAlign w:val="bottom"/>
            <w:tcBorders>
              <w:bottom w:val="single" w:sz="8" w:color="FEFEFE"/>
            </w:tcBorders>
            <w:shd w:val="clear" w:color="auto" w:fill="E6E6E6"/>
          </w:tcPr>
          <w:p>
            <w:pPr>
              <w:spacing w:after="0"/>
              <w:rPr>
                <w:sz w:val="19"/>
                <w:szCs w:val="19"/>
                <w:color w:val="auto"/>
              </w:rPr>
            </w:pPr>
          </w:p>
        </w:tc>
        <w:tc>
          <w:tcPr>
            <w:tcW w:w="460" w:type="dxa"/>
            <w:vAlign w:val="bottom"/>
            <w:tcBorders>
              <w:bottom w:val="single" w:sz="8" w:color="auto"/>
            </w:tcBorders>
            <w:shd w:val="clear" w:color="auto" w:fill="E6E6E6"/>
          </w:tcPr>
          <w:p>
            <w:pPr>
              <w:spacing w:after="0"/>
              <w:rPr>
                <w:sz w:val="19"/>
                <w:szCs w:val="19"/>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220"/>
        </w:trPr>
        <w:tc>
          <w:tcPr>
            <w:tcW w:w="1080" w:type="dxa"/>
            <w:vAlign w:val="bottom"/>
          </w:tcPr>
          <w:p>
            <w:pPr>
              <w:spacing w:after="0"/>
              <w:rPr>
                <w:sz w:val="19"/>
                <w:szCs w:val="19"/>
                <w:color w:val="auto"/>
              </w:rPr>
            </w:pPr>
          </w:p>
        </w:tc>
        <w:tc>
          <w:tcPr>
            <w:tcW w:w="5740" w:type="dxa"/>
            <w:vAlign w:val="bottom"/>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Property and equipment, net</w:t>
            </w:r>
          </w:p>
        </w:tc>
        <w:tc>
          <w:tcPr>
            <w:tcW w:w="580" w:type="dxa"/>
            <w:vAlign w:val="bottom"/>
            <w:tcBorders>
              <w:bottom w:val="single" w:sz="8" w:color="auto"/>
            </w:tcBorders>
            <w:shd w:val="clear" w:color="auto" w:fill="FEFEFE"/>
          </w:tcPr>
          <w:p>
            <w:pPr>
              <w:jc w:val="right"/>
              <w:ind w:right="3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257</w:t>
            </w:r>
          </w:p>
        </w:tc>
        <w:tc>
          <w:tcPr>
            <w:tcW w:w="120" w:type="dxa"/>
            <w:vAlign w:val="bottom"/>
            <w:shd w:val="clear" w:color="auto" w:fill="FEFEFE"/>
          </w:tcPr>
          <w:p>
            <w:pPr>
              <w:spacing w:after="0"/>
              <w:rPr>
                <w:sz w:val="19"/>
                <w:szCs w:val="19"/>
                <w:color w:val="auto"/>
              </w:rPr>
            </w:pPr>
          </w:p>
        </w:tc>
        <w:tc>
          <w:tcPr>
            <w:tcW w:w="460" w:type="dxa"/>
            <w:vAlign w:val="bottom"/>
            <w:tcBorders>
              <w:bottom w:val="single" w:sz="8" w:color="auto"/>
            </w:tcBorders>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405</w:t>
            </w:r>
          </w:p>
        </w:tc>
      </w:tr>
      <w:tr>
        <w:trPr>
          <w:trHeight w:val="20"/>
        </w:trPr>
        <w:tc>
          <w:tcPr>
            <w:tcW w:w="10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Depreciation expense for the year ended December 31, 2024 was $0.1 million (2023: $0.2 million).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Leases</w:t>
      </w:r>
    </w:p>
    <w:p>
      <w:pPr>
        <w:spacing w:after="0" w:line="24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In August 2015, Mereo entered into a lease agreement under which the Company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revisionary lease to extend the term for the original fourth floor lease to be co-terminus with the fifth floor, ending in June 2026.</w:t>
      </w:r>
    </w:p>
    <w:p>
      <w:pPr>
        <w:spacing w:after="0" w:line="197" w:lineRule="exact"/>
        <w:rPr>
          <w:sz w:val="20"/>
          <w:szCs w:val="20"/>
          <w:color w:val="auto"/>
        </w:rPr>
      </w:pPr>
    </w:p>
    <w:p>
      <w:pPr>
        <w:ind w:right="360" w:firstLine="720"/>
        <w:spacing w:after="0" w:line="279" w:lineRule="auto"/>
        <w:rPr>
          <w:sz w:val="20"/>
          <w:szCs w:val="20"/>
          <w:color w:val="auto"/>
        </w:rPr>
      </w:pPr>
      <w:r>
        <w:rPr>
          <w:rFonts w:ascii="Times New Roman" w:cs="Times New Roman" w:eastAsia="Times New Roman" w:hAnsi="Times New Roman"/>
          <w:sz w:val="20"/>
          <w:szCs w:val="20"/>
          <w:color w:val="auto"/>
        </w:rPr>
        <w:t>The total lease expense included in the statements of operations and comprehensive loss for the year ended December 31, 2024 was $0.7 million (2023: $0.7 million). There were no material variable lease costs.</w:t>
      </w:r>
    </w:p>
    <w:p>
      <w:pPr>
        <w:spacing w:after="0" w:line="223" w:lineRule="exact"/>
        <w:rPr>
          <w:sz w:val="20"/>
          <w:szCs w:val="20"/>
          <w:color w:val="auto"/>
        </w:rPr>
      </w:pPr>
    </w:p>
    <w:tbl>
      <w:tblPr>
        <w:tblLayout w:type="fixed"/>
        <w:tblInd w:w="1080" w:type="dxa"/>
        <w:tblCellMar>
          <w:top w:w="0" w:type="dxa"/>
          <w:left w:w="0" w:type="dxa"/>
          <w:bottom w:w="0" w:type="dxa"/>
          <w:right w:w="0" w:type="dxa"/>
        </w:tblCellMar>
      </w:tblPr>
      <w:tr>
        <w:trPr>
          <w:trHeight w:val="258"/>
        </w:trPr>
        <w:tc>
          <w:tcPr>
            <w:tcW w:w="5880" w:type="dxa"/>
            <w:vAlign w:val="bottom"/>
            <w:tcBorders>
              <w:bottom w:val="single" w:sz="8" w:color="FEFEFE"/>
            </w:tcBorders>
            <w:shd w:val="clear" w:color="auto" w:fill="FEFEFE"/>
          </w:tcPr>
          <w:p>
            <w:pPr>
              <w:spacing w:after="0"/>
              <w:rPr>
                <w:sz w:val="22"/>
                <w:szCs w:val="22"/>
                <w:color w:val="auto"/>
              </w:rPr>
            </w:pPr>
          </w:p>
        </w:tc>
        <w:tc>
          <w:tcPr>
            <w:tcW w:w="2200" w:type="dxa"/>
            <w:vAlign w:val="bottom"/>
            <w:tcBorders>
              <w:bottom w:val="single" w:sz="8" w:color="auto"/>
            </w:tcBorders>
            <w:gridSpan w:val="4"/>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560" w:type="dxa"/>
            <w:vAlign w:val="bottom"/>
            <w:tcBorders>
              <w:bottom w:val="single" w:sz="8" w:color="auto"/>
            </w:tcBorders>
            <w:shd w:val="clear" w:color="auto" w:fill="FEFEFE"/>
          </w:tcPr>
          <w:p>
            <w:pPr>
              <w:spacing w:after="0"/>
              <w:rPr>
                <w:sz w:val="22"/>
                <w:szCs w:val="22"/>
                <w:color w:val="auto"/>
              </w:rPr>
            </w:pPr>
          </w:p>
        </w:tc>
      </w:tr>
      <w:tr>
        <w:trPr>
          <w:trHeight w:val="248"/>
        </w:trPr>
        <w:tc>
          <w:tcPr>
            <w:tcW w:w="5880" w:type="dxa"/>
            <w:vAlign w:val="bottom"/>
            <w:shd w:val="clear" w:color="auto" w:fill="FEFEFE"/>
          </w:tcPr>
          <w:p>
            <w:pPr>
              <w:spacing w:after="0"/>
              <w:rPr>
                <w:sz w:val="21"/>
                <w:szCs w:val="21"/>
                <w:color w:val="auto"/>
              </w:rPr>
            </w:pPr>
          </w:p>
        </w:tc>
        <w:tc>
          <w:tcPr>
            <w:tcW w:w="7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20" w:type="dxa"/>
            <w:vAlign w:val="bottom"/>
            <w:gridSpan w:val="3"/>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560" w:type="dxa"/>
            <w:vAlign w:val="bottom"/>
            <w:shd w:val="clear" w:color="auto" w:fill="FEFEFE"/>
          </w:tcPr>
          <w:p>
            <w:pPr>
              <w:spacing w:after="0"/>
              <w:rPr>
                <w:sz w:val="21"/>
                <w:szCs w:val="21"/>
                <w:color w:val="auto"/>
              </w:rPr>
            </w:pPr>
          </w:p>
        </w:tc>
      </w:tr>
      <w:tr>
        <w:trPr>
          <w:trHeight w:val="234"/>
        </w:trPr>
        <w:tc>
          <w:tcPr>
            <w:tcW w:w="588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Operating leases</w:t>
            </w:r>
          </w:p>
        </w:tc>
        <w:tc>
          <w:tcPr>
            <w:tcW w:w="780" w:type="dxa"/>
            <w:vAlign w:val="bottom"/>
            <w:tcBorders>
              <w:top w:val="single" w:sz="8" w:color="auto"/>
            </w:tcBorders>
            <w:shd w:val="clear" w:color="auto" w:fill="E6E6E6"/>
          </w:tcPr>
          <w:p>
            <w:pPr>
              <w:spacing w:after="0"/>
              <w:rPr>
                <w:sz w:val="20"/>
                <w:szCs w:val="20"/>
                <w:color w:val="auto"/>
              </w:rPr>
            </w:pPr>
          </w:p>
        </w:tc>
        <w:tc>
          <w:tcPr>
            <w:tcW w:w="560" w:type="dxa"/>
            <w:vAlign w:val="bottom"/>
            <w:tcBorders>
              <w:top w:val="single" w:sz="8" w:color="auto"/>
            </w:tcBorders>
            <w:shd w:val="clear" w:color="auto" w:fill="E6E6E6"/>
          </w:tcPr>
          <w:p>
            <w:pPr>
              <w:spacing w:after="0"/>
              <w:rPr>
                <w:sz w:val="20"/>
                <w:szCs w:val="20"/>
                <w:color w:val="auto"/>
              </w:rPr>
            </w:pPr>
          </w:p>
        </w:tc>
        <w:tc>
          <w:tcPr>
            <w:tcW w:w="80" w:type="dxa"/>
            <w:vAlign w:val="bottom"/>
            <w:tcBorders>
              <w:top w:val="single" w:sz="8" w:color="E6E6E6"/>
            </w:tcBorders>
            <w:shd w:val="clear" w:color="auto" w:fill="E6E6E6"/>
          </w:tcPr>
          <w:p>
            <w:pPr>
              <w:spacing w:after="0"/>
              <w:rPr>
                <w:sz w:val="20"/>
                <w:szCs w:val="20"/>
                <w:color w:val="auto"/>
              </w:rPr>
            </w:pPr>
          </w:p>
        </w:tc>
        <w:tc>
          <w:tcPr>
            <w:tcW w:w="780" w:type="dxa"/>
            <w:vAlign w:val="bottom"/>
            <w:tcBorders>
              <w:top w:val="single" w:sz="8" w:color="auto"/>
            </w:tcBorders>
            <w:shd w:val="clear" w:color="auto" w:fill="E6E6E6"/>
          </w:tcPr>
          <w:p>
            <w:pPr>
              <w:spacing w:after="0"/>
              <w:rPr>
                <w:sz w:val="20"/>
                <w:szCs w:val="20"/>
                <w:color w:val="auto"/>
              </w:rPr>
            </w:pPr>
          </w:p>
        </w:tc>
        <w:tc>
          <w:tcPr>
            <w:tcW w:w="560" w:type="dxa"/>
            <w:vAlign w:val="bottom"/>
            <w:tcBorders>
              <w:top w:val="single" w:sz="8" w:color="auto"/>
            </w:tcBorders>
            <w:shd w:val="clear" w:color="auto" w:fill="E6E6E6"/>
          </w:tcPr>
          <w:p>
            <w:pPr>
              <w:spacing w:after="0"/>
              <w:rPr>
                <w:sz w:val="20"/>
                <w:szCs w:val="20"/>
                <w:color w:val="auto"/>
              </w:rPr>
            </w:pPr>
          </w:p>
        </w:tc>
      </w:tr>
      <w:tr>
        <w:trPr>
          <w:trHeight w:val="244"/>
        </w:trPr>
        <w:tc>
          <w:tcPr>
            <w:tcW w:w="58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Weighted-average remaining contractual lease term (years)</w:t>
            </w:r>
          </w:p>
        </w:tc>
        <w:tc>
          <w:tcPr>
            <w:tcW w:w="780" w:type="dxa"/>
            <w:vAlign w:val="bottom"/>
            <w:shd w:val="clear" w:color="auto" w:fill="FEFEFE"/>
          </w:tcPr>
          <w:p>
            <w:pPr>
              <w:spacing w:after="0"/>
              <w:rPr>
                <w:sz w:val="21"/>
                <w:szCs w:val="21"/>
                <w:color w:val="auto"/>
              </w:rPr>
            </w:pPr>
          </w:p>
        </w:tc>
        <w:tc>
          <w:tcPr>
            <w:tcW w:w="5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1.50</w:t>
            </w:r>
          </w:p>
        </w:tc>
        <w:tc>
          <w:tcPr>
            <w:tcW w:w="80" w:type="dxa"/>
            <w:vAlign w:val="bottom"/>
            <w:shd w:val="clear" w:color="auto" w:fill="FEFEFE"/>
          </w:tcPr>
          <w:p>
            <w:pPr>
              <w:spacing w:after="0"/>
              <w:rPr>
                <w:sz w:val="21"/>
                <w:szCs w:val="21"/>
                <w:color w:val="auto"/>
              </w:rPr>
            </w:pPr>
          </w:p>
        </w:tc>
        <w:tc>
          <w:tcPr>
            <w:tcW w:w="780" w:type="dxa"/>
            <w:vAlign w:val="bottom"/>
            <w:shd w:val="clear" w:color="auto" w:fill="FEFEFE"/>
          </w:tcPr>
          <w:p>
            <w:pPr>
              <w:spacing w:after="0"/>
              <w:rPr>
                <w:sz w:val="21"/>
                <w:szCs w:val="21"/>
                <w:color w:val="auto"/>
              </w:rPr>
            </w:pPr>
          </w:p>
        </w:tc>
        <w:tc>
          <w:tcPr>
            <w:tcW w:w="5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2.50</w:t>
            </w:r>
          </w:p>
        </w:tc>
      </w:tr>
      <w:tr>
        <w:trPr>
          <w:trHeight w:val="244"/>
        </w:trPr>
        <w:tc>
          <w:tcPr>
            <w:tcW w:w="66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5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560" w:type="dxa"/>
            <w:vAlign w:val="bottom"/>
            <w:shd w:val="clear" w:color="auto" w:fill="E6E6E6"/>
          </w:tcPr>
          <w:p>
            <w:pPr>
              <w:ind w:left="20"/>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51" w:lineRule="exact"/>
        <w:rPr>
          <w:sz w:val="20"/>
          <w:szCs w:val="20"/>
          <w:color w:val="auto"/>
        </w:rPr>
      </w:pPr>
    </w:p>
    <w:tbl>
      <w:tblPr>
        <w:tblLayout w:type="fixed"/>
        <w:tblInd w:w="1080" w:type="dxa"/>
        <w:tblCellMar>
          <w:top w:w="0" w:type="dxa"/>
          <w:left w:w="0" w:type="dxa"/>
          <w:bottom w:w="0" w:type="dxa"/>
          <w:right w:w="0" w:type="dxa"/>
        </w:tblCellMar>
      </w:tblPr>
      <w:tr>
        <w:trPr>
          <w:trHeight w:val="24"/>
        </w:trPr>
        <w:tc>
          <w:tcPr>
            <w:tcW w:w="5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r>
      <w:tr>
        <w:trPr>
          <w:trHeight w:val="230"/>
        </w:trPr>
        <w:tc>
          <w:tcPr>
            <w:tcW w:w="5920" w:type="dxa"/>
            <w:vAlign w:val="bottom"/>
            <w:tcBorders>
              <w:bottom w:val="single" w:sz="8" w:color="FEFEFE"/>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2560" w:type="dxa"/>
            <w:vAlign w:val="bottom"/>
            <w:tcBorders>
              <w:bottom w:val="single" w:sz="8" w:color="auto"/>
            </w:tcBorders>
            <w:gridSpan w:val="4"/>
            <w:shd w:val="clear" w:color="auto" w:fill="FEFEFE"/>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34"/>
        </w:trPr>
        <w:tc>
          <w:tcPr>
            <w:tcW w:w="5920" w:type="dxa"/>
            <w:vAlign w:val="bottom"/>
            <w:tcBorders>
              <w:bottom w:val="single" w:sz="8" w:color="FEFEFE"/>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spacing w:after="0"/>
              <w:rPr>
                <w:sz w:val="20"/>
                <w:szCs w:val="20"/>
                <w:color w:val="auto"/>
              </w:rPr>
            </w:pPr>
          </w:p>
        </w:tc>
        <w:tc>
          <w:tcPr>
            <w:tcW w:w="1140" w:type="dxa"/>
            <w:vAlign w:val="bottom"/>
            <w:tcBorders>
              <w:bottom w:val="single" w:sz="8" w:color="auto"/>
            </w:tcBorders>
            <w:shd w:val="clear" w:color="auto" w:fill="FEFEFE"/>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Borders>
              <w:bottom w:val="single" w:sz="8" w:color="FEFEFE"/>
            </w:tcBorders>
            <w:shd w:val="clear" w:color="auto" w:fill="FEFEFE"/>
          </w:tcPr>
          <w:p>
            <w:pPr>
              <w:spacing w:after="0"/>
              <w:rPr>
                <w:sz w:val="20"/>
                <w:szCs w:val="20"/>
                <w:color w:val="auto"/>
              </w:rPr>
            </w:pPr>
          </w:p>
        </w:tc>
        <w:tc>
          <w:tcPr>
            <w:tcW w:w="200" w:type="dxa"/>
            <w:vAlign w:val="bottom"/>
            <w:tcBorders>
              <w:bottom w:val="single" w:sz="8" w:color="auto"/>
            </w:tcBorders>
            <w:shd w:val="clear" w:color="auto" w:fill="FEFEFE"/>
          </w:tcPr>
          <w:p>
            <w:pPr>
              <w:spacing w:after="0"/>
              <w:rPr>
                <w:sz w:val="20"/>
                <w:szCs w:val="20"/>
                <w:color w:val="auto"/>
              </w:rPr>
            </w:pPr>
          </w:p>
        </w:tc>
        <w:tc>
          <w:tcPr>
            <w:tcW w:w="1080" w:type="dxa"/>
            <w:vAlign w:val="bottom"/>
            <w:tcBorders>
              <w:bottom w:val="single" w:sz="8" w:color="auto"/>
            </w:tcBorders>
            <w:shd w:val="clear" w:color="auto" w:fill="FEFEFE"/>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4"/>
        </w:trPr>
        <w:tc>
          <w:tcPr>
            <w:tcW w:w="592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140" w:type="dxa"/>
            <w:vAlign w:val="bottom"/>
            <w:shd w:val="clear" w:color="auto" w:fill="FEFEFE"/>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($'000)</w:t>
            </w:r>
          </w:p>
        </w:tc>
        <w:tc>
          <w:tcPr>
            <w:tcW w:w="14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1080" w:type="dxa"/>
            <w:vAlign w:val="bottom"/>
            <w:shd w:val="clear" w:color="auto" w:fill="FEFEFE"/>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($'000)</w:t>
            </w:r>
          </w:p>
        </w:tc>
      </w:tr>
      <w:tr>
        <w:trPr>
          <w:trHeight w:val="206"/>
        </w:trPr>
        <w:tc>
          <w:tcPr>
            <w:tcW w:w="5920" w:type="dxa"/>
            <w:vAlign w:val="bottom"/>
            <w:shd w:val="clear" w:color="auto" w:fill="E6E6E6"/>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Cash paid for amounts included in the measurement of lease</w:t>
            </w:r>
          </w:p>
        </w:tc>
        <w:tc>
          <w:tcPr>
            <w:tcW w:w="16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r>
      <w:tr>
        <w:trPr>
          <w:trHeight w:val="254"/>
        </w:trPr>
        <w:tc>
          <w:tcPr>
            <w:tcW w:w="5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60" w:type="dxa"/>
            <w:vAlign w:val="bottom"/>
            <w:shd w:val="clear" w:color="auto" w:fill="E6E6E6"/>
          </w:tcPr>
          <w:p>
            <w:pPr>
              <w:spacing w:after="0"/>
              <w:rPr>
                <w:sz w:val="22"/>
                <w:szCs w:val="22"/>
                <w:color w:val="auto"/>
              </w:rPr>
            </w:pPr>
          </w:p>
        </w:tc>
        <w:tc>
          <w:tcPr>
            <w:tcW w:w="114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r>
      <w:tr>
        <w:trPr>
          <w:trHeight w:val="230"/>
        </w:trPr>
        <w:tc>
          <w:tcPr>
            <w:tcW w:w="59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780</w:t>
            </w:r>
          </w:p>
        </w:tc>
        <w:tc>
          <w:tcPr>
            <w:tcW w:w="34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759</w:t>
            </w:r>
          </w:p>
        </w:tc>
      </w:tr>
    </w:tbl>
    <w:p>
      <w:pPr>
        <w:spacing w:after="0" w:line="200" w:lineRule="exact"/>
        <w:rPr>
          <w:sz w:val="20"/>
          <w:szCs w:val="20"/>
          <w:color w:val="auto"/>
        </w:rPr>
      </w:pPr>
    </w:p>
    <w:p>
      <w:pPr>
        <w:sectPr>
          <w:pgSz w:w="11880" w:h="15480" w:orient="portrait"/>
          <w:cols w:equalWidth="0" w:num="1">
            <w:col w:w="10800"/>
          </w:cols>
          <w:pgMar w:left="540" w:top="7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10800"/>
          </w:cols>
          <w:pgMar w:left="540" w:top="745" w:right="540" w:bottom="8"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38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600" w:type="dxa"/>
            <w:vAlign w:val="bottom"/>
            <w:shd w:val="clear" w:color="auto" w:fill="FEFEFE"/>
          </w:tcPr>
          <w:p>
            <w:pPr>
              <w:spacing w:after="0"/>
              <w:rPr>
                <w:sz w:val="19"/>
                <w:szCs w:val="19"/>
                <w:color w:val="auto"/>
              </w:rPr>
            </w:pPr>
          </w:p>
        </w:tc>
        <w:tc>
          <w:tcPr>
            <w:tcW w:w="420" w:type="dxa"/>
            <w:vAlign w:val="bottom"/>
            <w:shd w:val="clear" w:color="auto" w:fill="FEFEFE"/>
          </w:tcPr>
          <w:p>
            <w:pPr>
              <w:spacing w:after="0"/>
              <w:rPr>
                <w:sz w:val="19"/>
                <w:szCs w:val="19"/>
                <w:color w:val="auto"/>
              </w:rPr>
            </w:pPr>
          </w:p>
        </w:tc>
        <w:tc>
          <w:tcPr>
            <w:tcW w:w="480" w:type="dxa"/>
            <w:vAlign w:val="bottom"/>
            <w:gridSpan w:val="5"/>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As of</w:t>
            </w:r>
          </w:p>
        </w:tc>
        <w:tc>
          <w:tcPr>
            <w:tcW w:w="480" w:type="dxa"/>
            <w:vAlign w:val="bottom"/>
            <w:shd w:val="clear" w:color="auto" w:fill="FEFEFE"/>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38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600" w:type="dxa"/>
            <w:vAlign w:val="bottom"/>
            <w:shd w:val="clear" w:color="auto" w:fill="FEFEFE"/>
          </w:tcPr>
          <w:p>
            <w:pPr>
              <w:spacing w:after="0"/>
              <w:rPr>
                <w:sz w:val="19"/>
                <w:szCs w:val="19"/>
                <w:color w:val="auto"/>
              </w:rPr>
            </w:pPr>
          </w:p>
        </w:tc>
        <w:tc>
          <w:tcPr>
            <w:tcW w:w="1380" w:type="dxa"/>
            <w:vAlign w:val="bottom"/>
            <w:gridSpan w:val="7"/>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380" w:type="dxa"/>
            <w:vAlign w:val="bottom"/>
            <w:tcBorders>
              <w:bottom w:val="single" w:sz="8" w:color="FEFEFE"/>
            </w:tcBorders>
            <w:shd w:val="clear" w:color="auto" w:fill="FEFEFE"/>
          </w:tcPr>
          <w:p>
            <w:pPr>
              <w:spacing w:after="0"/>
              <w:rPr>
                <w:sz w:val="22"/>
                <w:szCs w:val="22"/>
                <w:color w:val="auto"/>
              </w:rPr>
            </w:pPr>
          </w:p>
        </w:tc>
        <w:tc>
          <w:tcPr>
            <w:tcW w:w="200" w:type="dxa"/>
            <w:vAlign w:val="bottom"/>
            <w:tcBorders>
              <w:bottom w:val="single" w:sz="8" w:color="FEFEFE"/>
            </w:tcBorders>
            <w:shd w:val="clear" w:color="auto" w:fill="FEFEFE"/>
          </w:tcPr>
          <w:p>
            <w:pPr>
              <w:spacing w:after="0"/>
              <w:rPr>
                <w:sz w:val="22"/>
                <w:szCs w:val="22"/>
                <w:color w:val="auto"/>
              </w:rPr>
            </w:pPr>
          </w:p>
        </w:tc>
        <w:tc>
          <w:tcPr>
            <w:tcW w:w="600" w:type="dxa"/>
            <w:vAlign w:val="bottom"/>
            <w:tcBorders>
              <w:bottom w:val="single" w:sz="8" w:color="FEFEFE"/>
            </w:tcBorders>
            <w:shd w:val="clear" w:color="auto" w:fill="FEFEFE"/>
          </w:tcPr>
          <w:p>
            <w:pPr>
              <w:spacing w:after="0"/>
              <w:rPr>
                <w:sz w:val="22"/>
                <w:szCs w:val="22"/>
                <w:color w:val="auto"/>
              </w:rPr>
            </w:pPr>
          </w:p>
        </w:tc>
        <w:tc>
          <w:tcPr>
            <w:tcW w:w="420" w:type="dxa"/>
            <w:vAlign w:val="bottom"/>
            <w:tcBorders>
              <w:bottom w:val="single" w:sz="8" w:color="auto"/>
            </w:tcBorders>
            <w:shd w:val="clear" w:color="auto" w:fill="FEFEFE"/>
          </w:tcPr>
          <w:p>
            <w:pPr>
              <w:spacing w:after="0"/>
              <w:rPr>
                <w:sz w:val="22"/>
                <w:szCs w:val="22"/>
                <w:color w:val="auto"/>
              </w:rPr>
            </w:pPr>
          </w:p>
        </w:tc>
        <w:tc>
          <w:tcPr>
            <w:tcW w:w="480" w:type="dxa"/>
            <w:vAlign w:val="bottom"/>
            <w:tcBorders>
              <w:bottom w:val="single" w:sz="8" w:color="auto"/>
            </w:tcBorders>
            <w:gridSpan w:val="5"/>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480" w:type="dxa"/>
            <w:vAlign w:val="bottom"/>
            <w:tcBorders>
              <w:bottom w:val="single" w:sz="8" w:color="auto"/>
            </w:tcBorders>
            <w:shd w:val="clear" w:color="auto" w:fill="FEFEFE"/>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8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600" w:type="dxa"/>
            <w:vAlign w:val="bottom"/>
            <w:shd w:val="clear" w:color="auto" w:fill="FEFEFE"/>
          </w:tcPr>
          <w:p>
            <w:pPr>
              <w:spacing w:after="0"/>
              <w:rPr>
                <w:sz w:val="20"/>
                <w:szCs w:val="20"/>
                <w:color w:val="auto"/>
              </w:rPr>
            </w:pPr>
          </w:p>
        </w:tc>
        <w:tc>
          <w:tcPr>
            <w:tcW w:w="1380" w:type="dxa"/>
            <w:vAlign w:val="bottom"/>
            <w:gridSpan w:val="7"/>
            <w:shd w:val="clear" w:color="auto" w:fill="FEFEFE"/>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($'000)</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180" w:type="dxa"/>
            <w:vAlign w:val="bottom"/>
            <w:gridSpan w:val="3"/>
            <w:shd w:val="clear" w:color="auto" w:fill="E6E6E6"/>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Maturity analysis of the operating lease liabilities for the years ending</w:t>
            </w:r>
          </w:p>
        </w:tc>
        <w:tc>
          <w:tcPr>
            <w:tcW w:w="4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480" w:type="dxa"/>
            <w:vAlign w:val="bottom"/>
            <w:shd w:val="clear" w:color="auto" w:fill="E6E6E6"/>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3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00" w:type="dxa"/>
            <w:vAlign w:val="bottom"/>
            <w:shd w:val="clear" w:color="auto" w:fill="E6E6E6"/>
          </w:tcPr>
          <w:p>
            <w:pPr>
              <w:spacing w:after="0"/>
              <w:rPr>
                <w:sz w:val="22"/>
                <w:szCs w:val="22"/>
                <w:color w:val="auto"/>
              </w:rPr>
            </w:pPr>
          </w:p>
        </w:tc>
        <w:tc>
          <w:tcPr>
            <w:tcW w:w="60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38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shd w:val="clear" w:color="auto" w:fill="FEFEFE"/>
          </w:tcPr>
          <w:p>
            <w:pPr>
              <w:spacing w:after="0"/>
              <w:rPr>
                <w:sz w:val="21"/>
                <w:szCs w:val="21"/>
                <w:color w:val="auto"/>
              </w:rPr>
            </w:pPr>
          </w:p>
        </w:tc>
        <w:tc>
          <w:tcPr>
            <w:tcW w:w="1020" w:type="dxa"/>
            <w:vAlign w:val="bottom"/>
            <w:gridSpan w:val="2"/>
            <w:shd w:val="clear" w:color="auto" w:fill="FEFEFE"/>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4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766</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38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shd w:val="clear" w:color="auto" w:fill="E6E6E6"/>
          </w:tcPr>
          <w:p>
            <w:pPr>
              <w:spacing w:after="0"/>
              <w:rPr>
                <w:sz w:val="21"/>
                <w:szCs w:val="21"/>
                <w:color w:val="auto"/>
              </w:rPr>
            </w:pPr>
          </w:p>
        </w:tc>
        <w:tc>
          <w:tcPr>
            <w:tcW w:w="60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38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shd w:val="clear" w:color="auto" w:fill="FEFEFE"/>
          </w:tcPr>
          <w:p>
            <w:pPr>
              <w:spacing w:after="0"/>
              <w:rPr>
                <w:sz w:val="21"/>
                <w:szCs w:val="21"/>
                <w:color w:val="auto"/>
              </w:rPr>
            </w:pPr>
          </w:p>
        </w:tc>
        <w:tc>
          <w:tcPr>
            <w:tcW w:w="600" w:type="dxa"/>
            <w:vAlign w:val="bottom"/>
            <w:shd w:val="clear" w:color="auto" w:fill="FEFEFE"/>
          </w:tcPr>
          <w:p>
            <w:pPr>
              <w:spacing w:after="0"/>
              <w:rPr>
                <w:sz w:val="21"/>
                <w:szCs w:val="21"/>
                <w:color w:val="auto"/>
              </w:rPr>
            </w:pPr>
          </w:p>
        </w:tc>
        <w:tc>
          <w:tcPr>
            <w:tcW w:w="4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4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38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shd w:val="clear" w:color="auto" w:fill="E6E6E6"/>
          </w:tcPr>
          <w:p>
            <w:pPr>
              <w:spacing w:after="0"/>
              <w:rPr>
                <w:sz w:val="21"/>
                <w:szCs w:val="21"/>
                <w:color w:val="auto"/>
              </w:rPr>
            </w:pPr>
          </w:p>
        </w:tc>
        <w:tc>
          <w:tcPr>
            <w:tcW w:w="60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38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shd w:val="clear" w:color="auto" w:fill="FEFEFE"/>
          </w:tcPr>
          <w:p>
            <w:pPr>
              <w:spacing w:after="0"/>
              <w:rPr>
                <w:sz w:val="21"/>
                <w:szCs w:val="21"/>
                <w:color w:val="auto"/>
              </w:rPr>
            </w:pPr>
          </w:p>
        </w:tc>
        <w:tc>
          <w:tcPr>
            <w:tcW w:w="600" w:type="dxa"/>
            <w:vAlign w:val="bottom"/>
            <w:shd w:val="clear" w:color="auto" w:fill="FEFEFE"/>
          </w:tcPr>
          <w:p>
            <w:pPr>
              <w:spacing w:after="0"/>
              <w:rPr>
                <w:sz w:val="21"/>
                <w:szCs w:val="21"/>
                <w:color w:val="auto"/>
              </w:rPr>
            </w:pPr>
          </w:p>
        </w:tc>
        <w:tc>
          <w:tcPr>
            <w:tcW w:w="4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4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380" w:type="dxa"/>
            <w:vAlign w:val="bottom"/>
            <w:tcBorders>
              <w:bottom w:val="single" w:sz="8" w:color="FEFEFE"/>
            </w:tcBorders>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FEFEFE"/>
            </w:tcBorders>
            <w:shd w:val="clear" w:color="auto" w:fill="E6E6E6"/>
          </w:tcPr>
          <w:p>
            <w:pPr>
              <w:spacing w:after="0"/>
              <w:rPr>
                <w:sz w:val="21"/>
                <w:szCs w:val="21"/>
                <w:color w:val="auto"/>
              </w:rPr>
            </w:pPr>
          </w:p>
        </w:tc>
        <w:tc>
          <w:tcPr>
            <w:tcW w:w="600" w:type="dxa"/>
            <w:vAlign w:val="bottom"/>
            <w:tcBorders>
              <w:bottom w:val="single" w:sz="8" w:color="FEFEFE"/>
            </w:tcBorders>
            <w:shd w:val="clear" w:color="auto" w:fill="E6E6E6"/>
          </w:tcPr>
          <w:p>
            <w:pPr>
              <w:spacing w:after="0"/>
              <w:rPr>
                <w:sz w:val="21"/>
                <w:szCs w:val="21"/>
                <w:color w:val="auto"/>
              </w:rPr>
            </w:pPr>
          </w:p>
        </w:tc>
        <w:tc>
          <w:tcPr>
            <w:tcW w:w="420" w:type="dxa"/>
            <w:vAlign w:val="bottom"/>
            <w:tcBorders>
              <w:bottom w:val="single" w:sz="8" w:color="auto"/>
            </w:tcBorders>
            <w:shd w:val="clear" w:color="auto" w:fill="E6E6E6"/>
          </w:tcPr>
          <w:p>
            <w:pPr>
              <w:spacing w:after="0"/>
              <w:rPr>
                <w:sz w:val="21"/>
                <w:szCs w:val="21"/>
                <w:color w:val="auto"/>
              </w:rPr>
            </w:pPr>
          </w:p>
        </w:tc>
        <w:tc>
          <w:tcPr>
            <w:tcW w:w="8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10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spacing w:after="0"/>
              <w:rPr>
                <w:sz w:val="21"/>
                <w:szCs w:val="21"/>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Total undiscounted payments</w:t>
            </w:r>
          </w:p>
        </w:tc>
        <w:tc>
          <w:tcPr>
            <w:tcW w:w="200" w:type="dxa"/>
            <w:vAlign w:val="bottom"/>
            <w:shd w:val="clear" w:color="auto" w:fill="FEFEFE"/>
          </w:tcPr>
          <w:p>
            <w:pPr>
              <w:spacing w:after="0"/>
              <w:rPr>
                <w:sz w:val="20"/>
                <w:szCs w:val="20"/>
                <w:color w:val="auto"/>
              </w:rPr>
            </w:pPr>
          </w:p>
        </w:tc>
        <w:tc>
          <w:tcPr>
            <w:tcW w:w="600" w:type="dxa"/>
            <w:vAlign w:val="bottom"/>
            <w:shd w:val="clear" w:color="auto" w:fill="FEFEFE"/>
          </w:tcPr>
          <w:p>
            <w:pPr>
              <w:spacing w:after="0"/>
              <w:rPr>
                <w:sz w:val="20"/>
                <w:szCs w:val="20"/>
                <w:color w:val="auto"/>
              </w:rPr>
            </w:pPr>
          </w:p>
        </w:tc>
        <w:tc>
          <w:tcPr>
            <w:tcW w:w="42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60" w:type="dxa"/>
            <w:vAlign w:val="bottom"/>
            <w:shd w:val="clear" w:color="auto" w:fill="FEFEFE"/>
          </w:tcPr>
          <w:p>
            <w:pPr>
              <w:spacing w:after="0"/>
              <w:rPr>
                <w:sz w:val="20"/>
                <w:szCs w:val="20"/>
                <w:color w:val="auto"/>
              </w:rPr>
            </w:pPr>
          </w:p>
        </w:tc>
        <w:tc>
          <w:tcPr>
            <w:tcW w:w="4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958</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380" w:type="dxa"/>
            <w:vAlign w:val="bottom"/>
            <w:tcBorders>
              <w:bottom w:val="single" w:sz="8" w:color="FEFEFE"/>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Less: Present value discount</w:t>
            </w:r>
          </w:p>
        </w:tc>
        <w:tc>
          <w:tcPr>
            <w:tcW w:w="200" w:type="dxa"/>
            <w:vAlign w:val="bottom"/>
            <w:tcBorders>
              <w:bottom w:val="single" w:sz="8" w:color="FEFEFE"/>
            </w:tcBorders>
            <w:shd w:val="clear" w:color="auto" w:fill="E6E6E6"/>
          </w:tcPr>
          <w:p>
            <w:pPr>
              <w:spacing w:after="0"/>
              <w:rPr>
                <w:sz w:val="21"/>
                <w:szCs w:val="21"/>
                <w:color w:val="auto"/>
              </w:rPr>
            </w:pPr>
          </w:p>
        </w:tc>
        <w:tc>
          <w:tcPr>
            <w:tcW w:w="600" w:type="dxa"/>
            <w:vAlign w:val="bottom"/>
            <w:tcBorders>
              <w:bottom w:val="single" w:sz="8" w:color="FEFEFE"/>
            </w:tcBorders>
            <w:shd w:val="clear" w:color="auto" w:fill="E6E6E6"/>
          </w:tcPr>
          <w:p>
            <w:pPr>
              <w:spacing w:after="0"/>
              <w:rPr>
                <w:sz w:val="21"/>
                <w:szCs w:val="21"/>
                <w:color w:val="auto"/>
              </w:rPr>
            </w:pPr>
          </w:p>
        </w:tc>
        <w:tc>
          <w:tcPr>
            <w:tcW w:w="420" w:type="dxa"/>
            <w:vAlign w:val="bottom"/>
            <w:tcBorders>
              <w:bottom w:val="single" w:sz="8" w:color="auto"/>
            </w:tcBorders>
            <w:shd w:val="clear" w:color="auto" w:fill="E6E6E6"/>
          </w:tcPr>
          <w:p>
            <w:pPr>
              <w:spacing w:after="0"/>
              <w:rPr>
                <w:sz w:val="21"/>
                <w:szCs w:val="21"/>
                <w:color w:val="auto"/>
              </w:rPr>
            </w:pPr>
          </w:p>
        </w:tc>
        <w:tc>
          <w:tcPr>
            <w:tcW w:w="8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10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spacing w:after="0"/>
              <w:rPr>
                <w:sz w:val="21"/>
                <w:szCs w:val="21"/>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380" w:type="dxa"/>
            <w:vAlign w:val="bottom"/>
            <w:tcBorders>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200" w:type="dxa"/>
            <w:vAlign w:val="bottom"/>
            <w:tcBorders>
              <w:bottom w:val="single" w:sz="8" w:color="E6E6E6"/>
            </w:tcBorders>
            <w:shd w:val="clear" w:color="auto" w:fill="FEFEFE"/>
          </w:tcPr>
          <w:p>
            <w:pPr>
              <w:spacing w:after="0"/>
              <w:rPr>
                <w:sz w:val="23"/>
                <w:szCs w:val="23"/>
                <w:color w:val="auto"/>
              </w:rPr>
            </w:pPr>
          </w:p>
        </w:tc>
        <w:tc>
          <w:tcPr>
            <w:tcW w:w="600" w:type="dxa"/>
            <w:vAlign w:val="bottom"/>
            <w:tcBorders>
              <w:bottom w:val="single" w:sz="8" w:color="E6E6E6"/>
            </w:tcBorders>
            <w:shd w:val="clear" w:color="auto" w:fill="FEFEFE"/>
          </w:tcPr>
          <w:p>
            <w:pPr>
              <w:spacing w:after="0"/>
              <w:rPr>
                <w:sz w:val="23"/>
                <w:szCs w:val="23"/>
                <w:color w:val="auto"/>
              </w:rPr>
            </w:pPr>
          </w:p>
        </w:tc>
        <w:tc>
          <w:tcPr>
            <w:tcW w:w="420" w:type="dxa"/>
            <w:vAlign w:val="bottom"/>
            <w:tcBorders>
              <w:bottom w:val="single" w:sz="8" w:color="auto"/>
            </w:tcBorders>
            <w:shd w:val="clear" w:color="auto" w:fill="FEFEFE"/>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80" w:type="dxa"/>
            <w:vAlign w:val="bottom"/>
            <w:tcBorders>
              <w:bottom w:val="single" w:sz="8" w:color="auto"/>
            </w:tcBorders>
            <w:shd w:val="clear" w:color="auto" w:fill="FEFEFE"/>
          </w:tcPr>
          <w:p>
            <w:pPr>
              <w:spacing w:after="0"/>
              <w:rPr>
                <w:sz w:val="23"/>
                <w:szCs w:val="23"/>
                <w:color w:val="auto"/>
              </w:rPr>
            </w:pPr>
          </w:p>
        </w:tc>
        <w:tc>
          <w:tcPr>
            <w:tcW w:w="20" w:type="dxa"/>
            <w:vAlign w:val="bottom"/>
            <w:tcBorders>
              <w:bottom w:val="single" w:sz="8" w:color="auto"/>
            </w:tcBorders>
            <w:shd w:val="clear" w:color="auto" w:fill="FEFEFE"/>
          </w:tcPr>
          <w:p>
            <w:pPr>
              <w:spacing w:after="0"/>
              <w:rPr>
                <w:sz w:val="23"/>
                <w:szCs w:val="23"/>
                <w:color w:val="auto"/>
              </w:rPr>
            </w:pPr>
          </w:p>
        </w:tc>
        <w:tc>
          <w:tcPr>
            <w:tcW w:w="100" w:type="dxa"/>
            <w:vAlign w:val="bottom"/>
            <w:tcBorders>
              <w:bottom w:val="single" w:sz="8" w:color="auto"/>
            </w:tcBorders>
            <w:shd w:val="clear" w:color="auto" w:fill="FEFEFE"/>
          </w:tcPr>
          <w:p>
            <w:pPr>
              <w:spacing w:after="0"/>
              <w:rPr>
                <w:sz w:val="23"/>
                <w:szCs w:val="23"/>
                <w:color w:val="auto"/>
              </w:rPr>
            </w:pPr>
          </w:p>
        </w:tc>
        <w:tc>
          <w:tcPr>
            <w:tcW w:w="20" w:type="dxa"/>
            <w:vAlign w:val="bottom"/>
            <w:tcBorders>
              <w:bottom w:val="single" w:sz="8" w:color="auto"/>
            </w:tcBorders>
            <w:shd w:val="clear" w:color="auto" w:fill="FEFEFE"/>
          </w:tcPr>
          <w:p>
            <w:pPr>
              <w:spacing w:after="0"/>
              <w:rPr>
                <w:sz w:val="23"/>
                <w:szCs w:val="23"/>
                <w:color w:val="auto"/>
              </w:rPr>
            </w:pPr>
          </w:p>
        </w:tc>
        <w:tc>
          <w:tcPr>
            <w:tcW w:w="260" w:type="dxa"/>
            <w:vAlign w:val="bottom"/>
            <w:tcBorders>
              <w:bottom w:val="single" w:sz="8" w:color="auto"/>
            </w:tcBorders>
            <w:shd w:val="clear" w:color="auto" w:fill="FEFEFE"/>
          </w:tcPr>
          <w:p>
            <w:pPr>
              <w:spacing w:after="0"/>
              <w:rPr>
                <w:sz w:val="23"/>
                <w:szCs w:val="23"/>
                <w:color w:val="auto"/>
              </w:rPr>
            </w:pPr>
          </w:p>
        </w:tc>
        <w:tc>
          <w:tcPr>
            <w:tcW w:w="4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894</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3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Lease liability – current</w:t>
            </w:r>
          </w:p>
        </w:tc>
        <w:tc>
          <w:tcPr>
            <w:tcW w:w="200" w:type="dxa"/>
            <w:vAlign w:val="bottom"/>
            <w:shd w:val="clear" w:color="auto" w:fill="E6E6E6"/>
          </w:tcPr>
          <w:p>
            <w:pPr>
              <w:spacing w:after="0"/>
              <w:rPr>
                <w:sz w:val="19"/>
                <w:szCs w:val="19"/>
                <w:color w:val="auto"/>
              </w:rPr>
            </w:pPr>
          </w:p>
        </w:tc>
        <w:tc>
          <w:tcPr>
            <w:tcW w:w="600" w:type="dxa"/>
            <w:vAlign w:val="bottom"/>
            <w:shd w:val="clear" w:color="auto" w:fill="E6E6E6"/>
          </w:tcPr>
          <w:p>
            <w:pPr>
              <w:spacing w:after="0"/>
              <w:rPr>
                <w:sz w:val="19"/>
                <w:szCs w:val="19"/>
                <w:color w:val="auto"/>
              </w:rPr>
            </w:pPr>
          </w:p>
        </w:tc>
        <w:tc>
          <w:tcPr>
            <w:tcW w:w="420" w:type="dxa"/>
            <w:vAlign w:val="bottom"/>
            <w:shd w:val="clear" w:color="auto" w:fill="E6E6E6"/>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3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Lease liability – non-current</w:t>
            </w:r>
          </w:p>
        </w:tc>
        <w:tc>
          <w:tcPr>
            <w:tcW w:w="200" w:type="dxa"/>
            <w:vAlign w:val="bottom"/>
            <w:shd w:val="clear" w:color="auto" w:fill="FEFEFE"/>
          </w:tcPr>
          <w:p>
            <w:pPr>
              <w:spacing w:after="0"/>
              <w:rPr>
                <w:sz w:val="21"/>
                <w:szCs w:val="21"/>
                <w:color w:val="auto"/>
              </w:rPr>
            </w:pPr>
          </w:p>
        </w:tc>
        <w:tc>
          <w:tcPr>
            <w:tcW w:w="600" w:type="dxa"/>
            <w:vAlign w:val="bottom"/>
            <w:shd w:val="clear" w:color="auto" w:fill="FEFEFE"/>
          </w:tcPr>
          <w:p>
            <w:pPr>
              <w:spacing w:after="0"/>
              <w:rPr>
                <w:sz w:val="21"/>
                <w:szCs w:val="21"/>
                <w:color w:val="auto"/>
              </w:rPr>
            </w:pPr>
          </w:p>
        </w:tc>
        <w:tc>
          <w:tcPr>
            <w:tcW w:w="420" w:type="dxa"/>
            <w:vAlign w:val="bottom"/>
            <w:shd w:val="clear" w:color="auto" w:fill="FEFEFE"/>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4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70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8. Other current liabilities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00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Other current liabilities consists of the following:</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0" w:type="dxa"/>
            <w:vAlign w:val="bottom"/>
            <w:tcBorders>
              <w:bottom w:val="single" w:sz="8" w:color="FEFEFE"/>
            </w:tcBorders>
            <w:shd w:val="clear" w:color="auto" w:fill="FEFEFE"/>
          </w:tcPr>
          <w:p>
            <w:pPr>
              <w:spacing w:after="0"/>
              <w:rPr>
                <w:sz w:val="21"/>
                <w:szCs w:val="21"/>
                <w:color w:val="auto"/>
              </w:rPr>
            </w:pPr>
          </w:p>
        </w:tc>
        <w:tc>
          <w:tcPr>
            <w:tcW w:w="5380" w:type="dxa"/>
            <w:vAlign w:val="bottom"/>
            <w:tcBorders>
              <w:bottom w:val="single" w:sz="8" w:color="FEFEFE"/>
            </w:tcBorders>
            <w:shd w:val="clear" w:color="auto" w:fill="FEFEFE"/>
          </w:tcPr>
          <w:p>
            <w:pPr>
              <w:spacing w:after="0"/>
              <w:rPr>
                <w:sz w:val="21"/>
                <w:szCs w:val="21"/>
                <w:color w:val="auto"/>
              </w:rPr>
            </w:pPr>
          </w:p>
        </w:tc>
        <w:tc>
          <w:tcPr>
            <w:tcW w:w="1220" w:type="dxa"/>
            <w:vAlign w:val="bottom"/>
            <w:tcBorders>
              <w:bottom w:val="single" w:sz="8" w:color="auto"/>
            </w:tcBorders>
            <w:gridSpan w:val="3"/>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80" w:type="dxa"/>
            <w:vAlign w:val="bottom"/>
            <w:tcBorders>
              <w:bottom w:val="single" w:sz="8" w:color="auto"/>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10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auto"/>
            </w:tcBorders>
            <w:shd w:val="clear" w:color="auto" w:fill="FEFEFE"/>
          </w:tcPr>
          <w:p>
            <w:pPr>
              <w:spacing w:after="0"/>
              <w:rPr>
                <w:sz w:val="21"/>
                <w:szCs w:val="21"/>
                <w:color w:val="auto"/>
              </w:rPr>
            </w:pPr>
          </w:p>
        </w:tc>
        <w:tc>
          <w:tcPr>
            <w:tcW w:w="1280" w:type="dxa"/>
            <w:vAlign w:val="bottom"/>
            <w:tcBorders>
              <w:bottom w:val="single" w:sz="8" w:color="auto"/>
            </w:tcBorders>
            <w:gridSpan w:val="3"/>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40" w:type="dxa"/>
            <w:vAlign w:val="bottom"/>
            <w:tcBorders>
              <w:bottom w:val="single" w:sz="8" w:color="FEFEFE"/>
            </w:tcBorders>
            <w:shd w:val="clear" w:color="auto" w:fill="FEFEFE"/>
          </w:tcPr>
          <w:p>
            <w:pPr>
              <w:spacing w:after="0"/>
              <w:rPr>
                <w:sz w:val="20"/>
                <w:szCs w:val="20"/>
                <w:color w:val="auto"/>
              </w:rPr>
            </w:pPr>
          </w:p>
        </w:tc>
        <w:tc>
          <w:tcPr>
            <w:tcW w:w="5380" w:type="dxa"/>
            <w:vAlign w:val="bottom"/>
            <w:tcBorders>
              <w:bottom w:val="single" w:sz="8" w:color="FEFEFE"/>
            </w:tcBorders>
            <w:shd w:val="clear" w:color="auto" w:fill="FEFEFE"/>
          </w:tcPr>
          <w:p>
            <w:pPr>
              <w:spacing w:after="0"/>
              <w:rPr>
                <w:sz w:val="20"/>
                <w:szCs w:val="20"/>
                <w:color w:val="auto"/>
              </w:rPr>
            </w:pPr>
          </w:p>
        </w:tc>
        <w:tc>
          <w:tcPr>
            <w:tcW w:w="200" w:type="dxa"/>
            <w:vAlign w:val="bottom"/>
            <w:tcBorders>
              <w:bottom w:val="single" w:sz="8" w:color="auto"/>
            </w:tcBorders>
            <w:shd w:val="clear" w:color="auto" w:fill="FEFEFE"/>
          </w:tcPr>
          <w:p>
            <w:pPr>
              <w:spacing w:after="0"/>
              <w:rPr>
                <w:sz w:val="20"/>
                <w:szCs w:val="20"/>
                <w:color w:val="auto"/>
              </w:rPr>
            </w:pPr>
          </w:p>
        </w:tc>
        <w:tc>
          <w:tcPr>
            <w:tcW w:w="6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420" w:type="dxa"/>
            <w:vAlign w:val="bottom"/>
            <w:tcBorders>
              <w:bottom w:val="single" w:sz="8" w:color="auto"/>
            </w:tcBorders>
            <w:shd w:val="clear" w:color="auto" w:fill="FEFEFE"/>
          </w:tcPr>
          <w:p>
            <w:pPr>
              <w:spacing w:after="0"/>
              <w:rPr>
                <w:sz w:val="20"/>
                <w:szCs w:val="20"/>
                <w:color w:val="auto"/>
              </w:rPr>
            </w:pPr>
          </w:p>
        </w:tc>
        <w:tc>
          <w:tcPr>
            <w:tcW w:w="80" w:type="dxa"/>
            <w:vAlign w:val="bottom"/>
            <w:tcBorders>
              <w:bottom w:val="single" w:sz="8" w:color="auto"/>
            </w:tcBorders>
            <w:shd w:val="clear" w:color="auto" w:fill="FEFEFE"/>
          </w:tcPr>
          <w:p>
            <w:pPr>
              <w:spacing w:after="0"/>
              <w:rPr>
                <w:sz w:val="20"/>
                <w:szCs w:val="20"/>
                <w:color w:val="auto"/>
              </w:rPr>
            </w:pPr>
          </w:p>
        </w:tc>
        <w:tc>
          <w:tcPr>
            <w:tcW w:w="20" w:type="dxa"/>
            <w:vAlign w:val="bottom"/>
            <w:tcBorders>
              <w:bottom w:val="single" w:sz="8" w:color="FEFEFE"/>
            </w:tcBorders>
            <w:shd w:val="clear" w:color="auto" w:fill="FEFEFE"/>
          </w:tcPr>
          <w:p>
            <w:pPr>
              <w:spacing w:after="0"/>
              <w:rPr>
                <w:sz w:val="20"/>
                <w:szCs w:val="20"/>
                <w:color w:val="auto"/>
              </w:rPr>
            </w:pPr>
          </w:p>
        </w:tc>
        <w:tc>
          <w:tcPr>
            <w:tcW w:w="100" w:type="dxa"/>
            <w:vAlign w:val="bottom"/>
            <w:tcBorders>
              <w:bottom w:val="single" w:sz="8" w:color="FEFEFE"/>
            </w:tcBorders>
            <w:shd w:val="clear" w:color="auto" w:fill="FEFEFE"/>
          </w:tcPr>
          <w:p>
            <w:pPr>
              <w:spacing w:after="0"/>
              <w:rPr>
                <w:sz w:val="20"/>
                <w:szCs w:val="20"/>
                <w:color w:val="auto"/>
              </w:rPr>
            </w:pPr>
          </w:p>
        </w:tc>
        <w:tc>
          <w:tcPr>
            <w:tcW w:w="20" w:type="dxa"/>
            <w:vAlign w:val="bottom"/>
            <w:tcBorders>
              <w:bottom w:val="single" w:sz="8" w:color="auto"/>
            </w:tcBorders>
            <w:shd w:val="clear" w:color="auto" w:fill="FEFEFE"/>
          </w:tcPr>
          <w:p>
            <w:pPr>
              <w:spacing w:after="0"/>
              <w:rPr>
                <w:sz w:val="20"/>
                <w:szCs w:val="20"/>
                <w:color w:val="auto"/>
              </w:rPr>
            </w:pPr>
          </w:p>
        </w:tc>
        <w:tc>
          <w:tcPr>
            <w:tcW w:w="260" w:type="dxa"/>
            <w:vAlign w:val="bottom"/>
            <w:tcBorders>
              <w:bottom w:val="single" w:sz="8" w:color="auto"/>
            </w:tcBorders>
            <w:shd w:val="clear" w:color="auto" w:fill="FEFEFE"/>
          </w:tcPr>
          <w:p>
            <w:pPr>
              <w:spacing w:after="0"/>
              <w:rPr>
                <w:sz w:val="20"/>
                <w:szCs w:val="20"/>
                <w:color w:val="auto"/>
              </w:rPr>
            </w:pPr>
          </w:p>
        </w:tc>
        <w:tc>
          <w:tcPr>
            <w:tcW w:w="1020" w:type="dxa"/>
            <w:vAlign w:val="bottom"/>
            <w:tcBorders>
              <w:bottom w:val="single" w:sz="8" w:color="auto"/>
            </w:tcBorders>
            <w:gridSpan w:val="2"/>
            <w:shd w:val="clear" w:color="auto" w:fill="FEFEFE"/>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40" w:type="dxa"/>
            <w:vAlign w:val="bottom"/>
            <w:shd w:val="clear" w:color="auto" w:fill="FEFEFE"/>
          </w:tcPr>
          <w:p>
            <w:pPr>
              <w:spacing w:after="0"/>
              <w:rPr>
                <w:sz w:val="20"/>
                <w:szCs w:val="20"/>
                <w:color w:val="auto"/>
              </w:rPr>
            </w:pPr>
          </w:p>
        </w:tc>
        <w:tc>
          <w:tcPr>
            <w:tcW w:w="538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1020" w:type="dxa"/>
            <w:vAlign w:val="bottom"/>
            <w:gridSpan w:val="2"/>
            <w:shd w:val="clear" w:color="auto" w:fill="FEFEFE"/>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($'000)</w:t>
            </w:r>
          </w:p>
        </w:tc>
        <w:tc>
          <w:tcPr>
            <w:tcW w:w="8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60" w:type="dxa"/>
            <w:vAlign w:val="bottom"/>
            <w:shd w:val="clear" w:color="auto" w:fill="FEFEFE"/>
          </w:tcPr>
          <w:p>
            <w:pPr>
              <w:spacing w:after="0"/>
              <w:rPr>
                <w:sz w:val="20"/>
                <w:szCs w:val="20"/>
                <w:color w:val="auto"/>
              </w:rPr>
            </w:pPr>
          </w:p>
        </w:tc>
        <w:tc>
          <w:tcPr>
            <w:tcW w:w="1020" w:type="dxa"/>
            <w:vAlign w:val="bottom"/>
            <w:gridSpan w:val="2"/>
            <w:shd w:val="clear" w:color="auto" w:fill="FEFEFE"/>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($'000)</w:t>
            </w: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9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Social security and other taxes</w:t>
            </w:r>
          </w:p>
        </w:tc>
        <w:tc>
          <w:tcPr>
            <w:tcW w:w="2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92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Deferred consideration liability</w:t>
            </w:r>
          </w:p>
        </w:tc>
        <w:tc>
          <w:tcPr>
            <w:tcW w:w="200" w:type="dxa"/>
            <w:vAlign w:val="bottom"/>
            <w:shd w:val="clear" w:color="auto" w:fill="FEFEFE"/>
          </w:tcPr>
          <w:p>
            <w:pPr>
              <w:spacing w:after="0"/>
              <w:rPr>
                <w:sz w:val="21"/>
                <w:szCs w:val="21"/>
                <w:color w:val="auto"/>
              </w:rPr>
            </w:pPr>
          </w:p>
        </w:tc>
        <w:tc>
          <w:tcPr>
            <w:tcW w:w="10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60" w:type="dxa"/>
            <w:vAlign w:val="bottom"/>
            <w:shd w:val="clear" w:color="auto" w:fill="FEFEFE"/>
          </w:tcPr>
          <w:p>
            <w:pPr>
              <w:spacing w:after="0"/>
              <w:rPr>
                <w:sz w:val="21"/>
                <w:szCs w:val="21"/>
                <w:color w:val="auto"/>
              </w:rPr>
            </w:pPr>
          </w:p>
        </w:tc>
        <w:tc>
          <w:tcPr>
            <w:tcW w:w="10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9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Equity issuance costs payable</w:t>
            </w:r>
          </w:p>
        </w:tc>
        <w:tc>
          <w:tcPr>
            <w:tcW w:w="200" w:type="dxa"/>
            <w:vAlign w:val="bottom"/>
            <w:shd w:val="clear" w:color="auto" w:fill="E6E6E6"/>
          </w:tcPr>
          <w:p>
            <w:pPr>
              <w:spacing w:after="0"/>
              <w:rPr>
                <w:sz w:val="21"/>
                <w:szCs w:val="21"/>
                <w:color w:val="auto"/>
              </w:rPr>
            </w:pP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920" w:type="dxa"/>
            <w:vAlign w:val="bottom"/>
            <w:tcBorders>
              <w:bottom w:val="single" w:sz="8" w:color="E6E6E6"/>
            </w:tcBorders>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00" w:type="dxa"/>
            <w:vAlign w:val="bottom"/>
            <w:tcBorders>
              <w:bottom w:val="single" w:sz="8" w:color="auto"/>
            </w:tcBorders>
            <w:shd w:val="clear" w:color="auto" w:fill="FEFEFE"/>
          </w:tcPr>
          <w:p>
            <w:pPr>
              <w:spacing w:after="0"/>
              <w:rPr>
                <w:sz w:val="21"/>
                <w:szCs w:val="21"/>
                <w:color w:val="auto"/>
              </w:rPr>
            </w:pPr>
          </w:p>
        </w:tc>
        <w:tc>
          <w:tcPr>
            <w:tcW w:w="1020" w:type="dxa"/>
            <w:vAlign w:val="bottom"/>
            <w:tcBorders>
              <w:bottom w:val="single" w:sz="8" w:color="auto"/>
            </w:tcBorders>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Borders>
              <w:bottom w:val="single" w:sz="8" w:color="auto"/>
            </w:tcBorders>
            <w:shd w:val="clear" w:color="auto" w:fill="FEFEFE"/>
          </w:tcPr>
          <w:p>
            <w:pPr>
              <w:spacing w:after="0"/>
              <w:rPr>
                <w:sz w:val="21"/>
                <w:szCs w:val="21"/>
                <w:color w:val="auto"/>
              </w:rPr>
            </w:pPr>
          </w:p>
        </w:tc>
        <w:tc>
          <w:tcPr>
            <w:tcW w:w="20" w:type="dxa"/>
            <w:vAlign w:val="bottom"/>
            <w:tcBorders>
              <w:bottom w:val="single" w:sz="8" w:color="E6E6E6"/>
            </w:tcBorders>
            <w:shd w:val="clear" w:color="auto" w:fill="FEFEFE"/>
          </w:tcPr>
          <w:p>
            <w:pPr>
              <w:spacing w:after="0"/>
              <w:rPr>
                <w:sz w:val="21"/>
                <w:szCs w:val="21"/>
                <w:color w:val="auto"/>
              </w:rPr>
            </w:pPr>
          </w:p>
        </w:tc>
        <w:tc>
          <w:tcPr>
            <w:tcW w:w="100" w:type="dxa"/>
            <w:vAlign w:val="bottom"/>
            <w:tcBorders>
              <w:bottom w:val="single" w:sz="8" w:color="E6E6E6"/>
            </w:tcBorders>
            <w:shd w:val="clear" w:color="auto" w:fill="FEFEFE"/>
          </w:tcPr>
          <w:p>
            <w:pPr>
              <w:spacing w:after="0"/>
              <w:rPr>
                <w:sz w:val="21"/>
                <w:szCs w:val="21"/>
                <w:color w:val="auto"/>
              </w:rPr>
            </w:pPr>
          </w:p>
        </w:tc>
        <w:tc>
          <w:tcPr>
            <w:tcW w:w="20" w:type="dxa"/>
            <w:vAlign w:val="bottom"/>
            <w:tcBorders>
              <w:bottom w:val="single" w:sz="8" w:color="auto"/>
            </w:tcBorders>
            <w:shd w:val="clear" w:color="auto" w:fill="FEFEFE"/>
          </w:tcPr>
          <w:p>
            <w:pPr>
              <w:spacing w:after="0"/>
              <w:rPr>
                <w:sz w:val="21"/>
                <w:szCs w:val="21"/>
                <w:color w:val="auto"/>
              </w:rPr>
            </w:pPr>
          </w:p>
        </w:tc>
        <w:tc>
          <w:tcPr>
            <w:tcW w:w="260" w:type="dxa"/>
            <w:vAlign w:val="bottom"/>
            <w:tcBorders>
              <w:bottom w:val="single" w:sz="8" w:color="auto"/>
            </w:tcBorders>
            <w:shd w:val="clear" w:color="auto" w:fill="FEFEFE"/>
          </w:tcPr>
          <w:p>
            <w:pPr>
              <w:spacing w:after="0"/>
              <w:rPr>
                <w:sz w:val="21"/>
                <w:szCs w:val="21"/>
                <w:color w:val="auto"/>
              </w:rPr>
            </w:pPr>
          </w:p>
        </w:tc>
        <w:tc>
          <w:tcPr>
            <w:tcW w:w="1020" w:type="dxa"/>
            <w:vAlign w:val="bottom"/>
            <w:tcBorders>
              <w:bottom w:val="single" w:sz="8" w:color="auto"/>
            </w:tcBorders>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9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1,095</w:t>
            </w:r>
          </w:p>
        </w:tc>
        <w:tc>
          <w:tcPr>
            <w:tcW w:w="80" w:type="dxa"/>
            <w:vAlign w:val="bottom"/>
            <w:tcBorders>
              <w:bottom w:val="single" w:sz="8" w:color="auto"/>
            </w:tcBorders>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280" w:type="dxa"/>
            <w:vAlign w:val="bottom"/>
            <w:tcBorders>
              <w:bottom w:val="single" w:sz="8" w:color="auto"/>
            </w:tcBorders>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1,021</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9. Accrued expenses</w:t>
            </w: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70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00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Accrued expenses consist of the following:</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1220" w:type="dxa"/>
            <w:vAlign w:val="bottom"/>
            <w:gridSpan w:val="3"/>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540" w:type="dxa"/>
            <w:vAlign w:val="bottom"/>
            <w:tcBorders>
              <w:bottom w:val="single" w:sz="8" w:color="FEFEFE"/>
            </w:tcBorders>
            <w:shd w:val="clear" w:color="auto" w:fill="FEFEFE"/>
          </w:tcPr>
          <w:p>
            <w:pPr>
              <w:spacing w:after="0"/>
              <w:rPr>
                <w:sz w:val="19"/>
                <w:szCs w:val="19"/>
                <w:color w:val="auto"/>
              </w:rPr>
            </w:pPr>
          </w:p>
        </w:tc>
        <w:tc>
          <w:tcPr>
            <w:tcW w:w="5380" w:type="dxa"/>
            <w:vAlign w:val="bottom"/>
            <w:tcBorders>
              <w:bottom w:val="single" w:sz="8" w:color="FEFEFE"/>
            </w:tcBorders>
            <w:shd w:val="clear" w:color="auto" w:fill="FEFEFE"/>
          </w:tcPr>
          <w:p>
            <w:pPr>
              <w:spacing w:after="0"/>
              <w:rPr>
                <w:sz w:val="19"/>
                <w:szCs w:val="19"/>
                <w:color w:val="auto"/>
              </w:rPr>
            </w:pPr>
          </w:p>
        </w:tc>
        <w:tc>
          <w:tcPr>
            <w:tcW w:w="1220" w:type="dxa"/>
            <w:vAlign w:val="bottom"/>
            <w:tcBorders>
              <w:bottom w:val="single" w:sz="8" w:color="auto"/>
            </w:tcBorders>
            <w:gridSpan w:val="3"/>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80" w:type="dxa"/>
            <w:vAlign w:val="bottom"/>
            <w:tcBorders>
              <w:bottom w:val="single" w:sz="8" w:color="auto"/>
            </w:tcBorders>
            <w:shd w:val="clear" w:color="auto" w:fill="FEFEFE"/>
          </w:tcPr>
          <w:p>
            <w:pPr>
              <w:spacing w:after="0"/>
              <w:rPr>
                <w:sz w:val="19"/>
                <w:szCs w:val="19"/>
                <w:color w:val="auto"/>
              </w:rPr>
            </w:pPr>
          </w:p>
        </w:tc>
        <w:tc>
          <w:tcPr>
            <w:tcW w:w="20" w:type="dxa"/>
            <w:vAlign w:val="bottom"/>
            <w:tcBorders>
              <w:bottom w:val="single" w:sz="8" w:color="auto"/>
            </w:tcBorders>
            <w:shd w:val="clear" w:color="auto" w:fill="FEFEFE"/>
          </w:tcPr>
          <w:p>
            <w:pPr>
              <w:spacing w:after="0"/>
              <w:rPr>
                <w:sz w:val="19"/>
                <w:szCs w:val="19"/>
                <w:color w:val="auto"/>
              </w:rPr>
            </w:pPr>
          </w:p>
        </w:tc>
        <w:tc>
          <w:tcPr>
            <w:tcW w:w="10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1280" w:type="dxa"/>
            <w:vAlign w:val="bottom"/>
            <w:tcBorders>
              <w:bottom w:val="single" w:sz="8" w:color="auto"/>
            </w:tcBorders>
            <w:gridSpan w:val="3"/>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540" w:type="dxa"/>
            <w:vAlign w:val="bottom"/>
            <w:tcBorders>
              <w:bottom w:val="single" w:sz="8" w:color="FEFEFE"/>
            </w:tcBorders>
            <w:shd w:val="clear" w:color="auto" w:fill="FEFEFE"/>
          </w:tcPr>
          <w:p>
            <w:pPr>
              <w:spacing w:after="0"/>
              <w:rPr>
                <w:sz w:val="19"/>
                <w:szCs w:val="19"/>
                <w:color w:val="auto"/>
              </w:rPr>
            </w:pPr>
          </w:p>
        </w:tc>
        <w:tc>
          <w:tcPr>
            <w:tcW w:w="5380" w:type="dxa"/>
            <w:vAlign w:val="bottom"/>
            <w:tcBorders>
              <w:bottom w:val="single" w:sz="8" w:color="FEFEFE"/>
            </w:tcBorders>
            <w:shd w:val="clear" w:color="auto" w:fill="FEFEFE"/>
          </w:tcPr>
          <w:p>
            <w:pPr>
              <w:spacing w:after="0"/>
              <w:rPr>
                <w:sz w:val="19"/>
                <w:szCs w:val="19"/>
                <w:color w:val="auto"/>
              </w:rPr>
            </w:pPr>
          </w:p>
        </w:tc>
        <w:tc>
          <w:tcPr>
            <w:tcW w:w="200" w:type="dxa"/>
            <w:vAlign w:val="bottom"/>
            <w:tcBorders>
              <w:bottom w:val="single" w:sz="8" w:color="auto"/>
            </w:tcBorders>
            <w:shd w:val="clear" w:color="auto" w:fill="FEFEFE"/>
          </w:tcPr>
          <w:p>
            <w:pPr>
              <w:spacing w:after="0"/>
              <w:rPr>
                <w:sz w:val="19"/>
                <w:szCs w:val="19"/>
                <w:color w:val="auto"/>
              </w:rPr>
            </w:pPr>
          </w:p>
        </w:tc>
        <w:tc>
          <w:tcPr>
            <w:tcW w:w="60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420" w:type="dxa"/>
            <w:vAlign w:val="bottom"/>
            <w:tcBorders>
              <w:bottom w:val="single" w:sz="8" w:color="auto"/>
            </w:tcBorders>
            <w:shd w:val="clear" w:color="auto" w:fill="FEFEFE"/>
          </w:tcPr>
          <w:p>
            <w:pPr>
              <w:spacing w:after="0"/>
              <w:rPr>
                <w:sz w:val="19"/>
                <w:szCs w:val="19"/>
                <w:color w:val="auto"/>
              </w:rPr>
            </w:pPr>
          </w:p>
        </w:tc>
        <w:tc>
          <w:tcPr>
            <w:tcW w:w="80" w:type="dxa"/>
            <w:vAlign w:val="bottom"/>
            <w:tcBorders>
              <w:bottom w:val="single" w:sz="8" w:color="auto"/>
            </w:tcBorders>
            <w:shd w:val="clear" w:color="auto" w:fill="FEFEFE"/>
          </w:tcPr>
          <w:p>
            <w:pPr>
              <w:spacing w:after="0"/>
              <w:rPr>
                <w:sz w:val="19"/>
                <w:szCs w:val="19"/>
                <w:color w:val="auto"/>
              </w:rPr>
            </w:pPr>
          </w:p>
        </w:tc>
        <w:tc>
          <w:tcPr>
            <w:tcW w:w="20" w:type="dxa"/>
            <w:vAlign w:val="bottom"/>
            <w:tcBorders>
              <w:bottom w:val="single" w:sz="8" w:color="auto"/>
            </w:tcBorders>
            <w:shd w:val="clear" w:color="auto" w:fill="FEFEFE"/>
          </w:tcPr>
          <w:p>
            <w:pPr>
              <w:spacing w:after="0"/>
              <w:rPr>
                <w:sz w:val="19"/>
                <w:szCs w:val="19"/>
                <w:color w:val="auto"/>
              </w:rPr>
            </w:pPr>
          </w:p>
        </w:tc>
        <w:tc>
          <w:tcPr>
            <w:tcW w:w="10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260" w:type="dxa"/>
            <w:vAlign w:val="bottom"/>
            <w:tcBorders>
              <w:bottom w:val="single" w:sz="8" w:color="auto"/>
            </w:tcBorders>
            <w:shd w:val="clear" w:color="auto" w:fill="FEFEFE"/>
          </w:tcPr>
          <w:p>
            <w:pPr>
              <w:spacing w:after="0"/>
              <w:rPr>
                <w:sz w:val="19"/>
                <w:szCs w:val="19"/>
                <w:color w:val="auto"/>
              </w:rPr>
            </w:pPr>
          </w:p>
        </w:tc>
        <w:tc>
          <w:tcPr>
            <w:tcW w:w="1020" w:type="dxa"/>
            <w:vAlign w:val="bottom"/>
            <w:tcBorders>
              <w:bottom w:val="single" w:sz="8" w:color="auto"/>
            </w:tcBorders>
            <w:gridSpan w:val="2"/>
            <w:shd w:val="clear" w:color="auto" w:fill="FEFEFE"/>
          </w:tcPr>
          <w:p>
            <w:pPr>
              <w:jc w:val="right"/>
              <w:ind w:right="38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540" w:type="dxa"/>
            <w:vAlign w:val="bottom"/>
            <w:shd w:val="clear" w:color="auto" w:fill="FEFEFE"/>
          </w:tcPr>
          <w:p>
            <w:pPr>
              <w:spacing w:after="0"/>
              <w:rPr>
                <w:sz w:val="19"/>
                <w:szCs w:val="19"/>
                <w:color w:val="auto"/>
              </w:rPr>
            </w:pPr>
          </w:p>
        </w:tc>
        <w:tc>
          <w:tcPr>
            <w:tcW w:w="538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020" w:type="dxa"/>
            <w:vAlign w:val="bottom"/>
            <w:gridSpan w:val="2"/>
            <w:shd w:val="clear" w:color="auto" w:fill="FEFEFE"/>
          </w:tcPr>
          <w:p>
            <w:pPr>
              <w:jc w:val="right"/>
              <w:ind w:right="220"/>
              <w:spacing w:after="0" w:line="220" w:lineRule="exact"/>
              <w:rPr>
                <w:sz w:val="20"/>
                <w:szCs w:val="20"/>
                <w:color w:val="auto"/>
              </w:rPr>
            </w:pPr>
            <w:r>
              <w:rPr>
                <w:rFonts w:ascii="Times New Roman" w:cs="Times New Roman" w:eastAsia="Times New Roman" w:hAnsi="Times New Roman"/>
                <w:sz w:val="20"/>
                <w:szCs w:val="20"/>
                <w:b w:val="1"/>
                <w:bCs w:val="1"/>
                <w:color w:val="auto"/>
              </w:rPr>
              <w:t>($'000)</w:t>
            </w:r>
          </w:p>
        </w:tc>
        <w:tc>
          <w:tcPr>
            <w:tcW w:w="8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020" w:type="dxa"/>
            <w:vAlign w:val="bottom"/>
            <w:gridSpan w:val="2"/>
            <w:shd w:val="clear" w:color="auto" w:fill="FEFEFE"/>
          </w:tcPr>
          <w:p>
            <w:pPr>
              <w:jc w:val="right"/>
              <w:ind w:right="300"/>
              <w:spacing w:after="0" w:line="220" w:lineRule="exact"/>
              <w:rPr>
                <w:sz w:val="20"/>
                <w:szCs w:val="20"/>
                <w:color w:val="auto"/>
              </w:rPr>
            </w:pPr>
            <w:r>
              <w:rPr>
                <w:rFonts w:ascii="Times New Roman" w:cs="Times New Roman" w:eastAsia="Times New Roman" w:hAnsi="Times New Roman"/>
                <w:sz w:val="20"/>
                <w:szCs w:val="20"/>
                <w:b w:val="1"/>
                <w:bCs w:val="1"/>
                <w:color w:val="auto"/>
              </w:rPr>
              <w:t>($'000)</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59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Accrued research and development costs</w:t>
            </w:r>
          </w:p>
        </w:tc>
        <w:tc>
          <w:tcPr>
            <w:tcW w:w="2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948</w:t>
            </w:r>
          </w:p>
        </w:tc>
        <w:tc>
          <w:tcPr>
            <w:tcW w:w="100" w:type="dxa"/>
            <w:vAlign w:val="bottom"/>
            <w:gridSpan w:val="2"/>
            <w:shd w:val="clear" w:color="auto" w:fill="E6E6E6"/>
          </w:tcPr>
          <w:p>
            <w:pPr>
              <w:spacing w:after="0"/>
              <w:rPr>
                <w:sz w:val="19"/>
                <w:szCs w:val="19"/>
                <w:color w:val="auto"/>
              </w:rPr>
            </w:pPr>
          </w:p>
        </w:tc>
        <w:tc>
          <w:tcPr>
            <w:tcW w:w="120" w:type="dxa"/>
            <w:vAlign w:val="bottom"/>
            <w:gridSpan w:val="2"/>
            <w:shd w:val="clear" w:color="auto" w:fill="E6E6E6"/>
          </w:tcPr>
          <w:p>
            <w:pPr>
              <w:spacing w:after="0"/>
              <w:rPr>
                <w:sz w:val="19"/>
                <w:szCs w:val="19"/>
                <w:color w:val="auto"/>
              </w:rPr>
            </w:pPr>
          </w:p>
        </w:tc>
        <w:tc>
          <w:tcPr>
            <w:tcW w:w="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1,821</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592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Accrued legal fees</w:t>
            </w:r>
          </w:p>
        </w:tc>
        <w:tc>
          <w:tcPr>
            <w:tcW w:w="200" w:type="dxa"/>
            <w:vAlign w:val="bottom"/>
            <w:shd w:val="clear" w:color="auto" w:fill="FEFEFE"/>
          </w:tcPr>
          <w:p>
            <w:pPr>
              <w:spacing w:after="0"/>
              <w:rPr>
                <w:sz w:val="19"/>
                <w:szCs w:val="19"/>
                <w:color w:val="auto"/>
              </w:rPr>
            </w:pPr>
          </w:p>
        </w:tc>
        <w:tc>
          <w:tcPr>
            <w:tcW w:w="10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8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0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59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Accrued bonus</w:t>
            </w:r>
          </w:p>
        </w:tc>
        <w:tc>
          <w:tcPr>
            <w:tcW w:w="20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2,001</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1,624</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592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Accrued audit fees</w:t>
            </w:r>
          </w:p>
        </w:tc>
        <w:tc>
          <w:tcPr>
            <w:tcW w:w="200" w:type="dxa"/>
            <w:vAlign w:val="bottom"/>
            <w:shd w:val="clear" w:color="auto" w:fill="FEFEFE"/>
          </w:tcPr>
          <w:p>
            <w:pPr>
              <w:spacing w:after="0"/>
              <w:rPr>
                <w:sz w:val="19"/>
                <w:szCs w:val="19"/>
                <w:color w:val="auto"/>
              </w:rPr>
            </w:pPr>
          </w:p>
        </w:tc>
        <w:tc>
          <w:tcPr>
            <w:tcW w:w="10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388</w:t>
            </w:r>
          </w:p>
        </w:tc>
        <w:tc>
          <w:tcPr>
            <w:tcW w:w="8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0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671</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59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Accrued professional fees</w:t>
            </w:r>
          </w:p>
        </w:tc>
        <w:tc>
          <w:tcPr>
            <w:tcW w:w="20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592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Accrued local taxes</w:t>
            </w:r>
          </w:p>
        </w:tc>
        <w:tc>
          <w:tcPr>
            <w:tcW w:w="200" w:type="dxa"/>
            <w:vAlign w:val="bottom"/>
            <w:shd w:val="clear" w:color="auto" w:fill="FEFEFE"/>
          </w:tcPr>
          <w:p>
            <w:pPr>
              <w:spacing w:after="0"/>
              <w:rPr>
                <w:sz w:val="19"/>
                <w:szCs w:val="19"/>
                <w:color w:val="auto"/>
              </w:rPr>
            </w:pPr>
          </w:p>
        </w:tc>
        <w:tc>
          <w:tcPr>
            <w:tcW w:w="10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8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0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5920" w:type="dxa"/>
            <w:vAlign w:val="bottom"/>
            <w:tcBorders>
              <w:bottom w:val="single" w:sz="8" w:color="FEFEFE"/>
            </w:tcBorders>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accrued expenses</w:t>
            </w:r>
          </w:p>
        </w:tc>
        <w:tc>
          <w:tcPr>
            <w:tcW w:w="200" w:type="dxa"/>
            <w:vAlign w:val="bottom"/>
            <w:tcBorders>
              <w:bottom w:val="single" w:sz="8" w:color="auto"/>
            </w:tcBorders>
            <w:shd w:val="clear" w:color="auto" w:fill="E6E6E6"/>
          </w:tcPr>
          <w:p>
            <w:pPr>
              <w:spacing w:after="0"/>
              <w:rPr>
                <w:sz w:val="19"/>
                <w:szCs w:val="19"/>
                <w:color w:val="auto"/>
              </w:rPr>
            </w:pPr>
          </w:p>
        </w:tc>
        <w:tc>
          <w:tcPr>
            <w:tcW w:w="1020" w:type="dxa"/>
            <w:vAlign w:val="bottom"/>
            <w:tcBorders>
              <w:bottom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80" w:type="dxa"/>
            <w:vAlign w:val="bottom"/>
            <w:tcBorders>
              <w:bottom w:val="single" w:sz="8" w:color="auto"/>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100" w:type="dxa"/>
            <w:vAlign w:val="bottom"/>
            <w:tcBorders>
              <w:bottom w:val="single" w:sz="8" w:color="FEFEFE"/>
            </w:tcBorders>
            <w:shd w:val="clear" w:color="auto" w:fill="E6E6E6"/>
          </w:tcPr>
          <w:p>
            <w:pPr>
              <w:spacing w:after="0"/>
              <w:rPr>
                <w:sz w:val="19"/>
                <w:szCs w:val="19"/>
                <w:color w:val="auto"/>
              </w:rPr>
            </w:pPr>
          </w:p>
        </w:tc>
        <w:tc>
          <w:tcPr>
            <w:tcW w:w="20" w:type="dxa"/>
            <w:vAlign w:val="bottom"/>
            <w:tcBorders>
              <w:bottom w:val="single" w:sz="8" w:color="FEFEFE"/>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spacing w:after="0"/>
              <w:rPr>
                <w:sz w:val="19"/>
                <w:szCs w:val="19"/>
                <w:color w:val="auto"/>
              </w:rPr>
            </w:pPr>
          </w:p>
        </w:tc>
        <w:tc>
          <w:tcPr>
            <w:tcW w:w="1020" w:type="dxa"/>
            <w:vAlign w:val="bottom"/>
            <w:tcBorders>
              <w:bottom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5920" w:type="dxa"/>
            <w:vAlign w:val="bottom"/>
            <w:gridSpan w:val="2"/>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auto"/>
            </w:tcBorders>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gridSpan w:val="2"/>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4,071</w:t>
            </w:r>
          </w:p>
        </w:tc>
        <w:tc>
          <w:tcPr>
            <w:tcW w:w="100" w:type="dxa"/>
            <w:vAlign w:val="bottom"/>
            <w:tcBorders>
              <w:bottom w:val="single" w:sz="8" w:color="auto"/>
            </w:tcBorders>
            <w:gridSpan w:val="2"/>
            <w:shd w:val="clear" w:color="auto" w:fill="FEFEFE"/>
          </w:tcPr>
          <w:p>
            <w:pPr>
              <w:spacing w:after="0"/>
              <w:rPr>
                <w:sz w:val="19"/>
                <w:szCs w:val="19"/>
                <w:color w:val="auto"/>
              </w:rPr>
            </w:pPr>
          </w:p>
        </w:tc>
        <w:tc>
          <w:tcPr>
            <w:tcW w:w="120" w:type="dxa"/>
            <w:vAlign w:val="bottom"/>
            <w:gridSpan w:val="2"/>
            <w:shd w:val="clear" w:color="auto" w:fill="FEFEFE"/>
          </w:tcPr>
          <w:p>
            <w:pPr>
              <w:spacing w:after="0"/>
              <w:rPr>
                <w:sz w:val="19"/>
                <w:szCs w:val="19"/>
                <w:color w:val="auto"/>
              </w:rPr>
            </w:pPr>
          </w:p>
        </w:tc>
        <w:tc>
          <w:tcPr>
            <w:tcW w:w="260" w:type="dxa"/>
            <w:vAlign w:val="bottom"/>
            <w:tcBorders>
              <w:bottom w:val="single" w:sz="8" w:color="auto"/>
            </w:tcBorders>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gridSpan w:val="2"/>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5,467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Convertible loan notes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Novartis Loan Note</w:t>
      </w:r>
    </w:p>
    <w:p>
      <w:pPr>
        <w:spacing w:after="0" w:line="238"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19"/>
          <w:szCs w:val="19"/>
          <w:color w:val="auto"/>
        </w:rPr>
        <w:t>On February 10, 2020, the Company entered into a convertible equity financing with Novartis Pharma (AG) (“Novartis”) under which Novartis purchased a £3.8 million ($5.2 million) convertible loan note (the “Novartis Loan Note”). The Novartis Loan Note is convertible at the discretion of the holder, at a fixed price of £0.265 per ordinary share and originally bore interest at 6% per annum with a maturity date of February 10, 2023. In connection with the Novartis Loan Note, the Company also issued 1,449,610</w:t>
      </w:r>
    </w:p>
    <w:p>
      <w:pPr>
        <w:spacing w:after="0" w:line="34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F-21</w:t>
      </w:r>
    </w:p>
    <w:p>
      <w:pPr>
        <w:sectPr>
          <w:pgSz w:w="11880" w:h="15480" w:orient="portrait"/>
          <w:cols w:equalWidth="0" w:num="1">
            <w:col w:w="10560"/>
          </w:cols>
          <w:pgMar w:left="540" w:top="759" w:right="780" w:bottom="0" w:gutter="0" w:footer="0" w:header="0"/>
        </w:sectPr>
      </w:pPr>
    </w:p>
    <w:bookmarkStart w:id="129" w:name="page130"/>
    <w:bookmarkEnd w:id="129"/>
    <w:p>
      <w:pPr>
        <w:ind w:right="60"/>
        <w:spacing w:after="0" w:line="279" w:lineRule="auto"/>
        <w:rPr>
          <w:sz w:val="20"/>
          <w:szCs w:val="20"/>
          <w:color w:val="auto"/>
        </w:rPr>
      </w:pPr>
      <w:r>
        <w:rPr>
          <w:rFonts w:ascii="Times New Roman" w:cs="Times New Roman" w:eastAsia="Times New Roman" w:hAnsi="Times New Roman"/>
          <w:sz w:val="20"/>
          <w:szCs w:val="20"/>
          <w:color w:val="auto"/>
        </w:rPr>
        <w:t>warrants which are exercisable until February 2025 at an exercise price of £0.265 per ordinary share. These warrants were recognized separately as equity instruments.</w:t>
      </w:r>
    </w:p>
    <w:p>
      <w:pPr>
        <w:spacing w:after="0" w:line="165"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Effective February 10, 2023, the maturity date of the Novartis Loan Note was extended to February 10, 2025 and the interest rate amended to 9%. Interest accrued to the amendment date of $0.9 million was paid in cash, and additional warrants to purchase 2,000,000 ordinary shares were issued. These warrants were also recognized separately as equity instruments.</w:t>
      </w:r>
    </w:p>
    <w:p>
      <w:pPr>
        <w:spacing w:after="0" w:line="18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amendments to the Novartis Loan Note were an extinguishment of the original instrument and the issuance of a new one. Accordingly, on the extinguishment date, the carrying value of $5.5 million was derecognized. At the same time, a new liability of $3.4 million was recognized, which represents the portion of the consideration of the new arrangement allocated to the liability component of the new Novartis Loan Note on the basis of its relative fair value, net of fees. The remaining amount was allocated between the $0.9 million of interest paid in cash and the residual $1.2 million which was recorded in additional paid-in capital to reflect the relative fair value of the warrants and the conversion option embedded in the new Novartis Loan Note. No extinguishment gain or loss was recognized in the consolidated statements of operations and comprehensive loss. The Company recognized interest expense of $1.2 million in relation to the Novartis Loan Note in the consolidated statements of operations and comprehensive loss for the year ended December 31, 2024 (2023: $1.0 million). The effective interest rate applied to the liability portion of the Novartis Loan Note in 2024 and in 2023 after the amendments was 27.8% while the effective interest rate applied in 2023 before the amendments was 37.4%.</w:t>
      </w:r>
    </w:p>
    <w:p>
      <w:pPr>
        <w:spacing w:after="0" w:line="208" w:lineRule="exact"/>
        <w:rPr>
          <w:sz w:val="20"/>
          <w:szCs w:val="20"/>
          <w:color w:val="auto"/>
        </w:rPr>
      </w:pPr>
    </w:p>
    <w:p>
      <w:pPr>
        <w:ind w:right="260" w:firstLine="720"/>
        <w:spacing w:after="0" w:line="279" w:lineRule="auto"/>
        <w:rPr>
          <w:sz w:val="20"/>
          <w:szCs w:val="20"/>
          <w:color w:val="auto"/>
        </w:rPr>
      </w:pPr>
      <w:r>
        <w:rPr>
          <w:rFonts w:ascii="Times New Roman" w:cs="Times New Roman" w:eastAsia="Times New Roman" w:hAnsi="Times New Roman"/>
          <w:sz w:val="20"/>
          <w:szCs w:val="20"/>
          <w:color w:val="auto"/>
        </w:rPr>
        <w:t>As of December 31, 2024, and 2023, the net carrying amount of the liability component of the convertible debt instrument was $5.5 million and $4.4 million, respectively. The fair value as of December 31, 2024 was $5.6 million.</w:t>
      </w:r>
    </w:p>
    <w:p>
      <w:pPr>
        <w:spacing w:after="0" w:line="165" w:lineRule="exact"/>
        <w:rPr>
          <w:sz w:val="20"/>
          <w:szCs w:val="20"/>
          <w:color w:val="auto"/>
        </w:rPr>
      </w:pPr>
    </w:p>
    <w:p>
      <w:pPr>
        <w:jc w:val="both"/>
        <w:ind w:right="160" w:firstLine="720"/>
        <w:spacing w:after="0" w:line="259" w:lineRule="auto"/>
        <w:rPr>
          <w:sz w:val="20"/>
          <w:szCs w:val="20"/>
          <w:color w:val="auto"/>
        </w:rPr>
      </w:pPr>
      <w:r>
        <w:rPr>
          <w:rFonts w:ascii="Times New Roman" w:cs="Times New Roman" w:eastAsia="Times New Roman" w:hAnsi="Times New Roman"/>
          <w:sz w:val="20"/>
          <w:szCs w:val="20"/>
          <w:color w:val="auto"/>
        </w:rPr>
        <w:t>On February 7, 2025, the Company received a conversion notice and subsequently issued and allotted 17,105,450 ordinary shares (equivalent to 3,421,090 ADSs) on the non-cash conversion of the outstanding principal and accrued interest of the Novartis Loan Note.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Private Placement Loan Notes</w:t>
      </w:r>
    </w:p>
    <w:p>
      <w:pPr>
        <w:spacing w:after="0" w:line="238"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The Private Placement Loan Notes were issued in 2020 as part of a $70.0 million private placement transaction which also included the issuance of ordinary shares and warrants (see Note 12). When issued, the Private Placement Loan Notes were convertible at a fixed price of £0.174 per ordinary share, bore interest at a rate of 6% per annum and had a maturity date of June 3, 2023. As of January 1, 2023, Private Placement Loan Notes with an aggregate principal of $7.5 million were still outstanding, following conversions in prior years.</w:t>
      </w:r>
    </w:p>
    <w:p>
      <w:pPr>
        <w:spacing w:after="0" w:line="197"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In May 2023, the maturity date of the Private Placement Loan Notes was extended to August 3, 2023, with all other terms remaining unchanged. This extension was a modification and the carrying value of the liability component was adjusted to the present value of the modified cash flows discounted at the original effective interest rate, net of identifiable transaction costs. The carrying value was also reduced by $0.6 million with a corresponding adjustment to additional paid-in capital to reflect the increase in the fair value of the embedded conversion option.</w:t>
      </w:r>
    </w:p>
    <w:p>
      <w:pPr>
        <w:spacing w:after="0" w:line="197" w:lineRule="exact"/>
        <w:rPr>
          <w:sz w:val="20"/>
          <w:szCs w:val="20"/>
          <w:color w:val="auto"/>
        </w:rPr>
      </w:pPr>
    </w:p>
    <w:p>
      <w:pPr>
        <w:ind w:right="200" w:firstLine="720"/>
        <w:spacing w:after="0" w:line="259" w:lineRule="auto"/>
        <w:rPr>
          <w:sz w:val="20"/>
          <w:szCs w:val="20"/>
          <w:color w:val="auto"/>
        </w:rPr>
      </w:pPr>
      <w:r>
        <w:rPr>
          <w:rFonts w:ascii="Times New Roman" w:cs="Times New Roman" w:eastAsia="Times New Roman" w:hAnsi="Times New Roman"/>
          <w:sz w:val="20"/>
          <w:szCs w:val="20"/>
          <w:color w:val="auto"/>
        </w:rPr>
        <w:t>In May and July 2023, the Company received conversion notices and subsequently issued and allotted 17,774,895 and 9,645,200 ordinary shares respectively, both at a price of £0.174 per share on non-cash conversion of Private Placement Loan Notes with an aggregate principal amount of $4.6 million.</w:t>
      </w:r>
    </w:p>
    <w:p>
      <w:pPr>
        <w:spacing w:after="0" w:line="185"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20"/>
          <w:szCs w:val="20"/>
          <w:color w:val="auto"/>
        </w:rPr>
        <w:t>In August 2023, the Company paid $3.2 million to fully settle the outstanding principal and accrued interest balance on the remaining Private Placement Loan Notes.</w:t>
      </w:r>
    </w:p>
    <w:p>
      <w:pPr>
        <w:spacing w:after="0" w:line="165"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The Company recognized interest expense of $1.6 million in relation to the Private Placement Loan Notes in the consolidated statements of operations and comprehensive loss for the year ended December 31, 2023. The effective interest rate applied to the liability portion of the Private Placement Loan Notes in 2023 after the amendments was 27.1% while the effective interest rate applied in 2023 prior to the amendments was 25.1%.</w:t>
      </w:r>
    </w:p>
    <w:p>
      <w:pPr>
        <w:sectPr>
          <w:pgSz w:w="11880" w:h="15480" w:orient="portrait"/>
          <w:cols w:equalWidth="0" w:num="1">
            <w:col w:w="10760"/>
          </w:cols>
          <w:pgMar w:left="540" w:top="748" w:right="5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F-22</w:t>
      </w:r>
    </w:p>
    <w:p>
      <w:pPr>
        <w:sectPr>
          <w:pgSz w:w="11880" w:h="15480" w:orient="portrait"/>
          <w:cols w:equalWidth="0" w:num="1">
            <w:col w:w="10760"/>
          </w:cols>
          <w:pgMar w:left="540" w:top="748" w:right="580" w:bottom="8"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auto"/>
        </w:rPr>
        <w:t>11. Warrant liability</w:t>
      </w:r>
    </w:p>
    <w:p>
      <w:pPr>
        <w:spacing w:after="0" w:line="200" w:lineRule="exact"/>
        <w:rPr>
          <w:sz w:val="20"/>
          <w:szCs w:val="20"/>
          <w:color w:val="auto"/>
        </w:rPr>
      </w:pPr>
    </w:p>
    <w:p>
      <w:pPr>
        <w:spacing w:after="0" w:line="28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0"/>
          <w:szCs w:val="20"/>
          <w:b w:val="1"/>
          <w:bCs w:val="1"/>
          <w:color w:val="auto"/>
        </w:rPr>
        <w:t>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-138430</wp:posOffset>
            </wp:positionV>
            <wp:extent cx="5486400" cy="471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0" cy="471170"/>
                    </a:xfrm>
                    <a:prstGeom prst="rect">
                      <a:avLst/>
                    </a:prstGeom>
                    <a:noFill/>
                  </pic:spPr>
                </pic:pic>
              </a:graphicData>
            </a:graphic>
          </wp:anchor>
        </w:drawing>
      </w:r>
    </w:p>
    <w:tbl>
      <w:tblPr>
        <w:tblLayout w:type="fixed"/>
        <w:tblInd w:w="1080" w:type="dxa"/>
        <w:tblCellMar>
          <w:top w:w="0" w:type="dxa"/>
          <w:left w:w="0" w:type="dxa"/>
          <w:bottom w:w="0" w:type="dxa"/>
          <w:right w:w="0" w:type="dxa"/>
        </w:tblCellMar>
      </w:tblPr>
      <w:tr>
        <w:trPr>
          <w:trHeight w:val="244"/>
        </w:trPr>
        <w:tc>
          <w:tcPr>
            <w:tcW w:w="5780" w:type="dxa"/>
            <w:vAlign w:val="bottom"/>
          </w:tcPr>
          <w:p>
            <w:pPr>
              <w:spacing w:after="0"/>
              <w:rPr>
                <w:sz w:val="21"/>
                <w:szCs w:val="21"/>
                <w:color w:val="auto"/>
              </w:rPr>
            </w:pPr>
          </w:p>
        </w:tc>
        <w:tc>
          <w:tcPr>
            <w:tcW w:w="100" w:type="dxa"/>
            <w:vAlign w:val="bottom"/>
            <w:tcBorders>
              <w:top w:val="single" w:sz="8" w:color="FEFEFE"/>
            </w:tcBorders>
            <w:shd w:val="clear" w:color="auto" w:fill="FEFEFE"/>
          </w:tcPr>
          <w:p>
            <w:pPr>
              <w:spacing w:after="0"/>
              <w:rPr>
                <w:sz w:val="21"/>
                <w:szCs w:val="21"/>
                <w:color w:val="auto"/>
              </w:rPr>
            </w:pPr>
          </w:p>
        </w:tc>
        <w:tc>
          <w:tcPr>
            <w:tcW w:w="92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420" w:type="dxa"/>
            <w:vAlign w:val="bottom"/>
            <w:tcBorders>
              <w:top w:val="single" w:sz="8" w:color="auto"/>
            </w:tcBorders>
            <w:shd w:val="clear" w:color="auto" w:fill="FEFEFE"/>
          </w:tcPr>
          <w:p>
            <w:pPr>
              <w:spacing w:after="0"/>
              <w:rPr>
                <w:sz w:val="21"/>
                <w:szCs w:val="21"/>
                <w:color w:val="auto"/>
              </w:rPr>
            </w:pPr>
          </w:p>
        </w:tc>
        <w:tc>
          <w:tcPr>
            <w:tcW w:w="1420" w:type="dxa"/>
            <w:vAlign w:val="bottom"/>
            <w:tcBorders>
              <w:top w:val="single" w:sz="8" w:color="auto"/>
            </w:tcBorders>
            <w:gridSpan w:val="2"/>
            <w:shd w:val="clear" w:color="auto" w:fill="FEFEFE"/>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4"/>
        </w:trPr>
        <w:tc>
          <w:tcPr>
            <w:tcW w:w="5780" w:type="dxa"/>
            <w:vAlign w:val="bottom"/>
          </w:tcPr>
          <w:p>
            <w:pPr>
              <w:spacing w:after="0"/>
              <w:rPr>
                <w:sz w:val="22"/>
                <w:szCs w:val="22"/>
                <w:color w:val="auto"/>
              </w:rPr>
            </w:pPr>
          </w:p>
        </w:tc>
        <w:tc>
          <w:tcPr>
            <w:tcW w:w="100" w:type="dxa"/>
            <w:vAlign w:val="bottom"/>
            <w:shd w:val="clear" w:color="auto" w:fill="FEFEFE"/>
          </w:tcPr>
          <w:p>
            <w:pPr>
              <w:spacing w:after="0"/>
              <w:rPr>
                <w:sz w:val="22"/>
                <w:szCs w:val="22"/>
                <w:color w:val="auto"/>
              </w:rPr>
            </w:pPr>
          </w:p>
        </w:tc>
        <w:tc>
          <w:tcPr>
            <w:tcW w:w="9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($'000)</w:t>
            </w:r>
          </w:p>
        </w:tc>
        <w:tc>
          <w:tcPr>
            <w:tcW w:w="420" w:type="dxa"/>
            <w:vAlign w:val="bottom"/>
            <w:shd w:val="clear" w:color="auto" w:fill="FEFEFE"/>
          </w:tcPr>
          <w:p>
            <w:pPr>
              <w:spacing w:after="0"/>
              <w:rPr>
                <w:sz w:val="22"/>
                <w:szCs w:val="22"/>
                <w:color w:val="auto"/>
              </w:rPr>
            </w:pPr>
          </w:p>
        </w:tc>
        <w:tc>
          <w:tcPr>
            <w:tcW w:w="1420" w:type="dxa"/>
            <w:vAlign w:val="bottom"/>
            <w:gridSpan w:val="2"/>
            <w:shd w:val="clear" w:color="auto" w:fill="FEFEFE"/>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($'000)</w:t>
            </w:r>
          </w:p>
        </w:tc>
      </w:tr>
      <w:tr>
        <w:trPr>
          <w:trHeight w:val="244"/>
        </w:trPr>
        <w:tc>
          <w:tcPr>
            <w:tcW w:w="57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At January 1</w:t>
            </w:r>
          </w:p>
        </w:tc>
        <w:tc>
          <w:tcPr>
            <w:tcW w:w="10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412</w:t>
            </w:r>
          </w:p>
        </w:tc>
        <w:tc>
          <w:tcPr>
            <w:tcW w:w="14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643</w:t>
            </w:r>
          </w:p>
        </w:tc>
      </w:tr>
      <w:tr>
        <w:trPr>
          <w:trHeight w:val="244"/>
        </w:trPr>
        <w:tc>
          <w:tcPr>
            <w:tcW w:w="680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20"/>
                <w:szCs w:val="20"/>
                <w:color w:val="auto"/>
              </w:rPr>
              <w:t>Changes in fair value during the year</w:t>
            </w:r>
          </w:p>
        </w:tc>
        <w:tc>
          <w:tcPr>
            <w:tcW w:w="4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99"/>
              </w:rPr>
              <w:t>419</w:t>
            </w:r>
          </w:p>
        </w:tc>
        <w:tc>
          <w:tcPr>
            <w:tcW w:w="14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(245)</w:t>
            </w:r>
          </w:p>
        </w:tc>
      </w:tr>
      <w:tr>
        <w:trPr>
          <w:trHeight w:val="244"/>
        </w:trPr>
        <w:tc>
          <w:tcPr>
            <w:tcW w:w="680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Foreign exchange</w:t>
            </w:r>
          </w:p>
        </w:tc>
        <w:tc>
          <w:tcPr>
            <w:tcW w:w="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4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4"/>
        </w:trPr>
        <w:tc>
          <w:tcPr>
            <w:tcW w:w="5880" w:type="dxa"/>
            <w:vAlign w:val="bottom"/>
            <w:tcBorders>
              <w:top w:val="single" w:sz="8" w:color="FEFEFE"/>
            </w:tcBorders>
            <w:gridSpan w:val="2"/>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At December 31</w:t>
            </w:r>
          </w:p>
        </w:tc>
        <w:tc>
          <w:tcPr>
            <w:tcW w:w="920" w:type="dxa"/>
            <w:vAlign w:val="bottom"/>
            <w:tcBorders>
              <w:top w:val="single" w:sz="8" w:color="auto"/>
              <w:bottom w:val="single" w:sz="8" w:color="auto"/>
            </w:tcBorders>
            <w:shd w:val="clear" w:color="auto" w:fill="FEFEFE"/>
          </w:tcPr>
          <w:p>
            <w:pPr>
              <w:spacing w:after="0"/>
              <w:rPr>
                <w:sz w:val="20"/>
                <w:szCs w:val="20"/>
                <w:color w:val="auto"/>
              </w:rPr>
            </w:pPr>
          </w:p>
        </w:tc>
        <w:tc>
          <w:tcPr>
            <w:tcW w:w="4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99"/>
              </w:rPr>
              <w:t>821</w:t>
            </w:r>
          </w:p>
        </w:tc>
        <w:tc>
          <w:tcPr>
            <w:tcW w:w="100" w:type="dxa"/>
            <w:vAlign w:val="bottom"/>
            <w:tcBorders>
              <w:top w:val="single" w:sz="8" w:color="FEFEFE"/>
            </w:tcBorders>
            <w:shd w:val="clear" w:color="auto" w:fill="FEFEFE"/>
          </w:tcPr>
          <w:p>
            <w:pPr>
              <w:spacing w:after="0"/>
              <w:rPr>
                <w:sz w:val="20"/>
                <w:szCs w:val="20"/>
                <w:color w:val="auto"/>
              </w:rPr>
            </w:pPr>
          </w:p>
        </w:tc>
        <w:tc>
          <w:tcPr>
            <w:tcW w:w="13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412</w:t>
            </w: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liability – private placement</w:t>
      </w:r>
    </w:p>
    <w:p>
      <w:pPr>
        <w:spacing w:after="0" w:line="238"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As a part of a private placement transaction on June 3, 2020, the participating investors received conditional warrants entitling them to subscribe for an aggregate of 161,048,366 ordinary shares in the Company at an exercise price of £0.348 per warrant and were exercisable until June 2023 when they expired. The warrants were classified as liabilities as the Company did not have an unconditional right to avoid redeeming the instruments for cash. The change in the fair value of $0.5 million for the year ended December 31, 2023 was recognized as a gain in the consolidated statements of operations and comprehensive loss. In the year ended December 31, 2023 no warrants were exercised.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liability – bank loan</w:t>
      </w:r>
    </w:p>
    <w:p>
      <w:pPr>
        <w:spacing w:after="0" w:line="238"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As of December 31, 2024, the former lenders of the Company have warrants outstanding to purchase a total of 1,243,908 ordinary shares at an exercise price of £2.95 per share, exercisable until August 2027 and a total of 1,243,908 ordinary shares at an exercise price of $0.4144 per share, exercisable until dates between August 2027 and October 2028. There were no warrants exercised during the years ended December 31, 2024 and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outstanding warrants</w:t>
      </w:r>
    </w:p>
    <w:p>
      <w:pPr>
        <w:spacing w:after="0" w:line="238"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As of December 31, 2024 and 2023, a total of 2,487,816 warrants are outstanding. The warrants outstanding are equivalent to 0.3% of the issued ordinary share capital of the Company (2023: 0.4%).</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lists the weighted average inputs to the models used for the fair value of warrants:</w:t>
      </w:r>
    </w:p>
    <w:p>
      <w:pPr>
        <w:spacing w:after="0" w:line="297" w:lineRule="exact"/>
        <w:rPr>
          <w:sz w:val="20"/>
          <w:szCs w:val="20"/>
          <w:color w:val="auto"/>
        </w:rPr>
      </w:pPr>
    </w:p>
    <w:tbl>
      <w:tblPr>
        <w:tblLayout w:type="fixed"/>
        <w:tblInd w:w="1020" w:type="dxa"/>
        <w:tblCellMar>
          <w:top w:w="0" w:type="dxa"/>
          <w:left w:w="0" w:type="dxa"/>
          <w:bottom w:w="0" w:type="dxa"/>
          <w:right w:w="0" w:type="dxa"/>
        </w:tblCellMar>
      </w:tblPr>
      <w:tr>
        <w:trPr>
          <w:trHeight w:val="258"/>
        </w:trPr>
        <w:tc>
          <w:tcPr>
            <w:tcW w:w="5400" w:type="dxa"/>
            <w:vAlign w:val="bottom"/>
            <w:tcBorders>
              <w:bottom w:val="single" w:sz="8" w:color="FEFEFE"/>
            </w:tcBorders>
            <w:shd w:val="clear" w:color="auto" w:fill="FEFEFE"/>
          </w:tcPr>
          <w:p>
            <w:pPr>
              <w:spacing w:after="0"/>
              <w:rPr>
                <w:sz w:val="22"/>
                <w:szCs w:val="22"/>
                <w:color w:val="auto"/>
              </w:rPr>
            </w:pPr>
          </w:p>
        </w:tc>
        <w:tc>
          <w:tcPr>
            <w:tcW w:w="100" w:type="dxa"/>
            <w:vAlign w:val="bottom"/>
            <w:tcBorders>
              <w:bottom w:val="single" w:sz="8" w:color="FEFEFE"/>
            </w:tcBorders>
            <w:shd w:val="clear" w:color="auto" w:fill="FEFEFE"/>
          </w:tcPr>
          <w:p>
            <w:pPr>
              <w:spacing w:after="0"/>
              <w:rPr>
                <w:sz w:val="22"/>
                <w:szCs w:val="22"/>
                <w:color w:val="auto"/>
              </w:rPr>
            </w:pPr>
          </w:p>
        </w:tc>
        <w:tc>
          <w:tcPr>
            <w:tcW w:w="1520" w:type="dxa"/>
            <w:vAlign w:val="bottom"/>
            <w:tcBorders>
              <w:bottom w:val="single" w:sz="8" w:color="auto"/>
            </w:tcBorders>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Borders>
              <w:bottom w:val="single" w:sz="8" w:color="FEFEFE"/>
            </w:tcBorders>
            <w:shd w:val="clear" w:color="auto" w:fill="FEFEFE"/>
          </w:tcPr>
          <w:p>
            <w:pPr>
              <w:spacing w:after="0"/>
              <w:rPr>
                <w:sz w:val="22"/>
                <w:szCs w:val="22"/>
                <w:color w:val="auto"/>
              </w:rPr>
            </w:pPr>
          </w:p>
        </w:tc>
        <w:tc>
          <w:tcPr>
            <w:tcW w:w="1640" w:type="dxa"/>
            <w:vAlign w:val="bottom"/>
            <w:tcBorders>
              <w:bottom w:val="single" w:sz="8" w:color="auto"/>
            </w:tcBorders>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48"/>
        </w:trPr>
        <w:tc>
          <w:tcPr>
            <w:tcW w:w="5400" w:type="dxa"/>
            <w:vAlign w:val="bottom"/>
            <w:tcBorders>
              <w:bottom w:val="single" w:sz="8" w:color="E6E6E6"/>
            </w:tcBorders>
            <w:shd w:val="clear" w:color="auto" w:fill="FEFEFE"/>
          </w:tcPr>
          <w:p>
            <w:pPr>
              <w:spacing w:after="0"/>
              <w:rPr>
                <w:sz w:val="21"/>
                <w:szCs w:val="21"/>
                <w:color w:val="auto"/>
              </w:rPr>
            </w:pPr>
          </w:p>
        </w:tc>
        <w:tc>
          <w:tcPr>
            <w:tcW w:w="100" w:type="dxa"/>
            <w:vAlign w:val="bottom"/>
            <w:tcBorders>
              <w:bottom w:val="single" w:sz="8" w:color="E6E6E6"/>
            </w:tcBorders>
            <w:shd w:val="clear" w:color="auto" w:fill="FEFEFE"/>
          </w:tcPr>
          <w:p>
            <w:pPr>
              <w:spacing w:after="0"/>
              <w:rPr>
                <w:sz w:val="21"/>
                <w:szCs w:val="21"/>
                <w:color w:val="auto"/>
              </w:rPr>
            </w:pPr>
          </w:p>
        </w:tc>
        <w:tc>
          <w:tcPr>
            <w:tcW w:w="280" w:type="dxa"/>
            <w:vAlign w:val="bottom"/>
            <w:tcBorders>
              <w:bottom w:val="single" w:sz="8" w:color="auto"/>
            </w:tcBorders>
            <w:shd w:val="clear" w:color="auto" w:fill="FEFEFE"/>
          </w:tcPr>
          <w:p>
            <w:pPr>
              <w:spacing w:after="0"/>
              <w:rPr>
                <w:sz w:val="21"/>
                <w:szCs w:val="21"/>
                <w:color w:val="auto"/>
              </w:rPr>
            </w:pPr>
          </w:p>
        </w:tc>
        <w:tc>
          <w:tcPr>
            <w:tcW w:w="1240" w:type="dxa"/>
            <w:vAlign w:val="bottom"/>
            <w:tcBorders>
              <w:bottom w:val="single" w:sz="8" w:color="auto"/>
            </w:tcBorders>
            <w:shd w:val="clear" w:color="auto" w:fill="FEFEFE"/>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Borders>
              <w:bottom w:val="single" w:sz="8" w:color="E6E6E6"/>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340" w:type="dxa"/>
            <w:vAlign w:val="bottom"/>
            <w:tcBorders>
              <w:bottom w:val="single" w:sz="8" w:color="auto"/>
            </w:tcBorders>
            <w:shd w:val="clear" w:color="auto" w:fill="FEFEFE"/>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4"/>
        </w:trPr>
        <w:tc>
          <w:tcPr>
            <w:tcW w:w="54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Market value of ADSs ($)</w:t>
            </w:r>
          </w:p>
        </w:tc>
        <w:tc>
          <w:tcPr>
            <w:tcW w:w="10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3.50</w:t>
            </w:r>
          </w:p>
        </w:tc>
        <w:tc>
          <w:tcPr>
            <w:tcW w:w="10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2.31</w:t>
            </w:r>
          </w:p>
        </w:tc>
      </w:tr>
      <w:tr>
        <w:trPr>
          <w:trHeight w:val="244"/>
        </w:trPr>
        <w:tc>
          <w:tcPr>
            <w:tcW w:w="54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Risk-free interest rate (%)</w:t>
            </w:r>
          </w:p>
        </w:tc>
        <w:tc>
          <w:tcPr>
            <w:tcW w:w="10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2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10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3.36%</w:t>
            </w:r>
          </w:p>
        </w:tc>
      </w:tr>
      <w:tr>
        <w:trPr>
          <w:trHeight w:val="244"/>
        </w:trPr>
        <w:tc>
          <w:tcPr>
            <w:tcW w:w="54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Expected life (years)</w:t>
            </w:r>
          </w:p>
        </w:tc>
        <w:tc>
          <w:tcPr>
            <w:tcW w:w="1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40" w:type="dxa"/>
            <w:vAlign w:val="bottom"/>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2.8</w:t>
            </w:r>
          </w:p>
        </w:tc>
        <w:tc>
          <w:tcPr>
            <w:tcW w:w="1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40" w:type="dxa"/>
            <w:vAlign w:val="bottom"/>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5.2</w:t>
            </w:r>
          </w:p>
        </w:tc>
      </w:tr>
      <w:tr>
        <w:trPr>
          <w:trHeight w:val="244"/>
        </w:trPr>
        <w:tc>
          <w:tcPr>
            <w:tcW w:w="54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Expected volatility (%)</w:t>
            </w:r>
          </w:p>
        </w:tc>
        <w:tc>
          <w:tcPr>
            <w:tcW w:w="10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2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10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44"/>
        </w:trPr>
        <w:tc>
          <w:tcPr>
            <w:tcW w:w="54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Expected dividends (%)</w:t>
            </w:r>
          </w:p>
        </w:tc>
        <w:tc>
          <w:tcPr>
            <w:tcW w:w="1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1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0.00%</w:t>
            </w:r>
          </w:p>
        </w:tc>
      </w:tr>
    </w:tbl>
    <w:p>
      <w:pPr>
        <w:spacing w:after="0" w:line="200" w:lineRule="exact"/>
        <w:rPr>
          <w:sz w:val="20"/>
          <w:szCs w:val="20"/>
          <w:color w:val="auto"/>
        </w:rPr>
      </w:pPr>
    </w:p>
    <w:p>
      <w:pPr>
        <w:sectPr>
          <w:pgSz w:w="11880" w:h="15480" w:orient="portrait"/>
          <w:cols w:equalWidth="0" w:num="1">
            <w:col w:w="10760"/>
          </w:cols>
          <w:pgMar w:left="540" w:top="745" w:right="5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F-23</w:t>
      </w:r>
    </w:p>
    <w:p>
      <w:pPr>
        <w:sectPr>
          <w:pgSz w:w="11880" w:h="15480" w:orient="portrait"/>
          <w:cols w:equalWidth="0" w:num="1">
            <w:col w:w="10760"/>
          </w:cols>
          <w:pgMar w:left="540" w:top="745" w:right="580" w:bottom="8"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75"/>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12. Shareholders’ Equity</w:t>
            </w:r>
          </w:p>
        </w:tc>
        <w:tc>
          <w:tcPr>
            <w:tcW w:w="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Ordinary Shares</w:t>
            </w: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0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544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780" w:type="dxa"/>
            <w:vAlign w:val="bottom"/>
            <w:shd w:val="clear" w:color="auto" w:fill="FEFEFE"/>
          </w:tcPr>
          <w:p>
            <w:pPr>
              <w:jc w:val="right"/>
              <w:ind w:right="380"/>
              <w:spacing w:after="0" w:line="220" w:lineRule="exact"/>
              <w:rPr>
                <w:sz w:val="20"/>
                <w:szCs w:val="20"/>
                <w:color w:val="auto"/>
              </w:rPr>
            </w:pPr>
            <w:r>
              <w:rPr>
                <w:rFonts w:ascii="Times New Roman" w:cs="Times New Roman" w:eastAsia="Times New Roman" w:hAnsi="Times New Roman"/>
                <w:sz w:val="20"/>
                <w:szCs w:val="20"/>
                <w:b w:val="1"/>
                <w:bCs w:val="1"/>
                <w:color w:val="auto"/>
              </w:rPr>
              <w:t>Number of</w:t>
            </w:r>
          </w:p>
        </w:tc>
        <w:tc>
          <w:tcPr>
            <w:tcW w:w="100" w:type="dxa"/>
            <w:vAlign w:val="bottom"/>
            <w:shd w:val="clear" w:color="auto" w:fill="FEFEFE"/>
          </w:tcPr>
          <w:p>
            <w:pPr>
              <w:spacing w:after="0"/>
              <w:rPr>
                <w:sz w:val="19"/>
                <w:szCs w:val="19"/>
                <w:color w:val="auto"/>
              </w:rPr>
            </w:pPr>
          </w:p>
        </w:tc>
        <w:tc>
          <w:tcPr>
            <w:tcW w:w="1240" w:type="dxa"/>
            <w:vAlign w:val="bottom"/>
            <w:shd w:val="clear" w:color="auto" w:fill="FEFEFE"/>
          </w:tcPr>
          <w:p>
            <w:pPr>
              <w:jc w:val="right"/>
              <w:ind w:right="380"/>
              <w:spacing w:after="0" w:line="220" w:lineRule="exact"/>
              <w:rPr>
                <w:sz w:val="20"/>
                <w:szCs w:val="20"/>
                <w:color w:val="auto"/>
              </w:rPr>
            </w:pPr>
            <w:r>
              <w:rPr>
                <w:rFonts w:ascii="Times New Roman" w:cs="Times New Roman" w:eastAsia="Times New Roman" w:hAnsi="Times New Roman"/>
                <w:sz w:val="20"/>
                <w:szCs w:val="20"/>
                <w:b w:val="1"/>
                <w:bCs w:val="1"/>
                <w:color w:val="auto"/>
              </w:rPr>
              <w:t>Cost</w:t>
            </w:r>
          </w:p>
        </w:tc>
        <w:tc>
          <w:tcPr>
            <w:tcW w:w="0" w:type="dxa"/>
            <w:vAlign w:val="bottom"/>
          </w:tcPr>
          <w:p>
            <w:pPr>
              <w:spacing w:after="0"/>
              <w:rPr>
                <w:sz w:val="1"/>
                <w:szCs w:val="1"/>
                <w:color w:val="auto"/>
              </w:rPr>
            </w:pPr>
          </w:p>
        </w:tc>
      </w:tr>
      <w:tr>
        <w:trPr>
          <w:trHeight w:val="254"/>
        </w:trPr>
        <w:tc>
          <w:tcPr>
            <w:tcW w:w="1080" w:type="dxa"/>
            <w:vAlign w:val="bottom"/>
          </w:tcPr>
          <w:p>
            <w:pPr>
              <w:spacing w:after="0"/>
              <w:rPr>
                <w:sz w:val="22"/>
                <w:szCs w:val="22"/>
                <w:color w:val="auto"/>
              </w:rPr>
            </w:pPr>
          </w:p>
        </w:tc>
        <w:tc>
          <w:tcPr>
            <w:tcW w:w="5440" w:type="dxa"/>
            <w:vAlign w:val="bottom"/>
            <w:vMerge w:val="restart"/>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At December 31, 2022</w:t>
            </w:r>
          </w:p>
        </w:tc>
        <w:tc>
          <w:tcPr>
            <w:tcW w:w="80" w:type="dxa"/>
            <w:vAlign w:val="bottom"/>
            <w:shd w:val="clear" w:color="auto" w:fill="FEFEFE"/>
          </w:tcPr>
          <w:p>
            <w:pPr>
              <w:spacing w:after="0"/>
              <w:rPr>
                <w:sz w:val="22"/>
                <w:szCs w:val="22"/>
                <w:color w:val="auto"/>
              </w:rPr>
            </w:pPr>
          </w:p>
        </w:tc>
        <w:tc>
          <w:tcPr>
            <w:tcW w:w="1780" w:type="dxa"/>
            <w:vAlign w:val="bottom"/>
            <w:shd w:val="clear" w:color="auto" w:fill="FEFEFE"/>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ordinary shares</w:t>
            </w:r>
          </w:p>
        </w:tc>
        <w:tc>
          <w:tcPr>
            <w:tcW w:w="134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($'000)</w:t>
            </w: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3"/>
                <w:szCs w:val="23"/>
                <w:color w:val="auto"/>
              </w:rPr>
            </w:pPr>
          </w:p>
        </w:tc>
        <w:tc>
          <w:tcPr>
            <w:tcW w:w="5440" w:type="dxa"/>
            <w:vAlign w:val="bottom"/>
            <w:tcBorders>
              <w:top w:val="single" w:sz="8" w:color="FEFEFE"/>
              <w:bottom w:val="single" w:sz="8" w:color="E6E6E6"/>
            </w:tcBorders>
            <w:vMerge w:val="continue"/>
            <w:shd w:val="clear" w:color="auto" w:fill="FEFEFE"/>
          </w:tcPr>
          <w:p>
            <w:pPr>
              <w:spacing w:after="0"/>
              <w:rPr>
                <w:sz w:val="23"/>
                <w:szCs w:val="23"/>
                <w:color w:val="auto"/>
              </w:rPr>
            </w:pPr>
          </w:p>
        </w:tc>
        <w:tc>
          <w:tcPr>
            <w:tcW w:w="80" w:type="dxa"/>
            <w:vAlign w:val="bottom"/>
            <w:tcBorders>
              <w:top w:val="single" w:sz="8" w:color="FEFEFE"/>
              <w:bottom w:val="single" w:sz="8" w:color="E6E6E6"/>
            </w:tcBorders>
            <w:shd w:val="clear" w:color="auto" w:fill="FEFEFE"/>
          </w:tcPr>
          <w:p>
            <w:pPr>
              <w:spacing w:after="0"/>
              <w:rPr>
                <w:sz w:val="23"/>
                <w:szCs w:val="23"/>
                <w:color w:val="auto"/>
              </w:rPr>
            </w:pPr>
          </w:p>
        </w:tc>
        <w:tc>
          <w:tcPr>
            <w:tcW w:w="178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624,928,519</w:t>
            </w:r>
          </w:p>
        </w:tc>
        <w:tc>
          <w:tcPr>
            <w:tcW w:w="100" w:type="dxa"/>
            <w:vAlign w:val="bottom"/>
            <w:tcBorders>
              <w:top w:val="single" w:sz="8" w:color="FEFEFE"/>
              <w:bottom w:val="single" w:sz="8" w:color="E6E6E6"/>
            </w:tcBorders>
            <w:shd w:val="clear" w:color="auto" w:fill="FEFEFE"/>
          </w:tcPr>
          <w:p>
            <w:pPr>
              <w:spacing w:after="0"/>
              <w:rPr>
                <w:sz w:val="23"/>
                <w:szCs w:val="23"/>
                <w:color w:val="auto"/>
              </w:rPr>
            </w:pPr>
          </w:p>
        </w:tc>
        <w:tc>
          <w:tcPr>
            <w:tcW w:w="12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2,478</w:t>
            </w: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5440" w:type="dxa"/>
            <w:vAlign w:val="bottom"/>
            <w:shd w:val="clear" w:color="auto" w:fill="E6E6E6"/>
          </w:tcPr>
          <w:p>
            <w:pPr>
              <w:ind w:left="200"/>
              <w:spacing w:after="0" w:line="215" w:lineRule="exact"/>
              <w:rPr>
                <w:sz w:val="20"/>
                <w:szCs w:val="20"/>
                <w:color w:val="auto"/>
              </w:rPr>
            </w:pPr>
            <w:r>
              <w:rPr>
                <w:rFonts w:ascii="Times New Roman" w:cs="Times New Roman" w:eastAsia="Times New Roman" w:hAnsi="Times New Roman"/>
                <w:sz w:val="20"/>
                <w:szCs w:val="20"/>
                <w:color w:val="auto"/>
              </w:rPr>
              <w:t>Vesting of deferred RSUs</w:t>
            </w:r>
          </w:p>
        </w:tc>
        <w:tc>
          <w:tcPr>
            <w:tcW w:w="80" w:type="dxa"/>
            <w:vAlign w:val="bottom"/>
            <w:shd w:val="clear" w:color="auto" w:fill="E6E6E6"/>
          </w:tcPr>
          <w:p>
            <w:pPr>
              <w:spacing w:after="0"/>
              <w:rPr>
                <w:sz w:val="18"/>
                <w:szCs w:val="18"/>
                <w:color w:val="auto"/>
              </w:rPr>
            </w:pPr>
          </w:p>
        </w:tc>
        <w:tc>
          <w:tcPr>
            <w:tcW w:w="178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501,380</w:t>
            </w:r>
          </w:p>
        </w:tc>
        <w:tc>
          <w:tcPr>
            <w:tcW w:w="100" w:type="dxa"/>
            <w:vAlign w:val="bottom"/>
            <w:shd w:val="clear" w:color="auto" w:fill="E6E6E6"/>
          </w:tcPr>
          <w:p>
            <w:pPr>
              <w:spacing w:after="0"/>
              <w:rPr>
                <w:sz w:val="18"/>
                <w:szCs w:val="18"/>
                <w:color w:val="auto"/>
              </w:rPr>
            </w:pPr>
          </w:p>
        </w:tc>
        <w:tc>
          <w:tcPr>
            <w:tcW w:w="124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Issuance of shares</w:t>
            </w:r>
          </w:p>
        </w:tc>
        <w:tc>
          <w:tcPr>
            <w:tcW w:w="186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48,367,095</w:t>
            </w:r>
          </w:p>
        </w:tc>
        <w:tc>
          <w:tcPr>
            <w:tcW w:w="13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54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Conversion of convertible loan notes</w:t>
            </w:r>
          </w:p>
        </w:tc>
        <w:tc>
          <w:tcPr>
            <w:tcW w:w="1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27,420,095</w:t>
            </w:r>
          </w:p>
        </w:tc>
        <w:tc>
          <w:tcPr>
            <w:tcW w:w="13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54"/>
        </w:trPr>
        <w:tc>
          <w:tcPr>
            <w:tcW w:w="1080" w:type="dxa"/>
            <w:vAlign w:val="bottom"/>
          </w:tcPr>
          <w:p>
            <w:pPr>
              <w:spacing w:after="0"/>
              <w:rPr>
                <w:sz w:val="22"/>
                <w:szCs w:val="22"/>
                <w:color w:val="auto"/>
              </w:rPr>
            </w:pPr>
          </w:p>
        </w:tc>
        <w:tc>
          <w:tcPr>
            <w:tcW w:w="5440" w:type="dxa"/>
            <w:vAlign w:val="bottom"/>
            <w:tcBorders>
              <w:top w:val="single" w:sz="8" w:color="E6E6E6"/>
              <w:bottom w:val="single" w:sz="8" w:color="E6E6E6"/>
            </w:tcBorders>
            <w:shd w:val="clear" w:color="auto" w:fill="FEFEFE"/>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At December 31, 2023</w:t>
            </w:r>
          </w:p>
        </w:tc>
        <w:tc>
          <w:tcPr>
            <w:tcW w:w="80" w:type="dxa"/>
            <w:vAlign w:val="bottom"/>
            <w:tcBorders>
              <w:top w:val="single" w:sz="8" w:color="E6E6E6"/>
              <w:bottom w:val="single" w:sz="8" w:color="E6E6E6"/>
            </w:tcBorders>
            <w:shd w:val="clear" w:color="auto" w:fill="FEFEFE"/>
          </w:tcPr>
          <w:p>
            <w:pPr>
              <w:spacing w:after="0"/>
              <w:rPr>
                <w:sz w:val="22"/>
                <w:szCs w:val="22"/>
                <w:color w:val="auto"/>
              </w:rPr>
            </w:pPr>
          </w:p>
        </w:tc>
        <w:tc>
          <w:tcPr>
            <w:tcW w:w="1780" w:type="dxa"/>
            <w:vAlign w:val="bottom"/>
            <w:tcBorders>
              <w:top w:val="single" w:sz="8" w:color="auto"/>
              <w:bottom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color w:val="auto"/>
              </w:rPr>
              <w:t>701,217,089</w:t>
            </w:r>
          </w:p>
        </w:tc>
        <w:tc>
          <w:tcPr>
            <w:tcW w:w="100" w:type="dxa"/>
            <w:vAlign w:val="bottom"/>
            <w:tcBorders>
              <w:top w:val="single" w:sz="8" w:color="E6E6E6"/>
              <w:bottom w:val="single" w:sz="8" w:color="E6E6E6"/>
            </w:tcBorders>
            <w:shd w:val="clear" w:color="auto" w:fill="FEFEFE"/>
          </w:tcPr>
          <w:p>
            <w:pPr>
              <w:spacing w:after="0"/>
              <w:rPr>
                <w:sz w:val="22"/>
                <w:szCs w:val="22"/>
                <w:color w:val="auto"/>
              </w:rPr>
            </w:pPr>
          </w:p>
        </w:tc>
        <w:tc>
          <w:tcPr>
            <w:tcW w:w="1240" w:type="dxa"/>
            <w:vAlign w:val="bottom"/>
            <w:tcBorders>
              <w:top w:val="single" w:sz="8" w:color="auto"/>
              <w:bottom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color w:val="auto"/>
              </w:rPr>
              <w:t>2,775</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54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Exercise of share options</w:t>
            </w:r>
          </w:p>
        </w:tc>
        <w:tc>
          <w:tcPr>
            <w:tcW w:w="80" w:type="dxa"/>
            <w:vAlign w:val="bottom"/>
            <w:shd w:val="clear" w:color="auto" w:fill="E6E6E6"/>
          </w:tcPr>
          <w:p>
            <w:pPr>
              <w:spacing w:after="0"/>
              <w:rPr>
                <w:sz w:val="19"/>
                <w:szCs w:val="19"/>
                <w:color w:val="auto"/>
              </w:rPr>
            </w:pPr>
          </w:p>
        </w:tc>
        <w:tc>
          <w:tcPr>
            <w:tcW w:w="1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2,685,420</w:t>
            </w:r>
          </w:p>
        </w:tc>
        <w:tc>
          <w:tcPr>
            <w:tcW w:w="100" w:type="dxa"/>
            <w:vAlign w:val="bottom"/>
            <w:shd w:val="clear" w:color="auto" w:fill="E6E6E6"/>
          </w:tcPr>
          <w:p>
            <w:pPr>
              <w:spacing w:after="0"/>
              <w:rPr>
                <w:sz w:val="19"/>
                <w:szCs w:val="19"/>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Vesting of RSUs</w:t>
            </w:r>
          </w:p>
        </w:tc>
        <w:tc>
          <w:tcPr>
            <w:tcW w:w="80" w:type="dxa"/>
            <w:vAlign w:val="bottom"/>
            <w:shd w:val="clear" w:color="auto" w:fill="FEFEFE"/>
          </w:tcPr>
          <w:p>
            <w:pPr>
              <w:spacing w:after="0"/>
              <w:rPr>
                <w:sz w:val="21"/>
                <w:szCs w:val="21"/>
                <w:color w:val="auto"/>
              </w:rPr>
            </w:pPr>
          </w:p>
        </w:tc>
        <w:tc>
          <w:tcPr>
            <w:tcW w:w="17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433,880</w:t>
            </w:r>
          </w:p>
        </w:tc>
        <w:tc>
          <w:tcPr>
            <w:tcW w:w="100" w:type="dxa"/>
            <w:vAlign w:val="bottom"/>
            <w:shd w:val="clear" w:color="auto" w:fill="FEFEFE"/>
          </w:tcPr>
          <w:p>
            <w:pPr>
              <w:spacing w:after="0"/>
              <w:rPr>
                <w:sz w:val="21"/>
                <w:szCs w:val="21"/>
                <w:color w:val="auto"/>
              </w:rPr>
            </w:pPr>
          </w:p>
        </w:tc>
        <w:tc>
          <w:tcPr>
            <w:tcW w:w="12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Vesting of PSUs</w:t>
            </w:r>
          </w:p>
        </w:tc>
        <w:tc>
          <w:tcPr>
            <w:tcW w:w="18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6,690,755</w:t>
            </w:r>
          </w:p>
        </w:tc>
        <w:tc>
          <w:tcPr>
            <w:tcW w:w="13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54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Issuance of shares</w:t>
            </w:r>
          </w:p>
        </w:tc>
        <w:tc>
          <w:tcPr>
            <w:tcW w:w="186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64,700,890</w:t>
            </w:r>
          </w:p>
        </w:tc>
        <w:tc>
          <w:tcPr>
            <w:tcW w:w="13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44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At December 31, 2024</w:t>
            </w:r>
          </w:p>
        </w:tc>
        <w:tc>
          <w:tcPr>
            <w:tcW w:w="80" w:type="dxa"/>
            <w:vAlign w:val="bottom"/>
            <w:tcBorders>
              <w:top w:val="single" w:sz="8" w:color="E6E6E6"/>
            </w:tcBorders>
            <w:shd w:val="clear" w:color="auto" w:fill="E6E6E6"/>
          </w:tcPr>
          <w:p>
            <w:pPr>
              <w:spacing w:after="0"/>
              <w:rPr>
                <w:sz w:val="20"/>
                <w:szCs w:val="20"/>
                <w:color w:val="auto"/>
              </w:rPr>
            </w:pPr>
          </w:p>
        </w:tc>
        <w:tc>
          <w:tcPr>
            <w:tcW w:w="17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775,728,034</w:t>
            </w:r>
          </w:p>
        </w:tc>
        <w:tc>
          <w:tcPr>
            <w:tcW w:w="100" w:type="dxa"/>
            <w:vAlign w:val="bottom"/>
            <w:tcBorders>
              <w:top w:val="single" w:sz="8" w:color="E6E6E6"/>
            </w:tcBorders>
            <w:shd w:val="clear" w:color="auto" w:fill="E6E6E6"/>
          </w:tcPr>
          <w:p>
            <w:pPr>
              <w:spacing w:after="0"/>
              <w:rPr>
                <w:sz w:val="20"/>
                <w:szCs w:val="20"/>
                <w:color w:val="auto"/>
              </w:rPr>
            </w:pPr>
          </w:p>
        </w:tc>
        <w:tc>
          <w:tcPr>
            <w:tcW w:w="12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3,059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720" w:firstLine="720"/>
        <w:spacing w:after="0" w:line="279" w:lineRule="auto"/>
        <w:rPr>
          <w:sz w:val="20"/>
          <w:szCs w:val="20"/>
          <w:color w:val="auto"/>
        </w:rPr>
      </w:pPr>
      <w:r>
        <w:rPr>
          <w:rFonts w:ascii="Times New Roman" w:cs="Times New Roman" w:eastAsia="Times New Roman" w:hAnsi="Times New Roman"/>
          <w:sz w:val="20"/>
          <w:szCs w:val="20"/>
          <w:color w:val="auto"/>
        </w:rPr>
        <w:t>During the year ended December 31, 2023, Private Placement Loan Notes with a carrying value of $7.5 million were converted into 27,420,095 ordinary shares at a conversion price of £0.174 per ordinary share.</w:t>
      </w:r>
    </w:p>
    <w:p>
      <w:pPr>
        <w:spacing w:after="0" w:line="165" w:lineRule="exact"/>
        <w:rPr>
          <w:sz w:val="20"/>
          <w:szCs w:val="20"/>
          <w:color w:val="auto"/>
        </w:rPr>
      </w:pPr>
    </w:p>
    <w:p>
      <w:pPr>
        <w:ind w:right="340" w:firstLine="720"/>
        <w:spacing w:after="0" w:line="279" w:lineRule="auto"/>
        <w:rPr>
          <w:sz w:val="20"/>
          <w:szCs w:val="20"/>
          <w:color w:val="auto"/>
        </w:rPr>
      </w:pPr>
      <w:r>
        <w:rPr>
          <w:rFonts w:ascii="Times New Roman" w:cs="Times New Roman" w:eastAsia="Times New Roman" w:hAnsi="Times New Roman"/>
          <w:sz w:val="20"/>
          <w:szCs w:val="20"/>
          <w:color w:val="auto"/>
        </w:rPr>
        <w:t>In July 2023, 9,673,419 ADSs representing 48,367,095 ordinary shares were issued for aggregate gross proceeds of $12.0 million through an “at-the-market” offering pursuant to an Open Market Sale Agreement with Jefferies LLC.</w:t>
      </w:r>
    </w:p>
    <w:p>
      <w:pPr>
        <w:spacing w:after="0" w:line="1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During the year ended December 31, 2023, 501,380 ordinary shares were issued upon satisfaction of deferred restricted stock</w:t>
      </w:r>
    </w:p>
    <w:p>
      <w:pPr>
        <w:spacing w:after="0"/>
        <w:rPr>
          <w:sz w:val="20"/>
          <w:szCs w:val="20"/>
          <w:color w:val="auto"/>
        </w:rPr>
      </w:pPr>
      <w:r>
        <w:rPr>
          <w:rFonts w:ascii="Times New Roman" w:cs="Times New Roman" w:eastAsia="Times New Roman" w:hAnsi="Times New Roman"/>
          <w:sz w:val="20"/>
          <w:szCs w:val="20"/>
          <w:color w:val="auto"/>
        </w:rPr>
        <w:t>units.</w:t>
      </w:r>
    </w:p>
    <w:p>
      <w:pPr>
        <w:spacing w:after="0" w:line="240" w:lineRule="exact"/>
        <w:rPr>
          <w:sz w:val="20"/>
          <w:szCs w:val="20"/>
          <w:color w:val="auto"/>
        </w:rPr>
      </w:pPr>
    </w:p>
    <w:p>
      <w:pPr>
        <w:ind w:right="240" w:firstLine="720"/>
        <w:spacing w:after="0" w:line="259" w:lineRule="auto"/>
        <w:rPr>
          <w:sz w:val="20"/>
          <w:szCs w:val="20"/>
          <w:color w:val="auto"/>
        </w:rPr>
      </w:pPr>
      <w:r>
        <w:rPr>
          <w:rFonts w:ascii="Times New Roman" w:cs="Times New Roman" w:eastAsia="Times New Roman" w:hAnsi="Times New Roman"/>
          <w:sz w:val="20"/>
          <w:szCs w:val="20"/>
          <w:color w:val="auto"/>
        </w:rPr>
        <w:t>In June 2024, the Company issued 12,531,300 ADSs representing 62,656,500 ordinary shares through an underwritten registered direct offering priced at $3.99 per ADS. The Company raised aggregate gross proceeds of $50.0 million, or $47.0 million after underwriting discounts of $3.0 million. The Company also incurred other issuance costs of $1.0 million related to the offering.</w:t>
      </w:r>
    </w:p>
    <w:p>
      <w:pPr>
        <w:spacing w:after="0" w:line="185" w:lineRule="exact"/>
        <w:rPr>
          <w:sz w:val="20"/>
          <w:szCs w:val="20"/>
          <w:color w:val="auto"/>
        </w:rPr>
      </w:pPr>
    </w:p>
    <w:p>
      <w:pPr>
        <w:ind w:right="40" w:firstLine="720"/>
        <w:spacing w:after="0" w:line="279" w:lineRule="auto"/>
        <w:rPr>
          <w:sz w:val="20"/>
          <w:szCs w:val="20"/>
          <w:color w:val="auto"/>
        </w:rPr>
      </w:pPr>
      <w:r>
        <w:rPr>
          <w:rFonts w:ascii="Times New Roman" w:cs="Times New Roman" w:eastAsia="Times New Roman" w:hAnsi="Times New Roman"/>
          <w:sz w:val="20"/>
          <w:szCs w:val="20"/>
          <w:color w:val="auto"/>
        </w:rPr>
        <w:t>In November 2024, 408,878 ADSs representing 2,044,390 ordinary shares with a value of $1.8 million were issued in respect of an agreed milestone pursuant to the Amended AstraZeneca Agreements.</w:t>
      </w:r>
    </w:p>
    <w:p>
      <w:pPr>
        <w:spacing w:after="0" w:line="165" w:lineRule="exact"/>
        <w:rPr>
          <w:sz w:val="20"/>
          <w:szCs w:val="20"/>
          <w:color w:val="auto"/>
        </w:rPr>
      </w:pPr>
    </w:p>
    <w:p>
      <w:pPr>
        <w:ind w:right="220" w:firstLine="720"/>
        <w:spacing w:after="0" w:line="279" w:lineRule="auto"/>
        <w:rPr>
          <w:sz w:val="20"/>
          <w:szCs w:val="20"/>
          <w:color w:val="auto"/>
        </w:rPr>
      </w:pPr>
      <w:r>
        <w:rPr>
          <w:rFonts w:ascii="Times New Roman" w:cs="Times New Roman" w:eastAsia="Times New Roman" w:hAnsi="Times New Roman"/>
          <w:sz w:val="20"/>
          <w:szCs w:val="20"/>
          <w:color w:val="auto"/>
        </w:rPr>
        <w:t>During the year ended December 31, 2024, 9,810,055 ordinary shares were issued to satisfy the exercise of employee share options and the vesting of RSUs and PSUs.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Revenue and Cost of revenue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Ultragenyx Partnership</w:t>
      </w:r>
    </w:p>
    <w:p>
      <w:pPr>
        <w:spacing w:after="0" w:line="238"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On January 25, 2021, the Company’s license and collaboration agreement with Ultragenyx for the development and commercialization of setrusumab for OI became effective. Under the terms of the agreement, the Company received an upfront payment of $50 million and was eligible to receive up to $254 million in development, regulatory and commercial milestones and tiered double digit percentage royalties on net sales outside of Europe and pay a fixed double digit percentage royalty to Ultragenyx on net sales in Europe. The license and collaboration agreement grants Ultragenyx an exclusive license to develop and commercialize setrusumab in the US and rest of the world, excluding Europe where the Company retains commercial rights.</w:t>
      </w:r>
    </w:p>
    <w:p>
      <w:pPr>
        <w:spacing w:after="0" w:line="200"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Two distinct performance obligations were identified as part of the license and collaboration agreement: (i) a promise to grant the license to develop and commercialize setrusumab, and (ii) provision of subsequent clinical supply of setrusumab.</w:t>
      </w:r>
    </w:p>
    <w:p>
      <w:pPr>
        <w:spacing w:after="0" w:line="165" w:lineRule="exact"/>
        <w:rPr>
          <w:sz w:val="20"/>
          <w:szCs w:val="20"/>
          <w:color w:val="auto"/>
        </w:rPr>
      </w:pPr>
    </w:p>
    <w:p>
      <w:pPr>
        <w:ind w:right="20" w:firstLine="720"/>
        <w:spacing w:after="0" w:line="263" w:lineRule="auto"/>
        <w:rPr>
          <w:sz w:val="20"/>
          <w:szCs w:val="20"/>
          <w:color w:val="auto"/>
        </w:rPr>
      </w:pPr>
      <w:r>
        <w:rPr>
          <w:rFonts w:ascii="Times New Roman" w:cs="Times New Roman" w:eastAsia="Times New Roman" w:hAnsi="Times New Roman"/>
          <w:sz w:val="19"/>
          <w:szCs w:val="19"/>
          <w:color w:val="auto"/>
        </w:rPr>
        <w:t>No revenues were recognized in respect of this agreement in the year ended December 31, 2024, however in the year ended December 31, 2023, the Company recognized milestone proceeds of $9 million as revenue under the license and collaboration agreement with Ultragenyx for setrusumab following achievement of a development milestone. The milestone payments constituted a change in transaction price for the Ultragenyx agreement, to which revenue was first recorded in the year ended December 31, 2021. Pursuant to the terms of the agreement, the Company is entitled to receive milestone payments from Ultragenyx upon achievement of certain development, regulatory and sales based milestones. The variable consideration relating to future milestones and sales royalties</w:t>
      </w:r>
    </w:p>
    <w:p>
      <w:pPr>
        <w:sectPr>
          <w:pgSz w:w="11880" w:h="15480" w:orient="portrait"/>
          <w:cols w:equalWidth="0" w:num="1">
            <w:col w:w="10800"/>
          </w:cols>
          <w:pgMar w:left="540" w:top="745" w:right="540" w:bottom="8"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1880" w:h="15480" w:orient="portrait"/>
          <w:cols w:equalWidth="0" w:num="1">
            <w:col w:w="10800"/>
          </w:cols>
          <w:pgMar w:left="540" w:top="745" w:right="540" w:bottom="8" w:gutter="0" w:footer="0" w:header="0"/>
          <w:type w:val="continuous"/>
        </w:sectPr>
      </w:pPr>
    </w:p>
    <w:bookmarkStart w:id="132" w:name="page133"/>
    <w:bookmarkEnd w:id="132"/>
    <w:p>
      <w:pPr>
        <w:ind w:right="40"/>
        <w:spacing w:after="0" w:line="279" w:lineRule="auto"/>
        <w:rPr>
          <w:sz w:val="20"/>
          <w:szCs w:val="20"/>
          <w:color w:val="auto"/>
        </w:rPr>
      </w:pPr>
      <w:r>
        <w:rPr>
          <w:rFonts w:ascii="Times New Roman" w:cs="Times New Roman" w:eastAsia="Times New Roman" w:hAnsi="Times New Roman"/>
          <w:sz w:val="20"/>
          <w:szCs w:val="20"/>
          <w:color w:val="auto"/>
        </w:rPr>
        <w:t>are recognized in the consolidated statements of operations and comprehensive loss when achievement of the milestones are probable or the underlying commercial sales are made, in the event regulatory approval is achieved.</w:t>
      </w:r>
    </w:p>
    <w:p>
      <w:pPr>
        <w:spacing w:after="0" w:line="165"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As a consequence of the milestone received by the Company under the license and collaboration agreement with Ultragenyx, and in accordance with the terms of the 2015 asset purchase agreement with Novartis which requires payment of a percentage of the proceeds received, subject to certain deductions, the Company also recognized cost of revenue of $2.4 million in the year ended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ReproNovo Partnership</w:t>
      </w:r>
    </w:p>
    <w:p>
      <w:pPr>
        <w:spacing w:after="0" w:line="238"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auto"/>
        </w:rPr>
        <w:t>On December 13, 2023, the Company and ReproNovo SA. (“ReproNovo”) announced a global licensing agreement for the development and commercialization of leflutrozole. Under the terms of the global licensing agreement, ReproNovo received an exclusive worldwide license to develop and commercialize leflutrozole.</w:t>
      </w:r>
    </w:p>
    <w:p>
      <w:pPr>
        <w:spacing w:after="0" w:line="185"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No revenues were recognized in respect of this agreement in the year ended December 31, 2024, however, the Company received an upfront payment of $1.0 million in December 2023. ReproNovo will be responsible for all future research, development and commercialization of leflutrozole. Additionally, the Company will be eligible to receive up to $64.3 million in future clinical, regulatory and commercial milestones, tiered royalties ranging from the low-to-mid-single digits on global annual net sales of leflutrozole, as well as a negotiated percentage of sublicensing revenues from certain sublicenses. A single performance obligation was identified in this agreement which is the promise to grant the license to develop and commercialize leflutrozole. As the upfront payment is fixed and non-refundable, and therefore does not represent variable consideration, the performance obligation is satisfied and revenue of $1.0 million was recognized at the point in time that ReproNovo gained the right to access the license. The additional potential future milestone and royalty payments represent variable consideration that will be recognized when the corresponding variable consideration is no longer constrained.</w:t>
      </w:r>
    </w:p>
    <w:p>
      <w:pPr>
        <w:spacing w:after="0" w:line="202"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As a consequence of the milestone proceeds paid to the Company under the license and collaboration agreement with ReproNovo, and in accordance with the terms of the 2015 asset purchase agreement with Novartis, the Company is also obligated to pay a proportion of cash milestone payments received after deduction of costs, charges and expenditures. The Company therefore accrued for a payment to Novartis of $0.1 million as of December 31, 2023, which was subsequently paid. No revenues were recognized in respect of this agreement in the year ended December 31, 2024.</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revenue recognized by the Company in the year ended December 31, 2023 was attributable to its operations in the U.K.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Income taxes</w:t>
      </w:r>
    </w:p>
    <w:p>
      <w:pPr>
        <w:spacing w:after="0" w:line="24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 xml:space="preserve">The Company operates in the U.K. and in the U.S. and is subject to income taxes in those countries. The U.K corporation tax rate applied for 2024 was 25% (2023: 23.5%). The rate in 2023 resulted from applying the enacted statutory rate of 19% from January 1, 2023 through April 1, 2023, and 25% for the remainder of 2023. U.K. deferred tax assets and liabilities have been measured at the enacted rate of 25%. </w:t>
      </w:r>
      <w:r>
        <w:rPr>
          <w:rFonts w:ascii="Times New Roman" w:cs="Times New Roman" w:eastAsia="Times New Roman" w:hAnsi="Times New Roman"/>
          <w:sz w:val="20"/>
          <w:szCs w:val="20"/>
          <w:color w:val="1E1E1E"/>
        </w:rPr>
        <w:t>T</w:t>
      </w:r>
      <w:r>
        <w:rPr>
          <w:rFonts w:ascii="Times New Roman" w:cs="Times New Roman" w:eastAsia="Times New Roman" w:hAnsi="Times New Roman"/>
          <w:sz w:val="20"/>
          <w:szCs w:val="20"/>
          <w:color w:val="auto"/>
        </w:rPr>
        <w:t>he U.S federal income tax rate is 21%. U.S. deferred tax assets and liabilities are calculated at the enacted rate of 21%.</w:t>
      </w:r>
    </w:p>
    <w:p>
      <w:pPr>
        <w:spacing w:after="0" w:line="197" w:lineRule="exact"/>
        <w:rPr>
          <w:sz w:val="20"/>
          <w:szCs w:val="20"/>
          <w:color w:val="auto"/>
        </w:rPr>
      </w:pPr>
    </w:p>
    <w:tbl>
      <w:tblPr>
        <w:tblLayout w:type="fixed"/>
        <w:tblInd w:w="720" w:type="dxa"/>
        <w:tblCellMar>
          <w:top w:w="0" w:type="dxa"/>
          <w:left w:w="0" w:type="dxa"/>
          <w:bottom w:w="0" w:type="dxa"/>
          <w:right w:w="0" w:type="dxa"/>
        </w:tblCellMar>
      </w:tblPr>
      <w:tr>
        <w:trPr>
          <w:trHeight w:val="268"/>
        </w:trPr>
        <w:tc>
          <w:tcPr>
            <w:tcW w:w="6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components of net loss before income tax are as follows:</w:t>
            </w: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9"/>
        </w:trPr>
        <w:tc>
          <w:tcPr>
            <w:tcW w:w="36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1460" w:type="dxa"/>
            <w:vAlign w:val="bottom"/>
            <w:gridSpan w:val="3"/>
          </w:tcPr>
          <w:p>
            <w:pPr>
              <w:spacing w:after="0"/>
              <w:rPr>
                <w:sz w:val="22"/>
                <w:szCs w:val="22"/>
                <w:color w:val="auto"/>
              </w:rPr>
            </w:pPr>
          </w:p>
        </w:tc>
        <w:tc>
          <w:tcPr>
            <w:tcW w:w="1300" w:type="dxa"/>
            <w:vAlign w:val="bottom"/>
            <w:gridSpan w:val="2"/>
          </w:tcPr>
          <w:p>
            <w:pPr>
              <w:spacing w:after="0"/>
              <w:rPr>
                <w:sz w:val="22"/>
                <w:szCs w:val="22"/>
                <w:color w:val="auto"/>
              </w:rPr>
            </w:pPr>
          </w:p>
        </w:tc>
      </w:tr>
      <w:tr>
        <w:trPr>
          <w:trHeight w:val="230"/>
        </w:trPr>
        <w:tc>
          <w:tcPr>
            <w:tcW w:w="360" w:type="dxa"/>
            <w:vAlign w:val="bottom"/>
          </w:tcPr>
          <w:p>
            <w:pPr>
              <w:spacing w:after="0"/>
              <w:rPr>
                <w:sz w:val="19"/>
                <w:szCs w:val="19"/>
                <w:color w:val="auto"/>
              </w:rPr>
            </w:pPr>
          </w:p>
        </w:tc>
        <w:tc>
          <w:tcPr>
            <w:tcW w:w="5880" w:type="dxa"/>
            <w:vAlign w:val="bottom"/>
            <w:tcBorders>
              <w:bottom w:val="single" w:sz="8" w:color="FEFEFE"/>
            </w:tcBorders>
            <w:shd w:val="clear" w:color="auto" w:fill="FEFEFE"/>
          </w:tcPr>
          <w:p>
            <w:pPr>
              <w:spacing w:after="0"/>
              <w:rPr>
                <w:sz w:val="19"/>
                <w:szCs w:val="19"/>
                <w:color w:val="auto"/>
              </w:rPr>
            </w:pPr>
          </w:p>
        </w:tc>
        <w:tc>
          <w:tcPr>
            <w:tcW w:w="2760" w:type="dxa"/>
            <w:vAlign w:val="bottom"/>
            <w:tcBorders>
              <w:bottom w:val="single" w:sz="8" w:color="auto"/>
            </w:tcBorders>
            <w:gridSpan w:val="5"/>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0"/>
        </w:trPr>
        <w:tc>
          <w:tcPr>
            <w:tcW w:w="360" w:type="dxa"/>
            <w:vAlign w:val="bottom"/>
          </w:tcPr>
          <w:p>
            <w:pPr>
              <w:spacing w:after="0"/>
              <w:rPr>
                <w:sz w:val="19"/>
                <w:szCs w:val="19"/>
                <w:color w:val="auto"/>
              </w:rPr>
            </w:pPr>
          </w:p>
        </w:tc>
        <w:tc>
          <w:tcPr>
            <w:tcW w:w="5880" w:type="dxa"/>
            <w:vAlign w:val="bottom"/>
            <w:tcBorders>
              <w:bottom w:val="single" w:sz="8" w:color="FEFEFE"/>
            </w:tcBorders>
            <w:shd w:val="clear" w:color="auto" w:fill="FEFEFE"/>
          </w:tcPr>
          <w:p>
            <w:pPr>
              <w:spacing w:after="0"/>
              <w:rPr>
                <w:sz w:val="19"/>
                <w:szCs w:val="19"/>
                <w:color w:val="auto"/>
              </w:rPr>
            </w:pPr>
          </w:p>
        </w:tc>
        <w:tc>
          <w:tcPr>
            <w:tcW w:w="1300" w:type="dxa"/>
            <w:vAlign w:val="bottom"/>
            <w:tcBorders>
              <w:bottom w:val="single" w:sz="8" w:color="auto"/>
            </w:tcBorders>
            <w:gridSpan w:val="2"/>
            <w:shd w:val="clear" w:color="auto" w:fill="FEFEFE"/>
          </w:tcPr>
          <w:p>
            <w:pPr>
              <w:jc w:val="right"/>
              <w:ind w:right="38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160" w:type="dxa"/>
            <w:vAlign w:val="bottom"/>
            <w:tcBorders>
              <w:bottom w:val="single" w:sz="8" w:color="FEFEFE"/>
            </w:tcBorders>
            <w:shd w:val="clear" w:color="auto" w:fill="FEFEFE"/>
          </w:tcPr>
          <w:p>
            <w:pPr>
              <w:spacing w:after="0"/>
              <w:rPr>
                <w:sz w:val="19"/>
                <w:szCs w:val="19"/>
                <w:color w:val="auto"/>
              </w:rPr>
            </w:pPr>
          </w:p>
        </w:tc>
        <w:tc>
          <w:tcPr>
            <w:tcW w:w="200" w:type="dxa"/>
            <w:vAlign w:val="bottom"/>
            <w:tcBorders>
              <w:bottom w:val="single" w:sz="8" w:color="auto"/>
            </w:tcBorders>
            <w:shd w:val="clear" w:color="auto" w:fill="FEFEFE"/>
          </w:tcPr>
          <w:p>
            <w:pPr>
              <w:spacing w:after="0"/>
              <w:rPr>
                <w:sz w:val="19"/>
                <w:szCs w:val="19"/>
                <w:color w:val="auto"/>
              </w:rPr>
            </w:pPr>
          </w:p>
        </w:tc>
        <w:tc>
          <w:tcPr>
            <w:tcW w:w="1100" w:type="dxa"/>
            <w:vAlign w:val="bottom"/>
            <w:tcBorders>
              <w:bottom w:val="single" w:sz="8" w:color="auto"/>
            </w:tcBorders>
            <w:shd w:val="clear" w:color="auto" w:fill="FEFEFE"/>
          </w:tcPr>
          <w:p>
            <w:pPr>
              <w:jc w:val="right"/>
              <w:ind w:right="40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360" w:type="dxa"/>
            <w:vAlign w:val="bottom"/>
          </w:tcPr>
          <w:p>
            <w:pPr>
              <w:spacing w:after="0"/>
              <w:rPr>
                <w:sz w:val="19"/>
                <w:szCs w:val="19"/>
                <w:color w:val="auto"/>
              </w:rPr>
            </w:pPr>
          </w:p>
        </w:tc>
        <w:tc>
          <w:tcPr>
            <w:tcW w:w="5880" w:type="dxa"/>
            <w:vAlign w:val="bottom"/>
            <w:shd w:val="clear" w:color="auto" w:fill="FEFEFE"/>
          </w:tcPr>
          <w:p>
            <w:pPr>
              <w:spacing w:after="0"/>
              <w:rPr>
                <w:sz w:val="19"/>
                <w:szCs w:val="19"/>
                <w:color w:val="auto"/>
              </w:rPr>
            </w:pPr>
          </w:p>
        </w:tc>
        <w:tc>
          <w:tcPr>
            <w:tcW w:w="48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shd w:val="clear" w:color="auto" w:fill="FEFEFE"/>
          </w:tcPr>
          <w:p>
            <w:pPr>
              <w:jc w:val="right"/>
              <w:ind w:right="300"/>
              <w:spacing w:after="0" w:line="220" w:lineRule="exact"/>
              <w:rPr>
                <w:sz w:val="20"/>
                <w:szCs w:val="20"/>
                <w:color w:val="auto"/>
              </w:rPr>
            </w:pPr>
            <w:r>
              <w:rPr>
                <w:rFonts w:ascii="Times New Roman" w:cs="Times New Roman" w:eastAsia="Times New Roman" w:hAnsi="Times New Roman"/>
                <w:sz w:val="20"/>
                <w:szCs w:val="20"/>
                <w:b w:val="1"/>
                <w:bCs w:val="1"/>
                <w:color w:val="auto"/>
                <w:w w:val="94"/>
              </w:rPr>
              <w:t>'000)</w:t>
            </w:r>
          </w:p>
        </w:tc>
        <w:tc>
          <w:tcPr>
            <w:tcW w:w="16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100" w:type="dxa"/>
            <w:vAlign w:val="bottom"/>
            <w:shd w:val="clear" w:color="auto" w:fill="FEFEFE"/>
          </w:tcPr>
          <w:p>
            <w:pPr>
              <w:jc w:val="right"/>
              <w:ind w:right="300"/>
              <w:spacing w:after="0" w:line="220" w:lineRule="exact"/>
              <w:rPr>
                <w:sz w:val="20"/>
                <w:szCs w:val="20"/>
                <w:color w:val="auto"/>
              </w:rPr>
            </w:pPr>
            <w:r>
              <w:rPr>
                <w:rFonts w:ascii="Times New Roman" w:cs="Times New Roman" w:eastAsia="Times New Roman" w:hAnsi="Times New Roman"/>
                <w:sz w:val="20"/>
                <w:szCs w:val="20"/>
                <w:b w:val="1"/>
                <w:bCs w:val="1"/>
                <w:color w:val="auto"/>
              </w:rPr>
              <w:t>($'000)</w:t>
            </w:r>
          </w:p>
        </w:tc>
      </w:tr>
      <w:tr>
        <w:trPr>
          <w:trHeight w:val="230"/>
        </w:trPr>
        <w:tc>
          <w:tcPr>
            <w:tcW w:w="360" w:type="dxa"/>
            <w:vAlign w:val="bottom"/>
          </w:tcPr>
          <w:p>
            <w:pPr>
              <w:spacing w:after="0"/>
              <w:rPr>
                <w:sz w:val="19"/>
                <w:szCs w:val="19"/>
                <w:color w:val="auto"/>
              </w:rPr>
            </w:pPr>
          </w:p>
        </w:tc>
        <w:tc>
          <w:tcPr>
            <w:tcW w:w="58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480" w:type="dxa"/>
            <w:vAlign w:val="bottom"/>
            <w:shd w:val="clear" w:color="auto" w:fill="E6E6E6"/>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4,268</w:t>
            </w:r>
          </w:p>
        </w:tc>
        <w:tc>
          <w:tcPr>
            <w:tcW w:w="160" w:type="dxa"/>
            <w:vAlign w:val="bottom"/>
            <w:shd w:val="clear" w:color="auto" w:fill="E6E6E6"/>
          </w:tcPr>
          <w:p>
            <w:pPr>
              <w:spacing w:after="0"/>
              <w:rPr>
                <w:sz w:val="19"/>
                <w:szCs w:val="19"/>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8,464</w:t>
            </w:r>
          </w:p>
        </w:tc>
      </w:tr>
      <w:tr>
        <w:trPr>
          <w:trHeight w:val="230"/>
        </w:trPr>
        <w:tc>
          <w:tcPr>
            <w:tcW w:w="360" w:type="dxa"/>
            <w:vAlign w:val="bottom"/>
          </w:tcPr>
          <w:p>
            <w:pPr>
              <w:spacing w:after="0"/>
              <w:rPr>
                <w:sz w:val="19"/>
                <w:szCs w:val="19"/>
                <w:color w:val="auto"/>
              </w:rPr>
            </w:pPr>
          </w:p>
        </w:tc>
        <w:tc>
          <w:tcPr>
            <w:tcW w:w="5880" w:type="dxa"/>
            <w:vAlign w:val="bottom"/>
            <w:tcBorders>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480" w:type="dxa"/>
            <w:vAlign w:val="bottom"/>
            <w:tcBorders>
              <w:bottom w:val="single" w:sz="8" w:color="auto"/>
            </w:tcBorders>
            <w:shd w:val="clear" w:color="auto" w:fill="FEFEFE"/>
          </w:tcPr>
          <w:p>
            <w:pPr>
              <w:spacing w:after="0"/>
              <w:rPr>
                <w:sz w:val="19"/>
                <w:szCs w:val="19"/>
                <w:color w:val="auto"/>
              </w:rPr>
            </w:pPr>
          </w:p>
        </w:tc>
        <w:tc>
          <w:tcPr>
            <w:tcW w:w="8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38,985</w:t>
            </w:r>
          </w:p>
        </w:tc>
        <w:tc>
          <w:tcPr>
            <w:tcW w:w="160" w:type="dxa"/>
            <w:vAlign w:val="bottom"/>
            <w:tcBorders>
              <w:bottom w:val="single" w:sz="8" w:color="E6E6E6"/>
            </w:tcBorders>
            <w:shd w:val="clear" w:color="auto" w:fill="FEFEFE"/>
          </w:tcPr>
          <w:p>
            <w:pPr>
              <w:spacing w:after="0"/>
              <w:rPr>
                <w:sz w:val="19"/>
                <w:szCs w:val="19"/>
                <w:color w:val="auto"/>
              </w:rPr>
            </w:pPr>
          </w:p>
        </w:tc>
        <w:tc>
          <w:tcPr>
            <w:tcW w:w="200" w:type="dxa"/>
            <w:vAlign w:val="bottom"/>
            <w:tcBorders>
              <w:bottom w:val="single" w:sz="8" w:color="auto"/>
            </w:tcBorders>
            <w:shd w:val="clear" w:color="auto" w:fill="FEFEFE"/>
          </w:tcPr>
          <w:p>
            <w:pPr>
              <w:spacing w:after="0"/>
              <w:rPr>
                <w:sz w:val="19"/>
                <w:szCs w:val="19"/>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21,534</w:t>
            </w:r>
          </w:p>
        </w:tc>
      </w:tr>
      <w:tr>
        <w:trPr>
          <w:trHeight w:val="220"/>
        </w:trPr>
        <w:tc>
          <w:tcPr>
            <w:tcW w:w="360" w:type="dxa"/>
            <w:vAlign w:val="bottom"/>
          </w:tcPr>
          <w:p>
            <w:pPr>
              <w:spacing w:after="0"/>
              <w:rPr>
                <w:sz w:val="19"/>
                <w:szCs w:val="19"/>
                <w:color w:val="auto"/>
              </w:rPr>
            </w:pPr>
          </w:p>
        </w:tc>
        <w:tc>
          <w:tcPr>
            <w:tcW w:w="58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480" w:type="dxa"/>
            <w:vAlign w:val="bottom"/>
            <w:tcBorders>
              <w:bottom w:val="single" w:sz="8" w:color="auto"/>
            </w:tcBorders>
            <w:shd w:val="clear" w:color="auto" w:fill="E6E6E6"/>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43,253</w:t>
            </w:r>
          </w:p>
        </w:tc>
        <w:tc>
          <w:tcPr>
            <w:tcW w:w="160" w:type="dxa"/>
            <w:vAlign w:val="bottom"/>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29,998</w:t>
            </w:r>
          </w:p>
        </w:tc>
      </w:tr>
      <w:tr>
        <w:trPr>
          <w:trHeight w:val="20"/>
        </w:trPr>
        <w:tc>
          <w:tcPr>
            <w:tcW w:w="3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740"/>
          </w:cols>
          <w:pgMar w:left="540" w:top="748" w:right="6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F-25</w:t>
      </w:r>
    </w:p>
    <w:p>
      <w:pPr>
        <w:sectPr>
          <w:pgSz w:w="11880" w:h="15480" w:orient="portrait"/>
          <w:cols w:equalWidth="0" w:num="1">
            <w:col w:w="10740"/>
          </w:cols>
          <w:pgMar w:left="540" w:top="748" w:right="600" w:bottom="8"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68"/>
        </w:trPr>
        <w:tc>
          <w:tcPr>
            <w:tcW w:w="6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components of income tax provision are as follows:</w:t>
            </w: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9"/>
        </w:trPr>
        <w:tc>
          <w:tcPr>
            <w:tcW w:w="36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1460" w:type="dxa"/>
            <w:vAlign w:val="bottom"/>
            <w:gridSpan w:val="3"/>
          </w:tcPr>
          <w:p>
            <w:pPr>
              <w:spacing w:after="0"/>
              <w:rPr>
                <w:sz w:val="22"/>
                <w:szCs w:val="22"/>
                <w:color w:val="auto"/>
              </w:rPr>
            </w:pPr>
          </w:p>
        </w:tc>
        <w:tc>
          <w:tcPr>
            <w:tcW w:w="1300" w:type="dxa"/>
            <w:vAlign w:val="bottom"/>
            <w:gridSpan w:val="2"/>
          </w:tcPr>
          <w:p>
            <w:pPr>
              <w:spacing w:after="0"/>
              <w:rPr>
                <w:sz w:val="22"/>
                <w:szCs w:val="22"/>
                <w:color w:val="auto"/>
              </w:rPr>
            </w:pPr>
          </w:p>
        </w:tc>
      </w:tr>
      <w:tr>
        <w:trPr>
          <w:trHeight w:val="230"/>
        </w:trPr>
        <w:tc>
          <w:tcPr>
            <w:tcW w:w="360" w:type="dxa"/>
            <w:vAlign w:val="bottom"/>
          </w:tcPr>
          <w:p>
            <w:pPr>
              <w:spacing w:after="0"/>
              <w:rPr>
                <w:sz w:val="19"/>
                <w:szCs w:val="19"/>
                <w:color w:val="auto"/>
              </w:rPr>
            </w:pPr>
          </w:p>
        </w:tc>
        <w:tc>
          <w:tcPr>
            <w:tcW w:w="5880" w:type="dxa"/>
            <w:vAlign w:val="bottom"/>
            <w:tcBorders>
              <w:bottom w:val="single" w:sz="8" w:color="FEFEFE"/>
            </w:tcBorders>
            <w:shd w:val="clear" w:color="auto" w:fill="FEFEFE"/>
          </w:tcPr>
          <w:p>
            <w:pPr>
              <w:spacing w:after="0"/>
              <w:rPr>
                <w:sz w:val="19"/>
                <w:szCs w:val="19"/>
                <w:color w:val="auto"/>
              </w:rPr>
            </w:pPr>
          </w:p>
        </w:tc>
        <w:tc>
          <w:tcPr>
            <w:tcW w:w="2760" w:type="dxa"/>
            <w:vAlign w:val="bottom"/>
            <w:tcBorders>
              <w:bottom w:val="single" w:sz="8" w:color="auto"/>
            </w:tcBorders>
            <w:gridSpan w:val="5"/>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0"/>
        </w:trPr>
        <w:tc>
          <w:tcPr>
            <w:tcW w:w="360" w:type="dxa"/>
            <w:vAlign w:val="bottom"/>
          </w:tcPr>
          <w:p>
            <w:pPr>
              <w:spacing w:after="0"/>
              <w:rPr>
                <w:sz w:val="19"/>
                <w:szCs w:val="19"/>
                <w:color w:val="auto"/>
              </w:rPr>
            </w:pPr>
          </w:p>
        </w:tc>
        <w:tc>
          <w:tcPr>
            <w:tcW w:w="5880" w:type="dxa"/>
            <w:vAlign w:val="bottom"/>
            <w:shd w:val="clear" w:color="auto" w:fill="FEFEFE"/>
          </w:tcPr>
          <w:p>
            <w:pPr>
              <w:spacing w:after="0"/>
              <w:rPr>
                <w:sz w:val="19"/>
                <w:szCs w:val="19"/>
                <w:color w:val="auto"/>
              </w:rPr>
            </w:pPr>
          </w:p>
        </w:tc>
        <w:tc>
          <w:tcPr>
            <w:tcW w:w="960" w:type="dxa"/>
            <w:vAlign w:val="bottom"/>
            <w:shd w:val="clear" w:color="auto" w:fill="FEFEFE"/>
          </w:tcPr>
          <w:p>
            <w:pPr>
              <w:jc w:val="right"/>
              <w:ind w:right="4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360" w:type="dxa"/>
            <w:vAlign w:val="bottom"/>
            <w:shd w:val="clear" w:color="auto" w:fill="FEFEFE"/>
          </w:tcPr>
          <w:p>
            <w:pPr>
              <w:spacing w:after="0"/>
              <w:rPr>
                <w:sz w:val="19"/>
                <w:szCs w:val="19"/>
                <w:color w:val="auto"/>
              </w:rPr>
            </w:pPr>
          </w:p>
        </w:tc>
        <w:tc>
          <w:tcPr>
            <w:tcW w:w="1440" w:type="dxa"/>
            <w:vAlign w:val="bottom"/>
            <w:gridSpan w:val="3"/>
            <w:shd w:val="clear" w:color="auto" w:fill="FEFEFE"/>
          </w:tcPr>
          <w:p>
            <w:pPr>
              <w:jc w:val="right"/>
              <w:ind w:right="40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360" w:type="dxa"/>
            <w:vAlign w:val="bottom"/>
          </w:tcPr>
          <w:p>
            <w:pPr>
              <w:spacing w:after="0"/>
              <w:rPr>
                <w:sz w:val="19"/>
                <w:szCs w:val="19"/>
                <w:color w:val="auto"/>
              </w:rPr>
            </w:pPr>
          </w:p>
        </w:tc>
        <w:tc>
          <w:tcPr>
            <w:tcW w:w="5880" w:type="dxa"/>
            <w:vAlign w:val="bottom"/>
            <w:tcBorders>
              <w:top w:val="single" w:sz="8" w:color="FEFEFE"/>
            </w:tcBorders>
            <w:shd w:val="clear" w:color="auto" w:fill="FEFEFE"/>
          </w:tcPr>
          <w:p>
            <w:pPr>
              <w:spacing w:after="0"/>
              <w:rPr>
                <w:sz w:val="19"/>
                <w:szCs w:val="19"/>
                <w:color w:val="auto"/>
              </w:rPr>
            </w:pPr>
          </w:p>
        </w:tc>
        <w:tc>
          <w:tcPr>
            <w:tcW w:w="960" w:type="dxa"/>
            <w:vAlign w:val="bottom"/>
            <w:tcBorders>
              <w:top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($'000)</w:t>
            </w:r>
          </w:p>
        </w:tc>
        <w:tc>
          <w:tcPr>
            <w:tcW w:w="360" w:type="dxa"/>
            <w:vAlign w:val="bottom"/>
            <w:tcBorders>
              <w:top w:val="single" w:sz="8" w:color="auto"/>
            </w:tcBorders>
            <w:shd w:val="clear" w:color="auto" w:fill="FEFEFE"/>
          </w:tcPr>
          <w:p>
            <w:pPr>
              <w:spacing w:after="0"/>
              <w:rPr>
                <w:sz w:val="19"/>
                <w:szCs w:val="19"/>
                <w:color w:val="auto"/>
              </w:rPr>
            </w:pPr>
          </w:p>
        </w:tc>
        <w:tc>
          <w:tcPr>
            <w:tcW w:w="140" w:type="dxa"/>
            <w:vAlign w:val="bottom"/>
            <w:tcBorders>
              <w:top w:val="single" w:sz="8" w:color="FEFEFE"/>
            </w:tcBorders>
            <w:shd w:val="clear" w:color="auto" w:fill="FEFEFE"/>
          </w:tcPr>
          <w:p>
            <w:pPr>
              <w:spacing w:after="0"/>
              <w:rPr>
                <w:sz w:val="19"/>
                <w:szCs w:val="19"/>
                <w:color w:val="auto"/>
              </w:rPr>
            </w:pPr>
          </w:p>
        </w:tc>
        <w:tc>
          <w:tcPr>
            <w:tcW w:w="480" w:type="dxa"/>
            <w:vAlign w:val="bottom"/>
            <w:tcBorders>
              <w:top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Borders>
              <w:top w:val="single" w:sz="8" w:color="auto"/>
            </w:tcBorders>
            <w:shd w:val="clear" w:color="auto" w:fill="FEFEFE"/>
          </w:tcPr>
          <w:p>
            <w:pPr>
              <w:jc w:val="right"/>
              <w:ind w:right="300"/>
              <w:spacing w:after="0" w:line="220" w:lineRule="exact"/>
              <w:rPr>
                <w:sz w:val="20"/>
                <w:szCs w:val="20"/>
                <w:color w:val="auto"/>
              </w:rPr>
            </w:pPr>
            <w:r>
              <w:rPr>
                <w:rFonts w:ascii="Times New Roman" w:cs="Times New Roman" w:eastAsia="Times New Roman" w:hAnsi="Times New Roman"/>
                <w:sz w:val="20"/>
                <w:szCs w:val="20"/>
                <w:b w:val="1"/>
                <w:bCs w:val="1"/>
                <w:color w:val="auto"/>
                <w:w w:val="94"/>
              </w:rPr>
              <w:t>'000)</w:t>
            </w:r>
          </w:p>
        </w:tc>
      </w:tr>
      <w:tr>
        <w:trPr>
          <w:trHeight w:val="230"/>
        </w:trPr>
        <w:tc>
          <w:tcPr>
            <w:tcW w:w="360" w:type="dxa"/>
            <w:vAlign w:val="bottom"/>
          </w:tcPr>
          <w:p>
            <w:pPr>
              <w:spacing w:after="0"/>
              <w:rPr>
                <w:sz w:val="19"/>
                <w:szCs w:val="19"/>
                <w:color w:val="auto"/>
              </w:rPr>
            </w:pPr>
          </w:p>
        </w:tc>
        <w:tc>
          <w:tcPr>
            <w:tcW w:w="58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Current tax expense</w:t>
            </w:r>
          </w:p>
        </w:tc>
        <w:tc>
          <w:tcPr>
            <w:tcW w:w="96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480" w:type="dxa"/>
            <w:vAlign w:val="bottom"/>
            <w:shd w:val="clear" w:color="auto" w:fill="E6E6E6"/>
          </w:tcPr>
          <w:p>
            <w:pPr>
              <w:spacing w:after="0"/>
              <w:rPr>
                <w:sz w:val="19"/>
                <w:szCs w:val="19"/>
                <w:color w:val="auto"/>
              </w:rPr>
            </w:pPr>
          </w:p>
        </w:tc>
        <w:tc>
          <w:tcPr>
            <w:tcW w:w="820" w:type="dxa"/>
            <w:vAlign w:val="bottom"/>
            <w:shd w:val="clear" w:color="auto" w:fill="E6E6E6"/>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58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United States – Federal and State</w:t>
            </w:r>
          </w:p>
        </w:tc>
        <w:tc>
          <w:tcPr>
            <w:tcW w:w="960" w:type="dxa"/>
            <w:vAlign w:val="bottom"/>
            <w:shd w:val="clear" w:color="auto" w:fill="FEFEFE"/>
          </w:tcPr>
          <w:p>
            <w:pPr>
              <w:jc w:val="right"/>
              <w:ind w:right="76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shd w:val="clear" w:color="auto" w:fill="FEFEFE"/>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30"/>
        </w:trPr>
        <w:tc>
          <w:tcPr>
            <w:tcW w:w="360" w:type="dxa"/>
            <w:vAlign w:val="bottom"/>
          </w:tcPr>
          <w:p>
            <w:pPr>
              <w:spacing w:after="0"/>
              <w:rPr>
                <w:sz w:val="19"/>
                <w:szCs w:val="19"/>
                <w:color w:val="auto"/>
              </w:rPr>
            </w:pPr>
          </w:p>
        </w:tc>
        <w:tc>
          <w:tcPr>
            <w:tcW w:w="588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960" w:type="dxa"/>
            <w:vAlign w:val="bottom"/>
            <w:tcBorders>
              <w:bottom w:val="single" w:sz="8" w:color="auto"/>
            </w:tcBorders>
            <w:shd w:val="clear" w:color="auto" w:fill="E6E6E6"/>
          </w:tcPr>
          <w:p>
            <w:pPr>
              <w:spacing w:after="0"/>
              <w:rPr>
                <w:sz w:val="19"/>
                <w:szCs w:val="19"/>
                <w:color w:val="auto"/>
              </w:rPr>
            </w:pPr>
          </w:p>
        </w:tc>
        <w:tc>
          <w:tcPr>
            <w:tcW w:w="360" w:type="dxa"/>
            <w:vAlign w:val="bottom"/>
            <w:tcBorders>
              <w:bottom w:val="single" w:sz="8" w:color="auto"/>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FEFEFE"/>
            </w:tcBorders>
            <w:shd w:val="clear" w:color="auto" w:fill="E6E6E6"/>
          </w:tcPr>
          <w:p>
            <w:pPr>
              <w:spacing w:after="0"/>
              <w:rPr>
                <w:sz w:val="19"/>
                <w:szCs w:val="19"/>
                <w:color w:val="auto"/>
              </w:rPr>
            </w:pPr>
          </w:p>
        </w:tc>
        <w:tc>
          <w:tcPr>
            <w:tcW w:w="480" w:type="dxa"/>
            <w:vAlign w:val="bottom"/>
            <w:tcBorders>
              <w:bottom w:val="single" w:sz="8" w:color="auto"/>
            </w:tcBorders>
            <w:shd w:val="clear" w:color="auto" w:fill="E6E6E6"/>
          </w:tcPr>
          <w:p>
            <w:pPr>
              <w:spacing w:after="0"/>
              <w:rPr>
                <w:sz w:val="19"/>
                <w:szCs w:val="19"/>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534</w:t>
            </w:r>
          </w:p>
        </w:tc>
      </w:tr>
      <w:tr>
        <w:trPr>
          <w:trHeight w:val="220"/>
        </w:trPr>
        <w:tc>
          <w:tcPr>
            <w:tcW w:w="360" w:type="dxa"/>
            <w:vAlign w:val="bottom"/>
          </w:tcPr>
          <w:p>
            <w:pPr>
              <w:spacing w:after="0"/>
              <w:rPr>
                <w:sz w:val="19"/>
                <w:szCs w:val="19"/>
                <w:color w:val="auto"/>
              </w:rPr>
            </w:pPr>
          </w:p>
        </w:tc>
        <w:tc>
          <w:tcPr>
            <w:tcW w:w="5880" w:type="dxa"/>
            <w:vAlign w:val="bottom"/>
            <w:tcBorders>
              <w:bottom w:val="single" w:sz="8" w:color="FEFEFE"/>
            </w:tcBorders>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Total current tax benefit</w:t>
            </w:r>
          </w:p>
        </w:tc>
        <w:tc>
          <w:tcPr>
            <w:tcW w:w="960" w:type="dxa"/>
            <w:vAlign w:val="bottom"/>
            <w:tcBorders>
              <w:bottom w:val="single" w:sz="8" w:color="auto"/>
            </w:tcBorders>
            <w:shd w:val="clear" w:color="auto" w:fill="FEFEFE"/>
          </w:tcPr>
          <w:p>
            <w:pPr>
              <w:jc w:val="right"/>
              <w:ind w:right="7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Borders>
              <w:bottom w:val="single" w:sz="8" w:color="auto"/>
            </w:tcBorders>
            <w:shd w:val="clear" w:color="auto" w:fill="FEFEFE"/>
          </w:tcPr>
          <w:p>
            <w:pPr>
              <w:ind w:lef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FEFEFE"/>
            </w:tcBorders>
            <w:shd w:val="clear" w:color="auto" w:fill="FEFEFE"/>
          </w:tcPr>
          <w:p>
            <w:pPr>
              <w:spacing w:after="0"/>
              <w:rPr>
                <w:sz w:val="19"/>
                <w:szCs w:val="19"/>
                <w:color w:val="auto"/>
              </w:rPr>
            </w:pPr>
          </w:p>
        </w:tc>
        <w:tc>
          <w:tcPr>
            <w:tcW w:w="480" w:type="dxa"/>
            <w:vAlign w:val="bottom"/>
            <w:tcBorders>
              <w:bottom w:val="single" w:sz="8" w:color="auto"/>
            </w:tcBorders>
            <w:shd w:val="clear" w:color="auto" w:fill="FEFEFE"/>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532</w:t>
            </w:r>
          </w:p>
        </w:tc>
      </w:tr>
      <w:tr>
        <w:trPr>
          <w:trHeight w:val="20"/>
        </w:trPr>
        <w:tc>
          <w:tcPr>
            <w:tcW w:w="360" w:type="dxa"/>
            <w:vAlign w:val="bottom"/>
          </w:tcPr>
          <w:p>
            <w:pPr>
              <w:spacing w:after="0" w:line="20" w:lineRule="exact"/>
              <w:rPr>
                <w:sz w:val="1"/>
                <w:szCs w:val="1"/>
                <w:color w:val="auto"/>
              </w:rPr>
            </w:pPr>
          </w:p>
        </w:tc>
        <w:tc>
          <w:tcPr>
            <w:tcW w:w="5880" w:type="dxa"/>
            <w:vAlign w:val="bottom"/>
            <w:tcBorders>
              <w:bottom w:val="single" w:sz="8" w:color="FEFEFE"/>
            </w:tcBorders>
            <w:shd w:val="clear" w:color="auto" w:fill="FEFEF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EFEFE"/>
            </w:tcBorders>
            <w:shd w:val="clear" w:color="auto" w:fill="FEFEFE"/>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5"/>
        </w:trPr>
        <w:tc>
          <w:tcPr>
            <w:tcW w:w="360" w:type="dxa"/>
            <w:vAlign w:val="bottom"/>
          </w:tcPr>
          <w:p>
            <w:pPr>
              <w:spacing w:after="0"/>
              <w:rPr>
                <w:sz w:val="18"/>
                <w:szCs w:val="18"/>
                <w:color w:val="auto"/>
              </w:rPr>
            </w:pPr>
          </w:p>
        </w:tc>
        <w:tc>
          <w:tcPr>
            <w:tcW w:w="5880" w:type="dxa"/>
            <w:vAlign w:val="bottom"/>
            <w:shd w:val="clear" w:color="auto" w:fill="FEFEFE"/>
          </w:tcPr>
          <w:p>
            <w:pPr>
              <w:spacing w:after="0"/>
              <w:rPr>
                <w:sz w:val="18"/>
                <w:szCs w:val="18"/>
                <w:color w:val="auto"/>
              </w:rPr>
            </w:pPr>
          </w:p>
        </w:tc>
        <w:tc>
          <w:tcPr>
            <w:tcW w:w="960" w:type="dxa"/>
            <w:vAlign w:val="bottom"/>
            <w:shd w:val="clear" w:color="auto" w:fill="FEFEFE"/>
          </w:tcPr>
          <w:p>
            <w:pPr>
              <w:spacing w:after="0"/>
              <w:rPr>
                <w:sz w:val="18"/>
                <w:szCs w:val="18"/>
                <w:color w:val="auto"/>
              </w:rPr>
            </w:pPr>
          </w:p>
        </w:tc>
        <w:tc>
          <w:tcPr>
            <w:tcW w:w="36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480" w:type="dxa"/>
            <w:vAlign w:val="bottom"/>
            <w:shd w:val="clear" w:color="auto" w:fill="FEFEFE"/>
          </w:tcPr>
          <w:p>
            <w:pPr>
              <w:spacing w:after="0"/>
              <w:rPr>
                <w:sz w:val="18"/>
                <w:szCs w:val="18"/>
                <w:color w:val="auto"/>
              </w:rPr>
            </w:pPr>
          </w:p>
        </w:tc>
        <w:tc>
          <w:tcPr>
            <w:tcW w:w="820" w:type="dxa"/>
            <w:vAlign w:val="bottom"/>
            <w:shd w:val="clear" w:color="auto" w:fill="FEFEFE"/>
          </w:tcPr>
          <w:p>
            <w:pPr>
              <w:spacing w:after="0"/>
              <w:rPr>
                <w:sz w:val="18"/>
                <w:szCs w:val="18"/>
                <w:color w:val="auto"/>
              </w:rPr>
            </w:pPr>
          </w:p>
        </w:tc>
      </w:tr>
      <w:tr>
        <w:trPr>
          <w:trHeight w:val="230"/>
        </w:trPr>
        <w:tc>
          <w:tcPr>
            <w:tcW w:w="360" w:type="dxa"/>
            <w:vAlign w:val="bottom"/>
          </w:tcPr>
          <w:p>
            <w:pPr>
              <w:spacing w:after="0"/>
              <w:rPr>
                <w:sz w:val="19"/>
                <w:szCs w:val="19"/>
                <w:color w:val="auto"/>
              </w:rPr>
            </w:pPr>
          </w:p>
        </w:tc>
        <w:tc>
          <w:tcPr>
            <w:tcW w:w="58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Deferred tax expense</w:t>
            </w:r>
          </w:p>
        </w:tc>
        <w:tc>
          <w:tcPr>
            <w:tcW w:w="96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480" w:type="dxa"/>
            <w:vAlign w:val="bottom"/>
            <w:shd w:val="clear" w:color="auto" w:fill="E6E6E6"/>
          </w:tcPr>
          <w:p>
            <w:pPr>
              <w:spacing w:after="0"/>
              <w:rPr>
                <w:sz w:val="19"/>
                <w:szCs w:val="19"/>
                <w:color w:val="auto"/>
              </w:rPr>
            </w:pPr>
          </w:p>
        </w:tc>
        <w:tc>
          <w:tcPr>
            <w:tcW w:w="820" w:type="dxa"/>
            <w:vAlign w:val="bottom"/>
            <w:shd w:val="clear" w:color="auto" w:fill="E6E6E6"/>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58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960" w:type="dxa"/>
            <w:vAlign w:val="bottom"/>
            <w:shd w:val="clear" w:color="auto" w:fill="FEFEFE"/>
          </w:tcPr>
          <w:p>
            <w:pPr>
              <w:spacing w:after="0"/>
              <w:rPr>
                <w:sz w:val="19"/>
                <w:szCs w:val="19"/>
                <w:color w:val="auto"/>
              </w:rPr>
            </w:pPr>
          </w:p>
        </w:tc>
        <w:tc>
          <w:tcPr>
            <w:tcW w:w="360" w:type="dxa"/>
            <w:vAlign w:val="bottom"/>
            <w:shd w:val="clear" w:color="auto" w:fill="FEFEFE"/>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FEFEFE"/>
          </w:tcPr>
          <w:p>
            <w:pPr>
              <w:spacing w:after="0"/>
              <w:rPr>
                <w:sz w:val="19"/>
                <w:szCs w:val="19"/>
                <w:color w:val="auto"/>
              </w:rPr>
            </w:pPr>
          </w:p>
        </w:tc>
        <w:tc>
          <w:tcPr>
            <w:tcW w:w="480" w:type="dxa"/>
            <w:vAlign w:val="bottom"/>
            <w:shd w:val="clear" w:color="auto" w:fill="FEFEFE"/>
          </w:tcPr>
          <w:p>
            <w:pPr>
              <w:spacing w:after="0"/>
              <w:rPr>
                <w:sz w:val="19"/>
                <w:szCs w:val="19"/>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360" w:type="dxa"/>
            <w:vAlign w:val="bottom"/>
          </w:tcPr>
          <w:p>
            <w:pPr>
              <w:spacing w:after="0"/>
              <w:rPr>
                <w:sz w:val="19"/>
                <w:szCs w:val="19"/>
                <w:color w:val="auto"/>
              </w:rPr>
            </w:pPr>
          </w:p>
        </w:tc>
        <w:tc>
          <w:tcPr>
            <w:tcW w:w="588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960" w:type="dxa"/>
            <w:vAlign w:val="bottom"/>
            <w:tcBorders>
              <w:bottom w:val="single" w:sz="8" w:color="auto"/>
            </w:tcBorders>
            <w:shd w:val="clear" w:color="auto" w:fill="E6E6E6"/>
          </w:tcPr>
          <w:p>
            <w:pPr>
              <w:spacing w:after="0"/>
              <w:rPr>
                <w:sz w:val="19"/>
                <w:szCs w:val="19"/>
                <w:color w:val="auto"/>
              </w:rPr>
            </w:pPr>
          </w:p>
        </w:tc>
        <w:tc>
          <w:tcPr>
            <w:tcW w:w="360" w:type="dxa"/>
            <w:vAlign w:val="bottom"/>
            <w:tcBorders>
              <w:bottom w:val="single" w:sz="8" w:color="auto"/>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FEFEFE"/>
            </w:tcBorders>
            <w:shd w:val="clear" w:color="auto" w:fill="E6E6E6"/>
          </w:tcPr>
          <w:p>
            <w:pPr>
              <w:spacing w:after="0"/>
              <w:rPr>
                <w:sz w:val="19"/>
                <w:szCs w:val="19"/>
                <w:color w:val="auto"/>
              </w:rPr>
            </w:pPr>
          </w:p>
        </w:tc>
        <w:tc>
          <w:tcPr>
            <w:tcW w:w="480" w:type="dxa"/>
            <w:vAlign w:val="bottom"/>
            <w:tcBorders>
              <w:bottom w:val="single" w:sz="8" w:color="auto"/>
            </w:tcBorders>
            <w:shd w:val="clear" w:color="auto" w:fill="E6E6E6"/>
          </w:tcPr>
          <w:p>
            <w:pPr>
              <w:spacing w:after="0"/>
              <w:rPr>
                <w:sz w:val="19"/>
                <w:szCs w:val="19"/>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360" w:type="dxa"/>
            <w:vAlign w:val="bottom"/>
          </w:tcPr>
          <w:p>
            <w:pPr>
              <w:spacing w:after="0"/>
              <w:rPr>
                <w:sz w:val="19"/>
                <w:szCs w:val="19"/>
                <w:color w:val="auto"/>
              </w:rPr>
            </w:pPr>
          </w:p>
        </w:tc>
        <w:tc>
          <w:tcPr>
            <w:tcW w:w="5880" w:type="dxa"/>
            <w:vAlign w:val="bottom"/>
            <w:tcBorders>
              <w:bottom w:val="single" w:sz="8" w:color="E6E6E6"/>
            </w:tcBorders>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Total deferred tax expense</w:t>
            </w:r>
          </w:p>
        </w:tc>
        <w:tc>
          <w:tcPr>
            <w:tcW w:w="960" w:type="dxa"/>
            <w:vAlign w:val="bottom"/>
            <w:tcBorders>
              <w:bottom w:val="single" w:sz="8" w:color="auto"/>
            </w:tcBorders>
            <w:shd w:val="clear" w:color="auto" w:fill="FEFEFE"/>
          </w:tcPr>
          <w:p>
            <w:pPr>
              <w:jc w:val="right"/>
              <w:ind w:right="7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Borders>
              <w:bottom w:val="single" w:sz="8" w:color="auto"/>
            </w:tcBorders>
            <w:shd w:val="clear" w:color="auto" w:fill="FEFEFE"/>
          </w:tcPr>
          <w:p>
            <w:pPr>
              <w:ind w:lef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6E6E6"/>
            </w:tcBorders>
            <w:shd w:val="clear" w:color="auto" w:fill="FEFEFE"/>
          </w:tcPr>
          <w:p>
            <w:pPr>
              <w:spacing w:after="0"/>
              <w:rPr>
                <w:sz w:val="19"/>
                <w:szCs w:val="19"/>
                <w:color w:val="auto"/>
              </w:rPr>
            </w:pPr>
          </w:p>
        </w:tc>
        <w:tc>
          <w:tcPr>
            <w:tcW w:w="480" w:type="dxa"/>
            <w:vAlign w:val="bottom"/>
            <w:tcBorders>
              <w:bottom w:val="single" w:sz="8" w:color="auto"/>
            </w:tcBorders>
            <w:shd w:val="clear" w:color="auto" w:fill="FEFEFE"/>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40"/>
        </w:trPr>
        <w:tc>
          <w:tcPr>
            <w:tcW w:w="360" w:type="dxa"/>
            <w:vAlign w:val="bottom"/>
          </w:tcPr>
          <w:p>
            <w:pPr>
              <w:spacing w:after="0"/>
              <w:rPr>
                <w:sz w:val="20"/>
                <w:szCs w:val="20"/>
                <w:color w:val="auto"/>
              </w:rPr>
            </w:pPr>
          </w:p>
        </w:tc>
        <w:tc>
          <w:tcPr>
            <w:tcW w:w="5880" w:type="dxa"/>
            <w:vAlign w:val="bottom"/>
            <w:tcBorders>
              <w:bottom w:val="single" w:sz="8" w:color="E6E6E6"/>
            </w:tcBorders>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Total income tax benefit</w:t>
            </w:r>
          </w:p>
        </w:tc>
        <w:tc>
          <w:tcPr>
            <w:tcW w:w="960" w:type="dxa"/>
            <w:vAlign w:val="bottom"/>
            <w:tcBorders>
              <w:bottom w:val="single" w:sz="8" w:color="auto"/>
            </w:tcBorders>
            <w:shd w:val="clear" w:color="auto" w:fill="E6E6E6"/>
          </w:tcPr>
          <w:p>
            <w:pPr>
              <w:jc w:val="right"/>
              <w:ind w:right="7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Borders>
              <w:bottom w:val="single" w:sz="8" w:color="auto"/>
            </w:tcBorders>
            <w:shd w:val="clear" w:color="auto" w:fill="E6E6E6"/>
          </w:tcPr>
          <w:p>
            <w:pPr>
              <w:ind w:lef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6E6E6"/>
            </w:tcBorders>
            <w:shd w:val="clear" w:color="auto" w:fill="E6E6E6"/>
          </w:tcPr>
          <w:p>
            <w:pPr>
              <w:spacing w:after="0"/>
              <w:rPr>
                <w:sz w:val="20"/>
                <w:szCs w:val="20"/>
                <w:color w:val="auto"/>
              </w:rPr>
            </w:pPr>
          </w:p>
        </w:tc>
        <w:tc>
          <w:tcPr>
            <w:tcW w:w="480" w:type="dxa"/>
            <w:vAlign w:val="bottom"/>
            <w:tcBorders>
              <w:bottom w:val="single" w:sz="8" w:color="auto"/>
            </w:tcBorders>
            <w:shd w:val="clear" w:color="auto" w:fill="E6E6E6"/>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532</w:t>
            </w:r>
          </w:p>
        </w:tc>
      </w:tr>
      <w:tr>
        <w:trPr>
          <w:trHeight w:val="20"/>
        </w:trPr>
        <w:tc>
          <w:tcPr>
            <w:tcW w:w="3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U.K. statutory income tax rate to the effective tax rate is as follows:</w:t>
      </w:r>
    </w:p>
    <w:p>
      <w:pPr>
        <w:spacing w:after="0" w:line="28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-138430</wp:posOffset>
            </wp:positionV>
            <wp:extent cx="5486400" cy="477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0" cy="4775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4"/>
        </w:trPr>
        <w:tc>
          <w:tcPr>
            <w:tcW w:w="36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1360" w:type="dxa"/>
            <w:vAlign w:val="bottom"/>
            <w:tcBorders>
              <w:top w:val="single" w:sz="8" w:color="auto"/>
              <w:bottom w:val="single" w:sz="8" w:color="auto"/>
            </w:tcBorders>
            <w:gridSpan w:val="3"/>
            <w:shd w:val="clear" w:color="auto" w:fill="FEFEFE"/>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top w:val="single" w:sz="8" w:color="auto"/>
              <w:bottom w:val="single" w:sz="8" w:color="auto"/>
            </w:tcBorders>
            <w:shd w:val="clear" w:color="auto" w:fill="FEFEFE"/>
          </w:tcPr>
          <w:p>
            <w:pPr>
              <w:spacing w:after="0"/>
              <w:rPr>
                <w:sz w:val="22"/>
                <w:szCs w:val="22"/>
                <w:color w:val="auto"/>
              </w:rPr>
            </w:pPr>
          </w:p>
        </w:tc>
        <w:tc>
          <w:tcPr>
            <w:tcW w:w="80" w:type="dxa"/>
            <w:vAlign w:val="bottom"/>
            <w:tcBorders>
              <w:top w:val="single" w:sz="8" w:color="auto"/>
              <w:bottom w:val="single" w:sz="8" w:color="FEFEFE"/>
            </w:tcBorders>
            <w:shd w:val="clear" w:color="auto" w:fill="FEFEFE"/>
          </w:tcPr>
          <w:p>
            <w:pPr>
              <w:spacing w:after="0"/>
              <w:rPr>
                <w:sz w:val="22"/>
                <w:szCs w:val="22"/>
                <w:color w:val="auto"/>
              </w:rPr>
            </w:pPr>
          </w:p>
        </w:tc>
        <w:tc>
          <w:tcPr>
            <w:tcW w:w="20" w:type="dxa"/>
            <w:vAlign w:val="bottom"/>
            <w:tcBorders>
              <w:top w:val="single" w:sz="8" w:color="auto"/>
              <w:bottom w:val="single" w:sz="8" w:color="auto"/>
            </w:tcBorders>
            <w:shd w:val="clear" w:color="auto" w:fill="FEFEFE"/>
          </w:tcPr>
          <w:p>
            <w:pPr>
              <w:spacing w:after="0"/>
              <w:rPr>
                <w:sz w:val="22"/>
                <w:szCs w:val="22"/>
                <w:color w:val="auto"/>
              </w:rPr>
            </w:pPr>
          </w:p>
        </w:tc>
        <w:tc>
          <w:tcPr>
            <w:tcW w:w="220" w:type="dxa"/>
            <w:vAlign w:val="bottom"/>
            <w:tcBorders>
              <w:top w:val="single" w:sz="8" w:color="auto"/>
              <w:bottom w:val="single" w:sz="8" w:color="auto"/>
            </w:tcBorders>
            <w:shd w:val="clear" w:color="auto" w:fill="FEFEFE"/>
          </w:tcPr>
          <w:p>
            <w:pPr>
              <w:spacing w:after="0"/>
              <w:rPr>
                <w:sz w:val="22"/>
                <w:szCs w:val="22"/>
                <w:color w:val="auto"/>
              </w:rPr>
            </w:pPr>
          </w:p>
        </w:tc>
        <w:tc>
          <w:tcPr>
            <w:tcW w:w="1100" w:type="dxa"/>
            <w:vAlign w:val="bottom"/>
            <w:tcBorders>
              <w:top w:val="single" w:sz="8" w:color="auto"/>
              <w:bottom w:val="single" w:sz="8" w:color="auto"/>
            </w:tcBorders>
            <w:shd w:val="clear" w:color="auto" w:fill="FEFEFE"/>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4"/>
        </w:trPr>
        <w:tc>
          <w:tcPr>
            <w:tcW w:w="3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360" w:type="dxa"/>
            <w:vAlign w:val="bottom"/>
            <w:gridSpan w:val="3"/>
            <w:shd w:val="clear" w:color="auto" w:fill="FEFEFE"/>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1100" w:type="dxa"/>
            <w:vAlign w:val="bottom"/>
            <w:shd w:val="clear" w:color="auto" w:fill="FEFEFE"/>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44"/>
        </w:trPr>
        <w:tc>
          <w:tcPr>
            <w:tcW w:w="360" w:type="dxa"/>
            <w:vAlign w:val="bottom"/>
          </w:tcPr>
          <w:p>
            <w:pPr>
              <w:spacing w:after="0"/>
              <w:rPr>
                <w:sz w:val="21"/>
                <w:szCs w:val="21"/>
                <w:color w:val="auto"/>
              </w:rPr>
            </w:pPr>
          </w:p>
        </w:tc>
        <w:tc>
          <w:tcPr>
            <w:tcW w:w="5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Income tax using U.K. statutory rate</w:t>
            </w:r>
          </w:p>
        </w:tc>
        <w:tc>
          <w:tcPr>
            <w:tcW w:w="4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23.5</w:t>
            </w:r>
          </w:p>
        </w:tc>
      </w:tr>
      <w:tr>
        <w:trPr>
          <w:trHeight w:val="244"/>
        </w:trPr>
        <w:tc>
          <w:tcPr>
            <w:tcW w:w="360" w:type="dxa"/>
            <w:vAlign w:val="bottom"/>
          </w:tcPr>
          <w:p>
            <w:pPr>
              <w:spacing w:after="0"/>
              <w:rPr>
                <w:sz w:val="21"/>
                <w:szCs w:val="21"/>
                <w:color w:val="auto"/>
              </w:rPr>
            </w:pPr>
          </w:p>
        </w:tc>
        <w:tc>
          <w:tcPr>
            <w:tcW w:w="58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Effect of rate change on opening tax balances</w:t>
            </w:r>
          </w:p>
        </w:tc>
        <w:tc>
          <w:tcPr>
            <w:tcW w:w="4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60" w:type="dxa"/>
            <w:vAlign w:val="bottom"/>
            <w:gridSpan w:val="2"/>
            <w:shd w:val="clear" w:color="auto" w:fill="FEFEF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60" w:type="dxa"/>
            <w:vAlign w:val="bottom"/>
          </w:tcPr>
          <w:p>
            <w:pPr>
              <w:spacing w:after="0"/>
              <w:rPr>
                <w:sz w:val="21"/>
                <w:szCs w:val="21"/>
                <w:color w:val="auto"/>
              </w:rPr>
            </w:pPr>
          </w:p>
        </w:tc>
        <w:tc>
          <w:tcPr>
            <w:tcW w:w="5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Effect of rate change on current and deferred taxes</w:t>
            </w:r>
          </w:p>
        </w:tc>
        <w:tc>
          <w:tcPr>
            <w:tcW w:w="4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60" w:type="dxa"/>
            <w:vAlign w:val="bottom"/>
          </w:tcPr>
          <w:p>
            <w:pPr>
              <w:spacing w:after="0"/>
              <w:rPr>
                <w:sz w:val="21"/>
                <w:szCs w:val="21"/>
                <w:color w:val="auto"/>
              </w:rPr>
            </w:pPr>
          </w:p>
        </w:tc>
        <w:tc>
          <w:tcPr>
            <w:tcW w:w="58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Permanent differences</w:t>
            </w:r>
          </w:p>
        </w:tc>
        <w:tc>
          <w:tcPr>
            <w:tcW w:w="4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44"/>
        </w:trPr>
        <w:tc>
          <w:tcPr>
            <w:tcW w:w="360" w:type="dxa"/>
            <w:vAlign w:val="bottom"/>
          </w:tcPr>
          <w:p>
            <w:pPr>
              <w:spacing w:after="0"/>
              <w:rPr>
                <w:sz w:val="21"/>
                <w:szCs w:val="21"/>
                <w:color w:val="auto"/>
              </w:rPr>
            </w:pPr>
          </w:p>
        </w:tc>
        <w:tc>
          <w:tcPr>
            <w:tcW w:w="5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U.K. R&amp;D tax credits</w:t>
            </w:r>
          </w:p>
        </w:tc>
        <w:tc>
          <w:tcPr>
            <w:tcW w:w="4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44"/>
        </w:trPr>
        <w:tc>
          <w:tcPr>
            <w:tcW w:w="360" w:type="dxa"/>
            <w:vAlign w:val="bottom"/>
          </w:tcPr>
          <w:p>
            <w:pPr>
              <w:spacing w:after="0"/>
              <w:rPr>
                <w:sz w:val="21"/>
                <w:szCs w:val="21"/>
                <w:color w:val="auto"/>
              </w:rPr>
            </w:pPr>
          </w:p>
        </w:tc>
        <w:tc>
          <w:tcPr>
            <w:tcW w:w="58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Changes in deferred tax valuation allowance</w:t>
            </w:r>
          </w:p>
        </w:tc>
        <w:tc>
          <w:tcPr>
            <w:tcW w:w="4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(15.7)</w:t>
            </w:r>
          </w:p>
        </w:tc>
      </w:tr>
      <w:tr>
        <w:trPr>
          <w:trHeight w:val="244"/>
        </w:trPr>
        <w:tc>
          <w:tcPr>
            <w:tcW w:w="360" w:type="dxa"/>
            <w:vAlign w:val="bottom"/>
          </w:tcPr>
          <w:p>
            <w:pPr>
              <w:spacing w:after="0"/>
              <w:rPr>
                <w:sz w:val="21"/>
                <w:szCs w:val="21"/>
                <w:color w:val="auto"/>
              </w:rPr>
            </w:pPr>
          </w:p>
        </w:tc>
        <w:tc>
          <w:tcPr>
            <w:tcW w:w="5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Foreign rate differential</w:t>
            </w:r>
          </w:p>
        </w:tc>
        <w:tc>
          <w:tcPr>
            <w:tcW w:w="4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(0.7)</w:t>
            </w:r>
          </w:p>
        </w:tc>
      </w:tr>
      <w:tr>
        <w:trPr>
          <w:trHeight w:val="244"/>
        </w:trPr>
        <w:tc>
          <w:tcPr>
            <w:tcW w:w="360" w:type="dxa"/>
            <w:vAlign w:val="bottom"/>
          </w:tcPr>
          <w:p>
            <w:pPr>
              <w:spacing w:after="0"/>
              <w:rPr>
                <w:sz w:val="21"/>
                <w:szCs w:val="21"/>
                <w:color w:val="auto"/>
              </w:rPr>
            </w:pPr>
          </w:p>
        </w:tc>
        <w:tc>
          <w:tcPr>
            <w:tcW w:w="58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Adjustments in respect of prior years</w:t>
            </w:r>
          </w:p>
        </w:tc>
        <w:tc>
          <w:tcPr>
            <w:tcW w:w="4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60" w:type="dxa"/>
            <w:vAlign w:val="bottom"/>
            <w:gridSpan w:val="2"/>
            <w:shd w:val="clear" w:color="auto" w:fill="FEFEF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69"/>
        </w:trPr>
        <w:tc>
          <w:tcPr>
            <w:tcW w:w="360" w:type="dxa"/>
            <w:vAlign w:val="bottom"/>
          </w:tcPr>
          <w:p>
            <w:pPr>
              <w:spacing w:after="0"/>
              <w:rPr>
                <w:sz w:val="22"/>
                <w:szCs w:val="22"/>
                <w:color w:val="auto"/>
              </w:rPr>
            </w:pPr>
          </w:p>
        </w:tc>
        <w:tc>
          <w:tcPr>
            <w:tcW w:w="584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w:t>
            </w:r>
          </w:p>
        </w:tc>
        <w:tc>
          <w:tcPr>
            <w:tcW w:w="40" w:type="dxa"/>
            <w:vAlign w:val="bottom"/>
            <w:tcBorders>
              <w:bottom w:val="single" w:sz="8" w:color="auto"/>
            </w:tcBorders>
            <w:shd w:val="clear" w:color="auto" w:fill="E6E6E6"/>
          </w:tcPr>
          <w:p>
            <w:pPr>
              <w:spacing w:after="0"/>
              <w:rPr>
                <w:sz w:val="22"/>
                <w:szCs w:val="22"/>
                <w:color w:val="auto"/>
              </w:rPr>
            </w:pPr>
          </w:p>
        </w:tc>
        <w:tc>
          <w:tcPr>
            <w:tcW w:w="480" w:type="dxa"/>
            <w:vAlign w:val="bottom"/>
            <w:tcBorders>
              <w:bottom w:val="single" w:sz="8" w:color="auto"/>
            </w:tcBorders>
            <w:shd w:val="clear" w:color="auto" w:fill="E6E6E6"/>
          </w:tcPr>
          <w:p>
            <w:pPr>
              <w:spacing w:after="0"/>
              <w:rPr>
                <w:sz w:val="22"/>
                <w:szCs w:val="22"/>
                <w:color w:val="auto"/>
              </w:rPr>
            </w:pPr>
          </w:p>
        </w:tc>
        <w:tc>
          <w:tcPr>
            <w:tcW w:w="860" w:type="dxa"/>
            <w:vAlign w:val="bottom"/>
            <w:tcBorders>
              <w:bottom w:val="single" w:sz="8" w:color="auto"/>
            </w:tcBorders>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220" w:type="dxa"/>
            <w:vAlign w:val="bottom"/>
            <w:tcBorders>
              <w:bottom w:val="single" w:sz="8" w:color="auto"/>
            </w:tcBorders>
            <w:shd w:val="clear" w:color="auto" w:fill="E6E6E6"/>
          </w:tcPr>
          <w:p>
            <w:pPr>
              <w:spacing w:after="0"/>
              <w:rPr>
                <w:sz w:val="22"/>
                <w:szCs w:val="22"/>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34"/>
        </w:trPr>
        <w:tc>
          <w:tcPr>
            <w:tcW w:w="360" w:type="dxa"/>
            <w:vAlign w:val="bottom"/>
          </w:tcPr>
          <w:p>
            <w:pPr>
              <w:spacing w:after="0"/>
              <w:rPr>
                <w:sz w:val="20"/>
                <w:szCs w:val="20"/>
                <w:color w:val="auto"/>
              </w:rPr>
            </w:pPr>
          </w:p>
        </w:tc>
        <w:tc>
          <w:tcPr>
            <w:tcW w:w="5840" w:type="dxa"/>
            <w:vAlign w:val="bottom"/>
            <w:tcBorders>
              <w:top w:val="single" w:sz="8" w:color="FEFEFE"/>
              <w:bottom w:val="single" w:sz="8" w:color="FEFEFE"/>
            </w:tcBorders>
            <w:shd w:val="clear" w:color="auto" w:fill="FEFEFE"/>
          </w:tcPr>
          <w:p>
            <w:pPr>
              <w:spacing w:after="0" w:line="214" w:lineRule="exact"/>
              <w:rPr>
                <w:sz w:val="20"/>
                <w:szCs w:val="20"/>
                <w:color w:val="auto"/>
              </w:rPr>
            </w:pPr>
            <w:r>
              <w:rPr>
                <w:rFonts w:ascii="Times New Roman" w:cs="Times New Roman" w:eastAsia="Times New Roman" w:hAnsi="Times New Roman"/>
                <w:sz w:val="20"/>
                <w:szCs w:val="20"/>
                <w:color w:val="auto"/>
              </w:rPr>
              <w:t>Effective tax rate for loss</w:t>
            </w:r>
          </w:p>
        </w:tc>
        <w:tc>
          <w:tcPr>
            <w:tcW w:w="40" w:type="dxa"/>
            <w:vAlign w:val="bottom"/>
            <w:tcBorders>
              <w:top w:val="single" w:sz="8" w:color="auto"/>
              <w:bottom w:val="single" w:sz="8" w:color="auto"/>
            </w:tcBorders>
            <w:shd w:val="clear" w:color="auto" w:fill="FEFEFE"/>
          </w:tcPr>
          <w:p>
            <w:pPr>
              <w:spacing w:after="0"/>
              <w:rPr>
                <w:sz w:val="20"/>
                <w:szCs w:val="20"/>
                <w:color w:val="auto"/>
              </w:rPr>
            </w:pPr>
          </w:p>
        </w:tc>
        <w:tc>
          <w:tcPr>
            <w:tcW w:w="480" w:type="dxa"/>
            <w:vAlign w:val="bottom"/>
            <w:tcBorders>
              <w:top w:val="single" w:sz="8" w:color="auto"/>
              <w:bottom w:val="single" w:sz="8" w:color="auto"/>
            </w:tcBorders>
            <w:shd w:val="clear" w:color="auto" w:fill="FEFEFE"/>
          </w:tcPr>
          <w:p>
            <w:pPr>
              <w:spacing w:after="0"/>
              <w:rPr>
                <w:sz w:val="20"/>
                <w:szCs w:val="20"/>
                <w:color w:val="auto"/>
              </w:rPr>
            </w:pPr>
          </w:p>
        </w:tc>
        <w:tc>
          <w:tcPr>
            <w:tcW w:w="860" w:type="dxa"/>
            <w:vAlign w:val="bottom"/>
            <w:tcBorders>
              <w:top w:val="single" w:sz="8" w:color="auto"/>
              <w:bottom w:val="single" w:sz="8" w:color="auto"/>
            </w:tcBorders>
            <w:gridSpan w:val="2"/>
            <w:shd w:val="clear" w:color="auto" w:fill="FEFEFE"/>
          </w:tcPr>
          <w:p>
            <w:pPr>
              <w:jc w:val="right"/>
              <w:ind w:right="120"/>
              <w:spacing w:after="0" w:line="214"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FEFEFE"/>
              <w:bottom w:val="single" w:sz="8" w:color="FEFEFE"/>
            </w:tcBorders>
            <w:shd w:val="clear" w:color="auto" w:fill="FEFEFE"/>
          </w:tcPr>
          <w:p>
            <w:pPr>
              <w:spacing w:after="0"/>
              <w:rPr>
                <w:sz w:val="20"/>
                <w:szCs w:val="20"/>
                <w:color w:val="auto"/>
              </w:rPr>
            </w:pPr>
          </w:p>
        </w:tc>
        <w:tc>
          <w:tcPr>
            <w:tcW w:w="20" w:type="dxa"/>
            <w:vAlign w:val="bottom"/>
            <w:tcBorders>
              <w:top w:val="single" w:sz="8" w:color="auto"/>
              <w:bottom w:val="single" w:sz="8" w:color="auto"/>
            </w:tcBorders>
            <w:shd w:val="clear" w:color="auto" w:fill="FEFEFE"/>
          </w:tcPr>
          <w:p>
            <w:pPr>
              <w:spacing w:after="0"/>
              <w:rPr>
                <w:sz w:val="20"/>
                <w:szCs w:val="20"/>
                <w:color w:val="auto"/>
              </w:rPr>
            </w:pPr>
          </w:p>
        </w:tc>
        <w:tc>
          <w:tcPr>
            <w:tcW w:w="220" w:type="dxa"/>
            <w:vAlign w:val="bottom"/>
            <w:tcBorders>
              <w:top w:val="single" w:sz="8" w:color="auto"/>
              <w:bottom w:val="single" w:sz="8" w:color="auto"/>
            </w:tcBorders>
            <w:shd w:val="clear" w:color="auto" w:fill="FEFEFE"/>
          </w:tcPr>
          <w:p>
            <w:pPr>
              <w:spacing w:after="0"/>
              <w:rPr>
                <w:sz w:val="20"/>
                <w:szCs w:val="20"/>
                <w:color w:val="auto"/>
              </w:rPr>
            </w:pPr>
          </w:p>
        </w:tc>
        <w:tc>
          <w:tcPr>
            <w:tcW w:w="1100" w:type="dxa"/>
            <w:vAlign w:val="bottom"/>
            <w:tcBorders>
              <w:top w:val="single" w:sz="8" w:color="auto"/>
              <w:bottom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color w:val="auto"/>
              </w:rPr>
              <w:t>1.8</w:t>
            </w:r>
          </w:p>
        </w:tc>
      </w:tr>
      <w:tr>
        <w:trPr>
          <w:trHeight w:val="20"/>
        </w:trPr>
        <w:tc>
          <w:tcPr>
            <w:tcW w:w="3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88"/>
        </w:trPr>
        <w:tc>
          <w:tcPr>
            <w:tcW w:w="672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w w:val="99"/>
              </w:rPr>
              <w:t>Components of the Company’s deferred tax assets and liabilities are as follows: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9"/>
        </w:trPr>
        <w:tc>
          <w:tcPr>
            <w:tcW w:w="36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2"/>
          </w:tcPr>
          <w:p>
            <w:pPr>
              <w:spacing w:after="0"/>
              <w:rPr>
                <w:sz w:val="22"/>
                <w:szCs w:val="22"/>
                <w:color w:val="auto"/>
              </w:rPr>
            </w:pPr>
          </w:p>
        </w:tc>
        <w:tc>
          <w:tcPr>
            <w:tcW w:w="120" w:type="dxa"/>
            <w:vAlign w:val="bottom"/>
            <w:gridSpan w:val="3"/>
          </w:tcPr>
          <w:p>
            <w:pPr>
              <w:spacing w:after="0"/>
              <w:rPr>
                <w:sz w:val="22"/>
                <w:szCs w:val="22"/>
                <w:color w:val="auto"/>
              </w:rPr>
            </w:pPr>
          </w:p>
        </w:tc>
        <w:tc>
          <w:tcPr>
            <w:tcW w:w="1320" w:type="dxa"/>
            <w:vAlign w:val="bottom"/>
            <w:gridSpan w:val="2"/>
          </w:tcPr>
          <w:p>
            <w:pPr>
              <w:spacing w:after="0"/>
              <w:rPr>
                <w:sz w:val="22"/>
                <w:szCs w:val="22"/>
                <w:color w:val="auto"/>
              </w:rPr>
            </w:pPr>
          </w:p>
        </w:tc>
      </w:tr>
      <w:tr>
        <w:trPr>
          <w:trHeight w:val="244"/>
        </w:trPr>
        <w:tc>
          <w:tcPr>
            <w:tcW w:w="360" w:type="dxa"/>
            <w:vAlign w:val="bottom"/>
          </w:tcPr>
          <w:p>
            <w:pPr>
              <w:spacing w:after="0"/>
              <w:rPr>
                <w:sz w:val="21"/>
                <w:szCs w:val="21"/>
                <w:color w:val="auto"/>
              </w:rPr>
            </w:pPr>
          </w:p>
        </w:tc>
        <w:tc>
          <w:tcPr>
            <w:tcW w:w="584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2760" w:type="dxa"/>
            <w:vAlign w:val="bottom"/>
            <w:tcBorders>
              <w:bottom w:val="single" w:sz="8" w:color="auto"/>
            </w:tcBorders>
            <w:gridSpan w:val="7"/>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34"/>
        </w:trPr>
        <w:tc>
          <w:tcPr>
            <w:tcW w:w="360" w:type="dxa"/>
            <w:vAlign w:val="bottom"/>
          </w:tcPr>
          <w:p>
            <w:pPr>
              <w:spacing w:after="0"/>
              <w:rPr>
                <w:sz w:val="20"/>
                <w:szCs w:val="20"/>
                <w:color w:val="auto"/>
              </w:rPr>
            </w:pPr>
          </w:p>
        </w:tc>
        <w:tc>
          <w:tcPr>
            <w:tcW w:w="5840" w:type="dxa"/>
            <w:vAlign w:val="bottom"/>
            <w:tcBorders>
              <w:bottom w:val="single" w:sz="8" w:color="FEFEFE"/>
            </w:tcBorders>
            <w:shd w:val="clear" w:color="auto" w:fill="FEFEFE"/>
          </w:tcPr>
          <w:p>
            <w:pPr>
              <w:spacing w:after="0"/>
              <w:rPr>
                <w:sz w:val="20"/>
                <w:szCs w:val="20"/>
                <w:color w:val="auto"/>
              </w:rPr>
            </w:pPr>
          </w:p>
        </w:tc>
        <w:tc>
          <w:tcPr>
            <w:tcW w:w="40" w:type="dxa"/>
            <w:vAlign w:val="bottom"/>
            <w:tcBorders>
              <w:bottom w:val="single" w:sz="8" w:color="FEFEFE"/>
            </w:tcBorders>
            <w:shd w:val="clear" w:color="auto" w:fill="FEFEFE"/>
          </w:tcPr>
          <w:p>
            <w:pPr>
              <w:spacing w:after="0"/>
              <w:rPr>
                <w:sz w:val="20"/>
                <w:szCs w:val="20"/>
                <w:color w:val="auto"/>
              </w:rPr>
            </w:pPr>
          </w:p>
        </w:tc>
        <w:tc>
          <w:tcPr>
            <w:tcW w:w="1320" w:type="dxa"/>
            <w:vAlign w:val="bottom"/>
            <w:tcBorders>
              <w:bottom w:val="single" w:sz="8" w:color="auto"/>
            </w:tcBorders>
            <w:gridSpan w:val="2"/>
            <w:shd w:val="clear" w:color="auto" w:fill="FEFEFE"/>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FEFEFE"/>
            </w:tcBorders>
            <w:shd w:val="clear" w:color="auto" w:fill="FEFEFE"/>
          </w:tcPr>
          <w:p>
            <w:pPr>
              <w:spacing w:after="0"/>
              <w:rPr>
                <w:sz w:val="20"/>
                <w:szCs w:val="20"/>
                <w:color w:val="auto"/>
              </w:rPr>
            </w:pPr>
          </w:p>
        </w:tc>
        <w:tc>
          <w:tcPr>
            <w:tcW w:w="80" w:type="dxa"/>
            <w:vAlign w:val="bottom"/>
            <w:tcBorders>
              <w:bottom w:val="single" w:sz="8" w:color="FEFEFE"/>
            </w:tcBorders>
            <w:shd w:val="clear" w:color="auto" w:fill="FEFEFE"/>
          </w:tcPr>
          <w:p>
            <w:pPr>
              <w:spacing w:after="0"/>
              <w:rPr>
                <w:sz w:val="20"/>
                <w:szCs w:val="20"/>
                <w:color w:val="auto"/>
              </w:rPr>
            </w:pPr>
          </w:p>
        </w:tc>
        <w:tc>
          <w:tcPr>
            <w:tcW w:w="20" w:type="dxa"/>
            <w:vAlign w:val="bottom"/>
            <w:tcBorders>
              <w:bottom w:val="single" w:sz="8" w:color="FEFEFE"/>
            </w:tcBorders>
            <w:shd w:val="clear" w:color="auto" w:fill="FEFEFE"/>
          </w:tcPr>
          <w:p>
            <w:pPr>
              <w:spacing w:after="0"/>
              <w:rPr>
                <w:sz w:val="20"/>
                <w:szCs w:val="20"/>
                <w:color w:val="auto"/>
              </w:rPr>
            </w:pPr>
          </w:p>
        </w:tc>
        <w:tc>
          <w:tcPr>
            <w:tcW w:w="220" w:type="dxa"/>
            <w:vAlign w:val="bottom"/>
            <w:tcBorders>
              <w:bottom w:val="single" w:sz="8" w:color="auto"/>
            </w:tcBorders>
            <w:shd w:val="clear" w:color="auto" w:fill="FEFEFE"/>
          </w:tcPr>
          <w:p>
            <w:pPr>
              <w:spacing w:after="0"/>
              <w:rPr>
                <w:sz w:val="20"/>
                <w:szCs w:val="20"/>
                <w:color w:val="auto"/>
              </w:rPr>
            </w:pPr>
          </w:p>
        </w:tc>
        <w:tc>
          <w:tcPr>
            <w:tcW w:w="1100" w:type="dxa"/>
            <w:vAlign w:val="bottom"/>
            <w:tcBorders>
              <w:bottom w:val="single" w:sz="8" w:color="auto"/>
            </w:tcBorders>
            <w:shd w:val="clear" w:color="auto" w:fill="FEFEFE"/>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4"/>
        </w:trPr>
        <w:tc>
          <w:tcPr>
            <w:tcW w:w="360" w:type="dxa"/>
            <w:vAlign w:val="bottom"/>
          </w:tcPr>
          <w:p>
            <w:pPr>
              <w:spacing w:after="0"/>
              <w:rPr>
                <w:sz w:val="20"/>
                <w:szCs w:val="20"/>
                <w:color w:val="auto"/>
              </w:rPr>
            </w:pPr>
          </w:p>
        </w:tc>
        <w:tc>
          <w:tcPr>
            <w:tcW w:w="5840" w:type="dxa"/>
            <w:vAlign w:val="bottom"/>
            <w:shd w:val="clear" w:color="auto" w:fill="FEFEFE"/>
          </w:tcPr>
          <w:p>
            <w:pPr>
              <w:spacing w:after="0"/>
              <w:rPr>
                <w:sz w:val="20"/>
                <w:szCs w:val="20"/>
                <w:color w:val="auto"/>
              </w:rPr>
            </w:pPr>
          </w:p>
        </w:tc>
        <w:tc>
          <w:tcPr>
            <w:tcW w:w="40" w:type="dxa"/>
            <w:vAlign w:val="bottom"/>
            <w:shd w:val="clear" w:color="auto" w:fill="FEFEFE"/>
          </w:tcPr>
          <w:p>
            <w:pPr>
              <w:spacing w:after="0"/>
              <w:rPr>
                <w:sz w:val="20"/>
                <w:szCs w:val="20"/>
                <w:color w:val="auto"/>
              </w:rPr>
            </w:pPr>
          </w:p>
        </w:tc>
        <w:tc>
          <w:tcPr>
            <w:tcW w:w="4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shd w:val="clear" w:color="auto" w:fill="FEFEFE"/>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w w:val="94"/>
              </w:rPr>
              <w:t>'000)</w:t>
            </w:r>
          </w:p>
        </w:tc>
        <w:tc>
          <w:tcPr>
            <w:tcW w:w="2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1100" w:type="dxa"/>
            <w:vAlign w:val="bottom"/>
            <w:shd w:val="clear" w:color="auto" w:fill="FEFEFE"/>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($'000)</w:t>
            </w:r>
          </w:p>
        </w:tc>
      </w:tr>
      <w:tr>
        <w:trPr>
          <w:trHeight w:val="244"/>
        </w:trPr>
        <w:tc>
          <w:tcPr>
            <w:tcW w:w="360" w:type="dxa"/>
            <w:vAlign w:val="bottom"/>
          </w:tcPr>
          <w:p>
            <w:pPr>
              <w:spacing w:after="0"/>
              <w:rPr>
                <w:sz w:val="21"/>
                <w:szCs w:val="21"/>
                <w:color w:val="auto"/>
              </w:rPr>
            </w:pPr>
          </w:p>
        </w:tc>
        <w:tc>
          <w:tcPr>
            <w:tcW w:w="5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4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100" w:type="dxa"/>
            <w:vAlign w:val="bottom"/>
            <w:shd w:val="clear" w:color="auto" w:fill="E6E6E6"/>
          </w:tcPr>
          <w:p>
            <w:pPr>
              <w:spacing w:after="0"/>
              <w:rPr>
                <w:sz w:val="21"/>
                <w:szCs w:val="21"/>
                <w:color w:val="auto"/>
              </w:rPr>
            </w:pPr>
          </w:p>
        </w:tc>
      </w:tr>
      <w:tr>
        <w:trPr>
          <w:trHeight w:val="244"/>
        </w:trPr>
        <w:tc>
          <w:tcPr>
            <w:tcW w:w="360" w:type="dxa"/>
            <w:vAlign w:val="bottom"/>
          </w:tcPr>
          <w:p>
            <w:pPr>
              <w:spacing w:after="0"/>
              <w:rPr>
                <w:sz w:val="21"/>
                <w:szCs w:val="21"/>
                <w:color w:val="auto"/>
              </w:rPr>
            </w:pPr>
          </w:p>
        </w:tc>
        <w:tc>
          <w:tcPr>
            <w:tcW w:w="58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Operating losses carryforwards</w:t>
            </w:r>
          </w:p>
        </w:tc>
        <w:tc>
          <w:tcPr>
            <w:tcW w:w="52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117,604</w:t>
            </w:r>
          </w:p>
        </w:tc>
        <w:tc>
          <w:tcPr>
            <w:tcW w:w="20" w:type="dxa"/>
            <w:vAlign w:val="bottom"/>
            <w:shd w:val="clear" w:color="auto" w:fill="FEFEFE"/>
          </w:tcPr>
          <w:p>
            <w:pPr>
              <w:spacing w:after="0"/>
              <w:rPr>
                <w:sz w:val="21"/>
                <w:szCs w:val="21"/>
                <w:color w:val="auto"/>
              </w:rPr>
            </w:pPr>
          </w:p>
        </w:tc>
        <w:tc>
          <w:tcPr>
            <w:tcW w:w="320" w:type="dxa"/>
            <w:vAlign w:val="bottom"/>
            <w:gridSpan w:val="3"/>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110,604</w:t>
            </w:r>
          </w:p>
        </w:tc>
      </w:tr>
      <w:tr>
        <w:trPr>
          <w:trHeight w:val="244"/>
        </w:trPr>
        <w:tc>
          <w:tcPr>
            <w:tcW w:w="360" w:type="dxa"/>
            <w:vAlign w:val="bottom"/>
          </w:tcPr>
          <w:p>
            <w:pPr>
              <w:spacing w:after="0"/>
              <w:rPr>
                <w:sz w:val="21"/>
                <w:szCs w:val="21"/>
                <w:color w:val="auto"/>
              </w:rPr>
            </w:pPr>
          </w:p>
        </w:tc>
        <w:tc>
          <w:tcPr>
            <w:tcW w:w="5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4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44"/>
        </w:trPr>
        <w:tc>
          <w:tcPr>
            <w:tcW w:w="360" w:type="dxa"/>
            <w:vAlign w:val="bottom"/>
          </w:tcPr>
          <w:p>
            <w:pPr>
              <w:spacing w:after="0"/>
              <w:rPr>
                <w:sz w:val="21"/>
                <w:szCs w:val="21"/>
                <w:color w:val="auto"/>
              </w:rPr>
            </w:pPr>
          </w:p>
        </w:tc>
        <w:tc>
          <w:tcPr>
            <w:tcW w:w="58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Intangible fixed assets</w:t>
            </w:r>
          </w:p>
        </w:tc>
        <w:tc>
          <w:tcPr>
            <w:tcW w:w="4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4,866</w:t>
            </w: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4,248</w:t>
            </w:r>
          </w:p>
        </w:tc>
      </w:tr>
      <w:tr>
        <w:trPr>
          <w:trHeight w:val="244"/>
        </w:trPr>
        <w:tc>
          <w:tcPr>
            <w:tcW w:w="360" w:type="dxa"/>
            <w:vAlign w:val="bottom"/>
          </w:tcPr>
          <w:p>
            <w:pPr>
              <w:spacing w:after="0"/>
              <w:rPr>
                <w:sz w:val="21"/>
                <w:szCs w:val="21"/>
                <w:color w:val="auto"/>
              </w:rPr>
            </w:pPr>
          </w:p>
        </w:tc>
        <w:tc>
          <w:tcPr>
            <w:tcW w:w="5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Temporary differences trading</w:t>
            </w:r>
          </w:p>
        </w:tc>
        <w:tc>
          <w:tcPr>
            <w:tcW w:w="4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44"/>
        </w:trPr>
        <w:tc>
          <w:tcPr>
            <w:tcW w:w="360" w:type="dxa"/>
            <w:vAlign w:val="bottom"/>
          </w:tcPr>
          <w:p>
            <w:pPr>
              <w:spacing w:after="0"/>
              <w:rPr>
                <w:sz w:val="21"/>
                <w:szCs w:val="21"/>
                <w:color w:val="auto"/>
              </w:rPr>
            </w:pPr>
          </w:p>
        </w:tc>
        <w:tc>
          <w:tcPr>
            <w:tcW w:w="58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Temporary differences non trading</w:t>
            </w:r>
          </w:p>
        </w:tc>
        <w:tc>
          <w:tcPr>
            <w:tcW w:w="4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44"/>
        </w:trPr>
        <w:tc>
          <w:tcPr>
            <w:tcW w:w="360" w:type="dxa"/>
            <w:vAlign w:val="bottom"/>
          </w:tcPr>
          <w:p>
            <w:pPr>
              <w:spacing w:after="0"/>
              <w:rPr>
                <w:sz w:val="21"/>
                <w:szCs w:val="21"/>
                <w:color w:val="auto"/>
              </w:rPr>
            </w:pPr>
          </w:p>
        </w:tc>
        <w:tc>
          <w:tcPr>
            <w:tcW w:w="5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Loan relationships</w:t>
            </w:r>
          </w:p>
        </w:tc>
        <w:tc>
          <w:tcPr>
            <w:tcW w:w="4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553</w:t>
            </w:r>
          </w:p>
        </w:tc>
      </w:tr>
      <w:tr>
        <w:trPr>
          <w:trHeight w:val="244"/>
        </w:trPr>
        <w:tc>
          <w:tcPr>
            <w:tcW w:w="360" w:type="dxa"/>
            <w:vAlign w:val="bottom"/>
          </w:tcPr>
          <w:p>
            <w:pPr>
              <w:spacing w:after="0"/>
              <w:rPr>
                <w:sz w:val="21"/>
                <w:szCs w:val="21"/>
                <w:color w:val="auto"/>
              </w:rPr>
            </w:pPr>
          </w:p>
        </w:tc>
        <w:tc>
          <w:tcPr>
            <w:tcW w:w="58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U.S. tax credits</w:t>
            </w:r>
          </w:p>
        </w:tc>
        <w:tc>
          <w:tcPr>
            <w:tcW w:w="4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79,031</w:t>
            </w: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79,024</w:t>
            </w:r>
          </w:p>
        </w:tc>
      </w:tr>
      <w:tr>
        <w:trPr>
          <w:trHeight w:val="244"/>
        </w:trPr>
        <w:tc>
          <w:tcPr>
            <w:tcW w:w="360" w:type="dxa"/>
            <w:vAlign w:val="bottom"/>
          </w:tcPr>
          <w:p>
            <w:pPr>
              <w:spacing w:after="0"/>
              <w:rPr>
                <w:sz w:val="21"/>
                <w:szCs w:val="21"/>
                <w:color w:val="auto"/>
              </w:rPr>
            </w:pPr>
          </w:p>
        </w:tc>
        <w:tc>
          <w:tcPr>
            <w:tcW w:w="5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Section 174 R&amp;E</w:t>
            </w:r>
          </w:p>
        </w:tc>
        <w:tc>
          <w:tcPr>
            <w:tcW w:w="4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4,106</w:t>
            </w: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4,437</w:t>
            </w:r>
          </w:p>
        </w:tc>
      </w:tr>
      <w:tr>
        <w:trPr>
          <w:trHeight w:val="244"/>
        </w:trPr>
        <w:tc>
          <w:tcPr>
            <w:tcW w:w="360" w:type="dxa"/>
            <w:vAlign w:val="bottom"/>
          </w:tcPr>
          <w:p>
            <w:pPr>
              <w:spacing w:after="0"/>
              <w:rPr>
                <w:sz w:val="21"/>
                <w:szCs w:val="21"/>
                <w:color w:val="auto"/>
              </w:rPr>
            </w:pPr>
          </w:p>
        </w:tc>
        <w:tc>
          <w:tcPr>
            <w:tcW w:w="58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Share based compensation awards</w:t>
            </w:r>
          </w:p>
        </w:tc>
        <w:tc>
          <w:tcPr>
            <w:tcW w:w="4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9,310</w:t>
            </w: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7,487</w:t>
            </w:r>
          </w:p>
        </w:tc>
      </w:tr>
      <w:tr>
        <w:trPr>
          <w:trHeight w:val="244"/>
        </w:trPr>
        <w:tc>
          <w:tcPr>
            <w:tcW w:w="360" w:type="dxa"/>
            <w:vAlign w:val="bottom"/>
          </w:tcPr>
          <w:p>
            <w:pPr>
              <w:spacing w:after="0"/>
              <w:rPr>
                <w:sz w:val="21"/>
                <w:szCs w:val="21"/>
                <w:color w:val="auto"/>
              </w:rPr>
            </w:pPr>
          </w:p>
        </w:tc>
        <w:tc>
          <w:tcPr>
            <w:tcW w:w="5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Others</w:t>
            </w:r>
          </w:p>
        </w:tc>
        <w:tc>
          <w:tcPr>
            <w:tcW w:w="4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44"/>
        </w:trPr>
        <w:tc>
          <w:tcPr>
            <w:tcW w:w="360" w:type="dxa"/>
            <w:vAlign w:val="bottom"/>
          </w:tcPr>
          <w:p>
            <w:pPr>
              <w:spacing w:after="0"/>
              <w:rPr>
                <w:sz w:val="21"/>
                <w:szCs w:val="21"/>
                <w:color w:val="auto"/>
              </w:rPr>
            </w:pPr>
          </w:p>
        </w:tc>
        <w:tc>
          <w:tcPr>
            <w:tcW w:w="5840" w:type="dxa"/>
            <w:vAlign w:val="bottom"/>
            <w:tcBorders>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Gross deferred tax asset</w:t>
            </w:r>
          </w:p>
        </w:tc>
        <w:tc>
          <w:tcPr>
            <w:tcW w:w="40" w:type="dxa"/>
            <w:vAlign w:val="bottom"/>
            <w:tcBorders>
              <w:bottom w:val="single" w:sz="8" w:color="E6E6E6"/>
            </w:tcBorders>
            <w:shd w:val="clear" w:color="auto" w:fill="FEFEFE"/>
          </w:tcPr>
          <w:p>
            <w:pPr>
              <w:spacing w:after="0"/>
              <w:rPr>
                <w:sz w:val="21"/>
                <w:szCs w:val="21"/>
                <w:color w:val="auto"/>
              </w:rPr>
            </w:pPr>
          </w:p>
        </w:tc>
        <w:tc>
          <w:tcPr>
            <w:tcW w:w="480" w:type="dxa"/>
            <w:vAlign w:val="bottom"/>
            <w:tcBorders>
              <w:bottom w:val="single" w:sz="8" w:color="auto"/>
            </w:tcBorders>
            <w:shd w:val="clear" w:color="auto" w:fill="FEFEFE"/>
          </w:tcPr>
          <w:p>
            <w:pPr>
              <w:spacing w:after="0"/>
              <w:rPr>
                <w:sz w:val="21"/>
                <w:szCs w:val="21"/>
                <w:color w:val="auto"/>
              </w:rPr>
            </w:pPr>
          </w:p>
        </w:tc>
        <w:tc>
          <w:tcPr>
            <w:tcW w:w="8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215,021</w:t>
            </w:r>
          </w:p>
        </w:tc>
        <w:tc>
          <w:tcPr>
            <w:tcW w:w="20" w:type="dxa"/>
            <w:vAlign w:val="bottom"/>
            <w:tcBorders>
              <w:bottom w:val="single" w:sz="8" w:color="E6E6E6"/>
            </w:tcBorders>
            <w:shd w:val="clear" w:color="auto" w:fill="FEFEFE"/>
          </w:tcPr>
          <w:p>
            <w:pPr>
              <w:spacing w:after="0"/>
              <w:rPr>
                <w:sz w:val="21"/>
                <w:szCs w:val="21"/>
                <w:color w:val="auto"/>
              </w:rPr>
            </w:pPr>
          </w:p>
        </w:tc>
        <w:tc>
          <w:tcPr>
            <w:tcW w:w="80" w:type="dxa"/>
            <w:vAlign w:val="bottom"/>
            <w:tcBorders>
              <w:bottom w:val="single" w:sz="8" w:color="E6E6E6"/>
            </w:tcBorders>
            <w:shd w:val="clear" w:color="auto" w:fill="FEFEFE"/>
          </w:tcPr>
          <w:p>
            <w:pPr>
              <w:spacing w:after="0"/>
              <w:rPr>
                <w:sz w:val="21"/>
                <w:szCs w:val="21"/>
                <w:color w:val="auto"/>
              </w:rPr>
            </w:pPr>
          </w:p>
        </w:tc>
        <w:tc>
          <w:tcPr>
            <w:tcW w:w="20" w:type="dxa"/>
            <w:vAlign w:val="bottom"/>
            <w:tcBorders>
              <w:bottom w:val="single" w:sz="8" w:color="E6E6E6"/>
            </w:tcBorders>
            <w:shd w:val="clear" w:color="auto" w:fill="FEFEFE"/>
          </w:tcPr>
          <w:p>
            <w:pPr>
              <w:spacing w:after="0"/>
              <w:rPr>
                <w:sz w:val="21"/>
                <w:szCs w:val="21"/>
                <w:color w:val="auto"/>
              </w:rPr>
            </w:pPr>
          </w:p>
        </w:tc>
        <w:tc>
          <w:tcPr>
            <w:tcW w:w="220" w:type="dxa"/>
            <w:vAlign w:val="bottom"/>
            <w:tcBorders>
              <w:bottom w:val="single" w:sz="8" w:color="auto"/>
            </w:tcBorders>
            <w:shd w:val="clear" w:color="auto" w:fill="FEFEFE"/>
          </w:tcPr>
          <w:p>
            <w:pPr>
              <w:spacing w:after="0"/>
              <w:rPr>
                <w:sz w:val="21"/>
                <w:szCs w:val="21"/>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206,344</w:t>
            </w:r>
          </w:p>
        </w:tc>
      </w:tr>
      <w:tr>
        <w:trPr>
          <w:trHeight w:val="234"/>
        </w:trPr>
        <w:tc>
          <w:tcPr>
            <w:tcW w:w="360" w:type="dxa"/>
            <w:vAlign w:val="bottom"/>
          </w:tcPr>
          <w:p>
            <w:pPr>
              <w:spacing w:after="0"/>
              <w:rPr>
                <w:sz w:val="20"/>
                <w:szCs w:val="20"/>
                <w:color w:val="auto"/>
              </w:rPr>
            </w:pPr>
          </w:p>
        </w:tc>
        <w:tc>
          <w:tcPr>
            <w:tcW w:w="584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40" w:type="dxa"/>
            <w:vAlign w:val="bottom"/>
            <w:tcBorders>
              <w:bottom w:val="single" w:sz="8" w:color="FEFEFE"/>
            </w:tcBorders>
            <w:shd w:val="clear" w:color="auto" w:fill="E6E6E6"/>
          </w:tcPr>
          <w:p>
            <w:pPr>
              <w:spacing w:after="0"/>
              <w:rPr>
                <w:sz w:val="20"/>
                <w:szCs w:val="20"/>
                <w:color w:val="auto"/>
              </w:rPr>
            </w:pPr>
          </w:p>
        </w:tc>
        <w:tc>
          <w:tcPr>
            <w:tcW w:w="480" w:type="dxa"/>
            <w:vAlign w:val="bottom"/>
            <w:tcBorders>
              <w:bottom w:val="single" w:sz="8" w:color="auto"/>
            </w:tcBorders>
            <w:shd w:val="clear" w:color="auto" w:fill="E6E6E6"/>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(215,021)</w:t>
            </w:r>
          </w:p>
        </w:tc>
        <w:tc>
          <w:tcPr>
            <w:tcW w:w="20" w:type="dxa"/>
            <w:vAlign w:val="bottom"/>
            <w:tcBorders>
              <w:bottom w:val="single" w:sz="8" w:color="FEFEFE"/>
            </w:tcBorders>
            <w:shd w:val="clear" w:color="auto" w:fill="E6E6E6"/>
          </w:tcPr>
          <w:p>
            <w:pPr>
              <w:spacing w:after="0"/>
              <w:rPr>
                <w:sz w:val="20"/>
                <w:szCs w:val="20"/>
                <w:color w:val="auto"/>
              </w:rPr>
            </w:pPr>
          </w:p>
        </w:tc>
        <w:tc>
          <w:tcPr>
            <w:tcW w:w="100" w:type="dxa"/>
            <w:vAlign w:val="bottom"/>
            <w:tcBorders>
              <w:bottom w:val="single" w:sz="8" w:color="FEFEFE"/>
            </w:tcBorders>
            <w:gridSpan w:val="2"/>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(206,344)</w:t>
            </w:r>
          </w:p>
        </w:tc>
      </w:tr>
      <w:tr>
        <w:trPr>
          <w:trHeight w:val="234"/>
        </w:trPr>
        <w:tc>
          <w:tcPr>
            <w:tcW w:w="360" w:type="dxa"/>
            <w:vAlign w:val="bottom"/>
          </w:tcPr>
          <w:p>
            <w:pPr>
              <w:spacing w:after="0"/>
              <w:rPr>
                <w:sz w:val="20"/>
                <w:szCs w:val="20"/>
                <w:color w:val="auto"/>
              </w:rPr>
            </w:pPr>
          </w:p>
        </w:tc>
        <w:tc>
          <w:tcPr>
            <w:tcW w:w="5840" w:type="dxa"/>
            <w:vAlign w:val="bottom"/>
            <w:tcBorders>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40" w:type="dxa"/>
            <w:vAlign w:val="bottom"/>
            <w:tcBorders>
              <w:bottom w:val="single" w:sz="8" w:color="E6E6E6"/>
            </w:tcBorders>
            <w:shd w:val="clear" w:color="auto" w:fill="FEFEFE"/>
          </w:tcPr>
          <w:p>
            <w:pPr>
              <w:spacing w:after="0"/>
              <w:rPr>
                <w:sz w:val="20"/>
                <w:szCs w:val="20"/>
                <w:color w:val="auto"/>
              </w:rPr>
            </w:pPr>
          </w:p>
        </w:tc>
        <w:tc>
          <w:tcPr>
            <w:tcW w:w="480" w:type="dxa"/>
            <w:vAlign w:val="bottom"/>
            <w:tcBorders>
              <w:bottom w:val="single" w:sz="8" w:color="auto"/>
            </w:tcBorders>
            <w:shd w:val="clear" w:color="auto" w:fill="FEFEFE"/>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6E6E6"/>
            </w:tcBorders>
            <w:shd w:val="clear" w:color="auto" w:fill="FEFEFE"/>
          </w:tcPr>
          <w:p>
            <w:pPr>
              <w:spacing w:after="0"/>
              <w:rPr>
                <w:sz w:val="20"/>
                <w:szCs w:val="20"/>
                <w:color w:val="auto"/>
              </w:rPr>
            </w:pPr>
          </w:p>
        </w:tc>
        <w:tc>
          <w:tcPr>
            <w:tcW w:w="100" w:type="dxa"/>
            <w:vAlign w:val="bottom"/>
            <w:tcBorders>
              <w:bottom w:val="single" w:sz="8" w:color="E6E6E6"/>
            </w:tcBorders>
            <w:gridSpan w:val="2"/>
            <w:shd w:val="clear" w:color="auto" w:fill="FEFEFE"/>
          </w:tcPr>
          <w:p>
            <w:pPr>
              <w:spacing w:after="0"/>
              <w:rPr>
                <w:sz w:val="20"/>
                <w:szCs w:val="20"/>
                <w:color w:val="auto"/>
              </w:rPr>
            </w:pPr>
          </w:p>
        </w:tc>
        <w:tc>
          <w:tcPr>
            <w:tcW w:w="220" w:type="dxa"/>
            <w:vAlign w:val="bottom"/>
            <w:tcBorders>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360" w:type="dxa"/>
            <w:vAlign w:val="bottom"/>
          </w:tcPr>
          <w:p>
            <w:pPr>
              <w:spacing w:after="0"/>
              <w:rPr>
                <w:sz w:val="20"/>
                <w:szCs w:val="20"/>
                <w:color w:val="auto"/>
              </w:rPr>
            </w:pPr>
          </w:p>
        </w:tc>
        <w:tc>
          <w:tcPr>
            <w:tcW w:w="5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40" w:type="dxa"/>
            <w:vAlign w:val="bottom"/>
            <w:shd w:val="clear" w:color="auto" w:fill="E6E6E6"/>
          </w:tcPr>
          <w:p>
            <w:pPr>
              <w:spacing w:after="0"/>
              <w:rPr>
                <w:sz w:val="20"/>
                <w:szCs w:val="20"/>
                <w:color w:val="auto"/>
              </w:rPr>
            </w:pPr>
          </w:p>
        </w:tc>
        <w:tc>
          <w:tcPr>
            <w:tcW w:w="480" w:type="dxa"/>
            <w:vAlign w:val="bottom"/>
            <w:shd w:val="clear" w:color="auto" w:fill="E6E6E6"/>
          </w:tcPr>
          <w:p>
            <w:pPr>
              <w:spacing w:after="0"/>
              <w:rPr>
                <w:sz w:val="20"/>
                <w:szCs w:val="20"/>
                <w:color w:val="auto"/>
              </w:rPr>
            </w:pPr>
          </w:p>
        </w:tc>
        <w:tc>
          <w:tcPr>
            <w:tcW w:w="8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1100" w:type="dxa"/>
            <w:vAlign w:val="bottom"/>
            <w:shd w:val="clear" w:color="auto" w:fill="E6E6E6"/>
          </w:tcPr>
          <w:p>
            <w:pPr>
              <w:spacing w:after="0"/>
              <w:rPr>
                <w:sz w:val="20"/>
                <w:szCs w:val="20"/>
                <w:color w:val="auto"/>
              </w:rPr>
            </w:pPr>
          </w:p>
        </w:tc>
      </w:tr>
      <w:tr>
        <w:trPr>
          <w:trHeight w:val="244"/>
        </w:trPr>
        <w:tc>
          <w:tcPr>
            <w:tcW w:w="360" w:type="dxa"/>
            <w:vAlign w:val="bottom"/>
          </w:tcPr>
          <w:p>
            <w:pPr>
              <w:spacing w:after="0"/>
              <w:rPr>
                <w:sz w:val="21"/>
                <w:szCs w:val="21"/>
                <w:color w:val="auto"/>
              </w:rPr>
            </w:pPr>
          </w:p>
        </w:tc>
        <w:tc>
          <w:tcPr>
            <w:tcW w:w="58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40" w:type="dxa"/>
            <w:vAlign w:val="bottom"/>
            <w:shd w:val="clear" w:color="auto" w:fill="FEFEFE"/>
          </w:tcPr>
          <w:p>
            <w:pPr>
              <w:spacing w:after="0"/>
              <w:rPr>
                <w:sz w:val="21"/>
                <w:szCs w:val="21"/>
                <w:color w:val="auto"/>
              </w:rPr>
            </w:pPr>
          </w:p>
        </w:tc>
        <w:tc>
          <w:tcPr>
            <w:tcW w:w="480" w:type="dxa"/>
            <w:vAlign w:val="bottom"/>
            <w:shd w:val="clear" w:color="auto" w:fill="FEFEFE"/>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FEFEFE"/>
          </w:tcPr>
          <w:p>
            <w:pPr>
              <w:spacing w:after="0"/>
              <w:rPr>
                <w:sz w:val="21"/>
                <w:szCs w:val="21"/>
                <w:color w:val="auto"/>
              </w:rPr>
            </w:pPr>
          </w:p>
        </w:tc>
        <w:tc>
          <w:tcPr>
            <w:tcW w:w="100" w:type="dxa"/>
            <w:vAlign w:val="bottom"/>
            <w:gridSpan w:val="2"/>
            <w:shd w:val="clear" w:color="auto" w:fill="FEFEFE"/>
          </w:tcPr>
          <w:p>
            <w:pPr>
              <w:spacing w:after="0"/>
              <w:rPr>
                <w:sz w:val="21"/>
                <w:szCs w:val="21"/>
                <w:color w:val="auto"/>
              </w:rPr>
            </w:pPr>
          </w:p>
        </w:tc>
        <w:tc>
          <w:tcPr>
            <w:tcW w:w="22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44"/>
        </w:trPr>
        <w:tc>
          <w:tcPr>
            <w:tcW w:w="360" w:type="dxa"/>
            <w:vAlign w:val="bottom"/>
          </w:tcPr>
          <w:p>
            <w:pPr>
              <w:spacing w:after="0"/>
              <w:rPr>
                <w:sz w:val="21"/>
                <w:szCs w:val="21"/>
                <w:color w:val="auto"/>
              </w:rPr>
            </w:pPr>
          </w:p>
        </w:tc>
        <w:tc>
          <w:tcPr>
            <w:tcW w:w="5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deferred tax liabilities</w:t>
            </w:r>
          </w:p>
        </w:tc>
        <w:tc>
          <w:tcPr>
            <w:tcW w:w="520" w:type="dxa"/>
            <w:vAlign w:val="bottom"/>
            <w:gridSpan w:val="2"/>
            <w:shd w:val="clear" w:color="auto" w:fill="E6E6E6"/>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34"/>
        </w:trPr>
        <w:tc>
          <w:tcPr>
            <w:tcW w:w="360" w:type="dxa"/>
            <w:vAlign w:val="bottom"/>
          </w:tcPr>
          <w:p>
            <w:pPr>
              <w:spacing w:after="0"/>
              <w:rPr>
                <w:sz w:val="20"/>
                <w:szCs w:val="20"/>
                <w:color w:val="auto"/>
              </w:rPr>
            </w:pPr>
          </w:p>
        </w:tc>
        <w:tc>
          <w:tcPr>
            <w:tcW w:w="5840" w:type="dxa"/>
            <w:vAlign w:val="bottom"/>
            <w:tcBorders>
              <w:top w:val="single" w:sz="8" w:color="FEFEFE"/>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Total deferred tax, net</w:t>
            </w:r>
          </w:p>
        </w:tc>
        <w:tc>
          <w:tcPr>
            <w:tcW w:w="40" w:type="dxa"/>
            <w:vAlign w:val="bottom"/>
            <w:tcBorders>
              <w:top w:val="single" w:sz="8" w:color="FEFEFE"/>
            </w:tcBorders>
            <w:shd w:val="clear" w:color="auto" w:fill="FEFEFE"/>
          </w:tcPr>
          <w:p>
            <w:pPr>
              <w:spacing w:after="0"/>
              <w:rPr>
                <w:sz w:val="20"/>
                <w:szCs w:val="20"/>
                <w:color w:val="auto"/>
              </w:rPr>
            </w:pPr>
          </w:p>
        </w:tc>
        <w:tc>
          <w:tcPr>
            <w:tcW w:w="480" w:type="dxa"/>
            <w:vAlign w:val="bottom"/>
            <w:tcBorders>
              <w:top w:val="single" w:sz="8" w:color="auto"/>
              <w:bottom w:val="single" w:sz="8" w:color="auto"/>
            </w:tcBorders>
            <w:shd w:val="clear" w:color="auto" w:fill="FEFEFE"/>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FEFEFE"/>
            </w:tcBorders>
            <w:shd w:val="clear" w:color="auto" w:fill="FEFEFE"/>
          </w:tcPr>
          <w:p>
            <w:pPr>
              <w:spacing w:after="0"/>
              <w:rPr>
                <w:sz w:val="20"/>
                <w:szCs w:val="20"/>
                <w:color w:val="auto"/>
              </w:rPr>
            </w:pPr>
          </w:p>
        </w:tc>
        <w:tc>
          <w:tcPr>
            <w:tcW w:w="100" w:type="dxa"/>
            <w:vAlign w:val="bottom"/>
            <w:tcBorders>
              <w:top w:val="single" w:sz="8" w:color="FEFEFE"/>
            </w:tcBorders>
            <w:gridSpan w:val="2"/>
            <w:shd w:val="clear" w:color="auto" w:fill="FEFEFE"/>
          </w:tcPr>
          <w:p>
            <w:pPr>
              <w:spacing w:after="0"/>
              <w:rPr>
                <w:sz w:val="20"/>
                <w:szCs w:val="20"/>
                <w:color w:val="auto"/>
              </w:rPr>
            </w:pPr>
          </w:p>
        </w:tc>
        <w:tc>
          <w:tcPr>
            <w:tcW w:w="220" w:type="dxa"/>
            <w:vAlign w:val="bottom"/>
            <w:tcBorders>
              <w:top w:val="single" w:sz="8" w:color="auto"/>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0"/>
        </w:trPr>
        <w:tc>
          <w:tcPr>
            <w:tcW w:w="3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260" w:top="748" w:right="1440" w:bottom="8" w:gutter="0" w:footer="0" w:header="0"/>
        </w:sectPr>
      </w:pP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F-26</w:t>
      </w:r>
    </w:p>
    <w:p>
      <w:pPr>
        <w:sectPr>
          <w:pgSz w:w="11880" w:h="15480" w:orient="portrait"/>
          <w:cols w:equalWidth="0" w:num="1">
            <w:col w:w="9180"/>
          </w:cols>
          <w:pgMar w:left="1260" w:top="748" w:right="1440" w:bottom="8" w:gutter="0" w:footer="0" w:header="0"/>
          <w:type w:val="continuous"/>
        </w:sectPr>
      </w:pPr>
    </w:p>
    <w:bookmarkStart w:id="134" w:name="page135"/>
    <w:bookmarkEnd w:id="134"/>
    <w:tbl>
      <w:tblPr>
        <w:tblLayout w:type="fixed"/>
        <w:tblInd w:w="720" w:type="dxa"/>
        <w:tblCellMar>
          <w:top w:w="0" w:type="dxa"/>
          <w:left w:w="0" w:type="dxa"/>
          <w:bottom w:w="0" w:type="dxa"/>
          <w:right w:w="0" w:type="dxa"/>
        </w:tblCellMar>
      </w:tblPr>
      <w:tr>
        <w:trPr>
          <w:trHeight w:val="268"/>
        </w:trPr>
        <w:tc>
          <w:tcPr>
            <w:tcW w:w="6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Movements in deferred tax valuation allowance:</w:t>
            </w: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9"/>
        </w:trPr>
        <w:tc>
          <w:tcPr>
            <w:tcW w:w="36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1440" w:type="dxa"/>
            <w:vAlign w:val="bottom"/>
            <w:gridSpan w:val="3"/>
          </w:tcPr>
          <w:p>
            <w:pPr>
              <w:spacing w:after="0"/>
              <w:rPr>
                <w:sz w:val="22"/>
                <w:szCs w:val="22"/>
                <w:color w:val="auto"/>
              </w:rPr>
            </w:pPr>
          </w:p>
        </w:tc>
        <w:tc>
          <w:tcPr>
            <w:tcW w:w="1320" w:type="dxa"/>
            <w:vAlign w:val="bottom"/>
            <w:gridSpan w:val="2"/>
          </w:tcPr>
          <w:p>
            <w:pPr>
              <w:spacing w:after="0"/>
              <w:rPr>
                <w:sz w:val="22"/>
                <w:szCs w:val="22"/>
                <w:color w:val="auto"/>
              </w:rPr>
            </w:pPr>
          </w:p>
        </w:tc>
      </w:tr>
      <w:tr>
        <w:trPr>
          <w:trHeight w:val="244"/>
        </w:trPr>
        <w:tc>
          <w:tcPr>
            <w:tcW w:w="360" w:type="dxa"/>
            <w:vAlign w:val="bottom"/>
          </w:tcPr>
          <w:p>
            <w:pPr>
              <w:spacing w:after="0"/>
              <w:rPr>
                <w:sz w:val="21"/>
                <w:szCs w:val="21"/>
                <w:color w:val="auto"/>
              </w:rPr>
            </w:pPr>
          </w:p>
        </w:tc>
        <w:tc>
          <w:tcPr>
            <w:tcW w:w="5880" w:type="dxa"/>
            <w:vAlign w:val="bottom"/>
            <w:tcBorders>
              <w:bottom w:val="single" w:sz="8" w:color="FEFEFE"/>
            </w:tcBorders>
            <w:shd w:val="clear" w:color="auto" w:fill="FEFEFE"/>
          </w:tcPr>
          <w:p>
            <w:pPr>
              <w:spacing w:after="0"/>
              <w:rPr>
                <w:sz w:val="21"/>
                <w:szCs w:val="21"/>
                <w:color w:val="auto"/>
              </w:rPr>
            </w:pPr>
          </w:p>
        </w:tc>
        <w:tc>
          <w:tcPr>
            <w:tcW w:w="2760" w:type="dxa"/>
            <w:vAlign w:val="bottom"/>
            <w:tcBorders>
              <w:bottom w:val="single" w:sz="8" w:color="auto"/>
            </w:tcBorders>
            <w:gridSpan w:val="5"/>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34"/>
        </w:trPr>
        <w:tc>
          <w:tcPr>
            <w:tcW w:w="360" w:type="dxa"/>
            <w:vAlign w:val="bottom"/>
          </w:tcPr>
          <w:p>
            <w:pPr>
              <w:spacing w:after="0"/>
              <w:rPr>
                <w:sz w:val="20"/>
                <w:szCs w:val="20"/>
                <w:color w:val="auto"/>
              </w:rPr>
            </w:pPr>
          </w:p>
        </w:tc>
        <w:tc>
          <w:tcPr>
            <w:tcW w:w="5880" w:type="dxa"/>
            <w:vAlign w:val="bottom"/>
            <w:tcBorders>
              <w:bottom w:val="single" w:sz="8" w:color="FEFEFE"/>
            </w:tcBorders>
            <w:shd w:val="clear" w:color="auto" w:fill="FEFEFE"/>
          </w:tcPr>
          <w:p>
            <w:pPr>
              <w:spacing w:after="0"/>
              <w:rPr>
                <w:sz w:val="20"/>
                <w:szCs w:val="20"/>
                <w:color w:val="auto"/>
              </w:rPr>
            </w:pPr>
          </w:p>
        </w:tc>
        <w:tc>
          <w:tcPr>
            <w:tcW w:w="1320" w:type="dxa"/>
            <w:vAlign w:val="bottom"/>
            <w:tcBorders>
              <w:bottom w:val="single" w:sz="8" w:color="auto"/>
            </w:tcBorders>
            <w:gridSpan w:val="2"/>
            <w:shd w:val="clear" w:color="auto" w:fill="FEFEFE"/>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Borders>
              <w:bottom w:val="single" w:sz="8" w:color="FEFEFE"/>
            </w:tcBorders>
            <w:shd w:val="clear" w:color="auto" w:fill="FEFEFE"/>
          </w:tcPr>
          <w:p>
            <w:pPr>
              <w:spacing w:after="0"/>
              <w:rPr>
                <w:sz w:val="20"/>
                <w:szCs w:val="20"/>
                <w:color w:val="auto"/>
              </w:rPr>
            </w:pPr>
          </w:p>
        </w:tc>
        <w:tc>
          <w:tcPr>
            <w:tcW w:w="220" w:type="dxa"/>
            <w:vAlign w:val="bottom"/>
            <w:tcBorders>
              <w:bottom w:val="single" w:sz="8" w:color="auto"/>
            </w:tcBorders>
            <w:shd w:val="clear" w:color="auto" w:fill="FEFEFE"/>
          </w:tcPr>
          <w:p>
            <w:pPr>
              <w:spacing w:after="0"/>
              <w:rPr>
                <w:sz w:val="20"/>
                <w:szCs w:val="20"/>
                <w:color w:val="auto"/>
              </w:rPr>
            </w:pPr>
          </w:p>
        </w:tc>
        <w:tc>
          <w:tcPr>
            <w:tcW w:w="1100" w:type="dxa"/>
            <w:vAlign w:val="bottom"/>
            <w:tcBorders>
              <w:bottom w:val="single" w:sz="8" w:color="auto"/>
            </w:tcBorders>
            <w:shd w:val="clear" w:color="auto" w:fill="FEFEFE"/>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4"/>
        </w:trPr>
        <w:tc>
          <w:tcPr>
            <w:tcW w:w="360" w:type="dxa"/>
            <w:vAlign w:val="bottom"/>
          </w:tcPr>
          <w:p>
            <w:pPr>
              <w:spacing w:after="0"/>
              <w:rPr>
                <w:sz w:val="20"/>
                <w:szCs w:val="20"/>
                <w:color w:val="auto"/>
              </w:rPr>
            </w:pPr>
          </w:p>
        </w:tc>
        <w:tc>
          <w:tcPr>
            <w:tcW w:w="5880" w:type="dxa"/>
            <w:vAlign w:val="bottom"/>
            <w:shd w:val="clear" w:color="auto" w:fill="FEFEFE"/>
          </w:tcPr>
          <w:p>
            <w:pPr>
              <w:spacing w:after="0"/>
              <w:rPr>
                <w:sz w:val="20"/>
                <w:szCs w:val="20"/>
                <w:color w:val="auto"/>
              </w:rPr>
            </w:pPr>
          </w:p>
        </w:tc>
        <w:tc>
          <w:tcPr>
            <w:tcW w:w="4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shd w:val="clear" w:color="auto" w:fill="FEFEFE"/>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w w:val="94"/>
              </w:rPr>
              <w:t>'000)</w:t>
            </w:r>
          </w:p>
        </w:tc>
        <w:tc>
          <w:tcPr>
            <w:tcW w:w="12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1100" w:type="dxa"/>
            <w:vAlign w:val="bottom"/>
            <w:shd w:val="clear" w:color="auto" w:fill="FEFEFE"/>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($'000)</w:t>
            </w:r>
          </w:p>
        </w:tc>
      </w:tr>
      <w:tr>
        <w:trPr>
          <w:trHeight w:val="244"/>
        </w:trPr>
        <w:tc>
          <w:tcPr>
            <w:tcW w:w="360" w:type="dxa"/>
            <w:vAlign w:val="bottom"/>
          </w:tcPr>
          <w:p>
            <w:pPr>
              <w:spacing w:after="0"/>
              <w:rPr>
                <w:sz w:val="21"/>
                <w:szCs w:val="21"/>
                <w:color w:val="auto"/>
              </w:rPr>
            </w:pPr>
          </w:p>
        </w:tc>
        <w:tc>
          <w:tcPr>
            <w:tcW w:w="58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Valuation allowance at January 1</w:t>
            </w:r>
          </w:p>
        </w:tc>
        <w:tc>
          <w:tcPr>
            <w:tcW w:w="480" w:type="dxa"/>
            <w:vAlign w:val="bottom"/>
            <w:shd w:val="clear" w:color="auto" w:fill="E6E6E6"/>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(206,344)</w:t>
            </w:r>
          </w:p>
        </w:tc>
        <w:tc>
          <w:tcPr>
            <w:tcW w:w="120" w:type="dxa"/>
            <w:vAlign w:val="bottom"/>
            <w:shd w:val="clear" w:color="auto" w:fill="E6E6E6"/>
          </w:tcPr>
          <w:p>
            <w:pPr>
              <w:spacing w:after="0"/>
              <w:rPr>
                <w:sz w:val="21"/>
                <w:szCs w:val="21"/>
                <w:color w:val="auto"/>
              </w:rPr>
            </w:pPr>
          </w:p>
        </w:tc>
        <w:tc>
          <w:tcPr>
            <w:tcW w:w="2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(197,243)</w:t>
            </w:r>
          </w:p>
        </w:tc>
      </w:tr>
      <w:tr>
        <w:trPr>
          <w:trHeight w:val="244"/>
        </w:trPr>
        <w:tc>
          <w:tcPr>
            <w:tcW w:w="360" w:type="dxa"/>
            <w:vAlign w:val="bottom"/>
          </w:tcPr>
          <w:p>
            <w:pPr>
              <w:spacing w:after="0"/>
              <w:rPr>
                <w:sz w:val="21"/>
                <w:szCs w:val="21"/>
                <w:color w:val="auto"/>
              </w:rPr>
            </w:pPr>
          </w:p>
        </w:tc>
        <w:tc>
          <w:tcPr>
            <w:tcW w:w="58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Change in tax rates</w:t>
            </w:r>
          </w:p>
        </w:tc>
        <w:tc>
          <w:tcPr>
            <w:tcW w:w="48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60" w:type="dxa"/>
            <w:vAlign w:val="bottom"/>
          </w:tcPr>
          <w:p>
            <w:pPr>
              <w:spacing w:after="0"/>
              <w:rPr>
                <w:sz w:val="21"/>
                <w:szCs w:val="21"/>
                <w:color w:val="auto"/>
              </w:rPr>
            </w:pPr>
          </w:p>
        </w:tc>
        <w:tc>
          <w:tcPr>
            <w:tcW w:w="588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Increase in valuation allowance</w:t>
            </w:r>
          </w:p>
        </w:tc>
        <w:tc>
          <w:tcPr>
            <w:tcW w:w="480" w:type="dxa"/>
            <w:vAlign w:val="bottom"/>
            <w:tcBorders>
              <w:bottom w:val="single" w:sz="8" w:color="auto"/>
            </w:tcBorders>
            <w:shd w:val="clear" w:color="auto" w:fill="E6E6E6"/>
          </w:tcPr>
          <w:p>
            <w:pPr>
              <w:spacing w:after="0"/>
              <w:rPr>
                <w:sz w:val="21"/>
                <w:szCs w:val="21"/>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(8,677)</w:t>
            </w:r>
          </w:p>
        </w:tc>
        <w:tc>
          <w:tcPr>
            <w:tcW w:w="120" w:type="dxa"/>
            <w:vAlign w:val="bottom"/>
            <w:tcBorders>
              <w:bottom w:val="single" w:sz="8" w:color="FEFEFE"/>
            </w:tcBorders>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(9,101)</w:t>
            </w:r>
          </w:p>
        </w:tc>
      </w:tr>
      <w:tr>
        <w:trPr>
          <w:trHeight w:val="234"/>
        </w:trPr>
        <w:tc>
          <w:tcPr>
            <w:tcW w:w="360" w:type="dxa"/>
            <w:vAlign w:val="bottom"/>
          </w:tcPr>
          <w:p>
            <w:pPr>
              <w:spacing w:after="0"/>
              <w:rPr>
                <w:sz w:val="20"/>
                <w:szCs w:val="20"/>
                <w:color w:val="auto"/>
              </w:rPr>
            </w:pPr>
          </w:p>
        </w:tc>
        <w:tc>
          <w:tcPr>
            <w:tcW w:w="58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Valuation allowance at December 31</w:t>
            </w:r>
          </w:p>
        </w:tc>
        <w:tc>
          <w:tcPr>
            <w:tcW w:w="480" w:type="dxa"/>
            <w:vAlign w:val="bottom"/>
            <w:tcBorders>
              <w:bottom w:val="single" w:sz="8" w:color="auto"/>
            </w:tcBorders>
            <w:shd w:val="clear" w:color="auto" w:fill="FEFEFE"/>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(215,021)</w:t>
            </w:r>
          </w:p>
        </w:tc>
        <w:tc>
          <w:tcPr>
            <w:tcW w:w="120" w:type="dxa"/>
            <w:vAlign w:val="bottom"/>
            <w:shd w:val="clear" w:color="auto" w:fill="FEFEFE"/>
          </w:tcPr>
          <w:p>
            <w:pPr>
              <w:spacing w:after="0"/>
              <w:rPr>
                <w:sz w:val="20"/>
                <w:szCs w:val="20"/>
                <w:color w:val="auto"/>
              </w:rPr>
            </w:pPr>
          </w:p>
        </w:tc>
        <w:tc>
          <w:tcPr>
            <w:tcW w:w="220" w:type="dxa"/>
            <w:vAlign w:val="bottom"/>
            <w:tcBorders>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(206,344)</w:t>
            </w:r>
          </w:p>
        </w:tc>
      </w:tr>
      <w:tr>
        <w:trPr>
          <w:trHeight w:val="20"/>
        </w:trPr>
        <w:tc>
          <w:tcPr>
            <w:tcW w:w="3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20"/>
          <w:szCs w:val="20"/>
          <w:color w:val="auto"/>
        </w:rPr>
        <w:t>Management has reviewed cumulative tax losses and projections of future taxable losses and determined that it is not more likely than not that they will be realized. Accordingly, valuation allowances have been provided over deferred tax assets.</w:t>
      </w:r>
    </w:p>
    <w:p>
      <w:pPr>
        <w:spacing w:after="0" w:line="165"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2024, the Company had (i) U.K. net operating loss carryforwards of $36.6 million that can be carried forward indefinitely; (ii) U.S. federal tax losses to be carried forward of $66.3 million, of which $19.5 million can be carried forward indefinitely and $46.8 million began to expire in 2025; (iii) U.S. federal R&amp;D tax credits of $13.9 million that began to expire in 2025 and less than $0.1 million of state R&amp;D tax credits that do not expire; and (iv) U.S. state tax losses to be carried forward of less than $0.1 million which begin to expire in 2027.</w:t>
      </w:r>
    </w:p>
    <w:p>
      <w:pPr>
        <w:spacing w:after="0" w:line="197"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2023 the Company had (i) U.K. net operating loss carryforwards of $30.6 million that can be carried forward indefinitely; (ii) U.S. federal tax losses to be carried forward of $66.2 million, of which $18.2 million can be carried forward indefinitely and $48.0 million that began to expire in 2024; (iii) U.S. federal R&amp;D tax credits of $14.0 million that began to expire in 2024 and less than $0.1 million of state R&amp;D tax credits that do not expire; and (iv) U.S. state tax losses to be carried forward of less than $0.1 million which begin to expire in 2027.</w:t>
      </w:r>
    </w:p>
    <w:p>
      <w:pPr>
        <w:spacing w:after="0" w:line="197"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The Company files separate income tax returns in the U.K. and the U.S. All necessary income tax filings have been completed for all years up to and including December 31, 2023, and there are no ongoing tax examinations in any jurisdiction. As of December 31, 2024, the Company has an uncertain tax position of $2.9 million, representing 20% of historic R&amp;D tax losses claimed for Alternative Minimum Tax (“AMT”) specific to the year ending December 31, 2022.</w:t>
      </w:r>
    </w:p>
    <w:p>
      <w:pPr>
        <w:spacing w:after="0" w:line="190"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auto"/>
        </w:rPr>
        <w:t>For Mereo BioPharma 5, Inc., with respect to accumulated tax losses carried forward prior to its acquisition by the Company, of $18.2 million, there is a change of control restriction which will limit the amount available in any one year to $0.3 million per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Share-based compensation</w:t>
      </w:r>
    </w:p>
    <w:p>
      <w:pPr>
        <w:spacing w:after="0" w:line="243" w:lineRule="exact"/>
        <w:rPr>
          <w:sz w:val="20"/>
          <w:szCs w:val="20"/>
          <w:color w:val="auto"/>
        </w:rPr>
      </w:pPr>
    </w:p>
    <w:p>
      <w:pPr>
        <w:ind w:right="300" w:firstLine="720"/>
        <w:spacing w:after="0" w:line="253" w:lineRule="auto"/>
        <w:rPr>
          <w:sz w:val="20"/>
          <w:szCs w:val="20"/>
          <w:color w:val="auto"/>
        </w:rPr>
      </w:pPr>
      <w:r>
        <w:rPr>
          <w:rFonts w:ascii="Times New Roman" w:cs="Times New Roman" w:eastAsia="Times New Roman" w:hAnsi="Times New Roman"/>
          <w:sz w:val="20"/>
          <w:szCs w:val="20"/>
          <w:color w:val="auto"/>
        </w:rPr>
        <w:t>The Company currently grants equity awards under the Mereo 2019 Equity Incentive Plan (the “2019 EIP”) and the 2019 Non-Employee Equity Incentive Plan (the “2019 NED EIP”). There are also still outstanding awards under two previous plans, the 2015 Plan and the Mereo Share Option Plan (together the "Previous Share Option Plans"), however no awards have been granted under these plans since 2016 and no further grants are envisaged.</w:t>
      </w:r>
    </w:p>
    <w:p>
      <w:pPr>
        <w:spacing w:after="0" w:line="190" w:lineRule="exact"/>
        <w:rPr>
          <w:sz w:val="20"/>
          <w:szCs w:val="20"/>
          <w:color w:val="auto"/>
        </w:rPr>
      </w:pPr>
    </w:p>
    <w:p>
      <w:pPr>
        <w:ind w:right="240" w:firstLine="770"/>
        <w:spacing w:after="0" w:line="253" w:lineRule="auto"/>
        <w:rPr>
          <w:sz w:val="20"/>
          <w:szCs w:val="20"/>
          <w:color w:val="auto"/>
        </w:rPr>
      </w:pPr>
      <w:r>
        <w:rPr>
          <w:rFonts w:ascii="Times New Roman" w:cs="Times New Roman" w:eastAsia="Times New Roman" w:hAnsi="Times New Roman"/>
          <w:sz w:val="20"/>
          <w:szCs w:val="20"/>
          <w:color w:val="auto"/>
        </w:rPr>
        <w:t>The 2019 EIP and 2019 NED EIP were adopted on April 4, 2019, and subsequently amended on February 3, 2020 and January 15, 2021. The 2019 EIP and 2019 NED EIP authorize the grant of a variety of types of share awards over the Company’s ADSs to executives and employees, and non-executives, respectively. The total number of ADSs available for issue under the 2019 EIP and 2019 NED EIP was 9.0 million as of December 31, 2024.</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charge for share based compensation arises solely in respect of awards made under these two active plans as follows:</w:t>
      </w:r>
    </w:p>
    <w:p>
      <w:pPr>
        <w:spacing w:after="0" w:line="27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0"/>
          <w:szCs w:val="20"/>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-129540</wp:posOffset>
            </wp:positionV>
            <wp:extent cx="5486400" cy="596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0" cy="596900"/>
                    </a:xfrm>
                    <a:prstGeom prst="rect">
                      <a:avLst/>
                    </a:prstGeom>
                    <a:noFill/>
                  </pic:spPr>
                </pic:pic>
              </a:graphicData>
            </a:graphic>
          </wp:anchor>
        </w:drawing>
      </w:r>
    </w:p>
    <w:p>
      <w:pPr>
        <w:ind w:left="7720"/>
        <w:spacing w:after="0"/>
        <w:rPr>
          <w:sz w:val="20"/>
          <w:szCs w:val="20"/>
          <w:color w:val="auto"/>
        </w:rPr>
      </w:pPr>
      <w:r>
        <w:rPr>
          <w:rFonts w:ascii="Times New Roman" w:cs="Times New Roman" w:eastAsia="Times New Roman" w:hAnsi="Times New Roman"/>
          <w:sz w:val="20"/>
          <w:szCs w:val="20"/>
          <w:b w:val="1"/>
          <w:bCs w:val="1"/>
          <w:color w:val="auto"/>
        </w:rPr>
        <w:t>December 31,</w:t>
      </w:r>
    </w:p>
    <w:tbl>
      <w:tblPr>
        <w:tblLayout w:type="fixed"/>
        <w:tblInd w:w="1080" w:type="dxa"/>
        <w:tblCellMar>
          <w:top w:w="0" w:type="dxa"/>
          <w:left w:w="0" w:type="dxa"/>
          <w:bottom w:w="0" w:type="dxa"/>
          <w:right w:w="0" w:type="dxa"/>
        </w:tblCellMar>
      </w:tblPr>
      <w:tr>
        <w:trPr>
          <w:trHeight w:val="244"/>
        </w:trPr>
        <w:tc>
          <w:tcPr>
            <w:tcW w:w="5780" w:type="dxa"/>
            <w:vAlign w:val="bottom"/>
          </w:tcPr>
          <w:p>
            <w:pPr>
              <w:spacing w:after="0"/>
              <w:rPr>
                <w:sz w:val="21"/>
                <w:szCs w:val="21"/>
                <w:color w:val="auto"/>
              </w:rPr>
            </w:pPr>
          </w:p>
        </w:tc>
        <w:tc>
          <w:tcPr>
            <w:tcW w:w="100" w:type="dxa"/>
            <w:vAlign w:val="bottom"/>
            <w:tcBorders>
              <w:top w:val="single" w:sz="8" w:color="FEFEFE"/>
            </w:tcBorders>
            <w:shd w:val="clear" w:color="auto" w:fill="FEFEFE"/>
          </w:tcPr>
          <w:p>
            <w:pPr>
              <w:spacing w:after="0"/>
              <w:rPr>
                <w:sz w:val="21"/>
                <w:szCs w:val="21"/>
                <w:color w:val="auto"/>
              </w:rPr>
            </w:pPr>
          </w:p>
        </w:tc>
        <w:tc>
          <w:tcPr>
            <w:tcW w:w="1340" w:type="dxa"/>
            <w:vAlign w:val="bottom"/>
            <w:tcBorders>
              <w:top w:val="single" w:sz="8" w:color="auto"/>
            </w:tcBorders>
            <w:shd w:val="clear" w:color="auto" w:fill="FEFEFE"/>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20" w:type="dxa"/>
            <w:vAlign w:val="bottom"/>
            <w:tcBorders>
              <w:top w:val="single" w:sz="8" w:color="auto"/>
            </w:tcBorders>
            <w:gridSpan w:val="2"/>
            <w:shd w:val="clear" w:color="auto" w:fill="FEFEFE"/>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5780" w:type="dxa"/>
            <w:vAlign w:val="bottom"/>
          </w:tcPr>
          <w:p>
            <w:pPr>
              <w:spacing w:after="0"/>
              <w:rPr>
                <w:sz w:val="19"/>
                <w:szCs w:val="19"/>
                <w:color w:val="auto"/>
              </w:rPr>
            </w:pPr>
          </w:p>
        </w:tc>
        <w:tc>
          <w:tcPr>
            <w:tcW w:w="100" w:type="dxa"/>
            <w:vAlign w:val="bottom"/>
            <w:tcBorders>
              <w:top w:val="single" w:sz="8" w:color="FEFEFE"/>
            </w:tcBorders>
            <w:shd w:val="clear" w:color="auto" w:fill="FEFEFE"/>
          </w:tcPr>
          <w:p>
            <w:pPr>
              <w:spacing w:after="0"/>
              <w:rPr>
                <w:sz w:val="19"/>
                <w:szCs w:val="19"/>
                <w:color w:val="auto"/>
              </w:rPr>
            </w:pPr>
          </w:p>
        </w:tc>
        <w:tc>
          <w:tcPr>
            <w:tcW w:w="1340" w:type="dxa"/>
            <w:vAlign w:val="bottom"/>
            <w:tcBorders>
              <w:top w:val="single" w:sz="8" w:color="auto"/>
            </w:tcBorders>
            <w:shd w:val="clear" w:color="auto" w:fill="FEFEFE"/>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($'000)</w:t>
            </w:r>
          </w:p>
        </w:tc>
        <w:tc>
          <w:tcPr>
            <w:tcW w:w="100" w:type="dxa"/>
            <w:vAlign w:val="bottom"/>
            <w:tcBorders>
              <w:top w:val="single" w:sz="8" w:color="FEFEFE"/>
            </w:tcBorders>
            <w:shd w:val="clear" w:color="auto" w:fill="FEFEFE"/>
          </w:tcPr>
          <w:p>
            <w:pPr>
              <w:spacing w:after="0"/>
              <w:rPr>
                <w:sz w:val="19"/>
                <w:szCs w:val="19"/>
                <w:color w:val="auto"/>
              </w:rPr>
            </w:pPr>
          </w:p>
        </w:tc>
        <w:tc>
          <w:tcPr>
            <w:tcW w:w="1320" w:type="dxa"/>
            <w:vAlign w:val="bottom"/>
            <w:tcBorders>
              <w:top w:val="single" w:sz="8" w:color="auto"/>
            </w:tcBorders>
            <w:shd w:val="clear" w:color="auto" w:fill="FEFEFE"/>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($'000)</w:t>
            </w:r>
          </w:p>
        </w:tc>
      </w:tr>
      <w:tr>
        <w:trPr>
          <w:trHeight w:val="230"/>
        </w:trPr>
        <w:tc>
          <w:tcPr>
            <w:tcW w:w="57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2019 EIP</w:t>
            </w:r>
          </w:p>
        </w:tc>
        <w:tc>
          <w:tcPr>
            <w:tcW w:w="100" w:type="dxa"/>
            <w:vAlign w:val="bottom"/>
            <w:shd w:val="clear" w:color="auto" w:fill="E6E6E6"/>
          </w:tcPr>
          <w:p>
            <w:pPr>
              <w:spacing w:after="0"/>
              <w:rPr>
                <w:sz w:val="19"/>
                <w:szCs w:val="19"/>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5,898</w:t>
            </w:r>
          </w:p>
        </w:tc>
        <w:tc>
          <w:tcPr>
            <w:tcW w:w="100" w:type="dxa"/>
            <w:vAlign w:val="bottom"/>
            <w:shd w:val="clear" w:color="auto" w:fill="E6E6E6"/>
          </w:tcPr>
          <w:p>
            <w:pPr>
              <w:spacing w:after="0"/>
              <w:rPr>
                <w:sz w:val="19"/>
                <w:szCs w:val="19"/>
                <w:color w:val="auto"/>
              </w:rPr>
            </w:pP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4,064</w:t>
            </w:r>
          </w:p>
        </w:tc>
      </w:tr>
      <w:tr>
        <w:trPr>
          <w:trHeight w:val="230"/>
        </w:trPr>
        <w:tc>
          <w:tcPr>
            <w:tcW w:w="588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2019 NED EIP</w:t>
            </w:r>
          </w:p>
        </w:tc>
        <w:tc>
          <w:tcPr>
            <w:tcW w:w="13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1,492</w:t>
            </w:r>
          </w:p>
        </w:tc>
        <w:tc>
          <w:tcPr>
            <w:tcW w:w="14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860</w:t>
            </w:r>
          </w:p>
        </w:tc>
      </w:tr>
      <w:tr>
        <w:trPr>
          <w:trHeight w:val="220"/>
        </w:trPr>
        <w:tc>
          <w:tcPr>
            <w:tcW w:w="5880" w:type="dxa"/>
            <w:vAlign w:val="bottom"/>
            <w:tcBorders>
              <w:top w:val="single" w:sz="8" w:color="E6E6E6"/>
            </w:tcBorders>
            <w:gridSpan w:val="2"/>
            <w:shd w:val="clear" w:color="auto" w:fill="E6E6E6"/>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w:t>
            </w:r>
          </w:p>
        </w:tc>
        <w:tc>
          <w:tcPr>
            <w:tcW w:w="134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7,390</w:t>
            </w:r>
          </w:p>
        </w:tc>
        <w:tc>
          <w:tcPr>
            <w:tcW w:w="100" w:type="dxa"/>
            <w:vAlign w:val="bottom"/>
            <w:tcBorders>
              <w:top w:val="single" w:sz="8" w:color="E6E6E6"/>
            </w:tcBorders>
            <w:shd w:val="clear" w:color="auto" w:fill="E6E6E6"/>
          </w:tcPr>
          <w:p>
            <w:pPr>
              <w:spacing w:after="0"/>
              <w:rPr>
                <w:sz w:val="19"/>
                <w:szCs w:val="19"/>
                <w:color w:val="auto"/>
              </w:rPr>
            </w:pPr>
          </w:p>
        </w:tc>
        <w:tc>
          <w:tcPr>
            <w:tcW w:w="132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4,924</w:t>
            </w: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760"/>
          </w:cols>
          <w:pgMar w:left="540" w:top="1024" w:right="580" w:bottom="8"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F-27</w:t>
      </w:r>
    </w:p>
    <w:p>
      <w:pPr>
        <w:sectPr>
          <w:pgSz w:w="11880" w:h="15480" w:orient="portrait"/>
          <w:cols w:equalWidth="0" w:num="1">
            <w:col w:w="10760"/>
          </w:cols>
          <w:pgMar w:left="540" w:top="1024" w:right="580" w:bottom="8" w:gutter="0" w:footer="0" w:header="0"/>
          <w:type w:val="continuous"/>
        </w:sectPr>
      </w:pPr>
    </w:p>
    <w:bookmarkStart w:id="135" w:name="page136"/>
    <w:bookmarkEnd w:id="135"/>
    <w:p>
      <w:pPr>
        <w:ind w:right="280" w:firstLine="720"/>
        <w:spacing w:after="0" w:line="279" w:lineRule="auto"/>
        <w:rPr>
          <w:sz w:val="20"/>
          <w:szCs w:val="20"/>
          <w:color w:val="auto"/>
        </w:rPr>
      </w:pPr>
      <w:r>
        <w:rPr>
          <w:rFonts w:ascii="Times New Roman" w:cs="Times New Roman" w:eastAsia="Times New Roman" w:hAnsi="Times New Roman"/>
          <w:sz w:val="20"/>
          <w:szCs w:val="20"/>
          <w:color w:val="auto"/>
        </w:rPr>
        <w:t>As of December 31, 2024, the total unrecognized compensation cost related to outstanding share awards was $4.1 million, which the Company expects to recognize over a weighted-average period of 1.6 years</w:t>
      </w:r>
      <w:r>
        <w:rPr>
          <w:rFonts w:ascii="Times New Roman" w:cs="Times New Roman" w:eastAsia="Times New Roman" w:hAnsi="Times New Roman"/>
          <w:sz w:val="20"/>
          <w:szCs w:val="20"/>
          <w:i w:val="1"/>
          <w:iCs w:val="1"/>
          <w:color w:val="auto"/>
        </w:rPr>
        <w:t>.</w:t>
      </w:r>
    </w:p>
    <w:p>
      <w:pPr>
        <w:spacing w:after="0" w:line="165"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The majority of awards that were exercised in the years ended December 31, 2024 and 2023 were net share settled such that the Company withheld shares with a value equivalent to the exercise price. Shares delivered on exercise with a value sufficient to cover the employees’ obligation for the applicable income and other employment taxes were sold and the proceeds remitted to the appropriate taxing authorities.</w:t>
      </w:r>
    </w:p>
    <w:p>
      <w:pPr>
        <w:spacing w:after="0" w:line="19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Shares delivered in the settlement of employee Option exercises, and RSU and PSU vestings were satisfied through the issuance of new shares. However, prior to March 2024, the remaining shares held in the Employee Benefit Trust ("EBT") were used to satisfy the exercise of Options and vesting of RSUs to employees. The EBT was subsequently terminated during the year ended December 31, 2024. Shares delivered in settlement of deferred RSUs to non-executive directors following separation of service were satisfied by issuing new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2019 EIP</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has awarded the following instruments under the 2019 EIP:</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Value Options (“Options”)</w:t>
      </w:r>
    </w:p>
    <w:p>
      <w:pPr>
        <w:spacing w:after="0" w:line="238"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Options permit the recipient to purchase ADSs at an exercise price equal to the market price of the underlying ADSs on the date of grant. Options issued under the EIP have a contractual term of 10 years and vest over four years, with one-fourth of the award vesting on the first anniversary of the grant date and the remainder vesting in equal monthly installments over the three-year period thereafter. No performance conditions apply to such Options.</w:t>
      </w:r>
    </w:p>
    <w:p>
      <w:pPr>
        <w:spacing w:after="0" w:line="190" w:lineRule="exact"/>
        <w:rPr>
          <w:sz w:val="20"/>
          <w:szCs w:val="20"/>
          <w:color w:val="auto"/>
        </w:rPr>
      </w:pPr>
    </w:p>
    <w:p>
      <w:pPr>
        <w:ind w:right="220" w:firstLine="720"/>
        <w:spacing w:after="0" w:line="279" w:lineRule="auto"/>
        <w:rPr>
          <w:sz w:val="20"/>
          <w:szCs w:val="20"/>
          <w:color w:val="auto"/>
        </w:rPr>
      </w:pPr>
      <w:r>
        <w:rPr>
          <w:rFonts w:ascii="Times New Roman" w:cs="Times New Roman" w:eastAsia="Times New Roman" w:hAnsi="Times New Roman"/>
          <w:sz w:val="20"/>
          <w:szCs w:val="20"/>
          <w:color w:val="auto"/>
        </w:rPr>
        <w:t>A summary of the Company’s Option activity and related information under the 2019 EIP for 2024 and 2023 is as follows; all outstanding Options are expected to vest:</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5620" w:type="dxa"/>
            <w:vAlign w:val="bottom"/>
            <w:shd w:val="clear" w:color="auto" w:fill="FEFEFE"/>
          </w:tcPr>
          <w:p>
            <w:pPr>
              <w:spacing w:after="0"/>
              <w:rPr>
                <w:sz w:val="19"/>
                <w:szCs w:val="19"/>
                <w:color w:val="auto"/>
              </w:rPr>
            </w:pPr>
          </w:p>
        </w:tc>
        <w:tc>
          <w:tcPr>
            <w:tcW w:w="138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2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80" w:type="dxa"/>
            <w:vAlign w:val="bottom"/>
            <w:shd w:val="clear" w:color="auto" w:fill="FEFEFE"/>
          </w:tcPr>
          <w:p>
            <w:pPr>
              <w:spacing w:after="0"/>
              <w:rPr>
                <w:sz w:val="19"/>
                <w:szCs w:val="19"/>
                <w:color w:val="auto"/>
              </w:rPr>
            </w:pPr>
          </w:p>
        </w:tc>
        <w:tc>
          <w:tcPr>
            <w:tcW w:w="128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Aggregate</w:t>
            </w:r>
          </w:p>
        </w:tc>
      </w:tr>
      <w:tr>
        <w:trPr>
          <w:trHeight w:val="230"/>
        </w:trPr>
        <w:tc>
          <w:tcPr>
            <w:tcW w:w="5620" w:type="dxa"/>
            <w:vAlign w:val="bottom"/>
            <w:shd w:val="clear" w:color="auto" w:fill="FEFEFE"/>
          </w:tcPr>
          <w:p>
            <w:pPr>
              <w:spacing w:after="0"/>
              <w:rPr>
                <w:sz w:val="19"/>
                <w:szCs w:val="19"/>
                <w:color w:val="auto"/>
              </w:rPr>
            </w:pPr>
          </w:p>
        </w:tc>
        <w:tc>
          <w:tcPr>
            <w:tcW w:w="1380" w:type="dxa"/>
            <w:vAlign w:val="bottom"/>
            <w:shd w:val="clear" w:color="auto" w:fill="FEFEFE"/>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80" w:type="dxa"/>
            <w:vAlign w:val="bottom"/>
            <w:shd w:val="clear" w:color="auto" w:fill="FEFEFE"/>
          </w:tcPr>
          <w:p>
            <w:pPr>
              <w:spacing w:after="0"/>
              <w:rPr>
                <w:sz w:val="19"/>
                <w:szCs w:val="19"/>
                <w:color w:val="auto"/>
              </w:rPr>
            </w:pPr>
          </w:p>
        </w:tc>
        <w:tc>
          <w:tcPr>
            <w:tcW w:w="128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80" w:type="dxa"/>
            <w:vAlign w:val="bottom"/>
            <w:shd w:val="clear" w:color="auto" w:fill="FEFEFE"/>
          </w:tcPr>
          <w:p>
            <w:pPr>
              <w:spacing w:after="0"/>
              <w:rPr>
                <w:sz w:val="19"/>
                <w:szCs w:val="19"/>
                <w:color w:val="auto"/>
              </w:rPr>
            </w:pPr>
          </w:p>
        </w:tc>
        <w:tc>
          <w:tcPr>
            <w:tcW w:w="12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intrinsic</w:t>
            </w:r>
          </w:p>
        </w:tc>
      </w:tr>
      <w:tr>
        <w:trPr>
          <w:trHeight w:val="230"/>
        </w:trPr>
        <w:tc>
          <w:tcPr>
            <w:tcW w:w="5620" w:type="dxa"/>
            <w:vAlign w:val="bottom"/>
            <w:shd w:val="clear" w:color="auto" w:fill="FEFEFE"/>
          </w:tcPr>
          <w:p>
            <w:pPr>
              <w:spacing w:after="0"/>
              <w:rPr>
                <w:sz w:val="19"/>
                <w:szCs w:val="19"/>
                <w:color w:val="auto"/>
              </w:rPr>
            </w:pPr>
          </w:p>
        </w:tc>
        <w:tc>
          <w:tcPr>
            <w:tcW w:w="1380" w:type="dxa"/>
            <w:vAlign w:val="bottom"/>
            <w:shd w:val="clear" w:color="auto" w:fill="FEFEFE"/>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80" w:type="dxa"/>
            <w:vAlign w:val="bottom"/>
            <w:shd w:val="clear" w:color="auto" w:fill="FEFEFE"/>
          </w:tcPr>
          <w:p>
            <w:pPr>
              <w:spacing w:after="0"/>
              <w:rPr>
                <w:sz w:val="19"/>
                <w:szCs w:val="19"/>
                <w:color w:val="auto"/>
              </w:rPr>
            </w:pPr>
          </w:p>
        </w:tc>
        <w:tc>
          <w:tcPr>
            <w:tcW w:w="128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Exercise</w:t>
            </w:r>
          </w:p>
        </w:tc>
        <w:tc>
          <w:tcPr>
            <w:tcW w:w="80" w:type="dxa"/>
            <w:vAlign w:val="bottom"/>
            <w:shd w:val="clear" w:color="auto" w:fill="FEFEFE"/>
          </w:tcPr>
          <w:p>
            <w:pPr>
              <w:spacing w:after="0"/>
              <w:rPr>
                <w:sz w:val="19"/>
                <w:szCs w:val="19"/>
                <w:color w:val="auto"/>
              </w:rPr>
            </w:pPr>
          </w:p>
        </w:tc>
        <w:tc>
          <w:tcPr>
            <w:tcW w:w="12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value</w:t>
            </w:r>
          </w:p>
        </w:tc>
      </w:tr>
      <w:tr>
        <w:trPr>
          <w:trHeight w:val="254"/>
        </w:trPr>
        <w:tc>
          <w:tcPr>
            <w:tcW w:w="5620" w:type="dxa"/>
            <w:vAlign w:val="bottom"/>
            <w:shd w:val="clear" w:color="auto" w:fill="FEFEFE"/>
          </w:tcPr>
          <w:p>
            <w:pPr>
              <w:spacing w:after="0"/>
              <w:rPr>
                <w:sz w:val="22"/>
                <w:szCs w:val="22"/>
                <w:color w:val="auto"/>
              </w:rPr>
            </w:pPr>
          </w:p>
        </w:tc>
        <w:tc>
          <w:tcPr>
            <w:tcW w:w="1380" w:type="dxa"/>
            <w:vAlign w:val="bottom"/>
            <w:shd w:val="clear" w:color="auto" w:fill="FEFEFE"/>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(ADSs)</w:t>
            </w:r>
          </w:p>
        </w:tc>
        <w:tc>
          <w:tcPr>
            <w:tcW w:w="80" w:type="dxa"/>
            <w:vAlign w:val="bottom"/>
            <w:shd w:val="clear" w:color="auto" w:fill="FEFEFE"/>
          </w:tcPr>
          <w:p>
            <w:pPr>
              <w:spacing w:after="0"/>
              <w:rPr>
                <w:sz w:val="22"/>
                <w:szCs w:val="22"/>
                <w:color w:val="auto"/>
              </w:rPr>
            </w:pPr>
          </w:p>
        </w:tc>
        <w:tc>
          <w:tcPr>
            <w:tcW w:w="128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Price ($)</w:t>
            </w:r>
          </w:p>
        </w:tc>
        <w:tc>
          <w:tcPr>
            <w:tcW w:w="136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($'000)</w:t>
            </w:r>
          </w:p>
        </w:tc>
      </w:tr>
      <w:tr>
        <w:trPr>
          <w:trHeight w:val="234"/>
        </w:trPr>
        <w:tc>
          <w:tcPr>
            <w:tcW w:w="562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At December 31, 2022</w:t>
            </w:r>
          </w:p>
        </w:tc>
        <w:tc>
          <w:tcPr>
            <w:tcW w:w="1380" w:type="dxa"/>
            <w:vAlign w:val="bottom"/>
            <w:tcBorders>
              <w:top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6,857,861</w:t>
            </w:r>
          </w:p>
        </w:tc>
        <w:tc>
          <w:tcPr>
            <w:tcW w:w="80" w:type="dxa"/>
            <w:vAlign w:val="bottom"/>
            <w:tcBorders>
              <w:top w:val="single" w:sz="8" w:color="E6E6E6"/>
            </w:tcBorders>
            <w:shd w:val="clear" w:color="auto" w:fill="E6E6E6"/>
          </w:tcPr>
          <w:p>
            <w:pPr>
              <w:spacing w:after="0"/>
              <w:rPr>
                <w:sz w:val="20"/>
                <w:szCs w:val="20"/>
                <w:color w:val="auto"/>
              </w:rPr>
            </w:pPr>
          </w:p>
        </w:tc>
        <w:tc>
          <w:tcPr>
            <w:tcW w:w="1280" w:type="dxa"/>
            <w:vAlign w:val="bottom"/>
            <w:tcBorders>
              <w:top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2.15</w:t>
            </w:r>
          </w:p>
        </w:tc>
        <w:tc>
          <w:tcPr>
            <w:tcW w:w="80" w:type="dxa"/>
            <w:vAlign w:val="bottom"/>
            <w:tcBorders>
              <w:top w:val="single" w:sz="8" w:color="E6E6E6"/>
            </w:tcBorders>
            <w:shd w:val="clear" w:color="auto" w:fill="E6E6E6"/>
          </w:tcPr>
          <w:p>
            <w:pPr>
              <w:spacing w:after="0"/>
              <w:rPr>
                <w:sz w:val="20"/>
                <w:szCs w:val="20"/>
                <w:color w:val="auto"/>
              </w:rPr>
            </w:pPr>
          </w:p>
        </w:tc>
        <w:tc>
          <w:tcPr>
            <w:tcW w:w="1280" w:type="dxa"/>
            <w:vAlign w:val="bottom"/>
            <w:tcBorders>
              <w:top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44"/>
        </w:trPr>
        <w:tc>
          <w:tcPr>
            <w:tcW w:w="56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3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4,874,300</w:t>
            </w:r>
          </w:p>
        </w:tc>
        <w:tc>
          <w:tcPr>
            <w:tcW w:w="80" w:type="dxa"/>
            <w:vAlign w:val="bottom"/>
            <w:shd w:val="clear" w:color="auto" w:fill="FEFEFE"/>
          </w:tcPr>
          <w:p>
            <w:pPr>
              <w:spacing w:after="0"/>
              <w:rPr>
                <w:sz w:val="21"/>
                <w:szCs w:val="21"/>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shd w:val="clear" w:color="auto" w:fill="FEFEFE"/>
          </w:tcPr>
          <w:p>
            <w:pPr>
              <w:spacing w:after="0"/>
              <w:rPr>
                <w:sz w:val="21"/>
                <w:szCs w:val="21"/>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(1,324,809)</w:t>
            </w:r>
          </w:p>
        </w:tc>
        <w:tc>
          <w:tcPr>
            <w:tcW w:w="13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1.42</w:t>
            </w:r>
          </w:p>
        </w:tc>
        <w:tc>
          <w:tcPr>
            <w:tcW w:w="80" w:type="dxa"/>
            <w:vAlign w:val="bottom"/>
            <w:shd w:val="clear" w:color="auto" w:fill="E6E6E6"/>
          </w:tcPr>
          <w:p>
            <w:pPr>
              <w:spacing w:after="0"/>
              <w:rPr>
                <w:sz w:val="21"/>
                <w:szCs w:val="21"/>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6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3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(60,519)</w:t>
            </w:r>
          </w:p>
        </w:tc>
        <w:tc>
          <w:tcPr>
            <w:tcW w:w="136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1.57</w:t>
            </w:r>
          </w:p>
        </w:tc>
        <w:tc>
          <w:tcPr>
            <w:tcW w:w="136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45</w:t>
            </w:r>
          </w:p>
        </w:tc>
      </w:tr>
      <w:tr>
        <w:trPr>
          <w:trHeight w:val="244"/>
        </w:trPr>
        <w:tc>
          <w:tcPr>
            <w:tcW w:w="5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Expired</w:t>
            </w: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(751,672)</w:t>
            </w:r>
          </w:p>
        </w:tc>
        <w:tc>
          <w:tcPr>
            <w:tcW w:w="13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2.82</w:t>
            </w:r>
          </w:p>
        </w:tc>
        <w:tc>
          <w:tcPr>
            <w:tcW w:w="80" w:type="dxa"/>
            <w:vAlign w:val="bottom"/>
            <w:shd w:val="clear" w:color="auto" w:fill="E6E6E6"/>
          </w:tcPr>
          <w:p>
            <w:pPr>
              <w:spacing w:after="0"/>
              <w:rPr>
                <w:sz w:val="21"/>
                <w:szCs w:val="21"/>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5620" w:type="dxa"/>
            <w:vAlign w:val="bottom"/>
            <w:tcBorders>
              <w:top w:val="single" w:sz="8" w:color="FEFEFE"/>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At December 31, 2023</w:t>
            </w:r>
          </w:p>
        </w:tc>
        <w:tc>
          <w:tcPr>
            <w:tcW w:w="1380" w:type="dxa"/>
            <w:vAlign w:val="bottom"/>
            <w:tcBorders>
              <w:top w:val="single" w:sz="8" w:color="auto"/>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9,595,161</w:t>
            </w:r>
          </w:p>
        </w:tc>
        <w:tc>
          <w:tcPr>
            <w:tcW w:w="80" w:type="dxa"/>
            <w:vAlign w:val="bottom"/>
            <w:tcBorders>
              <w:top w:val="single" w:sz="8" w:color="FEFEFE"/>
              <w:bottom w:val="single" w:sz="8" w:color="E6E6E6"/>
            </w:tcBorders>
            <w:shd w:val="clear" w:color="auto" w:fill="FEFEFE"/>
          </w:tcPr>
          <w:p>
            <w:pPr>
              <w:spacing w:after="0"/>
              <w:rPr>
                <w:sz w:val="20"/>
                <w:szCs w:val="20"/>
                <w:color w:val="auto"/>
              </w:rPr>
            </w:pPr>
          </w:p>
        </w:tc>
        <w:tc>
          <w:tcPr>
            <w:tcW w:w="1280" w:type="dxa"/>
            <w:vAlign w:val="bottom"/>
            <w:tcBorders>
              <w:top w:val="single" w:sz="8" w:color="auto"/>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1.63</w:t>
            </w:r>
          </w:p>
        </w:tc>
        <w:tc>
          <w:tcPr>
            <w:tcW w:w="80" w:type="dxa"/>
            <w:vAlign w:val="bottom"/>
            <w:tcBorders>
              <w:top w:val="single" w:sz="8" w:color="FEFEFE"/>
              <w:bottom w:val="single" w:sz="8" w:color="E6E6E6"/>
            </w:tcBorders>
            <w:shd w:val="clear" w:color="auto" w:fill="FEFEFE"/>
          </w:tcPr>
          <w:p>
            <w:pPr>
              <w:spacing w:after="0"/>
              <w:rPr>
                <w:sz w:val="20"/>
                <w:szCs w:val="20"/>
                <w:color w:val="auto"/>
              </w:rPr>
            </w:pPr>
          </w:p>
        </w:tc>
        <w:tc>
          <w:tcPr>
            <w:tcW w:w="1280" w:type="dxa"/>
            <w:vAlign w:val="bottom"/>
            <w:tcBorders>
              <w:top w:val="single" w:sz="8" w:color="auto"/>
              <w:bottom w:val="single" w:sz="8" w:color="auto"/>
            </w:tcBorders>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8,122</w:t>
            </w:r>
          </w:p>
        </w:tc>
      </w:tr>
      <w:tr>
        <w:trPr>
          <w:trHeight w:val="234"/>
        </w:trPr>
        <w:tc>
          <w:tcPr>
            <w:tcW w:w="5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3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2,502,269</w:t>
            </w:r>
          </w:p>
        </w:tc>
        <w:tc>
          <w:tcPr>
            <w:tcW w:w="80" w:type="dxa"/>
            <w:vAlign w:val="bottom"/>
            <w:shd w:val="clear" w:color="auto" w:fill="E6E6E6"/>
          </w:tcPr>
          <w:p>
            <w:pPr>
              <w:spacing w:after="0"/>
              <w:rPr>
                <w:sz w:val="20"/>
                <w:szCs w:val="20"/>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3.36</w:t>
            </w:r>
          </w:p>
        </w:tc>
        <w:tc>
          <w:tcPr>
            <w:tcW w:w="80" w:type="dxa"/>
            <w:vAlign w:val="bottom"/>
            <w:shd w:val="clear" w:color="auto" w:fill="E6E6E6"/>
          </w:tcPr>
          <w:p>
            <w:pPr>
              <w:spacing w:after="0"/>
              <w:rPr>
                <w:sz w:val="20"/>
                <w:szCs w:val="20"/>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6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3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(47,288)</w:t>
            </w:r>
          </w:p>
        </w:tc>
        <w:tc>
          <w:tcPr>
            <w:tcW w:w="80" w:type="dxa"/>
            <w:vAlign w:val="bottom"/>
            <w:shd w:val="clear" w:color="auto" w:fill="FEFEFE"/>
          </w:tcPr>
          <w:p>
            <w:pPr>
              <w:spacing w:after="0"/>
              <w:rPr>
                <w:sz w:val="21"/>
                <w:szCs w:val="21"/>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2.01</w:t>
            </w:r>
          </w:p>
        </w:tc>
        <w:tc>
          <w:tcPr>
            <w:tcW w:w="80" w:type="dxa"/>
            <w:vAlign w:val="bottom"/>
            <w:shd w:val="clear" w:color="auto" w:fill="FEFEFE"/>
          </w:tcPr>
          <w:p>
            <w:pPr>
              <w:spacing w:after="0"/>
              <w:rPr>
                <w:sz w:val="21"/>
                <w:szCs w:val="21"/>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(774,119)</w:t>
            </w:r>
          </w:p>
        </w:tc>
        <w:tc>
          <w:tcPr>
            <w:tcW w:w="13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1.46</w:t>
            </w:r>
          </w:p>
        </w:tc>
        <w:tc>
          <w:tcPr>
            <w:tcW w:w="13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1,792</w:t>
            </w:r>
          </w:p>
        </w:tc>
      </w:tr>
      <w:tr>
        <w:trPr>
          <w:trHeight w:val="244"/>
        </w:trPr>
        <w:tc>
          <w:tcPr>
            <w:tcW w:w="56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Expired</w:t>
            </w:r>
          </w:p>
        </w:tc>
        <w:tc>
          <w:tcPr>
            <w:tcW w:w="13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136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3.32</w:t>
            </w:r>
          </w:p>
        </w:tc>
        <w:tc>
          <w:tcPr>
            <w:tcW w:w="80" w:type="dxa"/>
            <w:vAlign w:val="bottom"/>
            <w:shd w:val="clear" w:color="auto" w:fill="FEFEFE"/>
          </w:tcPr>
          <w:p>
            <w:pPr>
              <w:spacing w:after="0"/>
              <w:rPr>
                <w:sz w:val="21"/>
                <w:szCs w:val="21"/>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5620" w:type="dxa"/>
            <w:vAlign w:val="bottom"/>
            <w:tcBorders>
              <w:top w:val="single" w:sz="8" w:color="E6E6E6"/>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At December 31, 2024</w:t>
            </w:r>
          </w:p>
        </w:tc>
        <w:tc>
          <w:tcPr>
            <w:tcW w:w="1380" w:type="dxa"/>
            <w:vAlign w:val="bottom"/>
            <w:tcBorders>
              <w:top w:val="single" w:sz="8" w:color="auto"/>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11,271,023</w:t>
            </w:r>
          </w:p>
        </w:tc>
        <w:tc>
          <w:tcPr>
            <w:tcW w:w="80" w:type="dxa"/>
            <w:vAlign w:val="bottom"/>
            <w:tcBorders>
              <w:top w:val="single" w:sz="8" w:color="E6E6E6"/>
              <w:bottom w:val="single" w:sz="8" w:color="FEFEFE"/>
            </w:tcBorders>
            <w:shd w:val="clear" w:color="auto" w:fill="E6E6E6"/>
          </w:tcPr>
          <w:p>
            <w:pPr>
              <w:spacing w:after="0"/>
              <w:rPr>
                <w:sz w:val="23"/>
                <w:szCs w:val="23"/>
                <w:color w:val="auto"/>
              </w:rPr>
            </w:pPr>
          </w:p>
        </w:tc>
        <w:tc>
          <w:tcPr>
            <w:tcW w:w="1280" w:type="dxa"/>
            <w:vAlign w:val="bottom"/>
            <w:tcBorders>
              <w:top w:val="single" w:sz="8" w:color="auto"/>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2.02</w:t>
            </w:r>
          </w:p>
        </w:tc>
        <w:tc>
          <w:tcPr>
            <w:tcW w:w="80" w:type="dxa"/>
            <w:vAlign w:val="bottom"/>
            <w:tcBorders>
              <w:top w:val="single" w:sz="8" w:color="E6E6E6"/>
              <w:bottom w:val="single" w:sz="8" w:color="FEFEFE"/>
            </w:tcBorders>
            <w:shd w:val="clear" w:color="auto" w:fill="E6E6E6"/>
          </w:tcPr>
          <w:p>
            <w:pPr>
              <w:spacing w:after="0"/>
              <w:rPr>
                <w:sz w:val="23"/>
                <w:szCs w:val="23"/>
                <w:color w:val="auto"/>
              </w:rPr>
            </w:pPr>
          </w:p>
        </w:tc>
        <w:tc>
          <w:tcPr>
            <w:tcW w:w="1280" w:type="dxa"/>
            <w:vAlign w:val="bottom"/>
            <w:tcBorders>
              <w:top w:val="single" w:sz="8" w:color="auto"/>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15,758</w:t>
            </w:r>
          </w:p>
        </w:tc>
      </w:tr>
      <w:tr>
        <w:trPr>
          <w:trHeight w:val="229"/>
        </w:trPr>
        <w:tc>
          <w:tcPr>
            <w:tcW w:w="56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13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5,720,248</w:t>
            </w:r>
          </w:p>
        </w:tc>
        <w:tc>
          <w:tcPr>
            <w:tcW w:w="80" w:type="dxa"/>
            <w:vAlign w:val="bottom"/>
            <w:shd w:val="clear" w:color="auto" w:fill="FEFEFE"/>
          </w:tcPr>
          <w:p>
            <w:pPr>
              <w:spacing w:after="0"/>
              <w:rPr>
                <w:sz w:val="19"/>
                <w:szCs w:val="19"/>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1.89</w:t>
            </w:r>
          </w:p>
        </w:tc>
        <w:tc>
          <w:tcPr>
            <w:tcW w:w="80" w:type="dxa"/>
            <w:vAlign w:val="bottom"/>
            <w:shd w:val="clear" w:color="auto" w:fill="FEFEFE"/>
          </w:tcPr>
          <w:p>
            <w:pPr>
              <w:spacing w:after="0"/>
              <w:rPr>
                <w:sz w:val="19"/>
                <w:szCs w:val="19"/>
                <w:color w:val="auto"/>
              </w:rPr>
            </w:pPr>
          </w:p>
        </w:tc>
        <w:tc>
          <w:tcPr>
            <w:tcW w:w="1280" w:type="dxa"/>
            <w:vAlign w:val="bottom"/>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8,943</w:t>
            </w:r>
          </w:p>
        </w:tc>
      </w:tr>
      <w:tr>
        <w:trPr>
          <w:trHeight w:val="244"/>
        </w:trPr>
        <w:tc>
          <w:tcPr>
            <w:tcW w:w="5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Unvested</w:t>
            </w:r>
          </w:p>
        </w:tc>
        <w:tc>
          <w:tcPr>
            <w:tcW w:w="13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5,550,775</w:t>
            </w:r>
          </w:p>
        </w:tc>
        <w:tc>
          <w:tcPr>
            <w:tcW w:w="80" w:type="dxa"/>
            <w:vAlign w:val="bottom"/>
            <w:shd w:val="clear" w:color="auto" w:fill="E6E6E6"/>
          </w:tcPr>
          <w:p>
            <w:pPr>
              <w:spacing w:after="0"/>
              <w:rPr>
                <w:sz w:val="21"/>
                <w:szCs w:val="21"/>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2.16</w:t>
            </w:r>
          </w:p>
        </w:tc>
        <w:tc>
          <w:tcPr>
            <w:tcW w:w="80" w:type="dxa"/>
            <w:vAlign w:val="bottom"/>
            <w:shd w:val="clear" w:color="auto" w:fill="E6E6E6"/>
          </w:tcPr>
          <w:p>
            <w:pPr>
              <w:spacing w:after="0"/>
              <w:rPr>
                <w:sz w:val="21"/>
                <w:szCs w:val="21"/>
                <w:color w:val="auto"/>
              </w:rPr>
            </w:pPr>
          </w:p>
        </w:tc>
        <w:tc>
          <w:tcPr>
            <w:tcW w:w="1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6,815</w:t>
            </w:r>
          </w:p>
        </w:tc>
      </w:tr>
    </w:tbl>
    <w:p>
      <w:pPr>
        <w:spacing w:after="0" w:line="255" w:lineRule="exact"/>
        <w:rPr>
          <w:sz w:val="20"/>
          <w:szCs w:val="20"/>
          <w:color w:val="auto"/>
        </w:rPr>
      </w:pPr>
    </w:p>
    <w:p>
      <w:pPr>
        <w:ind w:right="200" w:firstLine="720"/>
        <w:spacing w:after="0" w:line="279" w:lineRule="auto"/>
        <w:rPr>
          <w:sz w:val="20"/>
          <w:szCs w:val="20"/>
          <w:color w:val="auto"/>
        </w:rPr>
      </w:pPr>
      <w:r>
        <w:rPr>
          <w:rFonts w:ascii="Times New Roman" w:cs="Times New Roman" w:eastAsia="Times New Roman" w:hAnsi="Times New Roman"/>
          <w:sz w:val="20"/>
          <w:szCs w:val="20"/>
          <w:color w:val="auto"/>
        </w:rPr>
        <w:t>At January 1, 2024, 6,169,952 Options with a weighted average grant date fair value of $1.13 were unvested. The weighted average per share fair value of options vesting during the year ended December 31, 2024 was $1.20 (2023: $1.55).</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weighted average grant date fair value of options granted during the year ended December 31, 2024 was $2.61 (2023:</w:t>
      </w:r>
    </w:p>
    <w:p>
      <w:pPr>
        <w:spacing w:after="0"/>
        <w:rPr>
          <w:sz w:val="20"/>
          <w:szCs w:val="20"/>
          <w:color w:val="auto"/>
        </w:rPr>
      </w:pPr>
      <w:r>
        <w:rPr>
          <w:rFonts w:ascii="Times New Roman" w:cs="Times New Roman" w:eastAsia="Times New Roman" w:hAnsi="Times New Roman"/>
          <w:sz w:val="20"/>
          <w:szCs w:val="20"/>
          <w:color w:val="auto"/>
        </w:rPr>
        <w:t>$0.92).</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December 31, 2024, the weighted average contractual life of Options outstanding was 7.6 years (2023: 8.1 years) and for</w:t>
      </w:r>
    </w:p>
    <w:p>
      <w:pPr>
        <w:spacing w:after="0"/>
        <w:rPr>
          <w:sz w:val="20"/>
          <w:szCs w:val="20"/>
          <w:color w:val="auto"/>
        </w:rPr>
      </w:pPr>
      <w:r>
        <w:rPr>
          <w:rFonts w:ascii="Times New Roman" w:cs="Times New Roman" w:eastAsia="Times New Roman" w:hAnsi="Times New Roman"/>
          <w:sz w:val="20"/>
          <w:szCs w:val="20"/>
          <w:color w:val="auto"/>
        </w:rPr>
        <w:t>vested Options was 6.8 years (2023: 7.1 years).</w:t>
      </w:r>
    </w:p>
    <w:p>
      <w:pPr>
        <w:spacing w:after="0" w:line="240" w:lineRule="exact"/>
        <w:rPr>
          <w:sz w:val="20"/>
          <w:szCs w:val="20"/>
          <w:color w:val="auto"/>
        </w:rPr>
      </w:pPr>
    </w:p>
    <w:p>
      <w:pPr>
        <w:ind w:right="340" w:firstLine="720"/>
        <w:spacing w:after="0" w:line="279" w:lineRule="auto"/>
        <w:rPr>
          <w:sz w:val="20"/>
          <w:szCs w:val="20"/>
          <w:color w:val="auto"/>
        </w:rPr>
      </w:pPr>
      <w:r>
        <w:rPr>
          <w:rFonts w:ascii="Times New Roman" w:cs="Times New Roman" w:eastAsia="Times New Roman" w:hAnsi="Times New Roman"/>
          <w:sz w:val="20"/>
          <w:szCs w:val="20"/>
          <w:color w:val="auto"/>
        </w:rPr>
        <w:t>Where presented, the aggregate intrinsic value is calculated as the difference between the exercise price of the underlying awards and the quoted market price of the Company’s ADSs for the Options that were in-the-money.</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F-28</w:t>
      </w:r>
    </w:p>
    <w:p>
      <w:pPr>
        <w:sectPr>
          <w:pgSz w:w="11880" w:h="15480" w:orient="portrait"/>
          <w:cols w:equalWidth="0" w:num="1">
            <w:col w:w="10780"/>
          </w:cols>
          <w:pgMar w:left="540" w:top="748" w:right="560" w:bottom="0" w:gutter="0" w:footer="0" w:header="0"/>
        </w:sectPr>
      </w:pPr>
    </w:p>
    <w:bookmarkStart w:id="136" w:name="page137"/>
    <w:bookmarkEnd w:id="136"/>
    <w:p>
      <w:pPr>
        <w:ind w:right="620" w:firstLine="720"/>
        <w:spacing w:after="0" w:line="279" w:lineRule="auto"/>
        <w:rPr>
          <w:sz w:val="20"/>
          <w:szCs w:val="20"/>
          <w:color w:val="auto"/>
        </w:rPr>
      </w:pPr>
      <w:r>
        <w:rPr>
          <w:rFonts w:ascii="Times New Roman" w:cs="Times New Roman" w:eastAsia="Times New Roman" w:hAnsi="Times New Roman"/>
          <w:sz w:val="20"/>
          <w:szCs w:val="20"/>
          <w:color w:val="auto"/>
        </w:rPr>
        <w:t>The fair value of each Option is estimated on the date of grant using the Black-Scholes option pricing model using the following weighted average assumptions:</w:t>
      </w:r>
    </w:p>
    <w:p>
      <w:pPr>
        <w:spacing w:after="0" w:line="212"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0"/>
          <w:szCs w:val="20"/>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-138430</wp:posOffset>
            </wp:positionV>
            <wp:extent cx="5486400" cy="462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0" cy="462280"/>
                    </a:xfrm>
                    <a:prstGeom prst="rect">
                      <a:avLst/>
                    </a:prstGeom>
                    <a:noFill/>
                  </pic:spPr>
                </pic:pic>
              </a:graphicData>
            </a:graphic>
          </wp:anchor>
        </w:drawing>
      </w:r>
    </w:p>
    <w:p>
      <w:pPr>
        <w:ind w:left="73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4" w:lineRule="exact"/>
        <w:rPr>
          <w:sz w:val="20"/>
          <w:szCs w:val="20"/>
          <w:color w:val="auto"/>
        </w:rPr>
      </w:pPr>
    </w:p>
    <w:tbl>
      <w:tblPr>
        <w:tblLayout w:type="fixed"/>
        <w:tblInd w:w="1080" w:type="dxa"/>
        <w:tblCellMar>
          <w:top w:w="0" w:type="dxa"/>
          <w:left w:w="0" w:type="dxa"/>
          <w:bottom w:w="0" w:type="dxa"/>
          <w:right w:w="0" w:type="dxa"/>
        </w:tblCellMar>
      </w:tblPr>
      <w:tr>
        <w:trPr>
          <w:trHeight w:val="254"/>
        </w:trPr>
        <w:tc>
          <w:tcPr>
            <w:tcW w:w="5200" w:type="dxa"/>
            <w:vAlign w:val="bottom"/>
            <w:tcBorders>
              <w:bottom w:val="single" w:sz="8" w:color="E6E6E6"/>
            </w:tcBorders>
          </w:tcPr>
          <w:p>
            <w:pPr>
              <w:spacing w:after="0"/>
              <w:rPr>
                <w:sz w:val="22"/>
                <w:szCs w:val="22"/>
                <w:color w:val="auto"/>
              </w:rPr>
            </w:pPr>
          </w:p>
        </w:tc>
        <w:tc>
          <w:tcPr>
            <w:tcW w:w="140" w:type="dxa"/>
            <w:vAlign w:val="bottom"/>
            <w:tcBorders>
              <w:top w:val="single" w:sz="8" w:color="FEFEFE"/>
              <w:bottom w:val="single" w:sz="8" w:color="E6E6E6"/>
            </w:tcBorders>
            <w:shd w:val="clear" w:color="auto" w:fill="FEFEFE"/>
          </w:tcPr>
          <w:p>
            <w:pPr>
              <w:spacing w:after="0"/>
              <w:rPr>
                <w:sz w:val="22"/>
                <w:szCs w:val="22"/>
                <w:color w:val="auto"/>
              </w:rPr>
            </w:pPr>
          </w:p>
        </w:tc>
        <w:tc>
          <w:tcPr>
            <w:tcW w:w="9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680" w:type="dxa"/>
            <w:vAlign w:val="bottom"/>
            <w:tcBorders>
              <w:top w:val="single" w:sz="8" w:color="auto"/>
              <w:bottom w:val="single" w:sz="8" w:color="auto"/>
            </w:tcBorders>
            <w:shd w:val="clear" w:color="auto" w:fill="FEFEFE"/>
          </w:tcPr>
          <w:p>
            <w:pPr>
              <w:spacing w:after="0"/>
              <w:rPr>
                <w:sz w:val="22"/>
                <w:szCs w:val="22"/>
                <w:color w:val="auto"/>
              </w:rPr>
            </w:pPr>
          </w:p>
        </w:tc>
        <w:tc>
          <w:tcPr>
            <w:tcW w:w="140" w:type="dxa"/>
            <w:vAlign w:val="bottom"/>
            <w:tcBorders>
              <w:top w:val="single" w:sz="8" w:color="auto"/>
              <w:bottom w:val="single" w:sz="8" w:color="E6E6E6"/>
            </w:tcBorders>
            <w:shd w:val="clear" w:color="auto" w:fill="FEFEFE"/>
          </w:tcPr>
          <w:p>
            <w:pPr>
              <w:spacing w:after="0"/>
              <w:rPr>
                <w:sz w:val="22"/>
                <w:szCs w:val="22"/>
                <w:color w:val="auto"/>
              </w:rPr>
            </w:pPr>
          </w:p>
        </w:tc>
        <w:tc>
          <w:tcPr>
            <w:tcW w:w="300" w:type="dxa"/>
            <w:vAlign w:val="bottom"/>
            <w:tcBorders>
              <w:top w:val="single" w:sz="8" w:color="auto"/>
              <w:bottom w:val="single" w:sz="8" w:color="auto"/>
            </w:tcBorders>
            <w:shd w:val="clear" w:color="auto" w:fill="FEFEFE"/>
          </w:tcPr>
          <w:p>
            <w:pPr>
              <w:spacing w:after="0"/>
              <w:rPr>
                <w:sz w:val="22"/>
                <w:szCs w:val="22"/>
                <w:color w:val="auto"/>
              </w:rPr>
            </w:pPr>
          </w:p>
        </w:tc>
        <w:tc>
          <w:tcPr>
            <w:tcW w:w="1280" w:type="dxa"/>
            <w:vAlign w:val="bottom"/>
            <w:tcBorders>
              <w:top w:val="single" w:sz="8" w:color="auto"/>
              <w:bottom w:val="single" w:sz="8" w:color="auto"/>
            </w:tcBorders>
            <w:shd w:val="clear" w:color="auto" w:fill="FEFEFE"/>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4"/>
        </w:trPr>
        <w:tc>
          <w:tcPr>
            <w:tcW w:w="52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Market value of ADSs ($)</w:t>
            </w:r>
          </w:p>
        </w:tc>
        <w:tc>
          <w:tcPr>
            <w:tcW w:w="140" w:type="dxa"/>
            <w:vAlign w:val="bottom"/>
            <w:shd w:val="clear" w:color="auto" w:fill="E6E6E6"/>
          </w:tcPr>
          <w:p>
            <w:pPr>
              <w:spacing w:after="0"/>
              <w:rPr>
                <w:sz w:val="20"/>
                <w:szCs w:val="20"/>
                <w:color w:val="auto"/>
              </w:rPr>
            </w:pPr>
          </w:p>
        </w:tc>
        <w:tc>
          <w:tcPr>
            <w:tcW w:w="900" w:type="dxa"/>
            <w:vAlign w:val="bottom"/>
            <w:shd w:val="clear" w:color="auto" w:fill="E6E6E6"/>
          </w:tcPr>
          <w:p>
            <w:pPr>
              <w:jc w:val="right"/>
              <w:ind w:right="70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3.36</w:t>
            </w:r>
          </w:p>
        </w:tc>
        <w:tc>
          <w:tcPr>
            <w:tcW w:w="14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1.03</w:t>
            </w:r>
          </w:p>
        </w:tc>
      </w:tr>
      <w:tr>
        <w:trPr>
          <w:trHeight w:val="244"/>
        </w:trPr>
        <w:tc>
          <w:tcPr>
            <w:tcW w:w="52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Risk-free interest rate (%)</w:t>
            </w:r>
          </w:p>
        </w:tc>
        <w:tc>
          <w:tcPr>
            <w:tcW w:w="140" w:type="dxa"/>
            <w:vAlign w:val="bottom"/>
            <w:shd w:val="clear" w:color="auto" w:fill="FEFEFE"/>
          </w:tcPr>
          <w:p>
            <w:pPr>
              <w:spacing w:after="0"/>
              <w:rPr>
                <w:sz w:val="21"/>
                <w:szCs w:val="21"/>
                <w:color w:val="auto"/>
              </w:rPr>
            </w:pPr>
          </w:p>
        </w:tc>
        <w:tc>
          <w:tcPr>
            <w:tcW w:w="900" w:type="dxa"/>
            <w:vAlign w:val="bottom"/>
            <w:shd w:val="clear" w:color="auto" w:fill="FEFEFE"/>
          </w:tcPr>
          <w:p>
            <w:pPr>
              <w:spacing w:after="0"/>
              <w:rPr>
                <w:sz w:val="21"/>
                <w:szCs w:val="21"/>
                <w:color w:val="auto"/>
              </w:rPr>
            </w:pPr>
          </w:p>
        </w:tc>
        <w:tc>
          <w:tcPr>
            <w:tcW w:w="6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1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3.48%</w:t>
            </w:r>
          </w:p>
        </w:tc>
      </w:tr>
      <w:tr>
        <w:trPr>
          <w:trHeight w:val="244"/>
        </w:trPr>
        <w:tc>
          <w:tcPr>
            <w:tcW w:w="52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Expected life (years)</w:t>
            </w:r>
          </w:p>
        </w:tc>
        <w:tc>
          <w:tcPr>
            <w:tcW w:w="140" w:type="dxa"/>
            <w:vAlign w:val="bottom"/>
            <w:shd w:val="clear" w:color="auto" w:fill="E6E6E6"/>
          </w:tcPr>
          <w:p>
            <w:pPr>
              <w:spacing w:after="0"/>
              <w:rPr>
                <w:sz w:val="21"/>
                <w:szCs w:val="21"/>
                <w:color w:val="auto"/>
              </w:rPr>
            </w:pPr>
          </w:p>
        </w:tc>
        <w:tc>
          <w:tcPr>
            <w:tcW w:w="900" w:type="dxa"/>
            <w:vAlign w:val="bottom"/>
            <w:shd w:val="clear" w:color="auto" w:fill="E6E6E6"/>
          </w:tcPr>
          <w:p>
            <w:pPr>
              <w:spacing w:after="0"/>
              <w:rPr>
                <w:sz w:val="21"/>
                <w:szCs w:val="21"/>
                <w:color w:val="auto"/>
              </w:rPr>
            </w:pPr>
          </w:p>
        </w:tc>
        <w:tc>
          <w:tcPr>
            <w:tcW w:w="68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6.25</w:t>
            </w:r>
          </w:p>
        </w:tc>
        <w:tc>
          <w:tcPr>
            <w:tcW w:w="1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28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10.00</w:t>
            </w:r>
          </w:p>
        </w:tc>
      </w:tr>
      <w:tr>
        <w:trPr>
          <w:trHeight w:val="244"/>
        </w:trPr>
        <w:tc>
          <w:tcPr>
            <w:tcW w:w="52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Expected volatility (%)</w:t>
            </w:r>
          </w:p>
        </w:tc>
        <w:tc>
          <w:tcPr>
            <w:tcW w:w="140" w:type="dxa"/>
            <w:vAlign w:val="bottom"/>
            <w:shd w:val="clear" w:color="auto" w:fill="FEFEFE"/>
          </w:tcPr>
          <w:p>
            <w:pPr>
              <w:spacing w:after="0"/>
              <w:rPr>
                <w:sz w:val="21"/>
                <w:szCs w:val="21"/>
                <w:color w:val="auto"/>
              </w:rPr>
            </w:pPr>
          </w:p>
        </w:tc>
        <w:tc>
          <w:tcPr>
            <w:tcW w:w="900" w:type="dxa"/>
            <w:vAlign w:val="bottom"/>
            <w:shd w:val="clear" w:color="auto" w:fill="FEFEFE"/>
          </w:tcPr>
          <w:p>
            <w:pPr>
              <w:spacing w:after="0"/>
              <w:rPr>
                <w:sz w:val="21"/>
                <w:szCs w:val="21"/>
                <w:color w:val="auto"/>
              </w:rPr>
            </w:pPr>
          </w:p>
        </w:tc>
        <w:tc>
          <w:tcPr>
            <w:tcW w:w="6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90.82%</w:t>
            </w:r>
          </w:p>
        </w:tc>
        <w:tc>
          <w:tcPr>
            <w:tcW w:w="14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2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98.24%</w:t>
            </w:r>
          </w:p>
        </w:tc>
      </w:tr>
      <w:tr>
        <w:trPr>
          <w:trHeight w:val="244"/>
        </w:trPr>
        <w:tc>
          <w:tcPr>
            <w:tcW w:w="52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Expected dividends (%)</w:t>
            </w:r>
          </w:p>
        </w:tc>
        <w:tc>
          <w:tcPr>
            <w:tcW w:w="140" w:type="dxa"/>
            <w:vAlign w:val="bottom"/>
            <w:shd w:val="clear" w:color="auto" w:fill="E6E6E6"/>
          </w:tcPr>
          <w:p>
            <w:pPr>
              <w:spacing w:after="0"/>
              <w:rPr>
                <w:sz w:val="21"/>
                <w:szCs w:val="21"/>
                <w:color w:val="auto"/>
              </w:rPr>
            </w:pPr>
          </w:p>
        </w:tc>
        <w:tc>
          <w:tcPr>
            <w:tcW w:w="900" w:type="dxa"/>
            <w:vAlign w:val="bottom"/>
            <w:shd w:val="clear" w:color="auto" w:fill="E6E6E6"/>
          </w:tcPr>
          <w:p>
            <w:pPr>
              <w:spacing w:after="0"/>
              <w:rPr>
                <w:sz w:val="21"/>
                <w:szCs w:val="21"/>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1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0.00%</w:t>
            </w:r>
          </w:p>
        </w:tc>
      </w:tr>
    </w:tbl>
    <w:p>
      <w:pPr>
        <w:spacing w:after="0" w:line="255" w:lineRule="exact"/>
        <w:rPr>
          <w:sz w:val="20"/>
          <w:szCs w:val="20"/>
          <w:color w:val="auto"/>
        </w:rPr>
      </w:pPr>
    </w:p>
    <w:p>
      <w:pPr>
        <w:ind w:right="460" w:firstLine="720"/>
        <w:spacing w:after="0" w:line="259" w:lineRule="auto"/>
        <w:rPr>
          <w:sz w:val="20"/>
          <w:szCs w:val="20"/>
          <w:color w:val="auto"/>
        </w:rPr>
      </w:pPr>
      <w:r>
        <w:rPr>
          <w:rFonts w:ascii="Times New Roman" w:cs="Times New Roman" w:eastAsia="Times New Roman" w:hAnsi="Times New Roman"/>
          <w:sz w:val="20"/>
          <w:szCs w:val="20"/>
          <w:color w:val="auto"/>
        </w:rPr>
        <w:t>The expected volatility assumption is calculated by reference to the historical volatility of an appropriate peer group of companies for a period equal to the expected term of the Option. The grant date fair value is recognized over the requisite service period using the accelerated graded-vesting attribution method.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 (“RSUs”)</w:t>
      </w:r>
    </w:p>
    <w:p>
      <w:pPr>
        <w:spacing w:after="0" w:line="238"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Each RSU entitles the holder a conditional right to receive an ADS at no cost upon the completion of the applicable vesting period. RSUs granted under the EIP vest over three years with one-third of the awards vesting on the first anniversary of the grant date and the remainder vesting in four equal six-monthly installments thereafter. Upon vesting of the RSUs, the Company issues the requisite ADSs, a portion of which are sold to satisfy the resulting tax obligations, and the remaining ADSs are delivered to the holder. RSUs have a maximum contractual life of 3.0 years.</w:t>
      </w:r>
    </w:p>
    <w:p>
      <w:pPr>
        <w:spacing w:after="0" w:line="197" w:lineRule="exact"/>
        <w:rPr>
          <w:sz w:val="20"/>
          <w:szCs w:val="20"/>
          <w:color w:val="auto"/>
        </w:rPr>
      </w:pPr>
    </w:p>
    <w:p>
      <w:pPr>
        <w:ind w:right="60" w:firstLine="720"/>
        <w:spacing w:after="0" w:line="279" w:lineRule="auto"/>
        <w:rPr>
          <w:sz w:val="20"/>
          <w:szCs w:val="20"/>
          <w:color w:val="auto"/>
        </w:rPr>
      </w:pPr>
      <w:r>
        <w:rPr>
          <w:rFonts w:ascii="Times New Roman" w:cs="Times New Roman" w:eastAsia="Times New Roman" w:hAnsi="Times New Roman"/>
          <w:sz w:val="20"/>
          <w:szCs w:val="20"/>
          <w:color w:val="auto"/>
        </w:rPr>
        <w:t>A summary of the Company’s RSU activity and related information under the 2019 EIP for 2024 and 2023 is as follows. All outstanding RSUs are expected to vest:</w:t>
      </w:r>
    </w:p>
    <w:p>
      <w:pPr>
        <w:spacing w:after="0" w:line="212"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spacing w:after="0"/>
              <w:rPr>
                <w:sz w:val="19"/>
                <w:szCs w:val="19"/>
                <w:color w:val="auto"/>
              </w:rPr>
            </w:pPr>
          </w:p>
        </w:tc>
      </w:t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Aggregate</w:t>
            </w:r>
          </w:p>
        </w:tc>
      </w:t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Grant</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intrinsic</w:t>
            </w:r>
          </w:p>
        </w:tc>
      </w:t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RSUs</w:t>
            </w: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Date Fair</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value</w:t>
            </w:r>
          </w:p>
        </w:tc>
      </w:tr>
      <w:tr>
        <w:trPr>
          <w:trHeight w:val="254"/>
        </w:trPr>
        <w:tc>
          <w:tcPr>
            <w:tcW w:w="5060" w:type="dxa"/>
            <w:vAlign w:val="bottom"/>
            <w:shd w:val="clear" w:color="auto" w:fill="FEFEFE"/>
          </w:tcPr>
          <w:p>
            <w:pPr>
              <w:spacing w:after="0"/>
              <w:rPr>
                <w:sz w:val="22"/>
                <w:szCs w:val="22"/>
                <w:color w:val="auto"/>
              </w:rPr>
            </w:pPr>
          </w:p>
        </w:tc>
        <w:tc>
          <w:tcPr>
            <w:tcW w:w="11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(ADSs)</w:t>
            </w:r>
          </w:p>
        </w:tc>
        <w:tc>
          <w:tcPr>
            <w:tcW w:w="100" w:type="dxa"/>
            <w:vAlign w:val="bottom"/>
            <w:shd w:val="clear" w:color="auto" w:fill="FEFEFE"/>
          </w:tcPr>
          <w:p>
            <w:pPr>
              <w:spacing w:after="0"/>
              <w:rPr>
                <w:sz w:val="22"/>
                <w:szCs w:val="22"/>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Value ($)</w:t>
            </w:r>
          </w:p>
        </w:tc>
        <w:tc>
          <w:tcPr>
            <w:tcW w:w="122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($'000)</w:t>
            </w:r>
          </w:p>
        </w:tc>
      </w:tr>
      <w:tr>
        <w:trPr>
          <w:trHeight w:val="234"/>
        </w:trPr>
        <w:tc>
          <w:tcPr>
            <w:tcW w:w="50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At December 31, 2022</w:t>
            </w:r>
          </w:p>
        </w:tc>
        <w:tc>
          <w:tcPr>
            <w:tcW w:w="11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0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679,225</w:t>
            </w:r>
          </w:p>
        </w:tc>
        <w:tc>
          <w:tcPr>
            <w:tcW w:w="100" w:type="dxa"/>
            <w:vAlign w:val="bottom"/>
            <w:shd w:val="clear" w:color="auto" w:fill="FEFEFE"/>
          </w:tcPr>
          <w:p>
            <w:pPr>
              <w:spacing w:after="0"/>
              <w:rPr>
                <w:sz w:val="21"/>
                <w:szCs w:val="21"/>
                <w:color w:val="auto"/>
              </w:rPr>
            </w:pP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shd w:val="clear" w:color="auto" w:fill="FEFEFE"/>
          </w:tcPr>
          <w:p>
            <w:pPr>
              <w:spacing w:after="0"/>
              <w:rPr>
                <w:sz w:val="21"/>
                <w:szCs w:val="21"/>
                <w:color w:val="auto"/>
              </w:rPr>
            </w:pPr>
          </w:p>
        </w:tc>
        <w:tc>
          <w:tcPr>
            <w:tcW w:w="1140" w:type="dxa"/>
            <w:vAlign w:val="bottom"/>
            <w:shd w:val="clear" w:color="auto" w:fill="FEFEFE"/>
          </w:tcPr>
          <w:p>
            <w:pPr>
              <w:spacing w:after="0"/>
              <w:rPr>
                <w:sz w:val="21"/>
                <w:szCs w:val="21"/>
                <w:color w:val="auto"/>
              </w:rPr>
            </w:pPr>
          </w:p>
        </w:tc>
      </w:tr>
      <w:tr>
        <w:trPr>
          <w:trHeight w:val="244"/>
        </w:trPr>
        <w:tc>
          <w:tcPr>
            <w:tcW w:w="50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(190,000)</w:t>
            </w:r>
          </w:p>
        </w:tc>
        <w:tc>
          <w:tcPr>
            <w:tcW w:w="12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shd w:val="clear" w:color="auto" w:fill="E6E6E6"/>
          </w:tcPr>
          <w:p>
            <w:pPr>
              <w:spacing w:after="0"/>
              <w:rPr>
                <w:sz w:val="21"/>
                <w:szCs w:val="21"/>
                <w:color w:val="auto"/>
              </w:rPr>
            </w:pPr>
          </w:p>
        </w:tc>
        <w:tc>
          <w:tcPr>
            <w:tcW w:w="1140" w:type="dxa"/>
            <w:vAlign w:val="bottom"/>
            <w:shd w:val="clear" w:color="auto" w:fill="E6E6E6"/>
          </w:tcPr>
          <w:p>
            <w:pPr>
              <w:spacing w:after="0"/>
              <w:rPr>
                <w:sz w:val="21"/>
                <w:szCs w:val="21"/>
                <w:color w:val="auto"/>
              </w:rPr>
            </w:pPr>
          </w:p>
        </w:tc>
      </w:tr>
      <w:tr>
        <w:trPr>
          <w:trHeight w:val="224"/>
        </w:trPr>
        <w:tc>
          <w:tcPr>
            <w:tcW w:w="5060" w:type="dxa"/>
            <w:vAlign w:val="bottom"/>
            <w:tcBorders>
              <w:top w:val="single" w:sz="8" w:color="FEFEFE"/>
              <w:bottom w:val="single" w:sz="8" w:color="E6E6E6"/>
            </w:tcBorders>
            <w:shd w:val="clear" w:color="auto" w:fill="FEFEFE"/>
          </w:tcPr>
          <w:p>
            <w:pPr>
              <w:spacing w:after="0" w:line="224" w:lineRule="exact"/>
              <w:rPr>
                <w:sz w:val="20"/>
                <w:szCs w:val="20"/>
                <w:color w:val="auto"/>
              </w:rPr>
            </w:pPr>
            <w:r>
              <w:rPr>
                <w:rFonts w:ascii="Times New Roman" w:cs="Times New Roman" w:eastAsia="Times New Roman" w:hAnsi="Times New Roman"/>
                <w:sz w:val="20"/>
                <w:szCs w:val="20"/>
                <w:color w:val="auto"/>
              </w:rPr>
              <w:t>At December 31, 2023</w:t>
            </w:r>
          </w:p>
        </w:tc>
        <w:tc>
          <w:tcPr>
            <w:tcW w:w="1120" w:type="dxa"/>
            <w:vAlign w:val="bottom"/>
            <w:tcBorders>
              <w:top w:val="single" w:sz="8" w:color="auto"/>
              <w:bottom w:val="single" w:sz="8" w:color="auto"/>
            </w:tcBorders>
            <w:shd w:val="clear" w:color="auto" w:fill="FEFEFE"/>
          </w:tcPr>
          <w:p>
            <w:pPr>
              <w:jc w:val="right"/>
              <w:spacing w:after="0" w:line="224" w:lineRule="exact"/>
              <w:rPr>
                <w:sz w:val="20"/>
                <w:szCs w:val="20"/>
                <w:color w:val="auto"/>
              </w:rPr>
            </w:pPr>
            <w:r>
              <w:rPr>
                <w:rFonts w:ascii="Times New Roman" w:cs="Times New Roman" w:eastAsia="Times New Roman" w:hAnsi="Times New Roman"/>
                <w:sz w:val="20"/>
                <w:szCs w:val="20"/>
                <w:color w:val="auto"/>
              </w:rPr>
              <w:t>489,225</w:t>
            </w:r>
          </w:p>
        </w:tc>
        <w:tc>
          <w:tcPr>
            <w:tcW w:w="100" w:type="dxa"/>
            <w:vAlign w:val="bottom"/>
            <w:tcBorders>
              <w:top w:val="single" w:sz="8" w:color="FEFEFE"/>
              <w:bottom w:val="single" w:sz="8" w:color="E6E6E6"/>
            </w:tcBorders>
            <w:shd w:val="clear" w:color="auto" w:fill="FEFEFE"/>
          </w:tcPr>
          <w:p>
            <w:pPr>
              <w:spacing w:after="0"/>
              <w:rPr>
                <w:sz w:val="19"/>
                <w:szCs w:val="19"/>
                <w:color w:val="auto"/>
              </w:rPr>
            </w:pPr>
          </w:p>
        </w:tc>
        <w:tc>
          <w:tcPr>
            <w:tcW w:w="1140" w:type="dxa"/>
            <w:vAlign w:val="bottom"/>
            <w:tcBorders>
              <w:top w:val="single" w:sz="8" w:color="auto"/>
              <w:bottom w:val="single" w:sz="8" w:color="auto"/>
            </w:tcBorders>
            <w:shd w:val="clear" w:color="auto" w:fill="FEFEFE"/>
          </w:tcPr>
          <w:p>
            <w:pPr>
              <w:jc w:val="right"/>
              <w:spacing w:after="0" w:line="224" w:lineRule="exact"/>
              <w:rPr>
                <w:sz w:val="20"/>
                <w:szCs w:val="20"/>
                <w:color w:val="auto"/>
              </w:rPr>
            </w:pPr>
            <w:r>
              <w:rPr>
                <w:rFonts w:ascii="Times New Roman" w:cs="Times New Roman" w:eastAsia="Times New Roman" w:hAnsi="Times New Roman"/>
                <w:sz w:val="20"/>
                <w:szCs w:val="20"/>
                <w:color w:val="auto"/>
              </w:rPr>
              <w:t>1.03</w:t>
            </w:r>
          </w:p>
        </w:tc>
        <w:tc>
          <w:tcPr>
            <w:tcW w:w="80" w:type="dxa"/>
            <w:vAlign w:val="bottom"/>
            <w:tcBorders>
              <w:top w:val="single" w:sz="8" w:color="FEFEFE"/>
              <w:bottom w:val="single" w:sz="8" w:color="E6E6E6"/>
            </w:tcBorders>
            <w:shd w:val="clear" w:color="auto" w:fill="FEFEFE"/>
          </w:tcPr>
          <w:p>
            <w:pPr>
              <w:spacing w:after="0"/>
              <w:rPr>
                <w:sz w:val="19"/>
                <w:szCs w:val="19"/>
                <w:color w:val="auto"/>
              </w:rPr>
            </w:pPr>
          </w:p>
        </w:tc>
        <w:tc>
          <w:tcPr>
            <w:tcW w:w="1140" w:type="dxa"/>
            <w:vAlign w:val="bottom"/>
            <w:tcBorders>
              <w:top w:val="single" w:sz="8" w:color="auto"/>
              <w:bottom w:val="single" w:sz="8" w:color="auto"/>
            </w:tcBorders>
            <w:shd w:val="clear" w:color="auto" w:fill="FEFEFE"/>
          </w:tcPr>
          <w:p>
            <w:pPr>
              <w:jc w:val="right"/>
              <w:spacing w:after="0" w:line="224" w:lineRule="exact"/>
              <w:rPr>
                <w:sz w:val="20"/>
                <w:szCs w:val="20"/>
                <w:color w:val="auto"/>
              </w:rPr>
            </w:pPr>
            <w:r>
              <w:rPr>
                <w:rFonts w:ascii="Times New Roman" w:cs="Times New Roman" w:eastAsia="Times New Roman" w:hAnsi="Times New Roman"/>
                <w:sz w:val="20"/>
                <w:szCs w:val="20"/>
                <w:color w:val="auto"/>
              </w:rPr>
              <w:t>1,130</w:t>
            </w:r>
          </w:p>
        </w:tc>
      </w:tr>
      <w:tr>
        <w:trPr>
          <w:trHeight w:val="234"/>
        </w:trPr>
        <w:tc>
          <w:tcPr>
            <w:tcW w:w="50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204,914</w:t>
            </w:r>
          </w:p>
        </w:tc>
        <w:tc>
          <w:tcPr>
            <w:tcW w:w="10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8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0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(229,359)</w:t>
            </w:r>
          </w:p>
        </w:tc>
        <w:tc>
          <w:tcPr>
            <w:tcW w:w="100" w:type="dxa"/>
            <w:vAlign w:val="bottom"/>
            <w:shd w:val="clear" w:color="auto" w:fill="FEFEFE"/>
          </w:tcPr>
          <w:p>
            <w:pPr>
              <w:spacing w:after="0"/>
              <w:rPr>
                <w:sz w:val="21"/>
                <w:szCs w:val="21"/>
                <w:color w:val="auto"/>
              </w:rPr>
            </w:pP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shd w:val="clear" w:color="auto" w:fill="FEFEFE"/>
          </w:tcPr>
          <w:p>
            <w:pPr>
              <w:spacing w:after="0"/>
              <w:rPr>
                <w:sz w:val="21"/>
                <w:szCs w:val="21"/>
                <w:color w:val="auto"/>
              </w:rPr>
            </w:pP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830</w:t>
            </w:r>
          </w:p>
        </w:tc>
      </w:tr>
      <w:tr>
        <w:trPr>
          <w:trHeight w:val="244"/>
        </w:trPr>
        <w:tc>
          <w:tcPr>
            <w:tcW w:w="50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(23,533)</w:t>
            </w:r>
          </w:p>
        </w:tc>
        <w:tc>
          <w:tcPr>
            <w:tcW w:w="12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80" w:type="dxa"/>
            <w:vAlign w:val="bottom"/>
            <w:shd w:val="clear" w:color="auto" w:fill="E6E6E6"/>
          </w:tcPr>
          <w:p>
            <w:pPr>
              <w:spacing w:after="0"/>
              <w:rPr>
                <w:sz w:val="21"/>
                <w:szCs w:val="21"/>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5060" w:type="dxa"/>
            <w:vAlign w:val="bottom"/>
            <w:tcBorders>
              <w:top w:val="single" w:sz="8" w:color="FEFEFE"/>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At December 31, 2024</w:t>
            </w:r>
          </w:p>
        </w:tc>
        <w:tc>
          <w:tcPr>
            <w:tcW w:w="11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441,247</w:t>
            </w:r>
          </w:p>
        </w:tc>
        <w:tc>
          <w:tcPr>
            <w:tcW w:w="100" w:type="dxa"/>
            <w:vAlign w:val="bottom"/>
            <w:tcBorders>
              <w:top w:val="single" w:sz="8" w:color="FEFEFE"/>
            </w:tcBorders>
            <w:shd w:val="clear" w:color="auto" w:fill="FEFEFE"/>
          </w:tcPr>
          <w:p>
            <w:pPr>
              <w:spacing w:after="0"/>
              <w:rPr>
                <w:sz w:val="20"/>
                <w:szCs w:val="20"/>
                <w:color w:val="auto"/>
              </w:rPr>
            </w:pPr>
          </w:p>
        </w:tc>
        <w:tc>
          <w:tcPr>
            <w:tcW w:w="11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80" w:type="dxa"/>
            <w:vAlign w:val="bottom"/>
            <w:tcBorders>
              <w:top w:val="single" w:sz="8" w:color="FEFEFE"/>
            </w:tcBorders>
            <w:shd w:val="clear" w:color="auto" w:fill="FEFEFE"/>
          </w:tcPr>
          <w:p>
            <w:pPr>
              <w:spacing w:after="0"/>
              <w:rPr>
                <w:sz w:val="20"/>
                <w:szCs w:val="20"/>
                <w:color w:val="auto"/>
              </w:rPr>
            </w:pPr>
          </w:p>
        </w:tc>
        <w:tc>
          <w:tcPr>
            <w:tcW w:w="11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1,491</w:t>
            </w:r>
          </w:p>
        </w:tc>
      </w:tr>
      <w:tr>
        <w:trPr>
          <w:trHeight w:val="20"/>
        </w:trPr>
        <w:tc>
          <w:tcPr>
            <w:tcW w:w="5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December 31, 2024, the weighted average remaining vesting period of RSUs outstanding was 2.2 years (2023: 2.1 years).</w:t>
      </w:r>
    </w:p>
    <w:p>
      <w:pPr>
        <w:spacing w:after="0"/>
        <w:rPr>
          <w:sz w:val="20"/>
          <w:szCs w:val="20"/>
          <w:color w:val="auto"/>
        </w:rPr>
      </w:pPr>
      <w:r>
        <w:rPr>
          <w:rFonts w:ascii="Times New Roman" w:cs="Times New Roman" w:eastAsia="Times New Roman" w:hAnsi="Times New Roman"/>
          <w:sz w:val="20"/>
          <w:szCs w:val="20"/>
          <w:color w:val="auto"/>
        </w:rPr>
        <w:t>The total fair value of shares vested during the year ended December 31, 2024 was $0.9 million (2023: $nil).</w:t>
      </w:r>
    </w:p>
    <w:p>
      <w:pPr>
        <w:spacing w:after="0" w:line="240" w:lineRule="exact"/>
        <w:rPr>
          <w:sz w:val="20"/>
          <w:szCs w:val="20"/>
          <w:color w:val="auto"/>
        </w:rPr>
      </w:pPr>
    </w:p>
    <w:p>
      <w:pPr>
        <w:ind w:right="420" w:firstLine="720"/>
        <w:spacing w:after="0" w:line="259" w:lineRule="auto"/>
        <w:rPr>
          <w:sz w:val="20"/>
          <w:szCs w:val="20"/>
          <w:color w:val="auto"/>
        </w:rPr>
      </w:pPr>
      <w:r>
        <w:rPr>
          <w:rFonts w:ascii="Times New Roman" w:cs="Times New Roman" w:eastAsia="Times New Roman" w:hAnsi="Times New Roman"/>
          <w:sz w:val="20"/>
          <w:szCs w:val="20"/>
          <w:color w:val="auto"/>
        </w:rPr>
        <w:t>Where presented, the aggregate intrinsic value is calculated as the quoted market price of the Company’s ADSs. The fair value of each RSU is calculated by reference to the value of the shares awarded. The grant date fair value is recognized over the vesting period using the accelerated graded-vesting attribution method.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Based Restricted Stock Units (“PSUs”)</w:t>
      </w:r>
    </w:p>
    <w:p>
      <w:pPr>
        <w:spacing w:after="0" w:line="238" w:lineRule="exact"/>
        <w:rPr>
          <w:sz w:val="20"/>
          <w:szCs w:val="20"/>
          <w:color w:val="auto"/>
        </w:rPr>
      </w:pPr>
    </w:p>
    <w:p>
      <w:pPr>
        <w:jc w:val="both"/>
        <w:ind w:right="160" w:firstLine="720"/>
        <w:spacing w:after="0" w:line="259" w:lineRule="auto"/>
        <w:rPr>
          <w:sz w:val="20"/>
          <w:szCs w:val="20"/>
          <w:color w:val="auto"/>
        </w:rPr>
      </w:pPr>
      <w:r>
        <w:rPr>
          <w:rFonts w:ascii="Times New Roman" w:cs="Times New Roman" w:eastAsia="Times New Roman" w:hAnsi="Times New Roman"/>
          <w:sz w:val="20"/>
          <w:szCs w:val="20"/>
          <w:color w:val="auto"/>
        </w:rPr>
        <w:t>Each PSU entitles the holder a conditional right to receive an ADS at no cost upon satisfaction of four escalating ADS price performance targets over a two year performance period following the date of grant. A summary of the Company’s PSU activity and related information under the 2019 EIP for 2024 and 2023 is as follows.</w:t>
      </w:r>
    </w:p>
    <w:p>
      <w:pPr>
        <w:sectPr>
          <w:pgSz w:w="11880" w:h="15480" w:orient="portrait"/>
          <w:cols w:equalWidth="0" w:num="1">
            <w:col w:w="10800"/>
          </w:cols>
          <w:pgMar w:left="540" w:top="748"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1880" w:h="15480" w:orient="portrait"/>
          <w:cols w:equalWidth="0" w:num="1">
            <w:col w:w="10800"/>
          </w:cols>
          <w:pgMar w:left="540" w:top="748" w:right="540" w:bottom="8" w:gutter="0" w:footer="0" w:header="0"/>
          <w:type w:val="continuous"/>
        </w:sectPr>
      </w:pPr>
    </w:p>
    <w:bookmarkStart w:id="137" w:name="page138"/>
    <w:bookmarkEnd w:id="137"/>
    <w:tbl>
      <w:tblPr>
        <w:tblLayout w:type="fixed"/>
        <w:tblInd w:w="72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40" w:type="dxa"/>
            <w:vAlign w:val="bottom"/>
            <w:gridSpan w:val="2"/>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40" w:type="dxa"/>
            <w:vAlign w:val="bottom"/>
            <w:gridSpan w:val="2"/>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Aggregate</w:t>
            </w:r>
          </w:p>
        </w:tc>
      </w:tr>
      <w:tr>
        <w:trPr>
          <w:trHeight w:val="230"/>
        </w:trPr>
        <w:tc>
          <w:tcPr>
            <w:tcW w:w="360" w:type="dxa"/>
            <w:vAlign w:val="bottom"/>
          </w:tcPr>
          <w:p>
            <w:pPr>
              <w:spacing w:after="0"/>
              <w:rPr>
                <w:sz w:val="19"/>
                <w:szCs w:val="19"/>
                <w:color w:val="auto"/>
              </w:rPr>
            </w:pPr>
          </w:p>
        </w:tc>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00" w:type="dxa"/>
            <w:vAlign w:val="bottom"/>
            <w:shd w:val="clear" w:color="auto" w:fill="FEFEFE"/>
          </w:tcPr>
          <w:p>
            <w:pPr>
              <w:spacing w:after="0"/>
              <w:rPr>
                <w:sz w:val="19"/>
                <w:szCs w:val="19"/>
                <w:color w:val="auto"/>
              </w:rPr>
            </w:pPr>
          </w:p>
        </w:tc>
        <w:tc>
          <w:tcPr>
            <w:tcW w:w="114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Grant</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intrinsic</w:t>
            </w:r>
          </w:p>
        </w:tc>
      </w:tr>
      <w:tr>
        <w:trPr>
          <w:trHeight w:val="230"/>
        </w:trPr>
        <w:tc>
          <w:tcPr>
            <w:tcW w:w="360" w:type="dxa"/>
            <w:vAlign w:val="bottom"/>
          </w:tcPr>
          <w:p>
            <w:pPr>
              <w:spacing w:after="0"/>
              <w:rPr>
                <w:sz w:val="19"/>
                <w:szCs w:val="19"/>
                <w:color w:val="auto"/>
              </w:rPr>
            </w:pPr>
          </w:p>
        </w:tc>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PSUs</w:t>
            </w:r>
          </w:p>
        </w:tc>
        <w:tc>
          <w:tcPr>
            <w:tcW w:w="100" w:type="dxa"/>
            <w:vAlign w:val="bottom"/>
            <w:shd w:val="clear" w:color="auto" w:fill="FEFEFE"/>
          </w:tcPr>
          <w:p>
            <w:pPr>
              <w:spacing w:after="0"/>
              <w:rPr>
                <w:sz w:val="19"/>
                <w:szCs w:val="19"/>
                <w:color w:val="auto"/>
              </w:rPr>
            </w:pPr>
          </w:p>
        </w:tc>
        <w:tc>
          <w:tcPr>
            <w:tcW w:w="1140" w:type="dxa"/>
            <w:vAlign w:val="bottom"/>
            <w:gridSpan w:val="2"/>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Date Fair</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value</w:t>
            </w:r>
          </w:p>
        </w:tc>
      </w:tr>
      <w:tr>
        <w:trPr>
          <w:trHeight w:val="254"/>
        </w:trPr>
        <w:tc>
          <w:tcPr>
            <w:tcW w:w="360" w:type="dxa"/>
            <w:vAlign w:val="bottom"/>
          </w:tcPr>
          <w:p>
            <w:pPr>
              <w:spacing w:after="0"/>
              <w:rPr>
                <w:sz w:val="22"/>
                <w:szCs w:val="22"/>
                <w:color w:val="auto"/>
              </w:rPr>
            </w:pPr>
          </w:p>
        </w:tc>
        <w:tc>
          <w:tcPr>
            <w:tcW w:w="5060" w:type="dxa"/>
            <w:vAlign w:val="bottom"/>
            <w:shd w:val="clear" w:color="auto" w:fill="FEFEFE"/>
          </w:tcPr>
          <w:p>
            <w:pPr>
              <w:spacing w:after="0"/>
              <w:rPr>
                <w:sz w:val="22"/>
                <w:szCs w:val="22"/>
                <w:color w:val="auto"/>
              </w:rPr>
            </w:pPr>
          </w:p>
        </w:tc>
        <w:tc>
          <w:tcPr>
            <w:tcW w:w="11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(ADSs)</w:t>
            </w:r>
          </w:p>
        </w:tc>
        <w:tc>
          <w:tcPr>
            <w:tcW w:w="100" w:type="dxa"/>
            <w:vAlign w:val="bottom"/>
            <w:shd w:val="clear" w:color="auto" w:fill="FEFEFE"/>
          </w:tcPr>
          <w:p>
            <w:pPr>
              <w:spacing w:after="0"/>
              <w:rPr>
                <w:sz w:val="22"/>
                <w:szCs w:val="22"/>
                <w:color w:val="auto"/>
              </w:rPr>
            </w:pPr>
          </w:p>
        </w:tc>
        <w:tc>
          <w:tcPr>
            <w:tcW w:w="1140" w:type="dxa"/>
            <w:vAlign w:val="bottom"/>
            <w:gridSpan w:val="2"/>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Value ($)</w:t>
            </w:r>
          </w:p>
        </w:tc>
        <w:tc>
          <w:tcPr>
            <w:tcW w:w="122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($'000)</w:t>
            </w:r>
          </w:p>
        </w:tc>
      </w:tr>
      <w:tr>
        <w:trPr>
          <w:trHeight w:val="234"/>
        </w:trPr>
        <w:tc>
          <w:tcPr>
            <w:tcW w:w="360" w:type="dxa"/>
            <w:vAlign w:val="bottom"/>
          </w:tcPr>
          <w:p>
            <w:pPr>
              <w:spacing w:after="0"/>
              <w:rPr>
                <w:sz w:val="20"/>
                <w:szCs w:val="20"/>
                <w:color w:val="auto"/>
              </w:rPr>
            </w:pPr>
          </w:p>
        </w:tc>
        <w:tc>
          <w:tcPr>
            <w:tcW w:w="50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At December 31, 2022</w:t>
            </w:r>
          </w:p>
        </w:tc>
        <w:tc>
          <w:tcPr>
            <w:tcW w:w="11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E6E6E6"/>
            </w:tcBorders>
            <w:shd w:val="clear" w:color="auto" w:fill="E6E6E6"/>
          </w:tcPr>
          <w:p>
            <w:pPr>
              <w:spacing w:after="0"/>
              <w:rPr>
                <w:sz w:val="20"/>
                <w:szCs w:val="20"/>
                <w:color w:val="auto"/>
              </w:rPr>
            </w:pPr>
          </w:p>
        </w:tc>
        <w:tc>
          <w:tcPr>
            <w:tcW w:w="760" w:type="dxa"/>
            <w:vAlign w:val="bottom"/>
            <w:tcBorders>
              <w:top w:val="single" w:sz="8" w:color="auto"/>
            </w:tcBorders>
            <w:shd w:val="clear" w:color="auto" w:fill="E6E6E6"/>
          </w:tcPr>
          <w:p>
            <w:pPr>
              <w:spacing w:after="0"/>
              <w:rPr>
                <w:sz w:val="20"/>
                <w:szCs w:val="20"/>
                <w:color w:val="auto"/>
              </w:rPr>
            </w:pPr>
          </w:p>
        </w:tc>
        <w:tc>
          <w:tcPr>
            <w:tcW w:w="3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60" w:type="dxa"/>
            <w:vAlign w:val="bottom"/>
          </w:tcPr>
          <w:p>
            <w:pPr>
              <w:spacing w:after="0"/>
              <w:rPr>
                <w:sz w:val="21"/>
                <w:szCs w:val="21"/>
                <w:color w:val="auto"/>
              </w:rPr>
            </w:pPr>
          </w:p>
        </w:tc>
        <w:tc>
          <w:tcPr>
            <w:tcW w:w="50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1,543,150</w:t>
            </w:r>
          </w:p>
        </w:tc>
        <w:tc>
          <w:tcPr>
            <w:tcW w:w="100" w:type="dxa"/>
            <w:vAlign w:val="bottom"/>
            <w:shd w:val="clear" w:color="auto" w:fill="FEFEFE"/>
          </w:tcPr>
          <w:p>
            <w:pPr>
              <w:spacing w:after="0"/>
              <w:rPr>
                <w:sz w:val="21"/>
                <w:szCs w:val="21"/>
                <w:color w:val="auto"/>
              </w:rPr>
            </w:pPr>
          </w:p>
        </w:tc>
        <w:tc>
          <w:tcPr>
            <w:tcW w:w="11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0.61</w:t>
            </w:r>
          </w:p>
        </w:tc>
        <w:tc>
          <w:tcPr>
            <w:tcW w:w="80" w:type="dxa"/>
            <w:vAlign w:val="bottom"/>
            <w:shd w:val="clear" w:color="auto" w:fill="FEFEFE"/>
          </w:tcPr>
          <w:p>
            <w:pPr>
              <w:spacing w:after="0"/>
              <w:rPr>
                <w:sz w:val="21"/>
                <w:szCs w:val="21"/>
                <w:color w:val="auto"/>
              </w:rPr>
            </w:pP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60" w:type="dxa"/>
            <w:vAlign w:val="bottom"/>
          </w:tcPr>
          <w:p>
            <w:pPr>
              <w:spacing w:after="0"/>
              <w:rPr>
                <w:sz w:val="21"/>
                <w:szCs w:val="21"/>
                <w:color w:val="auto"/>
              </w:rPr>
            </w:pPr>
          </w:p>
        </w:tc>
        <w:tc>
          <w:tcPr>
            <w:tcW w:w="50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(205,000)</w:t>
            </w:r>
          </w:p>
        </w:tc>
        <w:tc>
          <w:tcPr>
            <w:tcW w:w="12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0.61</w:t>
            </w:r>
          </w:p>
        </w:tc>
        <w:tc>
          <w:tcPr>
            <w:tcW w:w="80" w:type="dxa"/>
            <w:vAlign w:val="bottom"/>
            <w:shd w:val="clear" w:color="auto" w:fill="E6E6E6"/>
          </w:tcPr>
          <w:p>
            <w:pPr>
              <w:spacing w:after="0"/>
              <w:rPr>
                <w:sz w:val="21"/>
                <w:szCs w:val="21"/>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4"/>
        </w:trPr>
        <w:tc>
          <w:tcPr>
            <w:tcW w:w="360" w:type="dxa"/>
            <w:vAlign w:val="bottom"/>
          </w:tcPr>
          <w:p>
            <w:pPr>
              <w:spacing w:after="0"/>
              <w:rPr>
                <w:sz w:val="19"/>
                <w:szCs w:val="19"/>
                <w:color w:val="auto"/>
              </w:rPr>
            </w:pPr>
          </w:p>
        </w:tc>
        <w:tc>
          <w:tcPr>
            <w:tcW w:w="5060" w:type="dxa"/>
            <w:vAlign w:val="bottom"/>
            <w:tcBorders>
              <w:top w:val="single" w:sz="8" w:color="FEFEFE"/>
              <w:bottom w:val="single" w:sz="8" w:color="E6E6E6"/>
            </w:tcBorders>
            <w:shd w:val="clear" w:color="auto" w:fill="FEFEFE"/>
          </w:tcPr>
          <w:p>
            <w:pPr>
              <w:spacing w:after="0" w:line="224" w:lineRule="exact"/>
              <w:rPr>
                <w:sz w:val="20"/>
                <w:szCs w:val="20"/>
                <w:color w:val="auto"/>
              </w:rPr>
            </w:pPr>
            <w:r>
              <w:rPr>
                <w:rFonts w:ascii="Times New Roman" w:cs="Times New Roman" w:eastAsia="Times New Roman" w:hAnsi="Times New Roman"/>
                <w:sz w:val="20"/>
                <w:szCs w:val="20"/>
                <w:color w:val="auto"/>
              </w:rPr>
              <w:t>At December 31, 2023</w:t>
            </w:r>
          </w:p>
        </w:tc>
        <w:tc>
          <w:tcPr>
            <w:tcW w:w="1120" w:type="dxa"/>
            <w:vAlign w:val="bottom"/>
            <w:tcBorders>
              <w:top w:val="single" w:sz="8" w:color="auto"/>
              <w:bottom w:val="single" w:sz="8" w:color="auto"/>
            </w:tcBorders>
            <w:shd w:val="clear" w:color="auto" w:fill="FEFEFE"/>
          </w:tcPr>
          <w:p>
            <w:pPr>
              <w:jc w:val="right"/>
              <w:spacing w:after="0" w:line="224" w:lineRule="exact"/>
              <w:rPr>
                <w:sz w:val="20"/>
                <w:szCs w:val="20"/>
                <w:color w:val="auto"/>
              </w:rPr>
            </w:pPr>
            <w:r>
              <w:rPr>
                <w:rFonts w:ascii="Times New Roman" w:cs="Times New Roman" w:eastAsia="Times New Roman" w:hAnsi="Times New Roman"/>
                <w:sz w:val="20"/>
                <w:szCs w:val="20"/>
                <w:color w:val="auto"/>
              </w:rPr>
              <w:t>1,338,150</w:t>
            </w:r>
          </w:p>
        </w:tc>
        <w:tc>
          <w:tcPr>
            <w:tcW w:w="100" w:type="dxa"/>
            <w:vAlign w:val="bottom"/>
            <w:tcBorders>
              <w:top w:val="single" w:sz="8" w:color="FEFEFE"/>
              <w:bottom w:val="single" w:sz="8" w:color="E6E6E6"/>
            </w:tcBorders>
            <w:shd w:val="clear" w:color="auto" w:fill="FEFEFE"/>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FEFEFE"/>
          </w:tcPr>
          <w:p>
            <w:pPr>
              <w:jc w:val="right"/>
              <w:spacing w:after="0" w:line="224" w:lineRule="exact"/>
              <w:rPr>
                <w:sz w:val="20"/>
                <w:szCs w:val="20"/>
                <w:color w:val="auto"/>
              </w:rPr>
            </w:pPr>
            <w:r>
              <w:rPr>
                <w:rFonts w:ascii="Times New Roman" w:cs="Times New Roman" w:eastAsia="Times New Roman" w:hAnsi="Times New Roman"/>
                <w:sz w:val="20"/>
                <w:szCs w:val="20"/>
                <w:color w:val="auto"/>
              </w:rPr>
              <w:t>0.61</w:t>
            </w:r>
          </w:p>
        </w:tc>
        <w:tc>
          <w:tcPr>
            <w:tcW w:w="80" w:type="dxa"/>
            <w:vAlign w:val="bottom"/>
            <w:tcBorders>
              <w:top w:val="single" w:sz="8" w:color="FEFEFE"/>
              <w:bottom w:val="single" w:sz="8" w:color="E6E6E6"/>
            </w:tcBorders>
            <w:shd w:val="clear" w:color="auto" w:fill="FEFEFE"/>
          </w:tcPr>
          <w:p>
            <w:pPr>
              <w:spacing w:after="0"/>
              <w:rPr>
                <w:sz w:val="19"/>
                <w:szCs w:val="19"/>
                <w:color w:val="auto"/>
              </w:rPr>
            </w:pPr>
          </w:p>
        </w:tc>
        <w:tc>
          <w:tcPr>
            <w:tcW w:w="1140" w:type="dxa"/>
            <w:vAlign w:val="bottom"/>
            <w:tcBorders>
              <w:top w:val="single" w:sz="8" w:color="auto"/>
              <w:bottom w:val="single" w:sz="8" w:color="auto"/>
            </w:tcBorders>
            <w:shd w:val="clear" w:color="auto" w:fill="FEFEFE"/>
          </w:tcPr>
          <w:p>
            <w:pPr>
              <w:jc w:val="right"/>
              <w:spacing w:after="0" w:line="224" w:lineRule="exact"/>
              <w:rPr>
                <w:sz w:val="20"/>
                <w:szCs w:val="20"/>
                <w:color w:val="auto"/>
              </w:rPr>
            </w:pPr>
            <w:r>
              <w:rPr>
                <w:rFonts w:ascii="Times New Roman" w:cs="Times New Roman" w:eastAsia="Times New Roman" w:hAnsi="Times New Roman"/>
                <w:sz w:val="20"/>
                <w:szCs w:val="20"/>
                <w:color w:val="auto"/>
              </w:rPr>
              <w:t>3,091</w:t>
            </w:r>
          </w:p>
        </w:tc>
      </w:tr>
      <w:tr>
        <w:trPr>
          <w:trHeight w:val="224"/>
        </w:trPr>
        <w:tc>
          <w:tcPr>
            <w:tcW w:w="360" w:type="dxa"/>
            <w:vAlign w:val="bottom"/>
          </w:tcPr>
          <w:p>
            <w:pPr>
              <w:spacing w:after="0"/>
              <w:rPr>
                <w:sz w:val="19"/>
                <w:szCs w:val="19"/>
                <w:color w:val="auto"/>
              </w:rPr>
            </w:pPr>
          </w:p>
        </w:tc>
        <w:tc>
          <w:tcPr>
            <w:tcW w:w="5060" w:type="dxa"/>
            <w:vAlign w:val="bottom"/>
            <w:tcBorders>
              <w:bottom w:val="single" w:sz="8" w:color="FEFEFE"/>
            </w:tcBorders>
            <w:shd w:val="clear" w:color="auto" w:fill="E6E6E6"/>
          </w:tcPr>
          <w:p>
            <w:pPr>
              <w:ind w:left="200"/>
              <w:spacing w:after="0" w:line="224" w:lineRule="exact"/>
              <w:rPr>
                <w:sz w:val="20"/>
                <w:szCs w:val="20"/>
                <w:color w:val="auto"/>
              </w:rPr>
            </w:pPr>
            <w:r>
              <w:rPr>
                <w:rFonts w:ascii="Times New Roman" w:cs="Times New Roman" w:eastAsia="Times New Roman" w:hAnsi="Times New Roman"/>
                <w:sz w:val="20"/>
                <w:szCs w:val="20"/>
                <w:color w:val="auto"/>
              </w:rPr>
              <w:t>Vested</w:t>
            </w:r>
          </w:p>
        </w:tc>
        <w:tc>
          <w:tcPr>
            <w:tcW w:w="1120" w:type="dxa"/>
            <w:vAlign w:val="bottom"/>
            <w:tcBorders>
              <w:bottom w:val="single" w:sz="8" w:color="auto"/>
            </w:tcBorders>
            <w:shd w:val="clear" w:color="auto" w:fill="E6E6E6"/>
          </w:tcPr>
          <w:p>
            <w:pPr>
              <w:jc w:val="right"/>
              <w:spacing w:after="0" w:line="224" w:lineRule="exact"/>
              <w:rPr>
                <w:sz w:val="20"/>
                <w:szCs w:val="20"/>
                <w:color w:val="auto"/>
              </w:rPr>
            </w:pPr>
            <w:r>
              <w:rPr>
                <w:rFonts w:ascii="Times New Roman" w:cs="Times New Roman" w:eastAsia="Times New Roman" w:hAnsi="Times New Roman"/>
                <w:sz w:val="20"/>
                <w:szCs w:val="20"/>
                <w:color w:val="auto"/>
              </w:rPr>
              <w:t>(1,338,150)</w:t>
            </w:r>
          </w:p>
        </w:tc>
        <w:tc>
          <w:tcPr>
            <w:tcW w:w="100" w:type="dxa"/>
            <w:vAlign w:val="bottom"/>
            <w:tcBorders>
              <w:bottom w:val="single" w:sz="8" w:color="FEFEFE"/>
            </w:tcBorders>
            <w:shd w:val="clear" w:color="auto" w:fill="E6E6E6"/>
          </w:tcPr>
          <w:p>
            <w:pPr>
              <w:spacing w:after="0"/>
              <w:rPr>
                <w:sz w:val="19"/>
                <w:szCs w:val="19"/>
                <w:color w:val="auto"/>
              </w:rPr>
            </w:pPr>
          </w:p>
        </w:tc>
        <w:tc>
          <w:tcPr>
            <w:tcW w:w="1140" w:type="dxa"/>
            <w:vAlign w:val="bottom"/>
            <w:tcBorders>
              <w:bottom w:val="single" w:sz="8" w:color="auto"/>
            </w:tcBorders>
            <w:gridSpan w:val="2"/>
            <w:shd w:val="clear" w:color="auto" w:fill="E6E6E6"/>
          </w:tcPr>
          <w:p>
            <w:pPr>
              <w:jc w:val="right"/>
              <w:spacing w:after="0" w:line="224" w:lineRule="exact"/>
              <w:rPr>
                <w:sz w:val="20"/>
                <w:szCs w:val="20"/>
                <w:color w:val="auto"/>
              </w:rPr>
            </w:pPr>
            <w:r>
              <w:rPr>
                <w:rFonts w:ascii="Times New Roman" w:cs="Times New Roman" w:eastAsia="Times New Roman" w:hAnsi="Times New Roman"/>
                <w:sz w:val="20"/>
                <w:szCs w:val="20"/>
                <w:color w:val="auto"/>
              </w:rPr>
              <w:t>0.61</w:t>
            </w:r>
          </w:p>
        </w:tc>
        <w:tc>
          <w:tcPr>
            <w:tcW w:w="80" w:type="dxa"/>
            <w:vAlign w:val="bottom"/>
            <w:tcBorders>
              <w:bottom w:val="single" w:sz="8" w:color="FEFEFE"/>
            </w:tcBorders>
            <w:shd w:val="clear" w:color="auto" w:fill="E6E6E6"/>
          </w:tcPr>
          <w:p>
            <w:pPr>
              <w:spacing w:after="0"/>
              <w:rPr>
                <w:sz w:val="19"/>
                <w:szCs w:val="19"/>
                <w:color w:val="auto"/>
              </w:rPr>
            </w:pPr>
          </w:p>
        </w:tc>
        <w:tc>
          <w:tcPr>
            <w:tcW w:w="1140" w:type="dxa"/>
            <w:vAlign w:val="bottom"/>
            <w:tcBorders>
              <w:bottom w:val="single" w:sz="8" w:color="auto"/>
            </w:tcBorders>
            <w:shd w:val="clear" w:color="auto" w:fill="E6E6E6"/>
          </w:tcPr>
          <w:p>
            <w:pPr>
              <w:jc w:val="right"/>
              <w:spacing w:after="0" w:line="224" w:lineRule="exact"/>
              <w:rPr>
                <w:sz w:val="20"/>
                <w:szCs w:val="20"/>
                <w:color w:val="auto"/>
              </w:rPr>
            </w:pPr>
            <w:r>
              <w:rPr>
                <w:rFonts w:ascii="Times New Roman" w:cs="Times New Roman" w:eastAsia="Times New Roman" w:hAnsi="Times New Roman"/>
                <w:sz w:val="20"/>
                <w:szCs w:val="20"/>
                <w:color w:val="auto"/>
              </w:rPr>
              <w:t>5,100</w:t>
            </w:r>
          </w:p>
        </w:tc>
      </w:tr>
      <w:tr>
        <w:trPr>
          <w:trHeight w:val="234"/>
        </w:trPr>
        <w:tc>
          <w:tcPr>
            <w:tcW w:w="360" w:type="dxa"/>
            <w:vAlign w:val="bottom"/>
          </w:tcPr>
          <w:p>
            <w:pPr>
              <w:spacing w:after="0"/>
              <w:rPr>
                <w:sz w:val="20"/>
                <w:szCs w:val="20"/>
                <w:color w:val="auto"/>
              </w:rPr>
            </w:pPr>
          </w:p>
        </w:tc>
        <w:tc>
          <w:tcPr>
            <w:tcW w:w="50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At December 31, 2024</w:t>
            </w: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FEFEFE"/>
          </w:tcPr>
          <w:p>
            <w:pPr>
              <w:spacing w:after="0"/>
              <w:rPr>
                <w:sz w:val="20"/>
                <w:szCs w:val="20"/>
                <w:color w:val="auto"/>
              </w:rPr>
            </w:pPr>
          </w:p>
        </w:tc>
        <w:tc>
          <w:tcPr>
            <w:tcW w:w="760" w:type="dxa"/>
            <w:vAlign w:val="bottom"/>
            <w:tcBorders>
              <w:bottom w:val="single" w:sz="8" w:color="auto"/>
            </w:tcBorders>
            <w:shd w:val="clear" w:color="auto" w:fill="FEFEFE"/>
          </w:tcPr>
          <w:p>
            <w:pPr>
              <w:spacing w:after="0"/>
              <w:rPr>
                <w:sz w:val="20"/>
                <w:szCs w:val="20"/>
                <w:color w:val="auto"/>
              </w:rPr>
            </w:pPr>
          </w:p>
        </w:tc>
        <w:tc>
          <w:tcPr>
            <w:tcW w:w="3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FEFEFE"/>
          </w:tcPr>
          <w:p>
            <w:pPr>
              <w:spacing w:after="0"/>
              <w:rPr>
                <w:sz w:val="20"/>
                <w:szCs w:val="20"/>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7780" w:type="dxa"/>
            <w:vAlign w:val="bottom"/>
            <w:gridSpan w:val="6"/>
          </w:tcPr>
          <w:p>
            <w:pPr>
              <w:jc w:val="right"/>
              <w:ind w:right="860"/>
              <w:spacing w:after="0"/>
              <w:rPr>
                <w:sz w:val="20"/>
                <w:szCs w:val="20"/>
                <w:color w:val="auto"/>
              </w:rPr>
            </w:pPr>
            <w:r>
              <w:rPr>
                <w:rFonts w:ascii="Times New Roman" w:cs="Times New Roman" w:eastAsia="Times New Roman" w:hAnsi="Times New Roman"/>
                <w:sz w:val="20"/>
                <w:szCs w:val="20"/>
                <w:color w:val="auto"/>
                <w:w w:val="99"/>
              </w:rPr>
              <w:t>These awards were valued using a Monte Carlo model with the following key inputs:</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9"/>
        </w:trPr>
        <w:tc>
          <w:tcPr>
            <w:tcW w:w="36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spacing w:after="0"/>
              <w:rPr>
                <w:sz w:val="22"/>
                <w:szCs w:val="22"/>
                <w:color w:val="auto"/>
              </w:rPr>
            </w:pPr>
          </w:p>
        </w:tc>
      </w:tr>
      <w:tr>
        <w:trPr>
          <w:trHeight w:val="244"/>
        </w:trPr>
        <w:tc>
          <w:tcPr>
            <w:tcW w:w="360" w:type="dxa"/>
            <w:vAlign w:val="bottom"/>
          </w:tcPr>
          <w:p>
            <w:pPr>
              <w:spacing w:after="0"/>
              <w:rPr>
                <w:sz w:val="21"/>
                <w:szCs w:val="21"/>
                <w:color w:val="auto"/>
              </w:rPr>
            </w:pPr>
          </w:p>
        </w:tc>
        <w:tc>
          <w:tcPr>
            <w:tcW w:w="5060" w:type="dxa"/>
            <w:vAlign w:val="bottom"/>
            <w:tcBorders>
              <w:bottom w:val="single" w:sz="8" w:color="E6E6E6"/>
            </w:tcBorders>
            <w:shd w:val="clear" w:color="auto" w:fill="FEFEFE"/>
          </w:tcPr>
          <w:p>
            <w:pPr>
              <w:spacing w:after="0"/>
              <w:rPr>
                <w:sz w:val="21"/>
                <w:szCs w:val="21"/>
                <w:color w:val="auto"/>
              </w:rPr>
            </w:pPr>
          </w:p>
        </w:tc>
        <w:tc>
          <w:tcPr>
            <w:tcW w:w="1120" w:type="dxa"/>
            <w:vAlign w:val="bottom"/>
            <w:tcBorders>
              <w:bottom w:val="single" w:sz="8" w:color="E6E6E6"/>
            </w:tcBorders>
            <w:shd w:val="clear" w:color="auto" w:fill="FEFEFE"/>
          </w:tcPr>
          <w:p>
            <w:pPr>
              <w:spacing w:after="0"/>
              <w:rPr>
                <w:sz w:val="21"/>
                <w:szCs w:val="21"/>
                <w:color w:val="auto"/>
              </w:rPr>
            </w:pPr>
          </w:p>
        </w:tc>
        <w:tc>
          <w:tcPr>
            <w:tcW w:w="100" w:type="dxa"/>
            <w:vAlign w:val="bottom"/>
            <w:tcBorders>
              <w:bottom w:val="single" w:sz="8" w:color="E6E6E6"/>
            </w:tcBorders>
            <w:shd w:val="clear" w:color="auto" w:fill="FEFEFE"/>
          </w:tcPr>
          <w:p>
            <w:pPr>
              <w:spacing w:after="0"/>
              <w:rPr>
                <w:sz w:val="21"/>
                <w:szCs w:val="21"/>
                <w:color w:val="auto"/>
              </w:rPr>
            </w:pPr>
          </w:p>
        </w:tc>
        <w:tc>
          <w:tcPr>
            <w:tcW w:w="760" w:type="dxa"/>
            <w:vAlign w:val="bottom"/>
            <w:tcBorders>
              <w:bottom w:val="single" w:sz="8" w:color="E6E6E6"/>
            </w:tcBorders>
            <w:shd w:val="clear" w:color="auto" w:fill="FEFEFE"/>
          </w:tcPr>
          <w:p>
            <w:pPr>
              <w:spacing w:after="0"/>
              <w:rPr>
                <w:sz w:val="21"/>
                <w:szCs w:val="21"/>
                <w:color w:val="auto"/>
              </w:rPr>
            </w:pPr>
          </w:p>
        </w:tc>
        <w:tc>
          <w:tcPr>
            <w:tcW w:w="380" w:type="dxa"/>
            <w:vAlign w:val="bottom"/>
            <w:tcBorders>
              <w:bottom w:val="single" w:sz="8" w:color="auto"/>
            </w:tcBorders>
            <w:shd w:val="clear" w:color="auto" w:fill="FEFEFE"/>
          </w:tcPr>
          <w:p>
            <w:pPr>
              <w:spacing w:after="0"/>
              <w:rPr>
                <w:sz w:val="21"/>
                <w:szCs w:val="21"/>
                <w:color w:val="auto"/>
              </w:rPr>
            </w:pPr>
          </w:p>
        </w:tc>
        <w:tc>
          <w:tcPr>
            <w:tcW w:w="1220" w:type="dxa"/>
            <w:vAlign w:val="bottom"/>
            <w:tcBorders>
              <w:bottom w:val="single" w:sz="8" w:color="auto"/>
            </w:tcBorders>
            <w:gridSpan w:val="2"/>
            <w:shd w:val="clear" w:color="auto" w:fill="FEFEFE"/>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4"/>
        </w:trPr>
        <w:tc>
          <w:tcPr>
            <w:tcW w:w="360" w:type="dxa"/>
            <w:vAlign w:val="bottom"/>
          </w:tcPr>
          <w:p>
            <w:pPr>
              <w:spacing w:after="0"/>
              <w:rPr>
                <w:sz w:val="20"/>
                <w:szCs w:val="20"/>
                <w:color w:val="auto"/>
              </w:rPr>
            </w:pPr>
          </w:p>
        </w:tc>
        <w:tc>
          <w:tcPr>
            <w:tcW w:w="50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Market value of ADSs ($)</w:t>
            </w:r>
          </w:p>
        </w:tc>
        <w:tc>
          <w:tcPr>
            <w:tcW w:w="11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12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1.01</w:t>
            </w:r>
          </w:p>
        </w:tc>
      </w:tr>
      <w:tr>
        <w:trPr>
          <w:trHeight w:val="244"/>
        </w:trPr>
        <w:tc>
          <w:tcPr>
            <w:tcW w:w="360" w:type="dxa"/>
            <w:vAlign w:val="bottom"/>
          </w:tcPr>
          <w:p>
            <w:pPr>
              <w:spacing w:after="0"/>
              <w:rPr>
                <w:sz w:val="21"/>
                <w:szCs w:val="21"/>
                <w:color w:val="auto"/>
              </w:rPr>
            </w:pPr>
          </w:p>
        </w:tc>
        <w:tc>
          <w:tcPr>
            <w:tcW w:w="50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Risk-free interest rate (%)</w:t>
            </w:r>
          </w:p>
        </w:tc>
        <w:tc>
          <w:tcPr>
            <w:tcW w:w="11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76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12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4.14%</w:t>
            </w:r>
          </w:p>
        </w:tc>
      </w:tr>
      <w:tr>
        <w:trPr>
          <w:trHeight w:val="244"/>
        </w:trPr>
        <w:tc>
          <w:tcPr>
            <w:tcW w:w="360" w:type="dxa"/>
            <w:vAlign w:val="bottom"/>
          </w:tcPr>
          <w:p>
            <w:pPr>
              <w:spacing w:after="0"/>
              <w:rPr>
                <w:sz w:val="21"/>
                <w:szCs w:val="21"/>
                <w:color w:val="auto"/>
              </w:rPr>
            </w:pPr>
          </w:p>
        </w:tc>
        <w:tc>
          <w:tcPr>
            <w:tcW w:w="50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Expected life (years)</w:t>
            </w:r>
          </w:p>
        </w:tc>
        <w:tc>
          <w:tcPr>
            <w:tcW w:w="11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2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1.03</w:t>
            </w:r>
          </w:p>
        </w:tc>
      </w:tr>
      <w:tr>
        <w:trPr>
          <w:trHeight w:val="244"/>
        </w:trPr>
        <w:tc>
          <w:tcPr>
            <w:tcW w:w="360" w:type="dxa"/>
            <w:vAlign w:val="bottom"/>
          </w:tcPr>
          <w:p>
            <w:pPr>
              <w:spacing w:after="0"/>
              <w:rPr>
                <w:sz w:val="21"/>
                <w:szCs w:val="21"/>
                <w:color w:val="auto"/>
              </w:rPr>
            </w:pPr>
          </w:p>
        </w:tc>
        <w:tc>
          <w:tcPr>
            <w:tcW w:w="50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Expected volatility (%)</w:t>
            </w:r>
          </w:p>
        </w:tc>
        <w:tc>
          <w:tcPr>
            <w:tcW w:w="112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76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12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105.56%</w:t>
            </w:r>
          </w:p>
        </w:tc>
      </w:tr>
      <w:tr>
        <w:trPr>
          <w:trHeight w:val="244"/>
        </w:trPr>
        <w:tc>
          <w:tcPr>
            <w:tcW w:w="360" w:type="dxa"/>
            <w:vAlign w:val="bottom"/>
          </w:tcPr>
          <w:p>
            <w:pPr>
              <w:spacing w:after="0"/>
              <w:rPr>
                <w:sz w:val="21"/>
                <w:szCs w:val="21"/>
                <w:color w:val="auto"/>
              </w:rPr>
            </w:pPr>
          </w:p>
        </w:tc>
        <w:tc>
          <w:tcPr>
            <w:tcW w:w="50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Expected dividends</w:t>
            </w:r>
          </w:p>
        </w:tc>
        <w:tc>
          <w:tcPr>
            <w:tcW w:w="11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14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bl>
    <w:p>
      <w:pPr>
        <w:spacing w:after="0" w:line="209" w:lineRule="exact"/>
        <w:rPr>
          <w:sz w:val="20"/>
          <w:szCs w:val="20"/>
          <w:color w:val="auto"/>
        </w:rPr>
      </w:pPr>
    </w:p>
    <w:p>
      <w:pPr>
        <w:ind w:right="60" w:firstLine="720"/>
        <w:spacing w:after="0" w:line="279" w:lineRule="auto"/>
        <w:rPr>
          <w:sz w:val="20"/>
          <w:szCs w:val="20"/>
          <w:color w:val="auto"/>
        </w:rPr>
      </w:pPr>
      <w:r>
        <w:rPr>
          <w:rFonts w:ascii="Times New Roman" w:cs="Times New Roman" w:eastAsia="Times New Roman" w:hAnsi="Times New Roman"/>
          <w:sz w:val="20"/>
          <w:szCs w:val="20"/>
          <w:color w:val="auto"/>
        </w:rPr>
        <w:t>The grant date fair value was recognized over the expected life using the straight-line attribution method. The total fair value of shares vested during the year ended December 31, 2024 was $0.8 million (2023: $nil).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2019 NED EIP</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has awarded the following instruments under the 2019 NED EIP:</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Options</w:t>
      </w:r>
    </w:p>
    <w:p>
      <w:pPr>
        <w:spacing w:after="0" w:line="238"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Options permit the recipient to purchase ADSs at an exercise price equal to the market price of the underlying ADSs on the date of grant. Options issued under the 2019 NED EIP have a contractual term of 10 years and vest in equal monthly installments over one year. There are no performance conditions. A summary of the Company’s Option activity and related information under the 2019 NED EIP for 2024 and 2023 is as follows; all outstanding Options are expected to vest:</w:t>
      </w:r>
    </w:p>
    <w:p>
      <w:pPr>
        <w:spacing w:after="0" w:line="237"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Aggregate</w:t>
            </w:r>
          </w:p>
        </w:tc>
      </w:t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intrinsic</w:t>
            </w:r>
          </w:p>
        </w:tc>
      </w:t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Exercise</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value</w:t>
            </w:r>
          </w:p>
        </w:tc>
      </w:tr>
      <w:tr>
        <w:trPr>
          <w:trHeight w:val="254"/>
        </w:trPr>
        <w:tc>
          <w:tcPr>
            <w:tcW w:w="5060" w:type="dxa"/>
            <w:vAlign w:val="bottom"/>
            <w:shd w:val="clear" w:color="auto" w:fill="FEFEFE"/>
          </w:tcPr>
          <w:p>
            <w:pPr>
              <w:spacing w:after="0"/>
              <w:rPr>
                <w:sz w:val="22"/>
                <w:szCs w:val="22"/>
                <w:color w:val="auto"/>
              </w:rPr>
            </w:pPr>
          </w:p>
        </w:tc>
        <w:tc>
          <w:tcPr>
            <w:tcW w:w="1120" w:type="dxa"/>
            <w:vAlign w:val="bottom"/>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(ADSs)</w:t>
            </w:r>
          </w:p>
        </w:tc>
        <w:tc>
          <w:tcPr>
            <w:tcW w:w="100" w:type="dxa"/>
            <w:vAlign w:val="bottom"/>
            <w:shd w:val="clear" w:color="auto" w:fill="FEFEFE"/>
          </w:tcPr>
          <w:p>
            <w:pPr>
              <w:spacing w:after="0"/>
              <w:rPr>
                <w:sz w:val="22"/>
                <w:szCs w:val="22"/>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Price ($)</w:t>
            </w:r>
          </w:p>
        </w:tc>
        <w:tc>
          <w:tcPr>
            <w:tcW w:w="122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($'000)</w:t>
            </w:r>
          </w:p>
        </w:tc>
      </w:tr>
      <w:tr>
        <w:trPr>
          <w:trHeight w:val="234"/>
        </w:trPr>
        <w:tc>
          <w:tcPr>
            <w:tcW w:w="50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At December 31, 2022</w:t>
            </w:r>
          </w:p>
        </w:tc>
        <w:tc>
          <w:tcPr>
            <w:tcW w:w="11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915,087</w:t>
            </w:r>
          </w:p>
        </w:tc>
        <w:tc>
          <w:tcPr>
            <w:tcW w:w="10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8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44"/>
        </w:trPr>
        <w:tc>
          <w:tcPr>
            <w:tcW w:w="5060" w:type="dxa"/>
            <w:vAlign w:val="bottom"/>
            <w:tcBorders>
              <w:bottom w:val="single" w:sz="8" w:color="E6E6E6"/>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440,000</w:t>
            </w:r>
          </w:p>
        </w:tc>
        <w:tc>
          <w:tcPr>
            <w:tcW w:w="100" w:type="dxa"/>
            <w:vAlign w:val="bottom"/>
            <w:tcBorders>
              <w:bottom w:val="single" w:sz="8" w:color="E6E6E6"/>
            </w:tcBorders>
            <w:shd w:val="clear" w:color="auto" w:fill="FEFEFE"/>
          </w:tcPr>
          <w:p>
            <w:pPr>
              <w:spacing w:after="0"/>
              <w:rPr>
                <w:sz w:val="21"/>
                <w:szCs w:val="21"/>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0.94</w:t>
            </w:r>
          </w:p>
        </w:tc>
        <w:tc>
          <w:tcPr>
            <w:tcW w:w="80" w:type="dxa"/>
            <w:vAlign w:val="bottom"/>
            <w:tcBorders>
              <w:bottom w:val="single" w:sz="8" w:color="E6E6E6"/>
            </w:tcBorders>
            <w:shd w:val="clear" w:color="auto" w:fill="FEFEFE"/>
          </w:tcPr>
          <w:p>
            <w:pPr>
              <w:spacing w:after="0"/>
              <w:rPr>
                <w:sz w:val="21"/>
                <w:szCs w:val="21"/>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50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At December 31, 2023</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1,355,087</w:t>
            </w:r>
          </w:p>
        </w:tc>
        <w:tc>
          <w:tcPr>
            <w:tcW w:w="10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8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1,166</w:t>
            </w:r>
          </w:p>
        </w:tc>
      </w:tr>
      <w:tr>
        <w:trPr>
          <w:trHeight w:val="244"/>
        </w:trPr>
        <w:tc>
          <w:tcPr>
            <w:tcW w:w="50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360,000</w:t>
            </w:r>
          </w:p>
        </w:tc>
        <w:tc>
          <w:tcPr>
            <w:tcW w:w="100" w:type="dxa"/>
            <w:vAlign w:val="bottom"/>
            <w:shd w:val="clear" w:color="auto" w:fill="FEFEFE"/>
          </w:tcPr>
          <w:p>
            <w:pPr>
              <w:spacing w:after="0"/>
              <w:rPr>
                <w:sz w:val="21"/>
                <w:szCs w:val="21"/>
                <w:color w:val="auto"/>
              </w:rPr>
            </w:pP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80" w:type="dxa"/>
            <w:vAlign w:val="bottom"/>
            <w:shd w:val="clear" w:color="auto" w:fill="FEFEFE"/>
          </w:tcPr>
          <w:p>
            <w:pPr>
              <w:spacing w:after="0"/>
              <w:rPr>
                <w:sz w:val="21"/>
                <w:szCs w:val="21"/>
                <w:color w:val="auto"/>
              </w:rPr>
            </w:pP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0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(173,000)</w:t>
            </w:r>
          </w:p>
        </w:tc>
        <w:tc>
          <w:tcPr>
            <w:tcW w:w="12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12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466</w:t>
            </w:r>
          </w:p>
        </w:tc>
      </w:tr>
      <w:tr>
        <w:trPr>
          <w:trHeight w:val="274"/>
        </w:trPr>
        <w:tc>
          <w:tcPr>
            <w:tcW w:w="5060" w:type="dxa"/>
            <w:vAlign w:val="bottom"/>
            <w:tcBorders>
              <w:top w:val="single" w:sz="8" w:color="FEFEFE"/>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At December 31, 2024</w:t>
            </w:r>
          </w:p>
        </w:tc>
        <w:tc>
          <w:tcPr>
            <w:tcW w:w="11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1,542,087</w:t>
            </w:r>
          </w:p>
        </w:tc>
        <w:tc>
          <w:tcPr>
            <w:tcW w:w="100" w:type="dxa"/>
            <w:vAlign w:val="bottom"/>
            <w:tcBorders>
              <w:top w:val="single" w:sz="8" w:color="FEFEFE"/>
              <w:bottom w:val="single" w:sz="8" w:color="E6E6E6"/>
            </w:tcBorders>
            <w:shd w:val="clear" w:color="auto" w:fill="FEFEFE"/>
          </w:tcPr>
          <w:p>
            <w:pPr>
              <w:spacing w:after="0"/>
              <w:rPr>
                <w:sz w:val="23"/>
                <w:szCs w:val="23"/>
                <w:color w:val="auto"/>
              </w:rPr>
            </w:pPr>
          </w:p>
        </w:tc>
        <w:tc>
          <w:tcPr>
            <w:tcW w:w="11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80" w:type="dxa"/>
            <w:vAlign w:val="bottom"/>
            <w:tcBorders>
              <w:top w:val="single" w:sz="8" w:color="FEFEFE"/>
              <w:bottom w:val="single" w:sz="8" w:color="E6E6E6"/>
            </w:tcBorders>
            <w:shd w:val="clear" w:color="auto" w:fill="FEFEFE"/>
          </w:tcPr>
          <w:p>
            <w:pPr>
              <w:spacing w:after="0"/>
              <w:rPr>
                <w:sz w:val="23"/>
                <w:szCs w:val="23"/>
                <w:color w:val="auto"/>
              </w:rPr>
            </w:pPr>
          </w:p>
        </w:tc>
        <w:tc>
          <w:tcPr>
            <w:tcW w:w="11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2,123</w:t>
            </w:r>
          </w:p>
        </w:tc>
      </w:tr>
      <w:tr>
        <w:trPr>
          <w:trHeight w:val="229"/>
        </w:trPr>
        <w:tc>
          <w:tcPr>
            <w:tcW w:w="50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1,482,087</w:t>
            </w:r>
          </w:p>
        </w:tc>
        <w:tc>
          <w:tcPr>
            <w:tcW w:w="10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8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2,123</w:t>
            </w:r>
          </w:p>
        </w:tc>
      </w:tr>
      <w:tr>
        <w:trPr>
          <w:trHeight w:val="244"/>
        </w:trPr>
        <w:tc>
          <w:tcPr>
            <w:tcW w:w="50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Unvested</w:t>
            </w: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100" w:type="dxa"/>
            <w:vAlign w:val="bottom"/>
            <w:shd w:val="clear" w:color="auto" w:fill="FEFEFE"/>
          </w:tcPr>
          <w:p>
            <w:pPr>
              <w:spacing w:after="0"/>
              <w:rPr>
                <w:sz w:val="21"/>
                <w:szCs w:val="21"/>
                <w:color w:val="auto"/>
              </w:rPr>
            </w:pP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80" w:type="dxa"/>
            <w:vAlign w:val="bottom"/>
            <w:shd w:val="clear" w:color="auto" w:fill="FEFEFE"/>
          </w:tcPr>
          <w:p>
            <w:pPr>
              <w:spacing w:after="0"/>
              <w:rPr>
                <w:sz w:val="21"/>
                <w:szCs w:val="21"/>
                <w:color w:val="auto"/>
              </w:rPr>
            </w:pP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9" w:lineRule="exact"/>
        <w:rPr>
          <w:sz w:val="20"/>
          <w:szCs w:val="20"/>
          <w:color w:val="auto"/>
        </w:rPr>
      </w:pPr>
    </w:p>
    <w:p>
      <w:pPr>
        <w:ind w:right="420" w:firstLine="720"/>
        <w:spacing w:after="0" w:line="279" w:lineRule="auto"/>
        <w:rPr>
          <w:sz w:val="20"/>
          <w:szCs w:val="20"/>
          <w:color w:val="auto"/>
        </w:rPr>
      </w:pPr>
      <w:r>
        <w:rPr>
          <w:rFonts w:ascii="Times New Roman" w:cs="Times New Roman" w:eastAsia="Times New Roman" w:hAnsi="Times New Roman"/>
          <w:sz w:val="20"/>
          <w:szCs w:val="20"/>
          <w:color w:val="auto"/>
        </w:rPr>
        <w:t>At January 1, 2024, 73,336 Options with a weighted average grant date fair value of $0.94 were unvested. The weighted average per share fair value of options vesting during the year ended December 31, 2024 was $2.44 (2023: $1.38).</w:t>
      </w:r>
    </w:p>
    <w:p>
      <w:pPr>
        <w:spacing w:after="0" w:line="1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weighted average grant date fair value of options granted during the year ended December 31, 2024 was $2.83 (2023:</w:t>
      </w:r>
    </w:p>
    <w:p>
      <w:pPr>
        <w:spacing w:after="0"/>
        <w:rPr>
          <w:sz w:val="20"/>
          <w:szCs w:val="20"/>
          <w:color w:val="auto"/>
        </w:rPr>
      </w:pPr>
      <w:r>
        <w:rPr>
          <w:rFonts w:ascii="Times New Roman" w:cs="Times New Roman" w:eastAsia="Times New Roman" w:hAnsi="Times New Roman"/>
          <w:sz w:val="20"/>
          <w:szCs w:val="20"/>
          <w:color w:val="auto"/>
        </w:rPr>
        <w:t>$0.84).</w:t>
      </w:r>
    </w:p>
    <w:p>
      <w:pPr>
        <w:sectPr>
          <w:pgSz w:w="11880" w:h="15480" w:orient="portrait"/>
          <w:cols w:equalWidth="0" w:num="1">
            <w:col w:w="10760"/>
          </w:cols>
          <w:pgMar w:left="540" w:top="759" w:right="5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F-30</w:t>
      </w:r>
    </w:p>
    <w:p>
      <w:pPr>
        <w:sectPr>
          <w:pgSz w:w="11880" w:h="15480" w:orient="portrait"/>
          <w:cols w:equalWidth="0" w:num="1">
            <w:col w:w="10760"/>
          </w:cols>
          <w:pgMar w:left="540" w:top="759" w:right="580" w:bottom="8" w:gutter="0" w:footer="0" w:header="0"/>
          <w:type w:val="continuous"/>
        </w:sectPr>
      </w:pPr>
    </w:p>
    <w:bookmarkStart w:id="138" w:name="page139"/>
    <w:bookmarkEnd w:id="138"/>
    <w:p>
      <w:pPr>
        <w:ind w:left="720"/>
        <w:spacing w:after="0"/>
        <w:rPr>
          <w:sz w:val="20"/>
          <w:szCs w:val="20"/>
          <w:color w:val="auto"/>
        </w:rPr>
      </w:pPr>
      <w:r>
        <w:rPr>
          <w:rFonts w:ascii="Times New Roman" w:cs="Times New Roman" w:eastAsia="Times New Roman" w:hAnsi="Times New Roman"/>
          <w:sz w:val="20"/>
          <w:szCs w:val="20"/>
          <w:color w:val="auto"/>
        </w:rPr>
        <w:t>At December 31, 2024, the weighted average contractual life of Options outstanding was 7.5 years (2023: 8.0 years) and for</w:t>
      </w:r>
    </w:p>
    <w:p>
      <w:pPr>
        <w:spacing w:after="0"/>
        <w:rPr>
          <w:sz w:val="20"/>
          <w:szCs w:val="20"/>
          <w:color w:val="auto"/>
        </w:rPr>
      </w:pPr>
      <w:r>
        <w:rPr>
          <w:rFonts w:ascii="Times New Roman" w:cs="Times New Roman" w:eastAsia="Times New Roman" w:hAnsi="Times New Roman"/>
          <w:sz w:val="20"/>
          <w:szCs w:val="20"/>
          <w:color w:val="auto"/>
        </w:rPr>
        <w:t>vested Options was 7.4 years (2023: 7.9 years).</w:t>
      </w:r>
    </w:p>
    <w:p>
      <w:pPr>
        <w:spacing w:after="0" w:line="240" w:lineRule="exact"/>
        <w:rPr>
          <w:sz w:val="20"/>
          <w:szCs w:val="20"/>
          <w:color w:val="auto"/>
        </w:rPr>
      </w:pPr>
    </w:p>
    <w:p>
      <w:pPr>
        <w:ind w:right="240" w:firstLine="720"/>
        <w:spacing w:after="0" w:line="279" w:lineRule="auto"/>
        <w:rPr>
          <w:sz w:val="20"/>
          <w:szCs w:val="20"/>
          <w:color w:val="auto"/>
        </w:rPr>
      </w:pPr>
      <w:r>
        <w:rPr>
          <w:rFonts w:ascii="Times New Roman" w:cs="Times New Roman" w:eastAsia="Times New Roman" w:hAnsi="Times New Roman"/>
          <w:sz w:val="20"/>
          <w:szCs w:val="20"/>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5" w:lineRule="exact"/>
        <w:rPr>
          <w:sz w:val="20"/>
          <w:szCs w:val="20"/>
          <w:color w:val="auto"/>
        </w:rPr>
      </w:pPr>
    </w:p>
    <w:p>
      <w:pPr>
        <w:ind w:right="500" w:firstLine="720"/>
        <w:spacing w:after="0" w:line="279" w:lineRule="auto"/>
        <w:rPr>
          <w:sz w:val="20"/>
          <w:szCs w:val="20"/>
          <w:color w:val="auto"/>
        </w:rPr>
      </w:pPr>
      <w:r>
        <w:rPr>
          <w:rFonts w:ascii="Times New Roman" w:cs="Times New Roman" w:eastAsia="Times New Roman" w:hAnsi="Times New Roman"/>
          <w:sz w:val="20"/>
          <w:szCs w:val="20"/>
          <w:color w:val="auto"/>
        </w:rPr>
        <w:t>The fair value of each Option is estimated on the date of grant using the Black-Scholes option pricing model using the following weighted average assumptions:</w:t>
      </w:r>
    </w:p>
    <w:p>
      <w:pPr>
        <w:spacing w:after="0" w:line="200" w:lineRule="exact"/>
        <w:rPr>
          <w:sz w:val="20"/>
          <w:szCs w:val="20"/>
          <w:color w:val="auto"/>
        </w:rPr>
      </w:pPr>
    </w:p>
    <w:p>
      <w:pPr>
        <w:spacing w:after="0" w:line="20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20"/>
          <w:szCs w:val="20"/>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-138430</wp:posOffset>
            </wp:positionV>
            <wp:extent cx="5486400" cy="462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0" cy="462280"/>
                    </a:xfrm>
                    <a:prstGeom prst="rect">
                      <a:avLst/>
                    </a:prstGeom>
                    <a:noFill/>
                  </pic:spPr>
                </pic:pic>
              </a:graphicData>
            </a:graphic>
          </wp:anchor>
        </w:drawing>
      </w:r>
    </w:p>
    <w:p>
      <w:pPr>
        <w:ind w:left="766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4" w:lineRule="exact"/>
        <w:rPr>
          <w:sz w:val="20"/>
          <w:szCs w:val="20"/>
          <w:color w:val="auto"/>
        </w:rPr>
      </w:pPr>
    </w:p>
    <w:tbl>
      <w:tblPr>
        <w:tblLayout w:type="fixed"/>
        <w:tblInd w:w="1080" w:type="dxa"/>
        <w:tblCellMar>
          <w:top w:w="0" w:type="dxa"/>
          <w:left w:w="0" w:type="dxa"/>
          <w:bottom w:w="0" w:type="dxa"/>
          <w:right w:w="0" w:type="dxa"/>
        </w:tblCellMar>
      </w:tblPr>
      <w:tr>
        <w:trPr>
          <w:trHeight w:val="254"/>
        </w:trPr>
        <w:tc>
          <w:tcPr>
            <w:tcW w:w="5760" w:type="dxa"/>
            <w:vAlign w:val="bottom"/>
            <w:tcBorders>
              <w:bottom w:val="single" w:sz="8" w:color="E6E6E6"/>
            </w:tcBorders>
          </w:tcPr>
          <w:p>
            <w:pPr>
              <w:spacing w:after="0"/>
              <w:rPr>
                <w:sz w:val="22"/>
                <w:szCs w:val="22"/>
                <w:color w:val="auto"/>
              </w:rPr>
            </w:pPr>
          </w:p>
        </w:tc>
        <w:tc>
          <w:tcPr>
            <w:tcW w:w="120" w:type="dxa"/>
            <w:vAlign w:val="bottom"/>
            <w:tcBorders>
              <w:top w:val="single" w:sz="8" w:color="FEFEFE"/>
              <w:bottom w:val="single" w:sz="8" w:color="E6E6E6"/>
            </w:tcBorders>
            <w:shd w:val="clear" w:color="auto" w:fill="FEFEFE"/>
          </w:tcPr>
          <w:p>
            <w:pPr>
              <w:spacing w:after="0"/>
              <w:rPr>
                <w:sz w:val="22"/>
                <w:szCs w:val="22"/>
                <w:color w:val="auto"/>
              </w:rPr>
            </w:pPr>
          </w:p>
        </w:tc>
        <w:tc>
          <w:tcPr>
            <w:tcW w:w="240" w:type="dxa"/>
            <w:vAlign w:val="bottom"/>
            <w:tcBorders>
              <w:top w:val="single" w:sz="8" w:color="auto"/>
              <w:bottom w:val="single" w:sz="8" w:color="auto"/>
            </w:tcBorders>
            <w:shd w:val="clear" w:color="auto" w:fill="FEFEFE"/>
          </w:tcPr>
          <w:p>
            <w:pPr>
              <w:spacing w:after="0"/>
              <w:rPr>
                <w:sz w:val="22"/>
                <w:szCs w:val="22"/>
                <w:color w:val="auto"/>
              </w:rPr>
            </w:pPr>
          </w:p>
        </w:tc>
        <w:tc>
          <w:tcPr>
            <w:tcW w:w="1080" w:type="dxa"/>
            <w:vAlign w:val="bottom"/>
            <w:tcBorders>
              <w:top w:val="single" w:sz="8" w:color="auto"/>
              <w:bottom w:val="single" w:sz="8" w:color="auto"/>
            </w:tcBorders>
            <w:shd w:val="clear" w:color="auto" w:fill="FEFEFE"/>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Borders>
              <w:top w:val="single" w:sz="8" w:color="auto"/>
              <w:bottom w:val="single" w:sz="8" w:color="E6E6E6"/>
            </w:tcBorders>
            <w:shd w:val="clear" w:color="auto" w:fill="FEFEFE"/>
          </w:tcPr>
          <w:p>
            <w:pPr>
              <w:spacing w:after="0"/>
              <w:rPr>
                <w:sz w:val="22"/>
                <w:szCs w:val="22"/>
                <w:color w:val="auto"/>
              </w:rPr>
            </w:pPr>
          </w:p>
        </w:tc>
        <w:tc>
          <w:tcPr>
            <w:tcW w:w="240" w:type="dxa"/>
            <w:vAlign w:val="bottom"/>
            <w:tcBorders>
              <w:top w:val="single" w:sz="8" w:color="auto"/>
              <w:bottom w:val="single" w:sz="8" w:color="auto"/>
            </w:tcBorders>
            <w:shd w:val="clear" w:color="auto" w:fill="FEFEFE"/>
          </w:tcPr>
          <w:p>
            <w:pPr>
              <w:spacing w:after="0"/>
              <w:rPr>
                <w:sz w:val="22"/>
                <w:szCs w:val="22"/>
                <w:color w:val="auto"/>
              </w:rPr>
            </w:pPr>
          </w:p>
        </w:tc>
        <w:tc>
          <w:tcPr>
            <w:tcW w:w="1080" w:type="dxa"/>
            <w:vAlign w:val="bottom"/>
            <w:tcBorders>
              <w:top w:val="single" w:sz="8" w:color="auto"/>
              <w:bottom w:val="single" w:sz="8" w:color="auto"/>
            </w:tcBorders>
            <w:shd w:val="clear" w:color="auto" w:fill="FEFEFE"/>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4"/>
        </w:trPr>
        <w:tc>
          <w:tcPr>
            <w:tcW w:w="5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Market value of ADSs ($)</w:t>
            </w:r>
          </w:p>
        </w:tc>
        <w:tc>
          <w:tcPr>
            <w:tcW w:w="120" w:type="dxa"/>
            <w:vAlign w:val="bottom"/>
            <w:shd w:val="clear" w:color="auto" w:fill="E6E6E6"/>
          </w:tcPr>
          <w:p>
            <w:pPr>
              <w:spacing w:after="0"/>
              <w:rPr>
                <w:sz w:val="20"/>
                <w:szCs w:val="20"/>
                <w:color w:val="auto"/>
              </w:rPr>
            </w:pPr>
          </w:p>
        </w:tc>
        <w:tc>
          <w:tcPr>
            <w:tcW w:w="240" w:type="dxa"/>
            <w:vAlign w:val="bottom"/>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3.87</w:t>
            </w:r>
          </w:p>
        </w:tc>
        <w:tc>
          <w:tcPr>
            <w:tcW w:w="120" w:type="dxa"/>
            <w:vAlign w:val="bottom"/>
            <w:shd w:val="clear" w:color="auto" w:fill="E6E6E6"/>
          </w:tcPr>
          <w:p>
            <w:pPr>
              <w:spacing w:after="0"/>
              <w:rPr>
                <w:sz w:val="20"/>
                <w:szCs w:val="20"/>
                <w:color w:val="auto"/>
              </w:rPr>
            </w:pPr>
          </w:p>
        </w:tc>
        <w:tc>
          <w:tcPr>
            <w:tcW w:w="240" w:type="dxa"/>
            <w:vAlign w:val="bottom"/>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0.94</w:t>
            </w:r>
          </w:p>
        </w:tc>
      </w:tr>
      <w:tr>
        <w:trPr>
          <w:trHeight w:val="244"/>
        </w:trPr>
        <w:tc>
          <w:tcPr>
            <w:tcW w:w="57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Risk-free interest rate (%)</w:t>
            </w:r>
          </w:p>
        </w:tc>
        <w:tc>
          <w:tcPr>
            <w:tcW w:w="12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12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3.36%</w:t>
            </w:r>
          </w:p>
        </w:tc>
      </w:tr>
      <w:tr>
        <w:trPr>
          <w:trHeight w:val="244"/>
        </w:trPr>
        <w:tc>
          <w:tcPr>
            <w:tcW w:w="5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Expected life (years)</w:t>
            </w: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08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5.25</w:t>
            </w: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080" w:type="dxa"/>
            <w:vAlign w:val="bottom"/>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10.00</w:t>
            </w:r>
          </w:p>
        </w:tc>
      </w:tr>
      <w:tr>
        <w:trPr>
          <w:trHeight w:val="244"/>
        </w:trPr>
        <w:tc>
          <w:tcPr>
            <w:tcW w:w="57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Expected volatility (%)</w:t>
            </w:r>
          </w:p>
        </w:tc>
        <w:tc>
          <w:tcPr>
            <w:tcW w:w="12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90.67%</w:t>
            </w:r>
          </w:p>
        </w:tc>
        <w:tc>
          <w:tcPr>
            <w:tcW w:w="12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97.94%</w:t>
            </w:r>
          </w:p>
        </w:tc>
      </w:tr>
      <w:tr>
        <w:trPr>
          <w:trHeight w:val="244"/>
        </w:trPr>
        <w:tc>
          <w:tcPr>
            <w:tcW w:w="5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Expected dividends (%)</w:t>
            </w: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0.00%</w:t>
            </w:r>
          </w:p>
        </w:tc>
      </w:tr>
    </w:tbl>
    <w:p>
      <w:pPr>
        <w:spacing w:after="0" w:line="255"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The expected volatility assumption is calculated by reference to the historical volatility of an appropriate peer group of companies for a period equal to the expected term of the Option. The grant date fair value is recognized over the vesting period using the accelerated graded-vesting attribution method.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Restricted Stock Units (“DRSUs”)</w:t>
      </w:r>
    </w:p>
    <w:p>
      <w:pPr>
        <w:spacing w:after="0" w:line="23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Non-executive directors may voluntarily elect to convert their annual cash fees for services on the board of directors and DRSUs were granted to NEDs who made such elections. The number of DRSUs granted is determined by dividing the amount of the annual cash compensation by the average closing trading price of the Company's ADSs over the most recent 30 trading days as of the date of grant. Each DRSU entitles the holder to receive an ADS at no cost upon the completion of the vesting period. DRSUs granted under the 2019 NED EIP vest in substantially equal monthly installments over the plan year. Delivery of ADSs underlying DRSUs will generally be 180 days following separation of service but have no specified contractual term.</w:t>
      </w:r>
    </w:p>
    <w:p>
      <w:pPr>
        <w:spacing w:after="0" w:line="200" w:lineRule="exact"/>
        <w:rPr>
          <w:sz w:val="20"/>
          <w:szCs w:val="20"/>
          <w:color w:val="auto"/>
        </w:rPr>
      </w:pPr>
    </w:p>
    <w:p>
      <w:pPr>
        <w:ind w:right="400" w:firstLine="720"/>
        <w:spacing w:after="0" w:line="279" w:lineRule="auto"/>
        <w:rPr>
          <w:sz w:val="20"/>
          <w:szCs w:val="20"/>
          <w:color w:val="auto"/>
        </w:rPr>
      </w:pPr>
      <w:r>
        <w:rPr>
          <w:rFonts w:ascii="Times New Roman" w:cs="Times New Roman" w:eastAsia="Times New Roman" w:hAnsi="Times New Roman"/>
          <w:sz w:val="20"/>
          <w:szCs w:val="20"/>
          <w:color w:val="auto"/>
        </w:rPr>
        <w:t>A summary of the Company’s DRSU activity and related information under the 2019 NED EIP for 2024 and 2023 is as follows. At December 31, 2024 all DRSUs are expected to vest:</w:t>
      </w:r>
    </w:p>
    <w:p>
      <w:pPr>
        <w:spacing w:after="0" w:line="212"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spacing w:after="0"/>
              <w:rPr>
                <w:sz w:val="19"/>
                <w:szCs w:val="19"/>
                <w:color w:val="auto"/>
              </w:rPr>
            </w:pPr>
          </w:p>
        </w:tc>
      </w:t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Aggregate</w:t>
            </w:r>
          </w:p>
        </w:tc>
      </w:t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Grant</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intrinsic</w:t>
            </w:r>
          </w:p>
        </w:tc>
      </w:t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DRSUs</w:t>
            </w: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Date Fair</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value</w:t>
            </w:r>
          </w:p>
        </w:tc>
      </w:tr>
      <w:tr>
        <w:trPr>
          <w:trHeight w:val="254"/>
        </w:trPr>
        <w:tc>
          <w:tcPr>
            <w:tcW w:w="5060" w:type="dxa"/>
            <w:vAlign w:val="bottom"/>
            <w:shd w:val="clear" w:color="auto" w:fill="FEFEFE"/>
          </w:tcPr>
          <w:p>
            <w:pPr>
              <w:spacing w:after="0"/>
              <w:rPr>
                <w:sz w:val="22"/>
                <w:szCs w:val="22"/>
                <w:color w:val="auto"/>
              </w:rPr>
            </w:pPr>
          </w:p>
        </w:tc>
        <w:tc>
          <w:tcPr>
            <w:tcW w:w="1120" w:type="dxa"/>
            <w:vAlign w:val="bottom"/>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(ADSs)</w:t>
            </w:r>
          </w:p>
        </w:tc>
        <w:tc>
          <w:tcPr>
            <w:tcW w:w="100" w:type="dxa"/>
            <w:vAlign w:val="bottom"/>
            <w:shd w:val="clear" w:color="auto" w:fill="FEFEFE"/>
          </w:tcPr>
          <w:p>
            <w:pPr>
              <w:spacing w:after="0"/>
              <w:rPr>
                <w:sz w:val="22"/>
                <w:szCs w:val="22"/>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Value ($)</w:t>
            </w:r>
          </w:p>
        </w:tc>
        <w:tc>
          <w:tcPr>
            <w:tcW w:w="122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($'000)</w:t>
            </w:r>
          </w:p>
        </w:tc>
      </w:tr>
      <w:tr>
        <w:trPr>
          <w:trHeight w:val="234"/>
        </w:trPr>
        <w:tc>
          <w:tcPr>
            <w:tcW w:w="50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At December 31, 2022</w:t>
            </w:r>
          </w:p>
        </w:tc>
        <w:tc>
          <w:tcPr>
            <w:tcW w:w="11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348,044</w:t>
            </w:r>
          </w:p>
        </w:tc>
        <w:tc>
          <w:tcPr>
            <w:tcW w:w="10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8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261</w:t>
            </w:r>
          </w:p>
        </w:tc>
      </w:tr>
      <w:tr>
        <w:trPr>
          <w:trHeight w:val="244"/>
        </w:trPr>
        <w:tc>
          <w:tcPr>
            <w:tcW w:w="50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482,214</w:t>
            </w:r>
          </w:p>
        </w:tc>
        <w:tc>
          <w:tcPr>
            <w:tcW w:w="100" w:type="dxa"/>
            <w:vAlign w:val="bottom"/>
            <w:shd w:val="clear" w:color="auto" w:fill="FEFEFE"/>
          </w:tcPr>
          <w:p>
            <w:pPr>
              <w:spacing w:after="0"/>
              <w:rPr>
                <w:sz w:val="21"/>
                <w:szCs w:val="21"/>
                <w:color w:val="auto"/>
              </w:rPr>
            </w:pP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0.94</w:t>
            </w:r>
          </w:p>
        </w:tc>
        <w:tc>
          <w:tcPr>
            <w:tcW w:w="80" w:type="dxa"/>
            <w:vAlign w:val="bottom"/>
            <w:shd w:val="clear" w:color="auto" w:fill="FEFEFE"/>
          </w:tcPr>
          <w:p>
            <w:pPr>
              <w:spacing w:after="0"/>
              <w:rPr>
                <w:sz w:val="21"/>
                <w:szCs w:val="21"/>
                <w:color w:val="auto"/>
              </w:rPr>
            </w:pP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0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Vested and delivered</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(100,276)</w:t>
            </w:r>
          </w:p>
        </w:tc>
        <w:tc>
          <w:tcPr>
            <w:tcW w:w="12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shd w:val="clear" w:color="auto" w:fill="E6E6E6"/>
          </w:tcPr>
          <w:p>
            <w:pPr>
              <w:spacing w:after="0"/>
              <w:rPr>
                <w:sz w:val="21"/>
                <w:szCs w:val="21"/>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5060" w:type="dxa"/>
            <w:vAlign w:val="bottom"/>
            <w:tcBorders>
              <w:top w:val="single" w:sz="8" w:color="FEFEFE"/>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At December 31, 2023</w:t>
            </w:r>
          </w:p>
        </w:tc>
        <w:tc>
          <w:tcPr>
            <w:tcW w:w="112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729,982</w:t>
            </w:r>
          </w:p>
        </w:tc>
        <w:tc>
          <w:tcPr>
            <w:tcW w:w="100" w:type="dxa"/>
            <w:vAlign w:val="bottom"/>
            <w:tcBorders>
              <w:top w:val="single" w:sz="8" w:color="FEFEFE"/>
            </w:tcBorders>
            <w:shd w:val="clear" w:color="auto" w:fill="FEFEFE"/>
          </w:tcPr>
          <w:p>
            <w:pPr>
              <w:spacing w:after="0"/>
              <w:rPr>
                <w:sz w:val="20"/>
                <w:szCs w:val="20"/>
                <w:color w:val="auto"/>
              </w:rPr>
            </w:pPr>
          </w:p>
        </w:tc>
        <w:tc>
          <w:tcPr>
            <w:tcW w:w="114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Borders>
              <w:top w:val="single" w:sz="8" w:color="FEFEFE"/>
            </w:tcBorders>
            <w:shd w:val="clear" w:color="auto" w:fill="FEFEFE"/>
          </w:tcPr>
          <w:p>
            <w:pPr>
              <w:spacing w:after="0"/>
              <w:rPr>
                <w:sz w:val="20"/>
                <w:szCs w:val="20"/>
                <w:color w:val="auto"/>
              </w:rPr>
            </w:pPr>
          </w:p>
        </w:tc>
        <w:tc>
          <w:tcPr>
            <w:tcW w:w="114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1,686</w:t>
            </w:r>
          </w:p>
        </w:tc>
      </w:tr>
      <w:tr>
        <w:trPr>
          <w:trHeight w:val="244"/>
        </w:trPr>
        <w:tc>
          <w:tcPr>
            <w:tcW w:w="5060" w:type="dxa"/>
            <w:vAlign w:val="bottom"/>
            <w:tcBorders>
              <w:bottom w:val="single" w:sz="8" w:color="FEFEFE"/>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125,393</w:t>
            </w:r>
          </w:p>
        </w:tc>
        <w:tc>
          <w:tcPr>
            <w:tcW w:w="100" w:type="dxa"/>
            <w:vAlign w:val="bottom"/>
            <w:tcBorders>
              <w:bottom w:val="single" w:sz="8" w:color="FEFEFE"/>
            </w:tcBorders>
            <w:shd w:val="clear" w:color="auto" w:fill="E6E6E6"/>
          </w:tcPr>
          <w:p>
            <w:pPr>
              <w:spacing w:after="0"/>
              <w:rPr>
                <w:sz w:val="21"/>
                <w:szCs w:val="21"/>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80" w:type="dxa"/>
            <w:vAlign w:val="bottom"/>
            <w:tcBorders>
              <w:bottom w:val="single" w:sz="8" w:color="FEFEFE"/>
            </w:tcBorders>
            <w:shd w:val="clear" w:color="auto" w:fill="E6E6E6"/>
          </w:tcPr>
          <w:p>
            <w:pPr>
              <w:spacing w:after="0"/>
              <w:rPr>
                <w:sz w:val="21"/>
                <w:szCs w:val="21"/>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5060" w:type="dxa"/>
            <w:vAlign w:val="bottom"/>
            <w:tcBorders>
              <w:bottom w:val="single" w:sz="8" w:color="E6E6E6"/>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At December 31, 2024</w:t>
            </w: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855,375</w:t>
            </w:r>
          </w:p>
        </w:tc>
        <w:tc>
          <w:tcPr>
            <w:tcW w:w="100" w:type="dxa"/>
            <w:vAlign w:val="bottom"/>
            <w:tcBorders>
              <w:bottom w:val="single" w:sz="8" w:color="E6E6E6"/>
            </w:tcBorders>
            <w:shd w:val="clear" w:color="auto" w:fill="FEFEFE"/>
          </w:tcPr>
          <w:p>
            <w:pPr>
              <w:spacing w:after="0"/>
              <w:rPr>
                <w:sz w:val="23"/>
                <w:szCs w:val="23"/>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80" w:type="dxa"/>
            <w:vAlign w:val="bottom"/>
            <w:tcBorders>
              <w:bottom w:val="single" w:sz="8" w:color="E6E6E6"/>
            </w:tcBorders>
            <w:shd w:val="clear" w:color="auto" w:fill="FEFEFE"/>
          </w:tcPr>
          <w:p>
            <w:pPr>
              <w:spacing w:after="0"/>
              <w:rPr>
                <w:sz w:val="23"/>
                <w:szCs w:val="23"/>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2,891</w:t>
            </w:r>
          </w:p>
        </w:tc>
      </w:tr>
      <w:tr>
        <w:trPr>
          <w:trHeight w:val="229"/>
        </w:trPr>
        <w:tc>
          <w:tcPr>
            <w:tcW w:w="50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834,472</w:t>
            </w:r>
          </w:p>
        </w:tc>
        <w:tc>
          <w:tcPr>
            <w:tcW w:w="10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8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2,821</w:t>
            </w:r>
          </w:p>
        </w:tc>
      </w:tr>
      <w:tr>
        <w:trPr>
          <w:trHeight w:val="244"/>
        </w:trPr>
        <w:tc>
          <w:tcPr>
            <w:tcW w:w="50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Unvested</w:t>
            </w: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20,903</w:t>
            </w:r>
          </w:p>
        </w:tc>
        <w:tc>
          <w:tcPr>
            <w:tcW w:w="100" w:type="dxa"/>
            <w:vAlign w:val="bottom"/>
            <w:shd w:val="clear" w:color="auto" w:fill="FEFEFE"/>
          </w:tcPr>
          <w:p>
            <w:pPr>
              <w:spacing w:after="0"/>
              <w:rPr>
                <w:sz w:val="21"/>
                <w:szCs w:val="21"/>
                <w:color w:val="auto"/>
              </w:rPr>
            </w:pP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80" w:type="dxa"/>
            <w:vAlign w:val="bottom"/>
            <w:shd w:val="clear" w:color="auto" w:fill="FEFEFE"/>
          </w:tcPr>
          <w:p>
            <w:pPr>
              <w:spacing w:after="0"/>
              <w:rPr>
                <w:sz w:val="21"/>
                <w:szCs w:val="21"/>
                <w:color w:val="auto"/>
              </w:rPr>
            </w:pPr>
          </w:p>
        </w:tc>
        <w:tc>
          <w:tcPr>
            <w:tcW w:w="1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71</w:t>
            </w:r>
          </w:p>
        </w:tc>
      </w:tr>
    </w:tbl>
    <w:p>
      <w:pPr>
        <w:spacing w:after="0" w:line="219"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20"/>
          <w:szCs w:val="20"/>
          <w:color w:val="auto"/>
        </w:rPr>
        <w:t>Where presented, the aggregate intrinsic value is calculated as the quoted market price of the Company’s ADSs. The fair value of each DRSU was calculated by reference to the value of the shares awarded. The grant date fair value is recognized over the vesting period using the accelerated graded-vesting attribution method.</w:t>
      </w:r>
    </w:p>
    <w:p>
      <w:pPr>
        <w:sectPr>
          <w:pgSz w:w="11880" w:h="15480" w:orient="portrait"/>
          <w:cols w:equalWidth="0" w:num="1">
            <w:col w:w="10680"/>
          </w:cols>
          <w:pgMar w:left="540" w:top="748" w:right="6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F-31</w:t>
      </w:r>
    </w:p>
    <w:p>
      <w:pPr>
        <w:sectPr>
          <w:pgSz w:w="11880" w:h="15480" w:orient="portrait"/>
          <w:cols w:equalWidth="0" w:num="1">
            <w:col w:w="10680"/>
          </w:cols>
          <w:pgMar w:left="540" w:top="748" w:right="660" w:bottom="8"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color w:val="auto"/>
        </w:rPr>
        <w:t>Previous Share Option Plans</w:t>
      </w:r>
    </w:p>
    <w:p>
      <w:pPr>
        <w:spacing w:after="0" w:line="243"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Mereo previously granted options to employees under two separate plans, the Mereo BioPharma Group Limited Share Option Plan (the “2015 Plan”) and the Mereo Share Option Plan (the “Share Option Plan”). No awards have been granted under either of these plans since 2017 and following the introduction of the 2019 EIP and the 2019 NED EIP, no further awards are envisaged.</w:t>
      </w:r>
    </w:p>
    <w:p>
      <w:pPr>
        <w:spacing w:after="0" w:line="185" w:lineRule="exact"/>
        <w:rPr>
          <w:sz w:val="20"/>
          <w:szCs w:val="20"/>
          <w:color w:val="auto"/>
        </w:rPr>
      </w:pPr>
    </w:p>
    <w:p>
      <w:pPr>
        <w:ind w:right="300" w:firstLine="720"/>
        <w:spacing w:after="0" w:line="279" w:lineRule="auto"/>
        <w:rPr>
          <w:sz w:val="20"/>
          <w:szCs w:val="20"/>
          <w:color w:val="auto"/>
        </w:rPr>
      </w:pPr>
      <w:r>
        <w:rPr>
          <w:rFonts w:ascii="Times New Roman" w:cs="Times New Roman" w:eastAsia="Times New Roman" w:hAnsi="Times New Roman"/>
          <w:sz w:val="20"/>
          <w:szCs w:val="20"/>
          <w:color w:val="auto"/>
        </w:rPr>
        <w:t>All awards made under these plans became fully vested, with all compensation cost fully recognized before December 31, 2021. A summary of the awards still outstanding under these plans is as follows:</w:t>
      </w:r>
    </w:p>
    <w:p>
      <w:pPr>
        <w:spacing w:after="0" w:line="212"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Aggregate</w:t>
            </w:r>
          </w:p>
        </w:tc>
      </w:t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intrinsic</w:t>
            </w:r>
          </w:p>
        </w:tc>
      </w:tr>
      <w:tr>
        <w:trPr>
          <w:trHeight w:val="230"/>
        </w:trPr>
        <w:tc>
          <w:tcPr>
            <w:tcW w:w="5060" w:type="dxa"/>
            <w:vAlign w:val="bottom"/>
            <w:shd w:val="clear" w:color="auto" w:fill="FEFEFE"/>
          </w:tcPr>
          <w:p>
            <w:pPr>
              <w:spacing w:after="0"/>
              <w:rPr>
                <w:sz w:val="19"/>
                <w:szCs w:val="19"/>
                <w:color w:val="auto"/>
              </w:rPr>
            </w:pPr>
          </w:p>
        </w:tc>
        <w:tc>
          <w:tcPr>
            <w:tcW w:w="1120" w:type="dxa"/>
            <w:vAlign w:val="bottom"/>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0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Exercise</w:t>
            </w:r>
          </w:p>
        </w:tc>
        <w:tc>
          <w:tcPr>
            <w:tcW w:w="80" w:type="dxa"/>
            <w:vAlign w:val="bottom"/>
            <w:shd w:val="clear" w:color="auto" w:fill="FEFEFE"/>
          </w:tcPr>
          <w:p>
            <w:pPr>
              <w:spacing w:after="0"/>
              <w:rPr>
                <w:sz w:val="19"/>
                <w:szCs w:val="19"/>
                <w:color w:val="auto"/>
              </w:rPr>
            </w:pPr>
          </w:p>
        </w:tc>
        <w:tc>
          <w:tcPr>
            <w:tcW w:w="11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value</w:t>
            </w:r>
          </w:p>
        </w:tc>
      </w:tr>
      <w:tr>
        <w:trPr>
          <w:trHeight w:val="254"/>
        </w:trPr>
        <w:tc>
          <w:tcPr>
            <w:tcW w:w="5060" w:type="dxa"/>
            <w:vAlign w:val="bottom"/>
            <w:shd w:val="clear" w:color="auto" w:fill="FEFEFE"/>
          </w:tcPr>
          <w:p>
            <w:pPr>
              <w:spacing w:after="0"/>
              <w:rPr>
                <w:sz w:val="22"/>
                <w:szCs w:val="22"/>
                <w:color w:val="auto"/>
              </w:rPr>
            </w:pPr>
          </w:p>
        </w:tc>
        <w:tc>
          <w:tcPr>
            <w:tcW w:w="1120" w:type="dxa"/>
            <w:vAlign w:val="bottom"/>
            <w:shd w:val="clear" w:color="auto" w:fill="FEFEFE"/>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(ADSs)</w:t>
            </w:r>
          </w:p>
        </w:tc>
        <w:tc>
          <w:tcPr>
            <w:tcW w:w="100" w:type="dxa"/>
            <w:vAlign w:val="bottom"/>
            <w:shd w:val="clear" w:color="auto" w:fill="FEFEFE"/>
          </w:tcPr>
          <w:p>
            <w:pPr>
              <w:spacing w:after="0"/>
              <w:rPr>
                <w:sz w:val="22"/>
                <w:szCs w:val="22"/>
                <w:color w:val="auto"/>
              </w:rPr>
            </w:pPr>
          </w:p>
        </w:tc>
        <w:tc>
          <w:tcPr>
            <w:tcW w:w="1140" w:type="dxa"/>
            <w:vAlign w:val="bottom"/>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Price ($)</w:t>
            </w:r>
          </w:p>
        </w:tc>
        <w:tc>
          <w:tcPr>
            <w:tcW w:w="122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($'000)</w:t>
            </w:r>
          </w:p>
        </w:tc>
      </w:tr>
      <w:tr>
        <w:trPr>
          <w:trHeight w:val="234"/>
        </w:trPr>
        <w:tc>
          <w:tcPr>
            <w:tcW w:w="50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At December 31, 2022</w:t>
            </w:r>
          </w:p>
        </w:tc>
        <w:tc>
          <w:tcPr>
            <w:tcW w:w="11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1,683,555</w:t>
            </w:r>
          </w:p>
        </w:tc>
        <w:tc>
          <w:tcPr>
            <w:tcW w:w="10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8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tcBorders>
            <w:shd w:val="clear" w:color="auto" w:fill="E6E6E6"/>
          </w:tcPr>
          <w:p>
            <w:pPr>
              <w:ind w:left="84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060" w:type="dxa"/>
            <w:vAlign w:val="bottom"/>
            <w:tcBorders>
              <w:bottom w:val="single" w:sz="8" w:color="E6E6E6"/>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Expired</w:t>
            </w: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(111,197)</w:t>
            </w:r>
          </w:p>
        </w:tc>
        <w:tc>
          <w:tcPr>
            <w:tcW w:w="100" w:type="dxa"/>
            <w:vAlign w:val="bottom"/>
            <w:tcBorders>
              <w:bottom w:val="single" w:sz="8" w:color="E6E6E6"/>
            </w:tcBorders>
            <w:shd w:val="clear" w:color="auto" w:fill="FEFEFE"/>
          </w:tcPr>
          <w:p>
            <w:pPr>
              <w:spacing w:after="0"/>
              <w:rPr>
                <w:sz w:val="21"/>
                <w:szCs w:val="21"/>
                <w:color w:val="auto"/>
              </w:rPr>
            </w:pPr>
          </w:p>
        </w:tc>
        <w:tc>
          <w:tcPr>
            <w:tcW w:w="1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15.94</w:t>
            </w:r>
          </w:p>
        </w:tc>
        <w:tc>
          <w:tcPr>
            <w:tcW w:w="80" w:type="dxa"/>
            <w:vAlign w:val="bottom"/>
            <w:tcBorders>
              <w:bottom w:val="single" w:sz="8" w:color="E6E6E6"/>
            </w:tcBorders>
            <w:shd w:val="clear" w:color="auto" w:fill="FEFEFE"/>
          </w:tcPr>
          <w:p>
            <w:pPr>
              <w:spacing w:after="0"/>
              <w:rPr>
                <w:sz w:val="21"/>
                <w:szCs w:val="21"/>
                <w:color w:val="auto"/>
              </w:rPr>
            </w:pPr>
          </w:p>
        </w:tc>
        <w:tc>
          <w:tcPr>
            <w:tcW w:w="1140" w:type="dxa"/>
            <w:vAlign w:val="bottom"/>
            <w:tcBorders>
              <w:bottom w:val="single" w:sz="8" w:color="auto"/>
            </w:tcBorders>
            <w:shd w:val="clear" w:color="auto" w:fill="FEFEFE"/>
          </w:tcPr>
          <w:p>
            <w:pPr>
              <w:ind w:left="840"/>
              <w:spacing w:after="0"/>
              <w:rPr>
                <w:sz w:val="20"/>
                <w:szCs w:val="20"/>
                <w:color w:val="auto"/>
              </w:rPr>
            </w:pPr>
            <w:r>
              <w:rPr>
                <w:rFonts w:ascii="Times New Roman" w:cs="Times New Roman" w:eastAsia="Times New Roman" w:hAnsi="Times New Roman"/>
                <w:sz w:val="20"/>
                <w:szCs w:val="20"/>
                <w:color w:val="auto"/>
              </w:rPr>
              <w:t>—</w:t>
            </w:r>
          </w:p>
        </w:tc>
      </w:tr>
      <w:tr>
        <w:trPr>
          <w:trHeight w:val="224"/>
        </w:trPr>
        <w:tc>
          <w:tcPr>
            <w:tcW w:w="5060" w:type="dxa"/>
            <w:vAlign w:val="bottom"/>
            <w:shd w:val="clear" w:color="auto" w:fill="E6E6E6"/>
          </w:tcPr>
          <w:p>
            <w:pPr>
              <w:spacing w:after="0" w:line="224" w:lineRule="exact"/>
              <w:rPr>
                <w:sz w:val="20"/>
                <w:szCs w:val="20"/>
                <w:color w:val="auto"/>
              </w:rPr>
            </w:pPr>
            <w:r>
              <w:rPr>
                <w:rFonts w:ascii="Times New Roman" w:cs="Times New Roman" w:eastAsia="Times New Roman" w:hAnsi="Times New Roman"/>
                <w:sz w:val="20"/>
                <w:szCs w:val="20"/>
                <w:color w:val="auto"/>
              </w:rPr>
              <w:t>At December 31, 2023</w:t>
            </w:r>
          </w:p>
        </w:tc>
        <w:tc>
          <w:tcPr>
            <w:tcW w:w="1120" w:type="dxa"/>
            <w:vAlign w:val="bottom"/>
            <w:shd w:val="clear" w:color="auto" w:fill="E6E6E6"/>
          </w:tcPr>
          <w:p>
            <w:pPr>
              <w:jc w:val="right"/>
              <w:spacing w:after="0" w:line="224" w:lineRule="exact"/>
              <w:rPr>
                <w:sz w:val="20"/>
                <w:szCs w:val="20"/>
                <w:color w:val="auto"/>
              </w:rPr>
            </w:pPr>
            <w:r>
              <w:rPr>
                <w:rFonts w:ascii="Times New Roman" w:cs="Times New Roman" w:eastAsia="Times New Roman" w:hAnsi="Times New Roman"/>
                <w:sz w:val="20"/>
                <w:szCs w:val="20"/>
                <w:color w:val="auto"/>
              </w:rPr>
              <w:t>1,572,358</w:t>
            </w:r>
          </w:p>
        </w:tc>
        <w:tc>
          <w:tcPr>
            <w:tcW w:w="10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line="224" w:lineRule="exact"/>
              <w:rPr>
                <w:sz w:val="20"/>
                <w:szCs w:val="20"/>
                <w:color w:val="auto"/>
              </w:rPr>
            </w:pPr>
            <w:r>
              <w:rPr>
                <w:rFonts w:ascii="Times New Roman" w:cs="Times New Roman" w:eastAsia="Times New Roman" w:hAnsi="Times New Roman"/>
                <w:sz w:val="20"/>
                <w:szCs w:val="20"/>
                <w:color w:val="auto"/>
              </w:rPr>
              <w:t>9.22</w:t>
            </w:r>
          </w:p>
        </w:tc>
        <w:tc>
          <w:tcPr>
            <w:tcW w:w="80" w:type="dxa"/>
            <w:vAlign w:val="bottom"/>
            <w:shd w:val="clear" w:color="auto" w:fill="E6E6E6"/>
          </w:tcPr>
          <w:p>
            <w:pPr>
              <w:spacing w:after="0"/>
              <w:rPr>
                <w:sz w:val="19"/>
                <w:szCs w:val="19"/>
                <w:color w:val="auto"/>
              </w:rPr>
            </w:pPr>
          </w:p>
        </w:tc>
        <w:tc>
          <w:tcPr>
            <w:tcW w:w="1140" w:type="dxa"/>
            <w:vAlign w:val="bottom"/>
            <w:shd w:val="clear" w:color="auto" w:fill="E6E6E6"/>
          </w:tcPr>
          <w:p>
            <w:pPr>
              <w:ind w:left="840"/>
              <w:spacing w:after="0" w:line="224" w:lineRule="exact"/>
              <w:rPr>
                <w:sz w:val="20"/>
                <w:szCs w:val="20"/>
                <w:color w:val="auto"/>
              </w:rPr>
            </w:pPr>
            <w:r>
              <w:rPr>
                <w:rFonts w:ascii="Times New Roman" w:cs="Times New Roman" w:eastAsia="Times New Roman" w:hAnsi="Times New Roman"/>
                <w:sz w:val="20"/>
                <w:szCs w:val="20"/>
                <w:color w:val="auto"/>
              </w:rPr>
              <w:t>—</w:t>
            </w:r>
          </w:p>
        </w:tc>
      </w:tr>
      <w:tr>
        <w:trPr>
          <w:trHeight w:val="244"/>
        </w:trPr>
        <w:tc>
          <w:tcPr>
            <w:tcW w:w="506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Expired</w:t>
            </w: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(152,491)</w:t>
            </w:r>
          </w:p>
        </w:tc>
        <w:tc>
          <w:tcPr>
            <w:tcW w:w="1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8.78</w:t>
            </w:r>
          </w:p>
        </w:tc>
        <w:tc>
          <w:tcPr>
            <w:tcW w:w="80" w:type="dxa"/>
            <w:vAlign w:val="bottom"/>
            <w:shd w:val="clear" w:color="auto" w:fill="FEFEFE"/>
          </w:tcPr>
          <w:p>
            <w:pPr>
              <w:spacing w:after="0"/>
              <w:rPr>
                <w:sz w:val="21"/>
                <w:szCs w:val="21"/>
                <w:color w:val="auto"/>
              </w:rPr>
            </w:pPr>
          </w:p>
        </w:tc>
        <w:tc>
          <w:tcPr>
            <w:tcW w:w="1140" w:type="dxa"/>
            <w:vAlign w:val="bottom"/>
            <w:shd w:val="clear" w:color="auto" w:fill="FEFEFE"/>
          </w:tcPr>
          <w:p>
            <w:pPr>
              <w:ind w:left="84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50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At December 31, 2024</w:t>
            </w:r>
          </w:p>
        </w:tc>
        <w:tc>
          <w:tcPr>
            <w:tcW w:w="1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1,419,867</w:t>
            </w:r>
          </w:p>
        </w:tc>
        <w:tc>
          <w:tcPr>
            <w:tcW w:w="10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9.24</w:t>
            </w:r>
          </w:p>
        </w:tc>
        <w:tc>
          <w:tcPr>
            <w:tcW w:w="8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bottom w:val="single" w:sz="8" w:color="auto"/>
            </w:tcBorders>
            <w:shd w:val="clear" w:color="auto" w:fill="E6E6E6"/>
          </w:tcPr>
          <w:p>
            <w:pPr>
              <w:ind w:left="84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December 31, 2024, the weighted average contractual life of options outstanding and vested was 0.8 years (2023: 1.8</w:t>
      </w:r>
    </w:p>
    <w:p>
      <w:pPr>
        <w:spacing w:after="0"/>
        <w:rPr>
          <w:sz w:val="20"/>
          <w:szCs w:val="20"/>
          <w:color w:val="auto"/>
        </w:rPr>
      </w:pPr>
      <w:r>
        <w:rPr>
          <w:rFonts w:ascii="Times New Roman" w:cs="Times New Roman" w:eastAsia="Times New Roman" w:hAnsi="Times New Roman"/>
          <w:sz w:val="20"/>
          <w:szCs w:val="20"/>
          <w:color w:val="auto"/>
        </w:rPr>
        <w:t>years).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Loss per share</w:t>
      </w:r>
    </w:p>
    <w:p>
      <w:pPr>
        <w:spacing w:after="0" w:line="243"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Basic loss per share is calculated by dividing the loss attributable for the year to ordinary equity holders of the Company by the weighted average number of ordinary shares outstanding during the year. Diluted loss per share is based on dividing the loss attributable for the year, adjusted for the effect of diluted ordinary shares, by ordinary share equivalents, which includes the weighted average number of ordinary shares outstanding and the effect of dilutive ordinary share equivalents.</w:t>
      </w:r>
    </w:p>
    <w:p>
      <w:pPr>
        <w:spacing w:after="0" w:line="23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20"/>
          <w:szCs w:val="20"/>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-138430</wp:posOffset>
            </wp:positionV>
            <wp:extent cx="5486400" cy="1061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86400" cy="1061720"/>
                    </a:xfrm>
                    <a:prstGeom prst="rect">
                      <a:avLst/>
                    </a:prstGeom>
                    <a:noFill/>
                  </pic:spPr>
                </pic:pic>
              </a:graphicData>
            </a:graphic>
          </wp:anchor>
        </w:drawing>
      </w:r>
    </w:p>
    <w:p>
      <w:pPr>
        <w:ind w:left="77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4" w:lineRule="exact"/>
        <w:rPr>
          <w:sz w:val="20"/>
          <w:szCs w:val="20"/>
          <w:color w:val="auto"/>
        </w:rPr>
      </w:pPr>
    </w:p>
    <w:tbl>
      <w:tblPr>
        <w:tblLayout w:type="fixed"/>
        <w:tblInd w:w="1080" w:type="dxa"/>
        <w:tblCellMar>
          <w:top w:w="0" w:type="dxa"/>
          <w:left w:w="0" w:type="dxa"/>
          <w:bottom w:w="0" w:type="dxa"/>
          <w:right w:w="0" w:type="dxa"/>
        </w:tblCellMar>
      </w:tblPr>
      <w:tr>
        <w:trPr>
          <w:trHeight w:val="254"/>
        </w:trPr>
        <w:tc>
          <w:tcPr>
            <w:tcW w:w="5780" w:type="dxa"/>
            <w:vAlign w:val="bottom"/>
          </w:tcPr>
          <w:p>
            <w:pPr>
              <w:spacing w:after="0"/>
              <w:rPr>
                <w:sz w:val="22"/>
                <w:szCs w:val="22"/>
                <w:color w:val="auto"/>
              </w:rPr>
            </w:pPr>
          </w:p>
        </w:tc>
        <w:tc>
          <w:tcPr>
            <w:tcW w:w="140" w:type="dxa"/>
            <w:vAlign w:val="bottom"/>
            <w:tcBorders>
              <w:top w:val="single" w:sz="8" w:color="FEFEFE"/>
              <w:bottom w:val="single" w:sz="8" w:color="FEFEFE"/>
            </w:tcBorders>
            <w:shd w:val="clear" w:color="auto" w:fill="FEFEFE"/>
          </w:tcPr>
          <w:p>
            <w:pPr>
              <w:spacing w:after="0"/>
              <w:rPr>
                <w:sz w:val="22"/>
                <w:szCs w:val="22"/>
                <w:color w:val="auto"/>
              </w:rPr>
            </w:pPr>
          </w:p>
        </w:tc>
        <w:tc>
          <w:tcPr>
            <w:tcW w:w="140" w:type="dxa"/>
            <w:vAlign w:val="bottom"/>
            <w:tcBorders>
              <w:top w:val="single" w:sz="8" w:color="auto"/>
              <w:bottom w:val="single" w:sz="8" w:color="auto"/>
            </w:tcBorders>
            <w:shd w:val="clear" w:color="auto" w:fill="FEFEFE"/>
          </w:tcPr>
          <w:p>
            <w:pPr>
              <w:spacing w:after="0"/>
              <w:rPr>
                <w:sz w:val="22"/>
                <w:szCs w:val="22"/>
                <w:color w:val="auto"/>
              </w:rPr>
            </w:pPr>
          </w:p>
        </w:tc>
        <w:tc>
          <w:tcPr>
            <w:tcW w:w="1160" w:type="dxa"/>
            <w:vAlign w:val="bottom"/>
            <w:tcBorders>
              <w:top w:val="single" w:sz="8" w:color="auto"/>
              <w:bottom w:val="single" w:sz="8" w:color="auto"/>
            </w:tcBorders>
            <w:shd w:val="clear" w:color="auto" w:fill="FEFEFE"/>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20" w:type="dxa"/>
            <w:vAlign w:val="bottom"/>
            <w:tcBorders>
              <w:top w:val="single" w:sz="8" w:color="auto"/>
              <w:bottom w:val="single" w:sz="8" w:color="FEFEFE"/>
            </w:tcBorders>
            <w:shd w:val="clear" w:color="auto" w:fill="FEFEFE"/>
          </w:tcPr>
          <w:p>
            <w:pPr>
              <w:spacing w:after="0"/>
              <w:rPr>
                <w:sz w:val="22"/>
                <w:szCs w:val="22"/>
                <w:color w:val="auto"/>
              </w:rPr>
            </w:pPr>
          </w:p>
        </w:tc>
        <w:tc>
          <w:tcPr>
            <w:tcW w:w="160" w:type="dxa"/>
            <w:vAlign w:val="bottom"/>
            <w:tcBorders>
              <w:top w:val="single" w:sz="8" w:color="auto"/>
              <w:bottom w:val="single" w:sz="8" w:color="auto"/>
            </w:tcBorders>
            <w:shd w:val="clear" w:color="auto" w:fill="FEFEFE"/>
          </w:tcPr>
          <w:p>
            <w:pPr>
              <w:spacing w:after="0"/>
              <w:rPr>
                <w:sz w:val="22"/>
                <w:szCs w:val="22"/>
                <w:color w:val="auto"/>
              </w:rPr>
            </w:pPr>
          </w:p>
        </w:tc>
        <w:tc>
          <w:tcPr>
            <w:tcW w:w="1140" w:type="dxa"/>
            <w:vAlign w:val="bottom"/>
            <w:tcBorders>
              <w:top w:val="single" w:sz="8" w:color="auto"/>
              <w:bottom w:val="single" w:sz="8" w:color="auto"/>
            </w:tcBorders>
            <w:shd w:val="clear" w:color="auto" w:fill="FEFEFE"/>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10"/>
        </w:trPr>
        <w:tc>
          <w:tcPr>
            <w:tcW w:w="5780" w:type="dxa"/>
            <w:vAlign w:val="bottom"/>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1300" w:type="dxa"/>
            <w:vAlign w:val="bottom"/>
            <w:gridSpan w:val="2"/>
            <w:shd w:val="clear" w:color="auto" w:fill="FEFEFE"/>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($'000, except</w:t>
            </w:r>
          </w:p>
        </w:tc>
        <w:tc>
          <w:tcPr>
            <w:tcW w:w="120" w:type="dxa"/>
            <w:vAlign w:val="bottom"/>
            <w:shd w:val="clear" w:color="auto" w:fill="FEFEFE"/>
          </w:tcPr>
          <w:p>
            <w:pPr>
              <w:spacing w:after="0"/>
              <w:rPr>
                <w:sz w:val="18"/>
                <w:szCs w:val="18"/>
                <w:color w:val="auto"/>
              </w:rPr>
            </w:pPr>
          </w:p>
        </w:tc>
        <w:tc>
          <w:tcPr>
            <w:tcW w:w="1300" w:type="dxa"/>
            <w:vAlign w:val="bottom"/>
            <w:gridSpan w:val="2"/>
            <w:shd w:val="clear" w:color="auto" w:fill="FEFEFE"/>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($'000, except</w:t>
            </w:r>
          </w:p>
        </w:tc>
      </w:tr>
      <w:tr>
        <w:trPr>
          <w:trHeight w:val="230"/>
        </w:trPr>
        <w:tc>
          <w:tcPr>
            <w:tcW w:w="5780" w:type="dxa"/>
            <w:vAlign w:val="bottom"/>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300" w:type="dxa"/>
            <w:vAlign w:val="bottom"/>
            <w:gridSpan w:val="2"/>
            <w:shd w:val="clear" w:color="auto" w:fill="FEFEF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share and per</w:t>
            </w:r>
          </w:p>
        </w:tc>
        <w:tc>
          <w:tcPr>
            <w:tcW w:w="120" w:type="dxa"/>
            <w:vAlign w:val="bottom"/>
            <w:shd w:val="clear" w:color="auto" w:fill="FEFEFE"/>
          </w:tcPr>
          <w:p>
            <w:pPr>
              <w:spacing w:after="0"/>
              <w:rPr>
                <w:sz w:val="19"/>
                <w:szCs w:val="19"/>
                <w:color w:val="auto"/>
              </w:rPr>
            </w:pPr>
          </w:p>
        </w:tc>
        <w:tc>
          <w:tcPr>
            <w:tcW w:w="130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20"/>
                <w:szCs w:val="20"/>
                <w:b w:val="1"/>
                <w:bCs w:val="1"/>
                <w:color w:val="auto"/>
              </w:rPr>
              <w:t>share and per</w:t>
            </w:r>
          </w:p>
        </w:tc>
      </w:tr>
      <w:tr>
        <w:trPr>
          <w:trHeight w:val="230"/>
        </w:trPr>
        <w:tc>
          <w:tcPr>
            <w:tcW w:w="5780" w:type="dxa"/>
            <w:vAlign w:val="bottom"/>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160" w:type="dxa"/>
            <w:vAlign w:val="bottom"/>
            <w:shd w:val="clear" w:color="auto" w:fill="FEFEFE"/>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8"/>
              </w:rPr>
              <w:t>share</w:t>
            </w:r>
          </w:p>
        </w:tc>
        <w:tc>
          <w:tcPr>
            <w:tcW w:w="12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40" w:type="dxa"/>
            <w:vAlign w:val="bottom"/>
            <w:shd w:val="clear" w:color="auto" w:fill="FEFEFE"/>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share</w:t>
            </w:r>
          </w:p>
        </w:tc>
      </w:tr>
      <w:tr>
        <w:trPr>
          <w:trHeight w:val="254"/>
        </w:trPr>
        <w:tc>
          <w:tcPr>
            <w:tcW w:w="5780" w:type="dxa"/>
            <w:vAlign w:val="bottom"/>
            <w:tcBorders>
              <w:bottom w:val="single" w:sz="8" w:color="E6E6E6"/>
            </w:tcBorders>
          </w:tcPr>
          <w:p>
            <w:pPr>
              <w:spacing w:after="0"/>
              <w:rPr>
                <w:sz w:val="22"/>
                <w:szCs w:val="22"/>
                <w:color w:val="auto"/>
              </w:rPr>
            </w:pPr>
          </w:p>
        </w:tc>
        <w:tc>
          <w:tcPr>
            <w:tcW w:w="140" w:type="dxa"/>
            <w:vAlign w:val="bottom"/>
            <w:tcBorders>
              <w:bottom w:val="single" w:sz="8" w:color="E6E6E6"/>
            </w:tcBorders>
            <w:shd w:val="clear" w:color="auto" w:fill="FEFEFE"/>
          </w:tcPr>
          <w:p>
            <w:pPr>
              <w:spacing w:after="0"/>
              <w:rPr>
                <w:sz w:val="22"/>
                <w:szCs w:val="22"/>
                <w:color w:val="auto"/>
              </w:rPr>
            </w:pPr>
          </w:p>
        </w:tc>
        <w:tc>
          <w:tcPr>
            <w:tcW w:w="140" w:type="dxa"/>
            <w:vAlign w:val="bottom"/>
            <w:tcBorders>
              <w:bottom w:val="single" w:sz="8" w:color="auto"/>
            </w:tcBorders>
            <w:shd w:val="clear" w:color="auto" w:fill="FEFEFE"/>
          </w:tcPr>
          <w:p>
            <w:pPr>
              <w:spacing w:after="0"/>
              <w:rPr>
                <w:sz w:val="22"/>
                <w:szCs w:val="22"/>
                <w:color w:val="auto"/>
              </w:rPr>
            </w:pPr>
          </w:p>
        </w:tc>
        <w:tc>
          <w:tcPr>
            <w:tcW w:w="1160" w:type="dxa"/>
            <w:vAlign w:val="bottom"/>
            <w:tcBorders>
              <w:bottom w:val="single" w:sz="8" w:color="auto"/>
            </w:tcBorders>
            <w:shd w:val="clear" w:color="auto" w:fill="FEFEFE"/>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amounts)</w:t>
            </w:r>
          </w:p>
        </w:tc>
        <w:tc>
          <w:tcPr>
            <w:tcW w:w="120" w:type="dxa"/>
            <w:vAlign w:val="bottom"/>
            <w:tcBorders>
              <w:bottom w:val="single" w:sz="8" w:color="E6E6E6"/>
            </w:tcBorders>
            <w:shd w:val="clear" w:color="auto" w:fill="FEFEFE"/>
          </w:tcPr>
          <w:p>
            <w:pPr>
              <w:spacing w:after="0"/>
              <w:rPr>
                <w:sz w:val="22"/>
                <w:szCs w:val="22"/>
                <w:color w:val="auto"/>
              </w:rPr>
            </w:pPr>
          </w:p>
        </w:tc>
        <w:tc>
          <w:tcPr>
            <w:tcW w:w="160" w:type="dxa"/>
            <w:vAlign w:val="bottom"/>
            <w:tcBorders>
              <w:bottom w:val="single" w:sz="8" w:color="auto"/>
            </w:tcBorders>
            <w:shd w:val="clear" w:color="auto" w:fill="FEFEFE"/>
          </w:tcPr>
          <w:p>
            <w:pPr>
              <w:spacing w:after="0"/>
              <w:rPr>
                <w:sz w:val="22"/>
                <w:szCs w:val="22"/>
                <w:color w:val="auto"/>
              </w:rPr>
            </w:pPr>
          </w:p>
        </w:tc>
        <w:tc>
          <w:tcPr>
            <w:tcW w:w="1140" w:type="dxa"/>
            <w:vAlign w:val="bottom"/>
            <w:tcBorders>
              <w:bottom w:val="single" w:sz="8" w:color="auto"/>
            </w:tcBorders>
            <w:shd w:val="clear" w:color="auto" w:fill="FEFEFE"/>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amounts)</w:t>
            </w:r>
          </w:p>
        </w:tc>
      </w:tr>
      <w:tr>
        <w:trPr>
          <w:trHeight w:val="234"/>
        </w:trPr>
        <w:tc>
          <w:tcPr>
            <w:tcW w:w="5920" w:type="dxa"/>
            <w:vAlign w:val="bottom"/>
            <w:tcBorders>
              <w:bottom w:val="single" w:sz="8" w:color="FEFEFE"/>
            </w:tcBorders>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loss</w:t>
            </w:r>
          </w:p>
        </w:tc>
        <w:tc>
          <w:tcPr>
            <w:tcW w:w="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(43,253)</w:t>
            </w:r>
          </w:p>
        </w:tc>
        <w:tc>
          <w:tcPr>
            <w:tcW w:w="120" w:type="dxa"/>
            <w:vAlign w:val="bottom"/>
            <w:tcBorders>
              <w:bottom w:val="single" w:sz="8" w:color="FEFEFE"/>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(29,466)</w:t>
            </w:r>
          </w:p>
        </w:tc>
      </w:tr>
      <w:tr>
        <w:trPr>
          <w:trHeight w:val="274"/>
        </w:trPr>
        <w:tc>
          <w:tcPr>
            <w:tcW w:w="5920" w:type="dxa"/>
            <w:vAlign w:val="bottom"/>
            <w:tcBorders>
              <w:bottom w:val="single" w:sz="8" w:color="E6E6E6"/>
            </w:tcBorders>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loss per share - basic and diluted</w:t>
            </w:r>
          </w:p>
        </w:tc>
        <w:tc>
          <w:tcPr>
            <w:tcW w:w="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120" w:type="dxa"/>
            <w:vAlign w:val="bottom"/>
            <w:tcBorders>
              <w:bottom w:val="single" w:sz="8" w:color="E6E6E6"/>
            </w:tcBorders>
            <w:shd w:val="clear" w:color="auto" w:fill="FEFEFE"/>
          </w:tcPr>
          <w:p>
            <w:pPr>
              <w:spacing w:after="0"/>
              <w:rPr>
                <w:sz w:val="23"/>
                <w:szCs w:val="23"/>
                <w:color w:val="auto"/>
              </w:rPr>
            </w:pP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(0.04)</w:t>
            </w:r>
          </w:p>
        </w:tc>
      </w:tr>
      <w:tr>
        <w:trPr>
          <w:trHeight w:val="208"/>
        </w:trPr>
        <w:tc>
          <w:tcPr>
            <w:tcW w:w="5920" w:type="dxa"/>
            <w:vAlign w:val="bottom"/>
            <w:gridSpan w:val="2"/>
            <w:shd w:val="clear" w:color="auto" w:fill="E6E6E6"/>
          </w:tcPr>
          <w:p>
            <w:pPr>
              <w:spacing w:after="0" w:line="207" w:lineRule="exact"/>
              <w:rPr>
                <w:sz w:val="20"/>
                <w:szCs w:val="20"/>
                <w:color w:val="auto"/>
              </w:rPr>
            </w:pPr>
            <w:r>
              <w:rPr>
                <w:rFonts w:ascii="Times New Roman" w:cs="Times New Roman" w:eastAsia="Times New Roman" w:hAnsi="Times New Roman"/>
                <w:sz w:val="20"/>
                <w:szCs w:val="20"/>
                <w:color w:val="auto"/>
              </w:rPr>
              <w:t>Weighted-average number of shares used in computing net loss per</w:t>
            </w: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r>
      <w:tr>
        <w:trPr>
          <w:trHeight w:val="251"/>
        </w:trPr>
        <w:tc>
          <w:tcPr>
            <w:tcW w:w="59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share - basic and diluted</w:t>
            </w:r>
          </w:p>
        </w:tc>
        <w:tc>
          <w:tcPr>
            <w:tcW w:w="140" w:type="dxa"/>
            <w:vAlign w:val="bottom"/>
            <w:tcBorders>
              <w:bottom w:val="single" w:sz="8" w:color="auto"/>
            </w:tcBorders>
            <w:shd w:val="clear" w:color="auto" w:fill="E6E6E6"/>
          </w:tcPr>
          <w:p>
            <w:pPr>
              <w:spacing w:after="0"/>
              <w:rPr>
                <w:sz w:val="21"/>
                <w:szCs w:val="21"/>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739,624,264</w:t>
            </w:r>
          </w:p>
        </w:tc>
        <w:tc>
          <w:tcPr>
            <w:tcW w:w="120" w:type="dxa"/>
            <w:vAlign w:val="bottom"/>
            <w:shd w:val="clear" w:color="auto" w:fill="E6E6E6"/>
          </w:tcPr>
          <w:p>
            <w:pPr>
              <w:spacing w:after="0"/>
              <w:rPr>
                <w:sz w:val="21"/>
                <w:szCs w:val="21"/>
                <w:color w:val="auto"/>
              </w:rPr>
            </w:pPr>
          </w:p>
        </w:tc>
        <w:tc>
          <w:tcPr>
            <w:tcW w:w="160" w:type="dxa"/>
            <w:vAlign w:val="bottom"/>
            <w:tcBorders>
              <w:bottom w:val="single" w:sz="8" w:color="auto"/>
            </w:tcBorders>
            <w:shd w:val="clear" w:color="auto" w:fill="E6E6E6"/>
          </w:tcPr>
          <w:p>
            <w:pPr>
              <w:spacing w:after="0"/>
              <w:rPr>
                <w:sz w:val="21"/>
                <w:szCs w:val="21"/>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659,453,921</w:t>
            </w:r>
          </w:p>
        </w:tc>
      </w:tr>
      <w:tr>
        <w:trPr>
          <w:trHeight w:val="20"/>
        </w:trPr>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For the years ended December 31, 2024 and 2023, share-based compensation awards, convertible loan notes, warrant liabilities and warrants classified in equity were anti-dilutive as they would have decreased the loss per share and were excluded from the calculation of diluted loss per share. Therefore, the weighted average shares outstanding used to calculate both the basic and diluted loss per share was the same.</w:t>
      </w:r>
    </w:p>
    <w:p>
      <w:pPr>
        <w:spacing w:after="0" w:line="19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0"/>
          <w:szCs w:val="20"/>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-138430</wp:posOffset>
            </wp:positionV>
            <wp:extent cx="5486400" cy="462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6400" cy="462280"/>
                    </a:xfrm>
                    <a:prstGeom prst="rect">
                      <a:avLst/>
                    </a:prstGeom>
                    <a:noFill/>
                  </pic:spPr>
                </pic:pic>
              </a:graphicData>
            </a:graphic>
          </wp:anchor>
        </w:drawing>
      </w:r>
    </w:p>
    <w:p>
      <w:pPr>
        <w:ind w:left="77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4" w:lineRule="exact"/>
        <w:rPr>
          <w:sz w:val="20"/>
          <w:szCs w:val="20"/>
          <w:color w:val="auto"/>
        </w:rPr>
      </w:pPr>
    </w:p>
    <w:tbl>
      <w:tblPr>
        <w:tblLayout w:type="fixed"/>
        <w:tblInd w:w="1080" w:type="dxa"/>
        <w:tblCellMar>
          <w:top w:w="0" w:type="dxa"/>
          <w:left w:w="0" w:type="dxa"/>
          <w:bottom w:w="0" w:type="dxa"/>
          <w:right w:w="0" w:type="dxa"/>
        </w:tblCellMar>
      </w:tblPr>
      <w:tr>
        <w:trPr>
          <w:trHeight w:val="254"/>
        </w:trPr>
        <w:tc>
          <w:tcPr>
            <w:tcW w:w="5780" w:type="dxa"/>
            <w:vAlign w:val="bottom"/>
          </w:tcPr>
          <w:p>
            <w:pPr>
              <w:spacing w:after="0"/>
              <w:rPr>
                <w:sz w:val="22"/>
                <w:szCs w:val="22"/>
                <w:color w:val="auto"/>
              </w:rPr>
            </w:pPr>
          </w:p>
        </w:tc>
        <w:tc>
          <w:tcPr>
            <w:tcW w:w="100" w:type="dxa"/>
            <w:vAlign w:val="bottom"/>
            <w:tcBorders>
              <w:top w:val="single" w:sz="8" w:color="FEFEFE"/>
            </w:tcBorders>
            <w:shd w:val="clear" w:color="auto" w:fill="FEFEFE"/>
          </w:tcPr>
          <w:p>
            <w:pPr>
              <w:spacing w:after="0"/>
              <w:rPr>
                <w:sz w:val="22"/>
                <w:szCs w:val="22"/>
                <w:color w:val="auto"/>
              </w:rPr>
            </w:pPr>
          </w:p>
        </w:tc>
        <w:tc>
          <w:tcPr>
            <w:tcW w:w="1340" w:type="dxa"/>
            <w:vAlign w:val="bottom"/>
            <w:tcBorders>
              <w:top w:val="single" w:sz="8" w:color="auto"/>
            </w:tcBorders>
            <w:shd w:val="clear" w:color="auto" w:fill="FEFEFE"/>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20" w:type="dxa"/>
            <w:vAlign w:val="bottom"/>
            <w:tcBorders>
              <w:top w:val="single" w:sz="8" w:color="auto"/>
            </w:tcBorders>
            <w:gridSpan w:val="2"/>
            <w:shd w:val="clear" w:color="auto" w:fill="FEFEFE"/>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4"/>
        </w:trPr>
        <w:tc>
          <w:tcPr>
            <w:tcW w:w="578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Share-based compensation awards</w:t>
            </w:r>
          </w:p>
        </w:tc>
        <w:tc>
          <w:tcPr>
            <w:tcW w:w="100" w:type="dxa"/>
            <w:vAlign w:val="bottom"/>
            <w:tcBorders>
              <w:top w:val="single" w:sz="8" w:color="E6E6E6"/>
            </w:tcBorders>
            <w:shd w:val="clear" w:color="auto" w:fill="E6E6E6"/>
          </w:tcPr>
          <w:p>
            <w:pPr>
              <w:spacing w:after="0"/>
              <w:rPr>
                <w:sz w:val="20"/>
                <w:szCs w:val="20"/>
                <w:color w:val="auto"/>
              </w:rPr>
            </w:pPr>
          </w:p>
        </w:tc>
        <w:tc>
          <w:tcPr>
            <w:tcW w:w="13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77,647,995</w:t>
            </w:r>
          </w:p>
        </w:tc>
        <w:tc>
          <w:tcPr>
            <w:tcW w:w="100" w:type="dxa"/>
            <w:vAlign w:val="bottom"/>
            <w:tcBorders>
              <w:top w:val="single" w:sz="8" w:color="E6E6E6"/>
            </w:tcBorders>
            <w:shd w:val="clear" w:color="auto" w:fill="E6E6E6"/>
          </w:tcPr>
          <w:p>
            <w:pPr>
              <w:spacing w:after="0"/>
              <w:rPr>
                <w:sz w:val="20"/>
                <w:szCs w:val="20"/>
                <w:color w:val="auto"/>
              </w:rPr>
            </w:pPr>
          </w:p>
        </w:tc>
        <w:tc>
          <w:tcPr>
            <w:tcW w:w="13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75,399,815</w:t>
            </w:r>
          </w:p>
        </w:tc>
      </w:tr>
      <w:tr>
        <w:trPr>
          <w:trHeight w:val="244"/>
        </w:trPr>
        <w:tc>
          <w:tcPr>
            <w:tcW w:w="57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Convertible loan notes</w:t>
            </w:r>
          </w:p>
        </w:tc>
        <w:tc>
          <w:tcPr>
            <w:tcW w:w="100" w:type="dxa"/>
            <w:vAlign w:val="bottom"/>
            <w:shd w:val="clear" w:color="auto" w:fill="FEFEFE"/>
          </w:tcPr>
          <w:p>
            <w:pPr>
              <w:spacing w:after="0"/>
              <w:rPr>
                <w:sz w:val="21"/>
                <w:szCs w:val="21"/>
                <w:color w:val="auto"/>
              </w:rPr>
            </w:pPr>
          </w:p>
        </w:tc>
        <w:tc>
          <w:tcPr>
            <w:tcW w:w="13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16,966,052</w:t>
            </w:r>
          </w:p>
        </w:tc>
        <w:tc>
          <w:tcPr>
            <w:tcW w:w="100" w:type="dxa"/>
            <w:vAlign w:val="bottom"/>
            <w:shd w:val="clear" w:color="auto" w:fill="FEFEFE"/>
          </w:tcPr>
          <w:p>
            <w:pPr>
              <w:spacing w:after="0"/>
              <w:rPr>
                <w:sz w:val="21"/>
                <w:szCs w:val="21"/>
                <w:color w:val="auto"/>
              </w:rPr>
            </w:pP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15,657,825</w:t>
            </w:r>
          </w:p>
        </w:tc>
      </w:tr>
      <w:tr>
        <w:trPr>
          <w:trHeight w:val="244"/>
        </w:trPr>
        <w:tc>
          <w:tcPr>
            <w:tcW w:w="57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Warrant liabilities</w:t>
            </w: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2,487,816</w:t>
            </w:r>
          </w:p>
        </w:tc>
        <w:tc>
          <w:tcPr>
            <w:tcW w:w="14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2,487,816</w:t>
            </w:r>
          </w:p>
        </w:tc>
      </w:tr>
      <w:tr>
        <w:trPr>
          <w:trHeight w:val="244"/>
        </w:trPr>
        <w:tc>
          <w:tcPr>
            <w:tcW w:w="57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Warrants classified in equity</w:t>
            </w:r>
          </w:p>
        </w:tc>
        <w:tc>
          <w:tcPr>
            <w:tcW w:w="14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5,001,313</w:t>
            </w:r>
          </w:p>
        </w:tc>
        <w:tc>
          <w:tcPr>
            <w:tcW w:w="14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5,001,313</w:t>
            </w:r>
          </w:p>
        </w:tc>
      </w:tr>
    </w:tbl>
    <w:p>
      <w:pPr>
        <w:spacing w:after="0" w:line="200" w:lineRule="exact"/>
        <w:rPr>
          <w:sz w:val="20"/>
          <w:szCs w:val="20"/>
          <w:color w:val="auto"/>
        </w:rPr>
      </w:pPr>
    </w:p>
    <w:p>
      <w:pPr>
        <w:sectPr>
          <w:pgSz w:w="11880" w:h="15480" w:orient="portrait"/>
          <w:cols w:equalWidth="0" w:num="1">
            <w:col w:w="10780"/>
          </w:cols>
          <w:pgMar w:left="540" w:top="745" w:right="5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F-32</w:t>
      </w:r>
    </w:p>
    <w:p>
      <w:pPr>
        <w:sectPr>
          <w:pgSz w:w="11880" w:h="15480" w:orient="portrait"/>
          <w:cols w:equalWidth="0" w:num="1">
            <w:col w:w="10780"/>
          </w:cols>
          <w:pgMar w:left="540" w:top="745" w:right="560" w:bottom="8"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auto"/>
        </w:rPr>
        <w:t>17. Commitments and contingencies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agreements</w:t>
      </w:r>
    </w:p>
    <w:p>
      <w:pPr>
        <w:spacing w:after="0" w:line="238"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20"/>
          <w:szCs w:val="20"/>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However, the Company may record charges in the future as a result of these indemnification obligations. In accordance with the Articles of Association in force on December 31, 2024, the Company has indemnification obligations to its officers and directors for certain events or occurrences, subject to certain limits, while they are serving at the Company’s request in such capacity. There have been no claims to date, and the Company has directors and officers insurance that may enable it to recover a portion of any amounts paid for future potential claims.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Novartis Asset Purchase Agreements</w:t>
      </w:r>
    </w:p>
    <w:p>
      <w:pPr>
        <w:spacing w:after="0" w:line="238"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The Company issued to Novartis loan notes and agreed to make future payments to Novartis comprising amounts equal to ascending specified percentages of tiered annual worldwide net sales (beginning at high single digits and reaching into double digits at higher sales) of products that include the assets acquired. The levels of ascending percentages of tiered annual worldwide net sales are stipulated under the respective Purchase Agreements.</w:t>
      </w:r>
    </w:p>
    <w:p>
      <w:pPr>
        <w:spacing w:after="0" w:line="190" w:lineRule="exact"/>
        <w:rPr>
          <w:sz w:val="20"/>
          <w:szCs w:val="20"/>
          <w:color w:val="auto"/>
        </w:rPr>
      </w:pPr>
    </w:p>
    <w:p>
      <w:pPr>
        <w:jc w:val="both"/>
        <w:ind w:right="60" w:firstLine="720"/>
        <w:spacing w:after="0" w:line="253" w:lineRule="auto"/>
        <w:rPr>
          <w:sz w:val="20"/>
          <w:szCs w:val="20"/>
          <w:color w:val="auto"/>
        </w:rPr>
      </w:pPr>
      <w:r>
        <w:rPr>
          <w:rFonts w:ascii="Times New Roman" w:cs="Times New Roman" w:eastAsia="Times New Roman" w:hAnsi="Times New Roman"/>
          <w:sz w:val="20"/>
          <w:szCs w:val="20"/>
          <w:color w:val="auto"/>
        </w:rPr>
        <w:t>The Company further agreed that in the event it transfers, licenses, assigns or leases all or substantially all of its assets, it will pay Novartis a percentage of the proceeds of such transaction.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AstraZeneca</w:t>
      </w:r>
    </w:p>
    <w:p>
      <w:pPr>
        <w:spacing w:after="0" w:line="23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In October 2017, the Company entered into an exclusive license and option agreement (“the AstraZeneca License Agreement”) and subscription deed (the “AstraZeneca Subscription Deed”), together (the “Original Agreements”) with AstraZeneca. Each of these were amended on November 8, 2024, when the Company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w:t>
      </w:r>
    </w:p>
    <w:p>
      <w:pPr>
        <w:spacing w:after="0" w:line="20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Under the terms of the Original Agreements, the Company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the Company made a payment of $3.0 million and issued 490,798 ordinary shares (equivalent to 98,159 ADSs) to AstraZeneca, for an aggregate upfront payment equal to $5.0 million. Upon execution of the Amended AstraZeneca License Agreement, the Company issued 2,044,390 ordinary shares and paid $0.5 million to AstraZeneca in respect of an agreed milestone.</w:t>
      </w:r>
    </w:p>
    <w:p>
      <w:pPr>
        <w:spacing w:after="0" w:line="200" w:lineRule="exact"/>
        <w:rPr>
          <w:sz w:val="20"/>
          <w:szCs w:val="20"/>
          <w:color w:val="auto"/>
        </w:rPr>
      </w:pPr>
    </w:p>
    <w:p>
      <w:pPr>
        <w:ind w:firstLine="770"/>
        <w:spacing w:after="0" w:line="243" w:lineRule="auto"/>
        <w:rPr>
          <w:sz w:val="20"/>
          <w:szCs w:val="20"/>
          <w:color w:val="auto"/>
        </w:rPr>
      </w:pPr>
      <w:r>
        <w:rPr>
          <w:rFonts w:ascii="Times New Roman" w:cs="Times New Roman" w:eastAsia="Times New Roman" w:hAnsi="Times New Roman"/>
          <w:sz w:val="20"/>
          <w:szCs w:val="20"/>
          <w:color w:val="auto"/>
        </w:rPr>
        <w:t>Under the terms of the Amended AstraZeneca Agreements, the Company has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AstraZeneca License Agreement. The number of ADSs to be issued to satisfy each equity milestone is determined by dividing a monetary amount by a defined subscription price based on the weighted average trading price of our ADSs. In addition,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spacing w:after="0" w:line="206"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The Amended AstraZeneca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Amended AstraZeneca License Agreement upon prior written notice. Either party may terminate the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F-33</w:t>
      </w:r>
    </w:p>
    <w:p>
      <w:pPr>
        <w:sectPr>
          <w:pgSz w:w="11880" w:h="15480" w:orient="portrait"/>
          <w:cols w:equalWidth="0" w:num="1">
            <w:col w:w="10800"/>
          </w:cols>
          <w:pgMar w:left="540" w:top="745" w:right="540" w:bottom="0" w:gutter="0" w:footer="0" w:header="0"/>
        </w:sectPr>
      </w:pPr>
    </w:p>
    <w:bookmarkStart w:id="141" w:name="page142"/>
    <w:bookmarkEnd w:id="141"/>
    <w:p>
      <w:pPr>
        <w:ind w:right="620"/>
        <w:spacing w:after="0" w:line="279" w:lineRule="auto"/>
        <w:rPr>
          <w:sz w:val="20"/>
          <w:szCs w:val="20"/>
          <w:color w:val="auto"/>
        </w:rPr>
      </w:pPr>
      <w:r>
        <w:rPr>
          <w:rFonts w:ascii="Times New Roman" w:cs="Times New Roman" w:eastAsia="Times New Roman" w:hAnsi="Times New Roman"/>
          <w:sz w:val="20"/>
          <w:szCs w:val="20"/>
          <w:color w:val="auto"/>
        </w:rPr>
        <w:t>agreement upon prior written notice for the other party’s material breach that remains uncured for a specified period of time or insolvency.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activities</w:t>
      </w:r>
    </w:p>
    <w:p>
      <w:pPr>
        <w:spacing w:after="0" w:line="238"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The Company enters into contracts in the normal course of business with CROs,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has manufacturing commitments with CMOs of $0.5 million as of December 31, 2024 (2023: $4.2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Manufacturing and supply agreement with Ultragenyx</w:t>
      </w:r>
    </w:p>
    <w:p>
      <w:pPr>
        <w:spacing w:after="0" w:line="238" w:lineRule="exact"/>
        <w:rPr>
          <w:sz w:val="20"/>
          <w:szCs w:val="20"/>
          <w:color w:val="auto"/>
        </w:rPr>
      </w:pPr>
    </w:p>
    <w:p>
      <w:pPr>
        <w:ind w:right="180" w:firstLine="720"/>
        <w:spacing w:after="0" w:line="253" w:lineRule="auto"/>
        <w:rPr>
          <w:sz w:val="20"/>
          <w:szCs w:val="20"/>
          <w:color w:val="auto"/>
        </w:rPr>
      </w:pPr>
      <w:r>
        <w:rPr>
          <w:rFonts w:ascii="Times New Roman" w:cs="Times New Roman" w:eastAsia="Times New Roman" w:hAnsi="Times New Roman"/>
          <w:sz w:val="20"/>
          <w:szCs w:val="20"/>
          <w:color w:val="auto"/>
        </w:rPr>
        <w:t>In December 2024, the Company entered into a manufacturing and supply agreement with Ultragenyx under which Ultragenyx is responsible for the manufacture and supply of setrusumab to the Company in its territories. The Company is also required to reimburse Ultragenyx for a portion of the manufacturing process development costs as well as future commercial supply costs.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238" w:lineRule="exact"/>
        <w:rPr>
          <w:sz w:val="20"/>
          <w:szCs w:val="20"/>
          <w:color w:val="auto"/>
        </w:rPr>
      </w:pPr>
    </w:p>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From time to time, the Company may be a party to litigation or subject to claims incident to the ordinary course of business. The Company was not a party to any material litigation and did not have any material contingency reserves established for any liabilities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Related party disclosures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the years ended December 31, 2024 and 2023, there were no reportable related party transactions.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Segment information</w:t>
      </w:r>
    </w:p>
    <w:p>
      <w:pPr>
        <w:spacing w:after="0" w:line="24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Company has one operating segment focused on the business of developing rare disease therapies. The accounting policies of the single operating segment are described in Note 2. The chief operating decision maker, its Chief Executive Officer, assesses performance for the entity and decides how to allocate resources based on consolidated net loss, which is reported on the consolidated statements of operations and comprehensive loss. The measure of segment assets is reported on the balance sheet as total consolidated assets.</w:t>
      </w:r>
    </w:p>
    <w:p>
      <w:pPr>
        <w:spacing w:after="0" w:line="197" w:lineRule="exact"/>
        <w:rPr>
          <w:sz w:val="20"/>
          <w:szCs w:val="20"/>
          <w:color w:val="auto"/>
        </w:rPr>
      </w:pPr>
    </w:p>
    <w:p>
      <w:pPr>
        <w:ind w:right="360" w:firstLine="720"/>
        <w:spacing w:after="0" w:line="279" w:lineRule="auto"/>
        <w:rPr>
          <w:sz w:val="20"/>
          <w:szCs w:val="20"/>
          <w:color w:val="auto"/>
        </w:rPr>
      </w:pPr>
      <w:r>
        <w:rPr>
          <w:rFonts w:ascii="Times New Roman" w:cs="Times New Roman" w:eastAsia="Times New Roman" w:hAnsi="Times New Roman"/>
          <w:sz w:val="20"/>
          <w:szCs w:val="20"/>
          <w:color w:val="auto"/>
        </w:rPr>
        <w:t>The chief operating decision maker uses consolidated net loss and budget-to-actual variances for consolidated net loss to assess the performance of the operating segment.</w:t>
      </w:r>
    </w:p>
    <w:p>
      <w:pPr>
        <w:spacing w:after="0" w:line="165" w:lineRule="exact"/>
        <w:rPr>
          <w:sz w:val="20"/>
          <w:szCs w:val="20"/>
          <w:color w:val="auto"/>
        </w:rPr>
      </w:pPr>
    </w:p>
    <w:p>
      <w:pPr>
        <w:ind w:right="420"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presents certain financial data for the Company’s reportable segment, including significant segment expenses regularly provided to the chief operating decision maker to assess performance of the Company.</w:t>
      </w:r>
    </w:p>
    <w:p>
      <w:pPr>
        <w:sectPr>
          <w:pgSz w:w="11880" w:h="15480" w:orient="portrait"/>
          <w:cols w:equalWidth="0" w:num="1">
            <w:col w:w="10740"/>
          </w:cols>
          <w:pgMar w:left="540" w:top="748" w:right="6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F-34</w:t>
      </w:r>
    </w:p>
    <w:p>
      <w:pPr>
        <w:sectPr>
          <w:pgSz w:w="11880" w:h="15480" w:orient="portrait"/>
          <w:cols w:equalWidth="0" w:num="1">
            <w:col w:w="10740"/>
          </w:cols>
          <w:pgMar w:left="540" w:top="748" w:right="600" w:bottom="8" w:gutter="0" w:footer="0" w:header="0"/>
          <w:type w:val="continuous"/>
        </w:sectPr>
      </w:pPr>
    </w:p>
    <w:bookmarkStart w:id="142" w:name="page143"/>
    <w:bookmarkEnd w:id="142"/>
    <w:tbl>
      <w:tblPr>
        <w:tblLayout w:type="fixed"/>
        <w:tblInd w:w="1080" w:type="dxa"/>
        <w:tblCellMar>
          <w:top w:w="0" w:type="dxa"/>
          <w:left w:w="0" w:type="dxa"/>
          <w:bottom w:w="0" w:type="dxa"/>
          <w:right w:w="0" w:type="dxa"/>
        </w:tblCellMar>
      </w:tblPr>
      <w:tr>
        <w:trPr>
          <w:trHeight w:val="254"/>
        </w:trPr>
        <w:tc>
          <w:tcPr>
            <w:tcW w:w="5920" w:type="dxa"/>
            <w:vAlign w:val="bottom"/>
            <w:tcBorders>
              <w:bottom w:val="single" w:sz="8" w:color="FEFEFE"/>
            </w:tcBorders>
            <w:shd w:val="clear" w:color="auto" w:fill="FEFEFE"/>
          </w:tcPr>
          <w:p>
            <w:pPr>
              <w:spacing w:after="0"/>
              <w:rPr>
                <w:sz w:val="22"/>
                <w:szCs w:val="22"/>
                <w:color w:val="auto"/>
              </w:rPr>
            </w:pPr>
          </w:p>
        </w:tc>
        <w:tc>
          <w:tcPr>
            <w:tcW w:w="1300" w:type="dxa"/>
            <w:vAlign w:val="bottom"/>
            <w:tcBorders>
              <w:bottom w:val="single" w:sz="8" w:color="auto"/>
            </w:tcBorders>
            <w:gridSpan w:val="2"/>
            <w:shd w:val="clear" w:color="auto" w:fill="FEFEFE"/>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0" w:type="dxa"/>
            <w:vAlign w:val="bottom"/>
            <w:tcBorders>
              <w:bottom w:val="single" w:sz="8" w:color="FEFEFE"/>
            </w:tcBorders>
            <w:shd w:val="clear" w:color="auto" w:fill="FEFEFE"/>
          </w:tcPr>
          <w:p>
            <w:pPr>
              <w:spacing w:after="0"/>
              <w:rPr>
                <w:sz w:val="22"/>
                <w:szCs w:val="22"/>
                <w:color w:val="auto"/>
              </w:rPr>
            </w:pPr>
          </w:p>
        </w:tc>
        <w:tc>
          <w:tcPr>
            <w:tcW w:w="1300" w:type="dxa"/>
            <w:vAlign w:val="bottom"/>
            <w:tcBorders>
              <w:bottom w:val="single" w:sz="8" w:color="auto"/>
            </w:tcBorders>
            <w:gridSpan w:val="2"/>
            <w:shd w:val="clear" w:color="auto" w:fill="FEFEFE"/>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34"/>
        </w:trPr>
        <w:tc>
          <w:tcPr>
            <w:tcW w:w="5920" w:type="dxa"/>
            <w:vAlign w:val="bottom"/>
            <w:tcBorders>
              <w:bottom w:val="single" w:sz="8" w:color="FEFEFE"/>
            </w:tcBorders>
            <w:shd w:val="clear" w:color="auto" w:fill="FEFEFE"/>
          </w:tcPr>
          <w:p>
            <w:pPr>
              <w:spacing w:after="0"/>
              <w:rPr>
                <w:sz w:val="20"/>
                <w:szCs w:val="20"/>
                <w:color w:val="auto"/>
              </w:rPr>
            </w:pPr>
          </w:p>
        </w:tc>
        <w:tc>
          <w:tcPr>
            <w:tcW w:w="1300" w:type="dxa"/>
            <w:vAlign w:val="bottom"/>
            <w:tcBorders>
              <w:bottom w:val="single" w:sz="8" w:color="auto"/>
            </w:tcBorders>
            <w:gridSpan w:val="2"/>
            <w:shd w:val="clear" w:color="auto" w:fill="FEFEFE"/>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Borders>
              <w:bottom w:val="single" w:sz="8" w:color="FEFEFE"/>
            </w:tcBorders>
            <w:shd w:val="clear" w:color="auto" w:fill="FEFEFE"/>
          </w:tcPr>
          <w:p>
            <w:pPr>
              <w:spacing w:after="0"/>
              <w:rPr>
                <w:sz w:val="20"/>
                <w:szCs w:val="20"/>
                <w:color w:val="auto"/>
              </w:rPr>
            </w:pPr>
          </w:p>
        </w:tc>
        <w:tc>
          <w:tcPr>
            <w:tcW w:w="1300" w:type="dxa"/>
            <w:vAlign w:val="bottom"/>
            <w:tcBorders>
              <w:bottom w:val="single" w:sz="8" w:color="auto"/>
            </w:tcBorders>
            <w:gridSpan w:val="2"/>
            <w:shd w:val="clear" w:color="auto" w:fill="FEFEFE"/>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4"/>
        </w:trPr>
        <w:tc>
          <w:tcPr>
            <w:tcW w:w="5920" w:type="dxa"/>
            <w:vAlign w:val="bottom"/>
            <w:shd w:val="clear" w:color="auto" w:fill="FEFEFE"/>
          </w:tcPr>
          <w:p>
            <w:pPr>
              <w:spacing w:after="0"/>
              <w:rPr>
                <w:sz w:val="20"/>
                <w:szCs w:val="20"/>
                <w:color w:val="auto"/>
              </w:rPr>
            </w:pPr>
          </w:p>
        </w:tc>
        <w:tc>
          <w:tcPr>
            <w:tcW w:w="4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shd w:val="clear" w:color="auto" w:fill="FEFEFE"/>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w w:val="94"/>
              </w:rPr>
              <w:t>'000)</w:t>
            </w:r>
          </w:p>
        </w:tc>
        <w:tc>
          <w:tcPr>
            <w:tcW w:w="120" w:type="dxa"/>
            <w:vAlign w:val="bottom"/>
            <w:shd w:val="clear" w:color="auto" w:fill="FEFEFE"/>
          </w:tcPr>
          <w:p>
            <w:pPr>
              <w:spacing w:after="0"/>
              <w:rPr>
                <w:sz w:val="20"/>
                <w:szCs w:val="20"/>
                <w:color w:val="auto"/>
              </w:rPr>
            </w:pPr>
          </w:p>
        </w:tc>
        <w:tc>
          <w:tcPr>
            <w:tcW w:w="4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shd w:val="clear" w:color="auto" w:fill="FEFEFE"/>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w w:val="94"/>
              </w:rPr>
              <w:t>'000)</w:t>
            </w:r>
          </w:p>
        </w:tc>
      </w:tr>
      <w:tr>
        <w:trPr>
          <w:trHeight w:val="244"/>
        </w:trPr>
        <w:tc>
          <w:tcPr>
            <w:tcW w:w="5920" w:type="dxa"/>
            <w:vAlign w:val="bottom"/>
            <w:shd w:val="clear" w:color="auto" w:fill="FEFEFE"/>
          </w:tcPr>
          <w:p>
            <w:pPr>
              <w:spacing w:after="0"/>
              <w:rPr>
                <w:sz w:val="21"/>
                <w:szCs w:val="21"/>
                <w:color w:val="auto"/>
              </w:rPr>
            </w:pPr>
          </w:p>
        </w:tc>
        <w:tc>
          <w:tcPr>
            <w:tcW w:w="460" w:type="dxa"/>
            <w:vAlign w:val="bottom"/>
            <w:shd w:val="clear" w:color="auto" w:fill="FEFEFE"/>
          </w:tcPr>
          <w:p>
            <w:pPr>
              <w:spacing w:after="0"/>
              <w:rPr>
                <w:sz w:val="21"/>
                <w:szCs w:val="21"/>
                <w:color w:val="auto"/>
              </w:rPr>
            </w:pPr>
          </w:p>
        </w:tc>
        <w:tc>
          <w:tcPr>
            <w:tcW w:w="84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20" w:type="dxa"/>
            <w:vAlign w:val="bottom"/>
            <w:shd w:val="clear" w:color="auto" w:fill="FEFEFE"/>
          </w:tcPr>
          <w:p>
            <w:pPr>
              <w:spacing w:after="0"/>
              <w:rPr>
                <w:sz w:val="21"/>
                <w:szCs w:val="21"/>
                <w:color w:val="auto"/>
              </w:rPr>
            </w:pPr>
          </w:p>
        </w:tc>
      </w:tr>
      <w:tr>
        <w:trPr>
          <w:trHeight w:val="244"/>
        </w:trPr>
        <w:tc>
          <w:tcPr>
            <w:tcW w:w="5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Revenue</w:t>
            </w:r>
          </w:p>
        </w:tc>
        <w:tc>
          <w:tcPr>
            <w:tcW w:w="4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244"/>
        </w:trPr>
        <w:tc>
          <w:tcPr>
            <w:tcW w:w="59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46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(2,574)</w:t>
            </w:r>
          </w:p>
        </w:tc>
      </w:tr>
      <w:tr>
        <w:trPr>
          <w:trHeight w:val="244"/>
        </w:trPr>
        <w:tc>
          <w:tcPr>
            <w:tcW w:w="5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46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r>
      <w:tr>
        <w:trPr>
          <w:trHeight w:val="244"/>
        </w:trPr>
        <w:tc>
          <w:tcPr>
            <w:tcW w:w="59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Setrusumab (BPS-804/UX143)</w:t>
            </w:r>
          </w:p>
        </w:tc>
        <w:tc>
          <w:tcPr>
            <w:tcW w:w="46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(5,784)</w:t>
            </w:r>
          </w:p>
        </w:tc>
        <w:tc>
          <w:tcPr>
            <w:tcW w:w="12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(3,157)</w:t>
            </w:r>
          </w:p>
        </w:tc>
      </w:tr>
      <w:tr>
        <w:trPr>
          <w:trHeight w:val="244"/>
        </w:trPr>
        <w:tc>
          <w:tcPr>
            <w:tcW w:w="59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Alvelestat (MPH-966)</w:t>
            </w:r>
          </w:p>
        </w:tc>
        <w:tc>
          <w:tcPr>
            <w:tcW w:w="46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(12,918)</w:t>
            </w:r>
          </w:p>
        </w:tc>
        <w:tc>
          <w:tcPr>
            <w:tcW w:w="12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(6,730)</w:t>
            </w:r>
          </w:p>
        </w:tc>
      </w:tr>
      <w:tr>
        <w:trPr>
          <w:trHeight w:val="244"/>
        </w:trPr>
        <w:tc>
          <w:tcPr>
            <w:tcW w:w="59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Etigilimab (MPH-313)</w:t>
            </w:r>
          </w:p>
        </w:tc>
        <w:tc>
          <w:tcPr>
            <w:tcW w:w="46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(1,768)</w:t>
            </w:r>
          </w:p>
        </w:tc>
        <w:tc>
          <w:tcPr>
            <w:tcW w:w="12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(7,263)</w:t>
            </w:r>
          </w:p>
        </w:tc>
      </w:tr>
      <w:tr>
        <w:trPr>
          <w:trHeight w:val="244"/>
        </w:trPr>
        <w:tc>
          <w:tcPr>
            <w:tcW w:w="59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Leflutrozole (BGS-649)</w:t>
            </w:r>
          </w:p>
        </w:tc>
        <w:tc>
          <w:tcPr>
            <w:tcW w:w="46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12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44"/>
        </w:trPr>
        <w:tc>
          <w:tcPr>
            <w:tcW w:w="59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Acumapimod (BCT-197)</w:t>
            </w:r>
          </w:p>
        </w:tc>
        <w:tc>
          <w:tcPr>
            <w:tcW w:w="46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2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44"/>
        </w:trPr>
        <w:tc>
          <w:tcPr>
            <w:tcW w:w="59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46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12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44"/>
        </w:trPr>
        <w:tc>
          <w:tcPr>
            <w:tcW w:w="59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46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(26,434)</w:t>
            </w:r>
          </w:p>
        </w:tc>
        <w:tc>
          <w:tcPr>
            <w:tcW w:w="120" w:type="dxa"/>
            <w:vAlign w:val="bottom"/>
            <w:shd w:val="clear" w:color="auto" w:fill="FEFEFE"/>
          </w:tcPr>
          <w:p>
            <w:pPr>
              <w:spacing w:after="0"/>
              <w:rPr>
                <w:sz w:val="21"/>
                <w:szCs w:val="21"/>
                <w:color w:val="auto"/>
              </w:rPr>
            </w:pPr>
          </w:p>
        </w:tc>
        <w:tc>
          <w:tcPr>
            <w:tcW w:w="48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(18,424)</w:t>
            </w:r>
          </w:p>
        </w:tc>
      </w:tr>
      <w:tr>
        <w:trPr>
          <w:trHeight w:val="244"/>
        </w:trPr>
        <w:tc>
          <w:tcPr>
            <w:tcW w:w="5920" w:type="dxa"/>
            <w:vAlign w:val="bottom"/>
            <w:tcBorders>
              <w:bottom w:val="single" w:sz="8" w:color="FEFEFE"/>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segment expenses</w:t>
            </w:r>
          </w:p>
        </w:tc>
        <w:tc>
          <w:tcPr>
            <w:tcW w:w="460" w:type="dxa"/>
            <w:vAlign w:val="bottom"/>
            <w:tcBorders>
              <w:bottom w:val="single" w:sz="8" w:color="auto"/>
            </w:tcBorders>
            <w:shd w:val="clear" w:color="auto" w:fill="E6E6E6"/>
          </w:tcPr>
          <w:p>
            <w:pPr>
              <w:spacing w:after="0"/>
              <w:rPr>
                <w:sz w:val="21"/>
                <w:szCs w:val="21"/>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4,111</w:t>
            </w:r>
          </w:p>
        </w:tc>
        <w:tc>
          <w:tcPr>
            <w:tcW w:w="120" w:type="dxa"/>
            <w:vAlign w:val="bottom"/>
            <w:tcBorders>
              <w:bottom w:val="single" w:sz="8" w:color="FEFEFE"/>
            </w:tcBorders>
            <w:shd w:val="clear" w:color="auto" w:fill="E6E6E6"/>
          </w:tcPr>
          <w:p>
            <w:pPr>
              <w:spacing w:after="0"/>
              <w:rPr>
                <w:sz w:val="21"/>
                <w:szCs w:val="21"/>
                <w:color w:val="auto"/>
              </w:rPr>
            </w:pPr>
          </w:p>
        </w:tc>
        <w:tc>
          <w:tcPr>
            <w:tcW w:w="480" w:type="dxa"/>
            <w:vAlign w:val="bottom"/>
            <w:tcBorders>
              <w:bottom w:val="single" w:sz="8" w:color="auto"/>
            </w:tcBorders>
            <w:shd w:val="clear" w:color="auto" w:fill="E6E6E6"/>
          </w:tcPr>
          <w:p>
            <w:pPr>
              <w:spacing w:after="0"/>
              <w:rPr>
                <w:sz w:val="21"/>
                <w:szCs w:val="21"/>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(1,582)</w:t>
            </w:r>
          </w:p>
        </w:tc>
      </w:tr>
      <w:tr>
        <w:trPr>
          <w:trHeight w:val="234"/>
        </w:trPr>
        <w:tc>
          <w:tcPr>
            <w:tcW w:w="59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Net loss before income tax</w:t>
            </w:r>
          </w:p>
        </w:tc>
        <w:tc>
          <w:tcPr>
            <w:tcW w:w="4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(43,253)</w:t>
            </w:r>
          </w:p>
        </w:tc>
        <w:tc>
          <w:tcPr>
            <w:tcW w:w="120" w:type="dxa"/>
            <w:vAlign w:val="bottom"/>
            <w:shd w:val="clear" w:color="auto" w:fill="FEFEFE"/>
          </w:tcPr>
          <w:p>
            <w:pPr>
              <w:spacing w:after="0"/>
              <w:rPr>
                <w:sz w:val="20"/>
                <w:szCs w:val="20"/>
                <w:color w:val="auto"/>
              </w:rPr>
            </w:pPr>
          </w:p>
        </w:tc>
        <w:tc>
          <w:tcPr>
            <w:tcW w:w="48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b w:val="1"/>
                <w:bCs w:val="1"/>
                <w:color w:val="auto"/>
              </w:rPr>
              <w:t>(29,998)</w:t>
            </w:r>
          </w:p>
        </w:tc>
      </w:tr>
      <w:tr>
        <w:trPr>
          <w:trHeight w:val="20"/>
        </w:trPr>
        <w:tc>
          <w:tcPr>
            <w:tcW w:w="5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380" w:firstLine="720"/>
        <w:spacing w:after="0" w:line="259" w:lineRule="auto"/>
        <w:rPr>
          <w:sz w:val="20"/>
          <w:szCs w:val="20"/>
          <w:color w:val="auto"/>
        </w:rPr>
      </w:pPr>
      <w:r>
        <w:rPr>
          <w:rFonts w:ascii="Times New Roman" w:cs="Times New Roman" w:eastAsia="Times New Roman" w:hAnsi="Times New Roman"/>
          <w:sz w:val="20"/>
          <w:szCs w:val="20"/>
          <w:color w:val="auto"/>
        </w:rPr>
        <w:t>Other segment expenses consist of interest income, interest expense, change in fair value of warrants, foreign currency transaction loss/(gain), other expenses, net, and benefit from research and development tax credit. These are disclosed in the consolidated statements of operations and comprehensive loss.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Subsequent events</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On February 7, 2025, the Company received a conversion notice and subsequently issued and allotted 17,105,450 ordinary shares (equivalent to 3,421,090 ADSs) on the non-cash conversion of the outstanding principal and accrued interest of the Novartis Loan Note.</w:t>
      </w:r>
    </w:p>
    <w:p>
      <w:pPr>
        <w:spacing w:after="0" w:line="185" w:lineRule="exact"/>
        <w:rPr>
          <w:sz w:val="20"/>
          <w:szCs w:val="20"/>
          <w:color w:val="auto"/>
        </w:rPr>
      </w:pPr>
    </w:p>
    <w:p>
      <w:pPr>
        <w:jc w:val="both"/>
        <w:ind w:firstLine="770"/>
        <w:spacing w:after="0" w:line="279" w:lineRule="auto"/>
        <w:rPr>
          <w:sz w:val="20"/>
          <w:szCs w:val="20"/>
          <w:color w:val="auto"/>
        </w:rPr>
      </w:pPr>
      <w:r>
        <w:rPr>
          <w:rFonts w:ascii="Times New Roman" w:cs="Times New Roman" w:eastAsia="Times New Roman" w:hAnsi="Times New Roman"/>
          <w:sz w:val="20"/>
          <w:szCs w:val="20"/>
          <w:color w:val="auto"/>
        </w:rPr>
        <w:t>In addition, on February 7, 2025, Novartis exercised 1,449,610 warrants (equivalent to 289,922 ADSs) and upon receipt of $0.5 million in satisfaction of the subscription price of £0.265 per ordinary share, the Company issued and allotted the shares.</w:t>
      </w:r>
    </w:p>
    <w:p>
      <w:pPr>
        <w:sectPr>
          <w:pgSz w:w="11880" w:h="15480" w:orient="portrait"/>
          <w:cols w:equalWidth="0" w:num="1">
            <w:col w:w="10600"/>
          </w:cols>
          <w:pgMar w:left="540" w:top="759" w:right="7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F-35</w:t>
      </w:r>
    </w:p>
    <w:p>
      <w:pPr>
        <w:sectPr>
          <w:pgSz w:w="11880" w:h="15480" w:orient="portrait"/>
          <w:cols w:equalWidth="0" w:num="1">
            <w:col w:w="10600"/>
          </w:cols>
          <w:pgMar w:left="540" w:top="759" w:right="740" w:bottom="8" w:gutter="0" w:footer="0" w:header="0"/>
          <w:type w:val="continuous"/>
        </w:sectPr>
      </w:pPr>
    </w:p>
    <w:bookmarkStart w:id="143" w:name="page144"/>
    <w:bookmarkEnd w:id="143"/>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8"/>
      <w:numFmt w:val="bullet"/>
      <w:start w:val="1"/>
    </w:lvl>
  </w:abstractNum>
  <w:abstractNum w:abstractNumId="4">
    <w:nsid w:val="440BADFC"/>
    <w:multiLevelType w:val="hybridMultilevel"/>
    <w:lvl w:ilvl="0">
      <w:lvlJc w:val="left"/>
      <w:lvlText w:val="8"/>
      <w:numFmt w:val="bullet"/>
      <w:start w:val="1"/>
    </w:lvl>
  </w:abstractNum>
  <w:abstractNum w:abstractNumId="5">
    <w:nsid w:val="5072367"/>
    <w:multiLevelType w:val="hybridMultilevel"/>
    <w:lvl w:ilvl="0">
      <w:lvlJc w:val="left"/>
      <w:lvlText w:val="8"/>
      <w:numFmt w:val="bullet"/>
      <w:start w:val="1"/>
    </w:lvl>
  </w:abstractNum>
  <w:abstractNum w:abstractNumId="6">
    <w:nsid w:val="3804823E"/>
    <w:multiLevelType w:val="hybridMultilevel"/>
    <w:lvl w:ilvl="0">
      <w:lvlJc w:val="left"/>
      <w:lvlText w:val="8"/>
      <w:numFmt w:val="bullet"/>
      <w:start w:val="1"/>
    </w:lvl>
  </w:abstractNum>
  <w:abstractNum w:abstractNumId="7">
    <w:nsid w:val="77465F01"/>
    <w:multiLevelType w:val="hybridMultilevel"/>
    <w:lvl w:ilvl="0">
      <w:lvlJc w:val="left"/>
      <w:lvlText w:val="8"/>
      <w:numFmt w:val="bullet"/>
      <w:start w:val="1"/>
    </w:lvl>
  </w:abstractNum>
  <w:abstractNum w:abstractNumId="8">
    <w:nsid w:val="7724C67E"/>
    <w:multiLevelType w:val="hybridMultilevel"/>
    <w:lvl w:ilvl="0">
      <w:lvlJc w:val="left"/>
      <w:lvlText w:val="%1."/>
      <w:numFmt w:val="upperLetter"/>
      <w:start w:val="34"/>
    </w:lvl>
  </w:abstractNum>
  <w:abstractNum w:abstractNumId="9">
    <w:nsid w:val="5C482A97"/>
    <w:multiLevelType w:val="hybridMultilevel"/>
    <w:lvl w:ilvl="0">
      <w:lvlJc w:val="left"/>
      <w:lvlText w:val="&amp;"/>
      <w:numFmt w:val="bullet"/>
      <w:start w:val="1"/>
    </w:lvl>
  </w:abstractNum>
  <w:abstractNum w:abstractNumId="10">
    <w:nsid w:val="2463B9EA"/>
    <w:multiLevelType w:val="hybridMultilevel"/>
    <w:lvl w:ilvl="0">
      <w:lvlJc w:val="left"/>
      <w:lvlText w:val="8"/>
      <w:numFmt w:val="bullet"/>
      <w:start w:val="1"/>
    </w:lvl>
  </w:abstractNum>
  <w:abstractNum w:abstractNumId="11">
    <w:nsid w:val="5E884ADC"/>
    <w:multiLevelType w:val="hybridMultilevel"/>
    <w:lvl w:ilvl="0">
      <w:lvlJc w:val="left"/>
      <w:lvlText w:val="8"/>
      <w:numFmt w:val="bullet"/>
      <w:start w:val="1"/>
    </w:lvl>
  </w:abstractNum>
  <w:abstractNum w:abstractNumId="12">
    <w:nsid w:val="51EAD36B"/>
    <w:multiLevelType w:val="hybridMultilevel"/>
    <w:lvl w:ilvl="0">
      <w:lvlJc w:val="left"/>
      <w:lvlText w:val="8"/>
      <w:numFmt w:val="bullet"/>
      <w:start w:val="1"/>
    </w:lvl>
  </w:abstractNum>
  <w:abstractNum w:abstractNumId="13">
    <w:nsid w:val="2D517796"/>
    <w:multiLevelType w:val="hybridMultilevel"/>
    <w:lvl w:ilvl="0">
      <w:lvlJc w:val="left"/>
      <w:lvlText w:val="8"/>
      <w:numFmt w:val="bullet"/>
      <w:start w:val="1"/>
    </w:lvl>
  </w:abstractNum>
  <w:abstractNum w:abstractNumId="14">
    <w:nsid w:val="580BD78F"/>
    <w:multiLevelType w:val="hybridMultilevel"/>
    <w:lvl w:ilvl="0">
      <w:lvlJc w:val="left"/>
      <w:lvlText w:val="8"/>
      <w:numFmt w:val="bullet"/>
      <w:start w:val="1"/>
    </w:lvl>
  </w:abstractNum>
  <w:abstractNum w:abstractNumId="15">
    <w:nsid w:val="153EA438"/>
    <w:multiLevelType w:val="hybridMultilevel"/>
    <w:lvl w:ilvl="0">
      <w:lvlJc w:val="left"/>
      <w:lvlText w:val="8"/>
      <w:numFmt w:val="bullet"/>
      <w:start w:val="1"/>
    </w:lvl>
  </w:abstractNum>
  <w:abstractNum w:abstractNumId="16">
    <w:nsid w:val="3855585C"/>
    <w:multiLevelType w:val="hybridMultilevel"/>
    <w:lvl w:ilvl="0">
      <w:lvlJc w:val="left"/>
      <w:lvlText w:val="8"/>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8"/>
      <w:numFmt w:val="bullet"/>
      <w:start w:val="1"/>
    </w:lvl>
  </w:abstractNum>
  <w:abstractNum w:abstractNumId="20">
    <w:nsid w:val="1D4ED43B"/>
    <w:multiLevelType w:val="hybridMultilevel"/>
    <w:lvl w:ilvl="0">
      <w:lvlJc w:val="left"/>
      <w:lvlText w:val="8"/>
      <w:numFmt w:val="bullet"/>
      <w:start w:val="1"/>
    </w:lvl>
  </w:abstractNum>
  <w:abstractNum w:abstractNumId="21">
    <w:nsid w:val="725A06FB"/>
    <w:multiLevelType w:val="hybridMultilevel"/>
    <w:lvl w:ilvl="0">
      <w:lvlJc w:val="left"/>
      <w:lvlText w:val="8"/>
      <w:numFmt w:val="bullet"/>
      <w:start w:val="1"/>
    </w:lvl>
  </w:abstractNum>
  <w:abstractNum w:abstractNumId="22">
    <w:nsid w:val="2CD89A32"/>
    <w:multiLevelType w:val="hybridMultilevel"/>
    <w:lvl w:ilvl="0">
      <w:lvlJc w:val="left"/>
      <w:lvlText w:val="8"/>
      <w:numFmt w:val="bullet"/>
      <w:start w:val="1"/>
    </w:lvl>
  </w:abstractNum>
  <w:abstractNum w:abstractNumId="23">
    <w:nsid w:val="57E4CCAF"/>
    <w:multiLevelType w:val="hybridMultilevel"/>
    <w:lvl w:ilvl="0">
      <w:lvlJc w:val="left"/>
      <w:lvlText w:val="8"/>
      <w:numFmt w:val="bullet"/>
      <w:start w:val="1"/>
    </w:lvl>
  </w:abstractNum>
  <w:abstractNum w:abstractNumId="24">
    <w:nsid w:val="7A6D8D3C"/>
    <w:multiLevelType w:val="hybridMultilevel"/>
    <w:lvl w:ilvl="0">
      <w:lvlJc w:val="left"/>
      <w:lvlText w:val="8"/>
      <w:numFmt w:val="bullet"/>
      <w:start w:val="1"/>
    </w:lvl>
  </w:abstractNum>
  <w:abstractNum w:abstractNumId="25">
    <w:nsid w:val="4B588F54"/>
    <w:multiLevelType w:val="hybridMultilevel"/>
    <w:lvl w:ilvl="0">
      <w:lvlJc w:val="left"/>
      <w:lvlText w:val="8"/>
      <w:numFmt w:val="bullet"/>
      <w:start w:val="1"/>
    </w:lvl>
  </w:abstractNum>
  <w:abstractNum w:abstractNumId="26">
    <w:nsid w:val="542289EC"/>
    <w:multiLevelType w:val="hybridMultilevel"/>
    <w:lvl w:ilvl="0">
      <w:lvlJc w:val="left"/>
      <w:lvlText w:val="8"/>
      <w:numFmt w:val="bullet"/>
      <w:start w:val="1"/>
    </w:lvl>
  </w:abstractNum>
  <w:abstractNum w:abstractNumId="27">
    <w:nsid w:val="6DE91B18"/>
    <w:multiLevelType w:val="hybridMultilevel"/>
    <w:lvl w:ilvl="0">
      <w:lvlJc w:val="left"/>
      <w:lvlText w:val="8"/>
      <w:numFmt w:val="bullet"/>
      <w:start w:val="1"/>
    </w:lvl>
  </w:abstractNum>
  <w:abstractNum w:abstractNumId="28">
    <w:nsid w:val="38437FDB"/>
    <w:multiLevelType w:val="hybridMultilevel"/>
    <w:lvl w:ilvl="0">
      <w:lvlJc w:val="left"/>
      <w:lvlText w:val="8"/>
      <w:numFmt w:val="bullet"/>
      <w:start w:val="1"/>
    </w:lvl>
  </w:abstractNum>
  <w:abstractNum w:abstractNumId="29">
    <w:nsid w:val="7644A45C"/>
    <w:multiLevelType w:val="hybridMultilevel"/>
    <w:lvl w:ilvl="0">
      <w:lvlJc w:val="left"/>
      <w:lvlText w:val="8"/>
      <w:numFmt w:val="bullet"/>
      <w:start w:val="1"/>
    </w:lvl>
  </w:abstractNum>
  <w:abstractNum w:abstractNumId="30">
    <w:nsid w:val="32FFF902"/>
    <w:multiLevelType w:val="hybridMultilevel"/>
    <w:lvl w:ilvl="0">
      <w:lvlJc w:val="left"/>
      <w:lvlText w:val="8"/>
      <w:numFmt w:val="bullet"/>
      <w:start w:val="1"/>
    </w:lvl>
  </w:abstractNum>
  <w:abstractNum w:abstractNumId="31">
    <w:nsid w:val="684A481A"/>
    <w:multiLevelType w:val="hybridMultilevel"/>
    <w:lvl w:ilvl="0">
      <w:lvlJc w:val="left"/>
      <w:lvlText w:val="8"/>
      <w:numFmt w:val="bullet"/>
      <w:start w:val="1"/>
    </w:lvl>
  </w:abstractNum>
  <w:abstractNum w:abstractNumId="32">
    <w:nsid w:val="579478FE"/>
    <w:multiLevelType w:val="hybridMultilevel"/>
    <w:lvl w:ilvl="0">
      <w:lvlJc w:val="left"/>
      <w:lvlText w:val="8"/>
      <w:numFmt w:val="bullet"/>
      <w:start w:val="1"/>
    </w:lvl>
  </w:abstractNum>
  <w:abstractNum w:abstractNumId="33">
    <w:nsid w:val="749ABB43"/>
    <w:multiLevelType w:val="hybridMultilevel"/>
    <w:lvl w:ilvl="0">
      <w:lvlJc w:val="left"/>
      <w:lvlText w:val="8"/>
      <w:numFmt w:val="bullet"/>
      <w:start w:val="1"/>
    </w:lvl>
  </w:abstractNum>
  <w:abstractNum w:abstractNumId="34">
    <w:nsid w:val="3DC240FB"/>
    <w:multiLevelType w:val="hybridMultilevel"/>
    <w:lvl w:ilvl="0">
      <w:lvlJc w:val="left"/>
      <w:lvlText w:val="8"/>
      <w:numFmt w:val="bullet"/>
      <w:start w:val="1"/>
    </w:lvl>
  </w:abstractNum>
  <w:abstractNum w:abstractNumId="35">
    <w:nsid w:val="1BA026FA"/>
    <w:multiLevelType w:val="hybridMultilevel"/>
    <w:lvl w:ilvl="0">
      <w:lvlJc w:val="left"/>
      <w:lvlText w:val="8"/>
      <w:numFmt w:val="bullet"/>
      <w:start w:val="1"/>
    </w:lvl>
  </w:abstractNum>
  <w:abstractNum w:abstractNumId="36">
    <w:nsid w:val="79A1DEAA"/>
    <w:multiLevelType w:val="hybridMultilevel"/>
    <w:lvl w:ilvl="0">
      <w:lvlJc w:val="left"/>
      <w:lvlText w:val="8"/>
      <w:numFmt w:val="bullet"/>
      <w:start w:val="1"/>
    </w:lvl>
  </w:abstractNum>
  <w:abstractNum w:abstractNumId="37">
    <w:nsid w:val="75C6C33A"/>
    <w:multiLevelType w:val="hybridMultilevel"/>
    <w:lvl w:ilvl="0">
      <w:lvlJc w:val="left"/>
      <w:lvlText w:val="8"/>
      <w:numFmt w:val="bullet"/>
      <w:start w:val="1"/>
    </w:lvl>
  </w:abstractNum>
  <w:abstractNum w:abstractNumId="38">
    <w:nsid w:val="12E685FB"/>
    <w:multiLevelType w:val="hybridMultilevel"/>
    <w:lvl w:ilvl="0">
      <w:lvlJc w:val="left"/>
      <w:lvlText w:val="8"/>
      <w:numFmt w:val="bullet"/>
      <w:start w:val="1"/>
    </w:lvl>
  </w:abstractNum>
  <w:abstractNum w:abstractNumId="39">
    <w:nsid w:val="70C6A529"/>
    <w:multiLevelType w:val="hybridMultilevel"/>
    <w:lvl w:ilvl="0">
      <w:lvlJc w:val="left"/>
      <w:lvlText w:val="8"/>
      <w:numFmt w:val="bullet"/>
      <w:start w:val="1"/>
    </w:lvl>
  </w:abstractNum>
  <w:abstractNum w:abstractNumId="40">
    <w:nsid w:val="520EEDD1"/>
    <w:multiLevelType w:val="hybridMultilevel"/>
    <w:lvl w:ilvl="0">
      <w:lvlJc w:val="left"/>
      <w:lvlText w:val="8"/>
      <w:numFmt w:val="bullet"/>
      <w:start w:val="1"/>
    </w:lvl>
  </w:abstractNum>
  <w:abstractNum w:abstractNumId="41">
    <w:nsid w:val="374A3FE6"/>
    <w:multiLevelType w:val="hybridMultilevel"/>
    <w:lvl w:ilvl="0">
      <w:lvlJc w:val="left"/>
      <w:lvlText w:val="8"/>
      <w:numFmt w:val="bullet"/>
      <w:start w:val="1"/>
    </w:lvl>
  </w:abstractNum>
  <w:abstractNum w:abstractNumId="42">
    <w:nsid w:val="4F4EF005"/>
    <w:multiLevelType w:val="hybridMultilevel"/>
    <w:lvl w:ilvl="0">
      <w:lvlJc w:val="left"/>
      <w:lvlText w:val="8"/>
      <w:numFmt w:val="bullet"/>
      <w:start w:val="1"/>
    </w:lvl>
  </w:abstractNum>
  <w:abstractNum w:abstractNumId="43">
    <w:nsid w:val="23F9C13C"/>
    <w:multiLevelType w:val="hybridMultilevel"/>
    <w:lvl w:ilvl="0">
      <w:lvlJc w:val="left"/>
      <w:lvlText w:val="8"/>
      <w:numFmt w:val="bullet"/>
      <w:start w:val="1"/>
    </w:lvl>
  </w:abstractNum>
  <w:abstractNum w:abstractNumId="44">
    <w:nsid w:val="649BB77C"/>
    <w:multiLevelType w:val="hybridMultilevel"/>
    <w:lvl w:ilvl="0">
      <w:lvlJc w:val="left"/>
      <w:lvlText w:val="8"/>
      <w:numFmt w:val="bullet"/>
      <w:start w:val="1"/>
    </w:lvl>
  </w:abstractNum>
  <w:abstractNum w:abstractNumId="45">
    <w:nsid w:val="275AC794"/>
    <w:multiLevelType w:val="hybridMultilevel"/>
    <w:lvl w:ilvl="0">
      <w:lvlJc w:val="left"/>
      <w:lvlText w:val="8"/>
      <w:numFmt w:val="bullet"/>
      <w:start w:val="1"/>
    </w:lvl>
  </w:abstractNum>
  <w:abstractNum w:abstractNumId="46">
    <w:nsid w:val="39386575"/>
    <w:multiLevelType w:val="hybridMultilevel"/>
    <w:lvl w:ilvl="0">
      <w:lvlJc w:val="left"/>
      <w:lvlText w:val="8"/>
      <w:numFmt w:val="bullet"/>
      <w:start w:val="1"/>
    </w:lvl>
  </w:abstractNum>
  <w:abstractNum w:abstractNumId="47">
    <w:nsid w:val="1CF10FD8"/>
    <w:multiLevelType w:val="hybridMultilevel"/>
    <w:lvl w:ilvl="0">
      <w:lvlJc w:val="left"/>
      <w:lvlText w:val="8"/>
      <w:numFmt w:val="bullet"/>
      <w:start w:val="1"/>
    </w:lvl>
  </w:abstractNum>
  <w:abstractNum w:abstractNumId="48">
    <w:nsid w:val="180115BE"/>
    <w:multiLevelType w:val="hybridMultilevel"/>
    <w:lvl w:ilvl="0">
      <w:lvlJc w:val="left"/>
      <w:lvlText w:val="8"/>
      <w:numFmt w:val="bullet"/>
      <w:start w:val="1"/>
    </w:lvl>
  </w:abstractNum>
  <w:abstractNum w:abstractNumId="49">
    <w:nsid w:val="235BA861"/>
    <w:multiLevelType w:val="hybridMultilevel"/>
    <w:lvl w:ilvl="0">
      <w:lvlJc w:val="left"/>
      <w:lvlText w:val="8"/>
      <w:numFmt w:val="bullet"/>
      <w:start w:val="1"/>
    </w:lvl>
  </w:abstractNum>
  <w:abstractNum w:abstractNumId="50">
    <w:nsid w:val="47398C89"/>
    <w:multiLevelType w:val="hybridMultilevel"/>
    <w:lvl w:ilvl="0">
      <w:lvlJc w:val="left"/>
      <w:lvlText w:val="8"/>
      <w:numFmt w:val="bullet"/>
      <w:start w:val="1"/>
    </w:lvl>
  </w:abstractNum>
  <w:abstractNum w:abstractNumId="51">
    <w:nsid w:val="354FE9F9"/>
    <w:multiLevelType w:val="hybridMultilevel"/>
    <w:lvl w:ilvl="0">
      <w:lvlJc w:val="left"/>
      <w:lvlText w:val="(%1)"/>
      <w:numFmt w:val="lowerRoman"/>
      <w:start w:val="1"/>
    </w:lvl>
  </w:abstractNum>
  <w:abstractNum w:abstractNumId="52">
    <w:nsid w:val="15B5AF5C"/>
    <w:multiLevelType w:val="hybridMultilevel"/>
    <w:lvl w:ilvl="0">
      <w:lvlJc w:val="left"/>
      <w:lvlText w:val="8"/>
      <w:numFmt w:val="bullet"/>
      <w:start w:val="1"/>
    </w:lvl>
  </w:abstractNum>
  <w:abstractNum w:abstractNumId="53">
    <w:nsid w:val="741226BB"/>
    <w:multiLevelType w:val="hybridMultilevel"/>
    <w:lvl w:ilvl="0">
      <w:lvlJc w:val="left"/>
      <w:lvlText w:val="(%1)"/>
      <w:numFmt w:val="lowerRoman"/>
      <w:start w:val="1"/>
    </w:lvl>
  </w:abstractNum>
  <w:abstractNum w:abstractNumId="54">
    <w:nsid w:val="D34B6A8"/>
    <w:multiLevelType w:val="hybridMultilevel"/>
    <w:lvl w:ilvl="0">
      <w:lvlJc w:val="left"/>
      <w:lvlText w:val="8"/>
      <w:numFmt w:val="bullet"/>
      <w:start w:val="1"/>
    </w:lvl>
  </w:abstractNum>
  <w:abstractNum w:abstractNumId="55">
    <w:nsid w:val="10233C99"/>
    <w:multiLevelType w:val="hybridMultilevel"/>
    <w:lvl w:ilvl="0">
      <w:lvlJc w:val="left"/>
      <w:lvlText w:val="8"/>
      <w:numFmt w:val="bullet"/>
      <w:start w:val="1"/>
    </w:lvl>
  </w:abstractNum>
  <w:abstractNum w:abstractNumId="56">
    <w:nsid w:val="3F6AB60F"/>
    <w:multiLevelType w:val="hybridMultilevel"/>
    <w:lvl w:ilvl="0">
      <w:lvlJc w:val="left"/>
      <w:lvlText w:val="%1"/>
      <w:numFmt w:val="decimal"/>
      <w:start w:val="101"/>
    </w:lvl>
  </w:abstractNum>
  <w:abstractNum w:abstractNumId="57">
    <w:nsid w:val="61574095"/>
    <w:multiLevelType w:val="hybridMultilevel"/>
    <w:lvl w:ilvl="0">
      <w:lvlJc w:val="left"/>
      <w:lvlText w:val="*"/>
      <w:numFmt w:val="bullet"/>
      <w:start w:val="1"/>
    </w:lvl>
    <w:lvl w:ilvl="1">
      <w:lvlJc w:val="left"/>
      <w:lvlText w:val="%2"/>
      <w:numFmt w:val="decimal"/>
      <w:start w:val="104"/>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lowerRoman"/>
      <w:start w:val="3"/>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8"/>
      <w:numFmt w:val="bullet"/>
      <w:start w:val="1"/>
    </w:lvl>
  </w:abstractNum>
  <w:abstractNum w:abstractNumId="63">
    <w:nsid w:val="2F305DEF"/>
    <w:multiLevelType w:val="hybridMultilevel"/>
    <w:lvl w:ilvl="0">
      <w:lvlJc w:val="left"/>
      <w:lvlText w:val="8"/>
      <w:numFmt w:val="bullet"/>
      <w:start w:val="1"/>
    </w:lvl>
  </w:abstractNum>
  <w:abstractNum w:abstractNumId="64">
    <w:nsid w:val="25A70BF7"/>
    <w:multiLevelType w:val="hybridMultilevel"/>
    <w:lvl w:ilvl="0">
      <w:lvlJc w:val="left"/>
      <w:lvlText w:val="8"/>
      <w:numFmt w:val="bullet"/>
      <w:start w:val="1"/>
    </w:lvl>
  </w:abstractNum>
  <w:abstractNum w:abstractNumId="65">
    <w:nsid w:val="1DBABF00"/>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2025-04-08T05:47:37Z</dcterms:created>
  <dcterms:modified xsi:type="dcterms:W3CDTF">2025-04-08T05:47:37Z</dcterms:modified>
</cp:coreProperties>
</file>