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22"/>
          <w:szCs w:val="22"/>
          <w:b w:val="1"/>
          <w:bCs w:val="1"/>
          <w:color w:val="0000FF"/>
        </w:rPr>
        <w:t>American Depositary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589492107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JERSEY</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16,290,130.00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16,290,130.00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16,290,130.00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Janus Henderson Biotech Innovation Master Fund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139"/>
        <w:spacing w:after="0"/>
        <w:rPr>
          <w:sz w:val="20"/>
          <w:szCs w:val="20"/>
          <w:color w:val="auto"/>
        </w:rPr>
      </w:pPr>
      <w:r>
        <w:rPr>
          <w:rFonts w:ascii="Times New Roman" w:cs="Times New Roman" w:eastAsia="Times New Roman" w:hAnsi="Times New Roman"/>
          <w:sz w:val="21"/>
          <w:szCs w:val="21"/>
          <w:color w:val="auto"/>
        </w:rPr>
        <w:t>MASSACHUSETTS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13,759,885.00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13,759,885.00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13,759,885.00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8.7 %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IV</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MEREO BIOPHARMA GROUP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ONE CAVENDISH PLACE, FOURTH FLOOR LONDON, UNITED KINGDOM W1G0QF</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Bishopsgate EC2M 3AE, United Kingdom</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Y9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American Depositary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589492107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JHIUS may be deemed to be the beneficial owner of 16,290,130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4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8" w:lineRule="exact"/>
        <w:rPr>
          <w:sz w:val="20"/>
          <w:szCs w:val="20"/>
          <w:color w:val="auto"/>
        </w:rPr>
      </w:pPr>
    </w:p>
    <w:p>
      <w:pPr>
        <w:ind w:left="920" w:right="6240" w:firstLine="6"/>
        <w:spacing w:after="0" w:line="486" w:lineRule="auto"/>
        <w:tabs>
          <w:tab w:leader="none" w:pos="123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16290130</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16290130</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87"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JHIUS, JHIUKL and JHIAIFML are indirect subsidiaries of Janus Henderson and are registered investment advisers furnishing investment advice to Managed Portfolios.</w:t>
      </w: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87" w:orient="portrait"/>
          <w:cols w:equalWidth="0" w:num="2">
            <w:col w:w="620" w:space="300"/>
            <w:col w:w="10220"/>
          </w:cols>
          <w:pgMar w:left="360" w:top="112" w:right="399" w:bottom="0" w:gutter="0" w:footer="0" w:header="0"/>
          <w:type w:val="continuous"/>
        </w:sect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43" w:lineRule="exact"/>
        <w:rPr>
          <w:sz w:val="20"/>
          <w:szCs w:val="20"/>
          <w:color w:val="auto"/>
        </w:rPr>
      </w:pPr>
    </w:p>
    <w:p>
      <w:pPr>
        <w:jc w:val="center"/>
        <w:ind w:right="8920"/>
        <w:spacing w:after="0"/>
        <w:rPr>
          <w:sz w:val="20"/>
          <w:szCs w:val="20"/>
          <w:color w:val="auto"/>
        </w:rPr>
      </w:pPr>
      <w:r>
        <w:rPr>
          <w:rFonts w:ascii="Times New Roman" w:cs="Times New Roman" w:eastAsia="Times New Roman" w:hAnsi="Times New Roman"/>
          <w:sz w:val="22"/>
          <w:szCs w:val="22"/>
          <w:color w:val="auto"/>
        </w:rPr>
        <w:t>N/A</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152"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Kristin Mariani</w:t>
      </w:r>
    </w:p>
    <w:p>
      <w:pPr>
        <w:sectPr>
          <w:pgSz w:w="11900" w:h="16887" w:orient="portrait"/>
          <w:cols w:equalWidth="0" w:num="1">
            <w:col w:w="11140"/>
          </w:cols>
          <w:pgMar w:left="360" w:top="112" w:right="399" w:bottom="0" w:gutter="0" w:footer="0" w:header="0"/>
          <w:type w:val="continuous"/>
        </w:sectPr>
      </w:pPr>
    </w:p>
    <w:bookmarkStart w:id="4" w:name="page5"/>
    <w:bookmarkEnd w:id="4"/>
    <w:p>
      <w:pPr>
        <w:ind w:left="4980"/>
        <w:spacing w:after="0"/>
        <w:rPr>
          <w:sz w:val="20"/>
          <w:szCs w:val="20"/>
          <w:color w:val="auto"/>
        </w:rPr>
      </w:pPr>
      <w:r>
        <w:rPr>
          <w:rFonts w:ascii="Times New Roman" w:cs="Times New Roman" w:eastAsia="Times New Roman" w:hAnsi="Times New Roman"/>
          <w:sz w:val="22"/>
          <w:szCs w:val="22"/>
          <w:color w:val="auto"/>
        </w:rPr>
        <w:t>Name/Title: Head of North America Compliance, CCO</w:t>
      </w:r>
    </w:p>
    <w:p>
      <w:pPr>
        <w:spacing w:after="0" w:line="44"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Janus Henderson Biotech Innovation Master Fund Ltd</w:t>
      </w:r>
    </w:p>
    <w:p>
      <w:pPr>
        <w:spacing w:after="0" w:line="152"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Kristin Mariani</w:t>
      </w:r>
    </w:p>
    <w:p>
      <w:pPr>
        <w:spacing w:after="0" w:line="4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Name/Title: Head of North America Compliance, CCO</w:t>
      </w:r>
    </w:p>
    <w:p>
      <w:pPr>
        <w:spacing w:after="0" w:line="44"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1"/>
          <w:szCs w:val="21"/>
          <w:color w:val="auto"/>
        </w:rPr>
        <w:t>POWER OF ATTORNEY The undersigned, Janus Henderson Group plc ("the Company"), does hereby make, constitute and appoint each of Kristin Mariani and Caroline Barotti acting severally, as its true and lawful attorneys 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 This power of attorney shall be valid from the date hereof and shall remain in full force and effect until either revoked in writing by the Company, or, in respect of any attorney-in-fact named herein, until such person ceases to be an employee of the Company or one of its affiliates. IN WITNESS WHEREOF, the undersigned has caused this power of attorney to be executed as of this 9th day of December, 2022. Janus Henderson Group plc By: /s/ Michelle Rosenberg Name: Michelle Rosenberg Title: General Counsel and Company Secretary</w:t>
      </w:r>
    </w:p>
    <w:sectPr>
      <w:pgSz w:w="11900" w:h="16838" w:orient="portrait"/>
      <w:cols w:equalWidth="0" w:num="1">
        <w:col w:w="11120"/>
      </w:cols>
      <w:pgMar w:left="360" w:top="153"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2025-11-14T11:07:09Z</dcterms:created>
  <dcterms:modified xsi:type="dcterms:W3CDTF">2025-11-14T11:07:09Z</dcterms:modified>
</cp:coreProperties>
</file>