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91" w:lineRule="exact"/>
        <w:rPr>
          <w:sz w:val="24"/>
          <w:szCs w:val="24"/>
          <w:color w:val="auto"/>
        </w:rPr>
      </w:pPr>
    </w:p>
    <w:p>
      <w:pPr>
        <w:jc w:val="center"/>
        <w:ind w:right="-199"/>
        <w:spacing w:after="0"/>
        <w:rPr>
          <w:sz w:val="20"/>
          <w:szCs w:val="20"/>
          <w:color w:val="auto"/>
        </w:rPr>
      </w:pPr>
      <w:r>
        <w:rPr>
          <w:rFonts w:ascii="Arial" w:cs="Arial" w:eastAsia="Arial" w:hAnsi="Arial"/>
          <w:sz w:val="32"/>
          <w:szCs w:val="32"/>
          <w:color w:val="auto"/>
        </w:rPr>
        <w:t>SCHEDULE 13G</w:t>
      </w:r>
      <w:r>
        <w:rPr>
          <w:rFonts w:ascii="Arial" w:cs="Arial" w:eastAsia="Arial" w:hAnsi="Arial"/>
          <w:sz w:val="47"/>
          <w:szCs w:val="47"/>
          <w:u w:val="single" w:color="auto"/>
          <w:color w:val="auto"/>
          <w:vertAlign w:val="superscript"/>
        </w:rPr>
        <w:t>*</w:t>
      </w:r>
      <w:r>
        <w:rPr>
          <w:rFonts w:ascii="Arial" w:cs="Arial" w:eastAsia="Arial" w:hAnsi="Arial"/>
          <w:sz w:val="47"/>
          <w:szCs w:val="47"/>
          <w:color w:val="auto"/>
          <w:vertAlign w:val="superscript"/>
        </w:rPr>
        <w:t>/</w:t>
      </w:r>
    </w:p>
    <w:p>
      <w:pPr>
        <w:jc w:val="center"/>
        <w:ind w:right="-19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(Amendment No. </w:t>
      </w:r>
      <w:r>
        <w:rPr>
          <w:rFonts w:ascii="Arial" w:cs="Arial" w:eastAsia="Arial" w:hAnsi="Arial"/>
          <w:sz w:val="18"/>
          <w:szCs w:val="18"/>
          <w:b w:val="1"/>
          <w:bCs w:val="1"/>
          <w:u w:val="single" w:color="auto"/>
          <w:color w:val="auto"/>
        </w:rPr>
        <w:t>1</w:t>
      </w:r>
      <w:r>
        <w:rPr>
          <w:rFonts w:ascii="Arial" w:cs="Arial" w:eastAsia="Arial" w:hAnsi="Arial"/>
          <w:sz w:val="18"/>
          <w:szCs w:val="18"/>
          <w:b w:val="1"/>
          <w:bCs w:val="1"/>
          <w:color w:val="auto"/>
        </w:rPr>
        <w:t>)*</w:t>
      </w:r>
    </w:p>
    <w:p>
      <w:pPr>
        <w:spacing w:after="0" w:line="208" w:lineRule="exact"/>
        <w:rPr>
          <w:sz w:val="24"/>
          <w:szCs w:val="24"/>
          <w:color w:val="auto"/>
        </w:rPr>
      </w:pPr>
    </w:p>
    <w:p>
      <w:pPr>
        <w:jc w:val="center"/>
        <w:ind w:right="-199"/>
        <w:spacing w:after="0"/>
        <w:rPr>
          <w:sz w:val="20"/>
          <w:szCs w:val="20"/>
          <w:color w:val="auto"/>
        </w:rPr>
      </w:pPr>
      <w:r>
        <w:rPr>
          <w:rFonts w:ascii="Arial" w:cs="Arial" w:eastAsia="Arial" w:hAnsi="Arial"/>
          <w:sz w:val="25"/>
          <w:szCs w:val="25"/>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Ordinary shares, in the form of American Depositary Shares**</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the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600" w:firstLine="8"/>
        <w:spacing w:after="0" w:line="224" w:lineRule="exact"/>
        <w:tabs>
          <w:tab w:leader="none" w:pos="43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 Each American Depository Share (“ADS”) represents 5 Ordinary shares, nominal value £0.003 per share</w:t>
      </w:r>
    </w:p>
    <w:p>
      <w:pPr>
        <w:spacing w:after="0" w:line="225"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729" w:right="519" w:bottom="1440" w:gutter="0" w:footer="0" w:header="0"/>
        </w:sectPr>
      </w:pPr>
    </w:p>
    <w:bookmarkStart w:id="1" w:name="page2"/>
    <w:bookmarkEnd w:id="1"/>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272"/>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213360</wp:posOffset>
            </wp:positionV>
            <wp:extent cx="7132320" cy="5623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623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2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72" w:space="720"/>
            <w:col w:w="2640" w:space="720"/>
            <w:col w:w="2960"/>
          </w:cols>
          <w:pgMar w:left="328" w:top="958" w:right="359" w:bottom="1440" w:gutter="0" w:footer="0" w:header="0"/>
        </w:sectPr>
      </w:pPr>
    </w:p>
    <w:p>
      <w:pPr>
        <w:spacing w:after="0" w:line="345" w:lineRule="exact"/>
        <w:rPr>
          <w:sz w:val="20"/>
          <w:szCs w:val="20"/>
          <w:color w:val="auto"/>
        </w:rPr>
      </w:pPr>
    </w:p>
    <w:p>
      <w:pPr>
        <w:ind w:left="692" w:hanging="469"/>
        <w:spacing w:after="0"/>
        <w:tabs>
          <w:tab w:leader="none" w:pos="692"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692"/>
        <w:spacing w:after="0"/>
        <w:rPr>
          <w:rFonts w:ascii="Arial" w:cs="Arial" w:eastAsia="Arial" w:hAnsi="Arial"/>
          <w:sz w:val="18"/>
          <w:szCs w:val="18"/>
          <w:color w:val="auto"/>
        </w:rPr>
      </w:pPr>
      <w:r>
        <w:rPr>
          <w:rFonts w:ascii="Arial" w:cs="Arial" w:eastAsia="Arial" w:hAnsi="Arial"/>
          <w:sz w:val="18"/>
          <w:szCs w:val="18"/>
          <w:b w:val="1"/>
          <w:bCs w:val="1"/>
          <w:color w:val="auto"/>
        </w:rPr>
        <w:t>Citadel Advisors LLC</w:t>
      </w:r>
    </w:p>
    <w:p>
      <w:pPr>
        <w:spacing w:after="0" w:line="242" w:lineRule="exact"/>
        <w:rPr>
          <w:rFonts w:ascii="Arial" w:cs="Arial" w:eastAsia="Arial" w:hAnsi="Arial"/>
          <w:sz w:val="18"/>
          <w:szCs w:val="18"/>
          <w:color w:val="auto"/>
        </w:rPr>
      </w:pPr>
    </w:p>
    <w:p>
      <w:pPr>
        <w:ind w:left="692" w:hanging="469"/>
        <w:spacing w:after="0"/>
        <w:tabs>
          <w:tab w:leader="none" w:pos="69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172"/>
        <w:spacing w:after="0" w:line="207" w:lineRule="exact"/>
        <w:tabs>
          <w:tab w:leader="none" w:pos="7652"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7172"/>
        <w:spacing w:after="0" w:line="207" w:lineRule="exact"/>
        <w:tabs>
          <w:tab w:leader="none" w:pos="7672"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692" w:hanging="469"/>
        <w:spacing w:after="0"/>
        <w:tabs>
          <w:tab w:leader="none" w:pos="69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692" w:hanging="469"/>
        <w:spacing w:after="0"/>
        <w:tabs>
          <w:tab w:leader="none" w:pos="69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352"/>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ectPr>
          <w:pgSz w:w="11900" w:h="16838" w:orient="portrait"/>
          <w:cols w:equalWidth="0" w:num="1">
            <w:col w:w="11212"/>
          </w:cols>
          <w:pgMar w:left="328" w:top="958" w:right="35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left="516"/>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516"/>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516"/>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516"/>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516"/>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516"/>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516"/>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516"/>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64" w:hanging="464"/>
        <w:spacing w:after="0"/>
        <w:tabs>
          <w:tab w:leader="none" w:pos="4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1"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30,907,431 shares</w:t>
      </w:r>
    </w:p>
    <w:p>
      <w:pPr>
        <w:spacing w:after="0" w:line="242" w:lineRule="exact"/>
        <w:rPr>
          <w:rFonts w:ascii="Arial" w:cs="Arial" w:eastAsia="Arial" w:hAnsi="Arial"/>
          <w:sz w:val="18"/>
          <w:szCs w:val="18"/>
          <w:color w:val="auto"/>
        </w:rPr>
      </w:pPr>
    </w:p>
    <w:p>
      <w:pPr>
        <w:ind w:left="464" w:hanging="464"/>
        <w:spacing w:after="0"/>
        <w:tabs>
          <w:tab w:leader="none" w:pos="464"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34" w:lineRule="exact"/>
        <w:rPr>
          <w:rFonts w:ascii="Arial" w:cs="Arial" w:eastAsia="Arial" w:hAnsi="Arial"/>
          <w:sz w:val="17"/>
          <w:szCs w:val="17"/>
          <w:color w:val="auto"/>
        </w:rPr>
      </w:pPr>
    </w:p>
    <w:p>
      <w:pPr>
        <w:ind w:left="1124"/>
        <w:spacing w:after="0"/>
        <w:rPr>
          <w:rFonts w:ascii="Arial" w:cs="Arial" w:eastAsia="Arial" w:hAnsi="Arial"/>
          <w:sz w:val="17"/>
          <w:szCs w:val="17"/>
          <w:color w:val="auto"/>
        </w:rPr>
      </w:pPr>
      <w:r>
        <w:rPr>
          <w:rFonts w:ascii="Arial" w:cs="Arial" w:eastAsia="Arial" w:hAnsi="Arial"/>
          <w:sz w:val="18"/>
          <w:szCs w:val="18"/>
          <w:b w:val="1"/>
          <w:bCs w:val="1"/>
          <w:color w:val="auto"/>
        </w:rPr>
        <w:t>See Row 6 above</w:t>
      </w:r>
    </w:p>
    <w:p>
      <w:pPr>
        <w:spacing w:after="0" w:line="200" w:lineRule="exact"/>
        <w:rPr>
          <w:sz w:val="20"/>
          <w:szCs w:val="20"/>
          <w:color w:val="auto"/>
        </w:rPr>
      </w:pPr>
    </w:p>
    <w:p>
      <w:pPr>
        <w:sectPr>
          <w:pgSz w:w="11900" w:h="16838" w:orient="portrait"/>
          <w:cols w:equalWidth="0" w:num="2">
            <w:col w:w="2088" w:space="720"/>
            <w:col w:w="8404"/>
          </w:cols>
          <w:pgMar w:left="328" w:top="958" w:right="359" w:bottom="1440" w:gutter="0" w:footer="0" w:header="0"/>
          <w:type w:val="continuous"/>
        </w:sectPr>
      </w:pPr>
    </w:p>
    <w:p>
      <w:pPr>
        <w:spacing w:after="0" w:line="24" w:lineRule="exact"/>
        <w:rPr>
          <w:sz w:val="20"/>
          <w:szCs w:val="20"/>
          <w:color w:val="auto"/>
        </w:rPr>
      </w:pPr>
    </w:p>
    <w:p>
      <w:pPr>
        <w:ind w:left="1032" w:hanging="641"/>
        <w:spacing w:after="0"/>
        <w:tabs>
          <w:tab w:leader="none" w:pos="1032"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692"/>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352"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8620" w:type="dxa"/>
            <w:vAlign w:val="bottom"/>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1692" w:right="5120" w:hanging="1342"/>
        <w:spacing w:after="0" w:line="407" w:lineRule="auto"/>
        <w:tabs>
          <w:tab w:leader="none" w:pos="104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8.9%</w:t>
      </w:r>
      <w:r>
        <w:rPr>
          <w:rFonts w:ascii="Arial" w:cs="Arial" w:eastAsia="Arial" w:hAnsi="Arial"/>
          <w:sz w:val="29"/>
          <w:szCs w:val="29"/>
          <w:u w:val="single" w:color="auto"/>
          <w:color w:val="auto"/>
          <w:vertAlign w:val="superscript"/>
        </w:rPr>
        <w:t>1</w:t>
      </w:r>
    </w:p>
    <w:p>
      <w:pPr>
        <w:spacing w:after="0" w:line="1" w:lineRule="exact"/>
        <w:rPr>
          <w:rFonts w:ascii="Arial" w:cs="Arial" w:eastAsia="Arial" w:hAnsi="Arial"/>
          <w:sz w:val="18"/>
          <w:szCs w:val="18"/>
          <w:color w:val="auto"/>
        </w:rPr>
      </w:pPr>
    </w:p>
    <w:p>
      <w:pPr>
        <w:ind w:left="1032" w:hanging="685"/>
        <w:spacing w:after="0"/>
        <w:tabs>
          <w:tab w:leader="none" w:pos="10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692"/>
        <w:spacing w:after="0"/>
        <w:rPr>
          <w:sz w:val="20"/>
          <w:szCs w:val="20"/>
          <w:color w:val="auto"/>
        </w:rPr>
      </w:pPr>
      <w:r>
        <w:rPr>
          <w:rFonts w:ascii="Arial" w:cs="Arial" w:eastAsia="Arial" w:hAnsi="Arial"/>
          <w:sz w:val="18"/>
          <w:szCs w:val="18"/>
          <w:b w:val="1"/>
          <w:bCs w:val="1"/>
          <w:color w:val="auto"/>
        </w:rPr>
        <w:t>IA;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186055</wp:posOffset>
            </wp:positionV>
            <wp:extent cx="17830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39" w:lineRule="exact"/>
        <w:rPr>
          <w:sz w:val="20"/>
          <w:szCs w:val="20"/>
          <w:color w:val="auto"/>
        </w:rPr>
      </w:pPr>
    </w:p>
    <w:p>
      <w:pPr>
        <w:ind w:left="332" w:hanging="332"/>
        <w:spacing w:after="0" w:line="218" w:lineRule="auto"/>
        <w:tabs>
          <w:tab w:leader="none" w:pos="332" w:val="left"/>
        </w:tabs>
        <w:numPr>
          <w:ilvl w:val="0"/>
          <w:numId w:val="7"/>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The percentages reported in this Schedule 13G/A are based upon approximately 349,067,071 ordinary shares outstanding comprised of (i) 338,713,962 shares of common stock outstanding as of June 30, 2020 (according to the issuer’s prospectus as filed with the Securities and Exchange Commission on October 23, 2020) , and (ii) approximately 10,353,109 ordinary shares issuable upon the exercise of warrants issued to an affiliate of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283210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12"/>
          </w:cols>
          <w:pgMar w:left="328" w:top="958" w:right="35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20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598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13G/A</w:t>
            </w:r>
          </w:p>
        </w:tc>
        <w:tc>
          <w:tcPr>
            <w:tcW w:w="2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3 of 14 Pages</w:t>
            </w:r>
          </w:p>
        </w:tc>
      </w:tr>
      <w:tr>
        <w:trPr>
          <w:trHeight w:val="54"/>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5980" w:type="dxa"/>
            <w:vAlign w:val="bottom"/>
            <w:tcBorders>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137160</wp:posOffset>
            </wp:positionV>
            <wp:extent cx="7132320" cy="5597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hanging="469"/>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color w:val="auto"/>
        </w:rPr>
        <w:t>Citadel Advisors Holdings LP</w:t>
      </w:r>
    </w:p>
    <w:p>
      <w:pPr>
        <w:spacing w:after="0" w:line="242" w:lineRule="exact"/>
        <w:rPr>
          <w:rFonts w:ascii="Arial" w:cs="Arial" w:eastAsia="Arial" w:hAnsi="Arial"/>
          <w:sz w:val="18"/>
          <w:szCs w:val="18"/>
          <w:color w:val="auto"/>
        </w:rPr>
      </w:pPr>
    </w:p>
    <w:p>
      <w:pPr>
        <w:ind w:left="520" w:hanging="469"/>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000"/>
        <w:spacing w:after="0" w:line="207" w:lineRule="exact"/>
        <w:tabs>
          <w:tab w:leader="none" w:pos="748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7000"/>
        <w:spacing w:after="0" w:line="207" w:lineRule="exact"/>
        <w:tabs>
          <w:tab w:leader="none" w:pos="75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520" w:hanging="469"/>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20" w:hanging="469"/>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ectPr>
          <w:pgSz w:w="11900" w:h="16838" w:orient="portrait"/>
          <w:cols w:equalWidth="0" w:num="1">
            <w:col w:w="10780"/>
          </w:cols>
          <w:pgMar w:left="500" w:top="902" w:right="6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64" w:hanging="464"/>
        <w:spacing w:after="0"/>
        <w:tabs>
          <w:tab w:leader="none" w:pos="4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1"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30,907,431 shares</w:t>
      </w:r>
    </w:p>
    <w:p>
      <w:pPr>
        <w:spacing w:after="0" w:line="242" w:lineRule="exact"/>
        <w:rPr>
          <w:rFonts w:ascii="Arial" w:cs="Arial" w:eastAsia="Arial" w:hAnsi="Arial"/>
          <w:sz w:val="18"/>
          <w:szCs w:val="18"/>
          <w:color w:val="auto"/>
        </w:rPr>
      </w:pPr>
    </w:p>
    <w:p>
      <w:pPr>
        <w:ind w:left="464" w:hanging="464"/>
        <w:spacing w:after="0"/>
        <w:tabs>
          <w:tab w:leader="none" w:pos="464"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34" w:lineRule="exact"/>
        <w:rPr>
          <w:rFonts w:ascii="Arial" w:cs="Arial" w:eastAsia="Arial" w:hAnsi="Arial"/>
          <w:sz w:val="17"/>
          <w:szCs w:val="17"/>
          <w:color w:val="auto"/>
        </w:rPr>
      </w:pPr>
    </w:p>
    <w:p>
      <w:pPr>
        <w:ind w:left="1124"/>
        <w:spacing w:after="0"/>
        <w:rPr>
          <w:rFonts w:ascii="Arial" w:cs="Arial" w:eastAsia="Arial" w:hAnsi="Arial"/>
          <w:sz w:val="17"/>
          <w:szCs w:val="17"/>
          <w:color w:val="auto"/>
        </w:rPr>
      </w:pPr>
      <w:r>
        <w:rPr>
          <w:rFonts w:ascii="Arial" w:cs="Arial" w:eastAsia="Arial" w:hAnsi="Arial"/>
          <w:sz w:val="18"/>
          <w:szCs w:val="18"/>
          <w:b w:val="1"/>
          <w:bCs w:val="1"/>
          <w:color w:val="auto"/>
        </w:rPr>
        <w:t>See Row 6 above</w:t>
      </w:r>
    </w:p>
    <w:p>
      <w:pPr>
        <w:spacing w:after="0" w:line="200" w:lineRule="exact"/>
        <w:rPr>
          <w:sz w:val="20"/>
          <w:szCs w:val="20"/>
          <w:color w:val="auto"/>
        </w:rPr>
      </w:pPr>
    </w:p>
    <w:p>
      <w:pPr>
        <w:sectPr>
          <w:pgSz w:w="11900" w:h="16838" w:orient="portrait"/>
          <w:cols w:equalWidth="0" w:num="2">
            <w:col w:w="1916" w:space="720"/>
            <w:col w:w="8144"/>
          </w:cols>
          <w:pgMar w:left="500" w:top="902" w:right="619" w:bottom="1440" w:gutter="0" w:footer="0" w:header="0"/>
          <w:type w:val="continuous"/>
        </w:sectPr>
      </w:pPr>
    </w:p>
    <w:p>
      <w:pPr>
        <w:spacing w:after="0" w:line="24" w:lineRule="exact"/>
        <w:rPr>
          <w:sz w:val="20"/>
          <w:szCs w:val="20"/>
          <w:color w:val="auto"/>
        </w:rPr>
      </w:pPr>
    </w:p>
    <w:p>
      <w:pPr>
        <w:ind w:left="860" w:hanging="641"/>
        <w:spacing w:after="0"/>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8620" w:type="dxa"/>
            <w:vAlign w:val="bottom"/>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860" w:hanging="682"/>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b w:val="1"/>
          <w:bCs w:val="1"/>
          <w:color w:val="auto"/>
        </w:rPr>
        <w:t>8.9%</w:t>
      </w:r>
    </w:p>
    <w:p>
      <w:pPr>
        <w:spacing w:after="0" w:line="242" w:lineRule="exact"/>
        <w:rPr>
          <w:rFonts w:ascii="Arial" w:cs="Arial" w:eastAsia="Arial" w:hAnsi="Arial"/>
          <w:sz w:val="18"/>
          <w:szCs w:val="18"/>
          <w:color w:val="auto"/>
        </w:rPr>
      </w:pPr>
    </w:p>
    <w:p>
      <w:pPr>
        <w:ind w:left="860" w:hanging="685"/>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288925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500" w:top="902" w:right="619" w:bottom="1440" w:gutter="0" w:footer="0" w:header="0"/>
          <w:type w:val="continuous"/>
        </w:sectPr>
      </w:pPr>
    </w:p>
    <w:bookmarkStart w:id="3" w:name="page4"/>
    <w:bookmarkEnd w:id="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49"/>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213360</wp:posOffset>
            </wp:positionV>
            <wp:extent cx="7132320" cy="5597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597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949" w:space="720"/>
            <w:col w:w="2640" w:space="720"/>
            <w:col w:w="2700"/>
          </w:cols>
          <w:pgMar w:left="551" w:top="958" w:right="619" w:bottom="1440" w:gutter="0" w:footer="0" w:header="0"/>
        </w:sectPr>
      </w:pPr>
    </w:p>
    <w:p>
      <w:pPr>
        <w:spacing w:after="0" w:line="345" w:lineRule="exact"/>
        <w:rPr>
          <w:sz w:val="20"/>
          <w:szCs w:val="20"/>
          <w:color w:val="auto"/>
        </w:rPr>
      </w:pPr>
    </w:p>
    <w:p>
      <w:pPr>
        <w:ind w:left="469" w:hanging="469"/>
        <w:spacing w:after="0"/>
        <w:tabs>
          <w:tab w:leader="none" w:pos="4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469"/>
        <w:spacing w:after="0"/>
        <w:rPr>
          <w:rFonts w:ascii="Arial" w:cs="Arial" w:eastAsia="Arial" w:hAnsi="Arial"/>
          <w:sz w:val="18"/>
          <w:szCs w:val="18"/>
          <w:color w:val="auto"/>
        </w:rPr>
      </w:pPr>
      <w:r>
        <w:rPr>
          <w:rFonts w:ascii="Arial" w:cs="Arial" w:eastAsia="Arial" w:hAnsi="Arial"/>
          <w:sz w:val="18"/>
          <w:szCs w:val="18"/>
          <w:b w:val="1"/>
          <w:bCs w:val="1"/>
          <w:color w:val="auto"/>
        </w:rPr>
        <w:t>Citadel GP LLC</w:t>
      </w:r>
    </w:p>
    <w:p>
      <w:pPr>
        <w:spacing w:after="0" w:line="242" w:lineRule="exact"/>
        <w:rPr>
          <w:rFonts w:ascii="Arial" w:cs="Arial" w:eastAsia="Arial" w:hAnsi="Arial"/>
          <w:sz w:val="18"/>
          <w:szCs w:val="18"/>
          <w:color w:val="auto"/>
        </w:rPr>
      </w:pPr>
    </w:p>
    <w:p>
      <w:pPr>
        <w:ind w:left="469" w:hanging="469"/>
        <w:spacing w:after="0"/>
        <w:tabs>
          <w:tab w:leader="none" w:pos="4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949"/>
        <w:spacing w:after="0" w:line="207" w:lineRule="exact"/>
        <w:tabs>
          <w:tab w:leader="none" w:pos="7429"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6949"/>
        <w:spacing w:after="0" w:line="207" w:lineRule="exact"/>
        <w:tabs>
          <w:tab w:leader="none" w:pos="7449"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469" w:hanging="469"/>
        <w:spacing w:after="0"/>
        <w:tabs>
          <w:tab w:leader="none" w:pos="4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9" w:hanging="469"/>
        <w:spacing w:after="0"/>
        <w:tabs>
          <w:tab w:leader="none" w:pos="469"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129"/>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ectPr>
          <w:pgSz w:w="11900" w:h="16838" w:orient="portrait"/>
          <w:cols w:equalWidth="0" w:num="1">
            <w:col w:w="10729"/>
          </w:cols>
          <w:pgMar w:left="551" w:top="958" w:right="61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64" w:hanging="464"/>
        <w:spacing w:after="0"/>
        <w:tabs>
          <w:tab w:leader="none" w:pos="4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1"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30,907,431 shares</w:t>
      </w:r>
    </w:p>
    <w:p>
      <w:pPr>
        <w:spacing w:after="0" w:line="242" w:lineRule="exact"/>
        <w:rPr>
          <w:rFonts w:ascii="Arial" w:cs="Arial" w:eastAsia="Arial" w:hAnsi="Arial"/>
          <w:sz w:val="18"/>
          <w:szCs w:val="18"/>
          <w:color w:val="auto"/>
        </w:rPr>
      </w:pPr>
    </w:p>
    <w:p>
      <w:pPr>
        <w:ind w:left="464" w:hanging="464"/>
        <w:spacing w:after="0"/>
        <w:tabs>
          <w:tab w:leader="none" w:pos="4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15"/>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34" w:lineRule="exact"/>
        <w:rPr>
          <w:rFonts w:ascii="Arial" w:cs="Arial" w:eastAsia="Arial" w:hAnsi="Arial"/>
          <w:sz w:val="17"/>
          <w:szCs w:val="17"/>
          <w:color w:val="auto"/>
        </w:rPr>
      </w:pPr>
    </w:p>
    <w:p>
      <w:pPr>
        <w:ind w:left="1124"/>
        <w:spacing w:after="0"/>
        <w:rPr>
          <w:rFonts w:ascii="Arial" w:cs="Arial" w:eastAsia="Arial" w:hAnsi="Arial"/>
          <w:sz w:val="17"/>
          <w:szCs w:val="17"/>
          <w:color w:val="auto"/>
        </w:rPr>
      </w:pPr>
      <w:r>
        <w:rPr>
          <w:rFonts w:ascii="Arial" w:cs="Arial" w:eastAsia="Arial" w:hAnsi="Arial"/>
          <w:sz w:val="18"/>
          <w:szCs w:val="18"/>
          <w:b w:val="1"/>
          <w:bCs w:val="1"/>
          <w:color w:val="auto"/>
        </w:rPr>
        <w:t>See Row 6 above.</w:t>
      </w:r>
    </w:p>
    <w:p>
      <w:pPr>
        <w:spacing w:after="0" w:line="200" w:lineRule="exact"/>
        <w:rPr>
          <w:sz w:val="20"/>
          <w:szCs w:val="20"/>
          <w:color w:val="auto"/>
        </w:rPr>
      </w:pPr>
    </w:p>
    <w:p>
      <w:pPr>
        <w:sectPr>
          <w:pgSz w:w="11900" w:h="16838" w:orient="portrait"/>
          <w:cols w:equalWidth="0" w:num="2">
            <w:col w:w="1865" w:space="720"/>
            <w:col w:w="8144"/>
          </w:cols>
          <w:pgMar w:left="551" w:top="958" w:right="619" w:bottom="1440" w:gutter="0" w:footer="0" w:header="0"/>
          <w:type w:val="continuous"/>
        </w:sectPr>
      </w:pPr>
    </w:p>
    <w:p>
      <w:pPr>
        <w:spacing w:after="0" w:line="24" w:lineRule="exact"/>
        <w:rPr>
          <w:sz w:val="20"/>
          <w:szCs w:val="20"/>
          <w:color w:val="auto"/>
        </w:rPr>
      </w:pPr>
    </w:p>
    <w:p>
      <w:pPr>
        <w:ind w:left="809" w:hanging="641"/>
        <w:spacing w:after="0"/>
        <w:tabs>
          <w:tab w:leader="none" w:pos="809"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129"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8620" w:type="dxa"/>
            <w:vAlign w:val="bottom"/>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809" w:hanging="682"/>
        <w:spacing w:after="0"/>
        <w:tabs>
          <w:tab w:leader="none" w:pos="8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b w:val="1"/>
          <w:bCs w:val="1"/>
          <w:color w:val="auto"/>
        </w:rPr>
        <w:t>8.9%</w:t>
      </w:r>
    </w:p>
    <w:p>
      <w:pPr>
        <w:spacing w:after="0" w:line="242" w:lineRule="exact"/>
        <w:rPr>
          <w:rFonts w:ascii="Arial" w:cs="Arial" w:eastAsia="Arial" w:hAnsi="Arial"/>
          <w:sz w:val="18"/>
          <w:szCs w:val="18"/>
          <w:color w:val="auto"/>
        </w:rPr>
      </w:pPr>
    </w:p>
    <w:p>
      <w:pPr>
        <w:ind w:left="809" w:hanging="685"/>
        <w:spacing w:after="0"/>
        <w:tabs>
          <w:tab w:leader="none" w:pos="809" w:val="left"/>
        </w:tabs>
        <w:numPr>
          <w:ilvl w:val="0"/>
          <w:numId w:val="1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469"/>
        <w:spacing w:after="0"/>
        <w:rPr>
          <w:sz w:val="20"/>
          <w:szCs w:val="20"/>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288925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29"/>
          </w:cols>
          <w:pgMar w:left="551" w:top="958" w:right="619" w:bottom="1440" w:gutter="0" w:footer="0" w:header="0"/>
          <w:type w:val="continuous"/>
        </w:sectPr>
      </w:pPr>
    </w:p>
    <w:bookmarkStart w:id="4" w:name="page5"/>
    <w:bookmarkEnd w:id="4"/>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49"/>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213360</wp:posOffset>
            </wp:positionV>
            <wp:extent cx="7132320" cy="5648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5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949" w:space="720"/>
            <w:col w:w="2640" w:space="720"/>
            <w:col w:w="2700"/>
          </w:cols>
          <w:pgMar w:left="551" w:top="958" w:right="619" w:bottom="1440" w:gutter="0" w:footer="0" w:header="0"/>
        </w:sectPr>
      </w:pPr>
    </w:p>
    <w:p>
      <w:pPr>
        <w:spacing w:after="0" w:line="345" w:lineRule="exact"/>
        <w:rPr>
          <w:sz w:val="20"/>
          <w:szCs w:val="20"/>
          <w:color w:val="auto"/>
        </w:rPr>
      </w:pPr>
    </w:p>
    <w:p>
      <w:pPr>
        <w:ind w:left="469" w:hanging="469"/>
        <w:spacing w:after="0"/>
        <w:tabs>
          <w:tab w:leader="none" w:pos="4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469"/>
        <w:spacing w:after="0"/>
        <w:rPr>
          <w:rFonts w:ascii="Arial" w:cs="Arial" w:eastAsia="Arial" w:hAnsi="Arial"/>
          <w:sz w:val="18"/>
          <w:szCs w:val="18"/>
          <w:color w:val="auto"/>
        </w:rPr>
      </w:pPr>
      <w:r>
        <w:rPr>
          <w:rFonts w:ascii="Arial" w:cs="Arial" w:eastAsia="Arial" w:hAnsi="Arial"/>
          <w:sz w:val="18"/>
          <w:szCs w:val="18"/>
          <w:b w:val="1"/>
          <w:bCs w:val="1"/>
          <w:color w:val="auto"/>
        </w:rPr>
        <w:t>Citadel Securities LLC</w:t>
      </w:r>
    </w:p>
    <w:p>
      <w:pPr>
        <w:spacing w:after="0" w:line="242" w:lineRule="exact"/>
        <w:rPr>
          <w:rFonts w:ascii="Arial" w:cs="Arial" w:eastAsia="Arial" w:hAnsi="Arial"/>
          <w:sz w:val="18"/>
          <w:szCs w:val="18"/>
          <w:color w:val="auto"/>
        </w:rPr>
      </w:pPr>
    </w:p>
    <w:p>
      <w:pPr>
        <w:ind w:left="469" w:hanging="469"/>
        <w:spacing w:after="0"/>
        <w:tabs>
          <w:tab w:leader="none" w:pos="469"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949"/>
        <w:spacing w:after="0" w:line="207" w:lineRule="exact"/>
        <w:tabs>
          <w:tab w:leader="none" w:pos="7429"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6949"/>
        <w:spacing w:after="0" w:line="207" w:lineRule="exact"/>
        <w:tabs>
          <w:tab w:leader="none" w:pos="7449"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469" w:hanging="469"/>
        <w:spacing w:after="0"/>
        <w:tabs>
          <w:tab w:leader="none" w:pos="4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9" w:hanging="469"/>
        <w:spacing w:after="0"/>
        <w:tabs>
          <w:tab w:leader="none" w:pos="469"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129"/>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ectPr>
          <w:pgSz w:w="11900" w:h="16838" w:orient="portrait"/>
          <w:cols w:equalWidth="0" w:num="1">
            <w:col w:w="10729"/>
          </w:cols>
          <w:pgMar w:left="551" w:top="958" w:right="61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64" w:hanging="464"/>
        <w:spacing w:after="0"/>
        <w:tabs>
          <w:tab w:leader="none" w:pos="4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1"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18,880 shares</w:t>
      </w:r>
    </w:p>
    <w:p>
      <w:pPr>
        <w:spacing w:after="0" w:line="242" w:lineRule="exact"/>
        <w:rPr>
          <w:rFonts w:ascii="Arial" w:cs="Arial" w:eastAsia="Arial" w:hAnsi="Arial"/>
          <w:sz w:val="18"/>
          <w:szCs w:val="18"/>
          <w:color w:val="auto"/>
        </w:rPr>
      </w:pPr>
    </w:p>
    <w:p>
      <w:pPr>
        <w:ind w:left="464" w:hanging="464"/>
        <w:spacing w:after="0"/>
        <w:tabs>
          <w:tab w:leader="none" w:pos="4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34" w:lineRule="exact"/>
        <w:rPr>
          <w:rFonts w:ascii="Arial" w:cs="Arial" w:eastAsia="Arial" w:hAnsi="Arial"/>
          <w:sz w:val="17"/>
          <w:szCs w:val="17"/>
          <w:color w:val="auto"/>
        </w:rPr>
      </w:pPr>
    </w:p>
    <w:p>
      <w:pPr>
        <w:ind w:left="1124"/>
        <w:spacing w:after="0"/>
        <w:rPr>
          <w:rFonts w:ascii="Arial" w:cs="Arial" w:eastAsia="Arial" w:hAnsi="Arial"/>
          <w:sz w:val="17"/>
          <w:szCs w:val="17"/>
          <w:color w:val="auto"/>
        </w:rPr>
      </w:pPr>
      <w:r>
        <w:rPr>
          <w:rFonts w:ascii="Arial" w:cs="Arial" w:eastAsia="Arial" w:hAnsi="Arial"/>
          <w:sz w:val="18"/>
          <w:szCs w:val="18"/>
          <w:b w:val="1"/>
          <w:bCs w:val="1"/>
          <w:color w:val="auto"/>
        </w:rPr>
        <w:t>See Row 6 above.</w:t>
      </w:r>
    </w:p>
    <w:p>
      <w:pPr>
        <w:spacing w:after="0" w:line="200" w:lineRule="exact"/>
        <w:rPr>
          <w:sz w:val="20"/>
          <w:szCs w:val="20"/>
          <w:color w:val="auto"/>
        </w:rPr>
      </w:pPr>
    </w:p>
    <w:p>
      <w:pPr>
        <w:sectPr>
          <w:pgSz w:w="11900" w:h="16838" w:orient="portrait"/>
          <w:cols w:equalWidth="0" w:num="2">
            <w:col w:w="1865" w:space="720"/>
            <w:col w:w="8144"/>
          </w:cols>
          <w:pgMar w:left="551" w:top="958" w:right="619" w:bottom="1440" w:gutter="0" w:footer="0" w:header="0"/>
          <w:type w:val="continuous"/>
        </w:sectPr>
      </w:pPr>
    </w:p>
    <w:p>
      <w:pPr>
        <w:spacing w:after="0" w:line="24" w:lineRule="exact"/>
        <w:rPr>
          <w:sz w:val="20"/>
          <w:szCs w:val="20"/>
          <w:color w:val="auto"/>
        </w:rPr>
      </w:pPr>
    </w:p>
    <w:p>
      <w:pPr>
        <w:ind w:left="809" w:hanging="641"/>
        <w:spacing w:after="0"/>
        <w:tabs>
          <w:tab w:leader="none" w:pos="8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129"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8620" w:type="dxa"/>
            <w:vAlign w:val="bottom"/>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809" w:hanging="682"/>
        <w:spacing w:after="0"/>
        <w:tabs>
          <w:tab w:leader="none" w:pos="8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b w:val="1"/>
          <w:bCs w:val="1"/>
          <w:color w:val="auto"/>
        </w:rPr>
        <w:t>Less than 0.1%</w:t>
      </w:r>
    </w:p>
    <w:p>
      <w:pPr>
        <w:spacing w:after="0" w:line="242" w:lineRule="exact"/>
        <w:rPr>
          <w:rFonts w:ascii="Arial" w:cs="Arial" w:eastAsia="Arial" w:hAnsi="Arial"/>
          <w:sz w:val="18"/>
          <w:szCs w:val="18"/>
          <w:color w:val="auto"/>
        </w:rPr>
      </w:pPr>
    </w:p>
    <w:p>
      <w:pPr>
        <w:ind w:left="809" w:hanging="685"/>
        <w:spacing w:after="0"/>
        <w:tabs>
          <w:tab w:leader="none" w:pos="8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469"/>
        <w:spacing w:after="0"/>
        <w:rPr>
          <w:sz w:val="20"/>
          <w:szCs w:val="20"/>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340360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9"/>
          </w:cols>
          <w:pgMar w:left="551" w:top="958" w:right="619" w:bottom="1440" w:gutter="0" w:footer="0" w:header="0"/>
          <w:type w:val="continuous"/>
        </w:sectPr>
      </w:pPr>
    </w:p>
    <w:bookmarkStart w:id="5" w:name="page6"/>
    <w:bookmarkEnd w:id="5"/>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49"/>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213360</wp:posOffset>
            </wp:positionV>
            <wp:extent cx="7132320" cy="5648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6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949" w:space="720"/>
            <w:col w:w="2640" w:space="720"/>
            <w:col w:w="2700"/>
          </w:cols>
          <w:pgMar w:left="551" w:top="958" w:right="619" w:bottom="1440" w:gutter="0" w:footer="0" w:header="0"/>
        </w:sectPr>
      </w:pPr>
    </w:p>
    <w:p>
      <w:pPr>
        <w:spacing w:after="0" w:line="345" w:lineRule="exact"/>
        <w:rPr>
          <w:sz w:val="20"/>
          <w:szCs w:val="20"/>
          <w:color w:val="auto"/>
        </w:rPr>
      </w:pPr>
    </w:p>
    <w:p>
      <w:pPr>
        <w:ind w:left="469" w:hanging="469"/>
        <w:spacing w:after="0"/>
        <w:tabs>
          <w:tab w:leader="none" w:pos="4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469"/>
        <w:spacing w:after="0"/>
        <w:rPr>
          <w:rFonts w:ascii="Arial" w:cs="Arial" w:eastAsia="Arial" w:hAnsi="Arial"/>
          <w:sz w:val="18"/>
          <w:szCs w:val="18"/>
          <w:color w:val="auto"/>
        </w:rPr>
      </w:pPr>
      <w:r>
        <w:rPr>
          <w:rFonts w:ascii="Arial" w:cs="Arial" w:eastAsia="Arial" w:hAnsi="Arial"/>
          <w:sz w:val="18"/>
          <w:szCs w:val="18"/>
          <w:b w:val="1"/>
          <w:bCs w:val="1"/>
          <w:color w:val="auto"/>
        </w:rPr>
        <w:t>CALC IV LP</w:t>
      </w:r>
    </w:p>
    <w:p>
      <w:pPr>
        <w:spacing w:after="0" w:line="242" w:lineRule="exact"/>
        <w:rPr>
          <w:rFonts w:ascii="Arial" w:cs="Arial" w:eastAsia="Arial" w:hAnsi="Arial"/>
          <w:sz w:val="18"/>
          <w:szCs w:val="18"/>
          <w:color w:val="auto"/>
        </w:rPr>
      </w:pPr>
    </w:p>
    <w:p>
      <w:pPr>
        <w:ind w:left="469" w:hanging="469"/>
        <w:spacing w:after="0"/>
        <w:tabs>
          <w:tab w:leader="none" w:pos="469"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949"/>
        <w:spacing w:after="0" w:line="207" w:lineRule="exact"/>
        <w:tabs>
          <w:tab w:leader="none" w:pos="7429"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6949"/>
        <w:spacing w:after="0" w:line="207" w:lineRule="exact"/>
        <w:tabs>
          <w:tab w:leader="none" w:pos="7449"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469" w:hanging="469"/>
        <w:spacing w:after="0"/>
        <w:tabs>
          <w:tab w:leader="none" w:pos="4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9" w:hanging="469"/>
        <w:spacing w:after="0"/>
        <w:tabs>
          <w:tab w:leader="none" w:pos="46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129"/>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ectPr>
          <w:pgSz w:w="11900" w:h="16838" w:orient="portrait"/>
          <w:cols w:equalWidth="0" w:num="1">
            <w:col w:w="10729"/>
          </w:cols>
          <w:pgMar w:left="551" w:top="958" w:right="61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64" w:hanging="464"/>
        <w:spacing w:after="0"/>
        <w:tabs>
          <w:tab w:leader="none" w:pos="4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1"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22,955 shares</w:t>
      </w:r>
    </w:p>
    <w:p>
      <w:pPr>
        <w:spacing w:after="0" w:line="242" w:lineRule="exact"/>
        <w:rPr>
          <w:rFonts w:ascii="Arial" w:cs="Arial" w:eastAsia="Arial" w:hAnsi="Arial"/>
          <w:sz w:val="18"/>
          <w:szCs w:val="18"/>
          <w:color w:val="auto"/>
        </w:rPr>
      </w:pPr>
    </w:p>
    <w:p>
      <w:pPr>
        <w:ind w:left="464" w:hanging="464"/>
        <w:spacing w:after="0"/>
        <w:tabs>
          <w:tab w:leader="none" w:pos="4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25"/>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34" w:lineRule="exact"/>
        <w:rPr>
          <w:rFonts w:ascii="Arial" w:cs="Arial" w:eastAsia="Arial" w:hAnsi="Arial"/>
          <w:sz w:val="17"/>
          <w:szCs w:val="17"/>
          <w:color w:val="auto"/>
        </w:rPr>
      </w:pPr>
    </w:p>
    <w:p>
      <w:pPr>
        <w:ind w:left="1124"/>
        <w:spacing w:after="0"/>
        <w:rPr>
          <w:rFonts w:ascii="Arial" w:cs="Arial" w:eastAsia="Arial" w:hAnsi="Arial"/>
          <w:sz w:val="17"/>
          <w:szCs w:val="17"/>
          <w:color w:val="auto"/>
        </w:rPr>
      </w:pPr>
      <w:r>
        <w:rPr>
          <w:rFonts w:ascii="Arial" w:cs="Arial" w:eastAsia="Arial" w:hAnsi="Arial"/>
          <w:sz w:val="18"/>
          <w:szCs w:val="18"/>
          <w:b w:val="1"/>
          <w:bCs w:val="1"/>
          <w:color w:val="auto"/>
        </w:rPr>
        <w:t>See Row 6 above.</w:t>
      </w:r>
    </w:p>
    <w:p>
      <w:pPr>
        <w:spacing w:after="0" w:line="200" w:lineRule="exact"/>
        <w:rPr>
          <w:sz w:val="20"/>
          <w:szCs w:val="20"/>
          <w:color w:val="auto"/>
        </w:rPr>
      </w:pPr>
    </w:p>
    <w:p>
      <w:pPr>
        <w:sectPr>
          <w:pgSz w:w="11900" w:h="16838" w:orient="portrait"/>
          <w:cols w:equalWidth="0" w:num="2">
            <w:col w:w="1865" w:space="720"/>
            <w:col w:w="8144"/>
          </w:cols>
          <w:pgMar w:left="551" w:top="958" w:right="619" w:bottom="1440" w:gutter="0" w:footer="0" w:header="0"/>
          <w:type w:val="continuous"/>
        </w:sectPr>
      </w:pPr>
    </w:p>
    <w:p>
      <w:pPr>
        <w:spacing w:after="0" w:line="24" w:lineRule="exact"/>
        <w:rPr>
          <w:sz w:val="20"/>
          <w:szCs w:val="20"/>
          <w:color w:val="auto"/>
        </w:rPr>
      </w:pPr>
    </w:p>
    <w:p>
      <w:pPr>
        <w:ind w:left="809" w:hanging="641"/>
        <w:spacing w:after="0"/>
        <w:tabs>
          <w:tab w:leader="none" w:pos="809"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129"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8620" w:type="dxa"/>
            <w:vAlign w:val="bottom"/>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809" w:hanging="682"/>
        <w:spacing w:after="0"/>
        <w:tabs>
          <w:tab w:leader="none" w:pos="8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b w:val="1"/>
          <w:bCs w:val="1"/>
          <w:color w:val="auto"/>
        </w:rPr>
        <w:t>Less than 0.1%</w:t>
      </w:r>
    </w:p>
    <w:p>
      <w:pPr>
        <w:spacing w:after="0" w:line="242" w:lineRule="exact"/>
        <w:rPr>
          <w:rFonts w:ascii="Arial" w:cs="Arial" w:eastAsia="Arial" w:hAnsi="Arial"/>
          <w:sz w:val="18"/>
          <w:szCs w:val="18"/>
          <w:color w:val="auto"/>
        </w:rPr>
      </w:pPr>
    </w:p>
    <w:p>
      <w:pPr>
        <w:ind w:left="809" w:hanging="685"/>
        <w:spacing w:after="0"/>
        <w:tabs>
          <w:tab w:leader="none" w:pos="8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469"/>
        <w:spacing w:after="0"/>
        <w:rPr>
          <w:sz w:val="20"/>
          <w:szCs w:val="20"/>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340360</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9"/>
          </w:cols>
          <w:pgMar w:left="551" w:top="958" w:right="61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83"/>
        </w:trPr>
        <w:tc>
          <w:tcPr>
            <w:tcW w:w="200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CUSIP N</w:t>
            </w:r>
            <w:r>
              <w:rPr>
                <w:rFonts w:ascii="Arial" w:cs="Arial" w:eastAsia="Arial" w:hAnsi="Arial"/>
                <w:sz w:val="12"/>
                <w:szCs w:val="12"/>
                <w:color w:val="auto"/>
              </w:rPr>
              <w:t>O</w:t>
            </w:r>
            <w:r>
              <w:rPr>
                <w:rFonts w:ascii="Arial" w:cs="Arial" w:eastAsia="Arial" w:hAnsi="Arial"/>
                <w:sz w:val="18"/>
                <w:szCs w:val="18"/>
                <w:color w:val="auto"/>
              </w:rPr>
              <w:t>. 589492107</w:t>
            </w:r>
          </w:p>
        </w:tc>
        <w:tc>
          <w:tcPr>
            <w:tcW w:w="5980" w:type="dxa"/>
            <w:vAlign w:val="bottom"/>
            <w:tcBorders>
              <w:right w:val="single" w:sz="8" w:color="auto"/>
            </w:tcBorders>
          </w:tcPr>
          <w:p>
            <w:pPr>
              <w:ind w:left="2720"/>
              <w:spacing w:after="0"/>
              <w:rPr>
                <w:sz w:val="20"/>
                <w:szCs w:val="20"/>
                <w:color w:val="auto"/>
              </w:rPr>
            </w:pPr>
            <w:r>
              <w:rPr>
                <w:rFonts w:ascii="Arial" w:cs="Arial" w:eastAsia="Arial" w:hAnsi="Arial"/>
                <w:sz w:val="18"/>
                <w:szCs w:val="18"/>
                <w:b w:val="1"/>
                <w:bCs w:val="1"/>
                <w:color w:val="auto"/>
              </w:rPr>
              <w:t>13G/A</w:t>
            </w:r>
          </w:p>
        </w:tc>
        <w:tc>
          <w:tcPr>
            <w:tcW w:w="21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Page 7 of 14 Pages</w:t>
            </w:r>
          </w:p>
        </w:tc>
      </w:tr>
      <w:tr>
        <w:trPr>
          <w:trHeight w:val="54"/>
        </w:trPr>
        <w:tc>
          <w:tcPr>
            <w:tcW w:w="2000" w:type="dxa"/>
            <w:vAlign w:val="bottom"/>
            <w:tcBorders>
              <w:left w:val="single" w:sz="8" w:color="auto"/>
              <w:bottom w:val="single" w:sz="8" w:color="auto"/>
              <w:right w:val="single" w:sz="8" w:color="auto"/>
            </w:tcBorders>
          </w:tcPr>
          <w:p>
            <w:pPr>
              <w:spacing w:after="0"/>
              <w:rPr>
                <w:sz w:val="4"/>
                <w:szCs w:val="4"/>
                <w:color w:val="auto"/>
              </w:rPr>
            </w:pPr>
          </w:p>
        </w:tc>
        <w:tc>
          <w:tcPr>
            <w:tcW w:w="5980" w:type="dxa"/>
            <w:vAlign w:val="bottom"/>
            <w:tcBorders>
              <w:right w:val="single" w:sz="8" w:color="auto"/>
            </w:tcBorders>
          </w:tcPr>
          <w:p>
            <w:pPr>
              <w:spacing w:after="0"/>
              <w:rPr>
                <w:sz w:val="4"/>
                <w:szCs w:val="4"/>
                <w:color w:val="auto"/>
              </w:rPr>
            </w:pPr>
          </w:p>
        </w:tc>
        <w:tc>
          <w:tcPr>
            <w:tcW w:w="21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137160</wp:posOffset>
            </wp:positionV>
            <wp:extent cx="7132320" cy="5648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20" w:hanging="469"/>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GP LLC</w:t>
      </w:r>
    </w:p>
    <w:p>
      <w:pPr>
        <w:spacing w:after="0" w:line="242" w:lineRule="exact"/>
        <w:rPr>
          <w:rFonts w:ascii="Arial" w:cs="Arial" w:eastAsia="Arial" w:hAnsi="Arial"/>
          <w:sz w:val="18"/>
          <w:szCs w:val="18"/>
          <w:color w:val="auto"/>
        </w:rPr>
      </w:pPr>
    </w:p>
    <w:p>
      <w:pPr>
        <w:ind w:left="520" w:hanging="469"/>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7000"/>
        <w:spacing w:after="0" w:line="207" w:lineRule="exact"/>
        <w:tabs>
          <w:tab w:leader="none" w:pos="748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7000"/>
        <w:spacing w:after="0" w:line="207" w:lineRule="exact"/>
        <w:tabs>
          <w:tab w:leader="none" w:pos="75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520" w:hanging="469"/>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520" w:hanging="469"/>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18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ectPr>
          <w:pgSz w:w="11900" w:h="16838" w:orient="portrait"/>
          <w:cols w:equalWidth="0" w:num="1">
            <w:col w:w="10780"/>
          </w:cols>
          <w:pgMar w:left="500" w:top="902" w:right="61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344"/>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64" w:hanging="464"/>
        <w:spacing w:after="0"/>
        <w:tabs>
          <w:tab w:leader="none" w:pos="4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1"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22,955 shares</w:t>
      </w:r>
    </w:p>
    <w:p>
      <w:pPr>
        <w:spacing w:after="0" w:line="242" w:lineRule="exact"/>
        <w:rPr>
          <w:rFonts w:ascii="Arial" w:cs="Arial" w:eastAsia="Arial" w:hAnsi="Arial"/>
          <w:sz w:val="18"/>
          <w:szCs w:val="18"/>
          <w:color w:val="auto"/>
        </w:rPr>
      </w:pPr>
    </w:p>
    <w:p>
      <w:pPr>
        <w:ind w:left="464" w:hanging="464"/>
        <w:spacing w:after="0"/>
        <w:tabs>
          <w:tab w:leader="none" w:pos="4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30"/>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34" w:lineRule="exact"/>
        <w:rPr>
          <w:rFonts w:ascii="Arial" w:cs="Arial" w:eastAsia="Arial" w:hAnsi="Arial"/>
          <w:sz w:val="17"/>
          <w:szCs w:val="17"/>
          <w:color w:val="auto"/>
        </w:rPr>
      </w:pPr>
    </w:p>
    <w:p>
      <w:pPr>
        <w:ind w:left="1124"/>
        <w:spacing w:after="0"/>
        <w:rPr>
          <w:rFonts w:ascii="Arial" w:cs="Arial" w:eastAsia="Arial" w:hAnsi="Arial"/>
          <w:sz w:val="17"/>
          <w:szCs w:val="17"/>
          <w:color w:val="auto"/>
        </w:rPr>
      </w:pPr>
      <w:r>
        <w:rPr>
          <w:rFonts w:ascii="Arial" w:cs="Arial" w:eastAsia="Arial" w:hAnsi="Arial"/>
          <w:sz w:val="18"/>
          <w:szCs w:val="18"/>
          <w:b w:val="1"/>
          <w:bCs w:val="1"/>
          <w:color w:val="auto"/>
        </w:rPr>
        <w:t>See Row 6 above.</w:t>
      </w:r>
    </w:p>
    <w:p>
      <w:pPr>
        <w:spacing w:after="0" w:line="200" w:lineRule="exact"/>
        <w:rPr>
          <w:sz w:val="20"/>
          <w:szCs w:val="20"/>
          <w:color w:val="auto"/>
        </w:rPr>
      </w:pPr>
    </w:p>
    <w:p>
      <w:pPr>
        <w:sectPr>
          <w:pgSz w:w="11900" w:h="16838" w:orient="portrait"/>
          <w:cols w:equalWidth="0" w:num="2">
            <w:col w:w="1916" w:space="720"/>
            <w:col w:w="8144"/>
          </w:cols>
          <w:pgMar w:left="500" w:top="902" w:right="619" w:bottom="1440" w:gutter="0" w:footer="0" w:header="0"/>
          <w:type w:val="continuous"/>
        </w:sectPr>
      </w:pPr>
    </w:p>
    <w:p>
      <w:pPr>
        <w:spacing w:after="0" w:line="24" w:lineRule="exact"/>
        <w:rPr>
          <w:sz w:val="20"/>
          <w:szCs w:val="20"/>
          <w:color w:val="auto"/>
        </w:rPr>
      </w:pPr>
    </w:p>
    <w:p>
      <w:pPr>
        <w:ind w:left="860" w:hanging="641"/>
        <w:spacing w:after="0"/>
        <w:tabs>
          <w:tab w:leader="none" w:pos="8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180"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8620" w:type="dxa"/>
            <w:vAlign w:val="bottom"/>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860" w:hanging="682"/>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b w:val="1"/>
          <w:bCs w:val="1"/>
          <w:color w:val="auto"/>
        </w:rPr>
        <w:t>Less than 0.1%</w:t>
      </w:r>
    </w:p>
    <w:p>
      <w:pPr>
        <w:spacing w:after="0" w:line="242" w:lineRule="exact"/>
        <w:rPr>
          <w:rFonts w:ascii="Arial" w:cs="Arial" w:eastAsia="Arial" w:hAnsi="Arial"/>
          <w:sz w:val="18"/>
          <w:szCs w:val="18"/>
          <w:color w:val="auto"/>
        </w:rPr>
      </w:pPr>
    </w:p>
    <w:p>
      <w:pPr>
        <w:ind w:left="860" w:hanging="685"/>
        <w:spacing w:after="0"/>
        <w:tabs>
          <w:tab w:leader="none" w:pos="8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340360</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80"/>
          </w:cols>
          <w:pgMar w:left="500" w:top="902" w:right="619" w:bottom="1440" w:gutter="0" w:footer="0" w:header="0"/>
          <w:type w:val="continuous"/>
        </w:sectPr>
      </w:pPr>
    </w:p>
    <w:bookmarkStart w:id="7" w:name="page8"/>
    <w:bookmarkEnd w:id="7"/>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49"/>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-3105785</wp:posOffset>
            </wp:positionH>
            <wp:positionV relativeFrom="paragraph">
              <wp:posOffset>213360</wp:posOffset>
            </wp:positionV>
            <wp:extent cx="7132320" cy="5648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5648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8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3949" w:space="720"/>
            <w:col w:w="2640" w:space="720"/>
            <w:col w:w="2700"/>
          </w:cols>
          <w:pgMar w:left="551" w:top="958" w:right="619" w:bottom="1440" w:gutter="0" w:footer="0" w:header="0"/>
        </w:sectPr>
      </w:pPr>
    </w:p>
    <w:p>
      <w:pPr>
        <w:spacing w:after="0" w:line="345" w:lineRule="exact"/>
        <w:rPr>
          <w:sz w:val="20"/>
          <w:szCs w:val="20"/>
          <w:color w:val="auto"/>
        </w:rPr>
      </w:pPr>
    </w:p>
    <w:p>
      <w:pPr>
        <w:ind w:left="469" w:hanging="469"/>
        <w:spacing w:after="0"/>
        <w:tabs>
          <w:tab w:leader="none" w:pos="4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469"/>
        <w:spacing w:after="0"/>
        <w:rPr>
          <w:rFonts w:ascii="Arial" w:cs="Arial" w:eastAsia="Arial" w:hAnsi="Arial"/>
          <w:sz w:val="18"/>
          <w:szCs w:val="18"/>
          <w:color w:val="auto"/>
        </w:rPr>
      </w:pPr>
      <w:r>
        <w:rPr>
          <w:rFonts w:ascii="Arial" w:cs="Arial" w:eastAsia="Arial" w:hAnsi="Arial"/>
          <w:sz w:val="18"/>
          <w:szCs w:val="18"/>
          <w:b w:val="1"/>
          <w:bCs w:val="1"/>
          <w:color w:val="auto"/>
        </w:rPr>
        <w:t>Kenneth Griffin</w:t>
      </w:r>
    </w:p>
    <w:p>
      <w:pPr>
        <w:spacing w:after="0" w:line="242" w:lineRule="exact"/>
        <w:rPr>
          <w:rFonts w:ascii="Arial" w:cs="Arial" w:eastAsia="Arial" w:hAnsi="Arial"/>
          <w:sz w:val="18"/>
          <w:szCs w:val="18"/>
          <w:color w:val="auto"/>
        </w:rPr>
      </w:pPr>
    </w:p>
    <w:p>
      <w:pPr>
        <w:ind w:left="469" w:hanging="469"/>
        <w:spacing w:after="0"/>
        <w:tabs>
          <w:tab w:leader="none" w:pos="469"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949"/>
        <w:spacing w:after="0" w:line="207" w:lineRule="exact"/>
        <w:tabs>
          <w:tab w:leader="none" w:pos="7429"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6949"/>
        <w:spacing w:after="0" w:line="207" w:lineRule="exact"/>
        <w:tabs>
          <w:tab w:leader="none" w:pos="7449"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229" w:lineRule="exact"/>
        <w:rPr>
          <w:sz w:val="20"/>
          <w:szCs w:val="20"/>
          <w:color w:val="auto"/>
        </w:rPr>
      </w:pPr>
    </w:p>
    <w:p>
      <w:pPr>
        <w:ind w:left="469" w:hanging="469"/>
        <w:spacing w:after="0"/>
        <w:tabs>
          <w:tab w:leader="none" w:pos="4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469" w:hanging="469"/>
        <w:spacing w:after="0"/>
        <w:tabs>
          <w:tab w:leader="none" w:pos="469"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1129"/>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ectPr>
          <w:pgSz w:w="11900" w:h="16838" w:orient="portrait"/>
          <w:cols w:equalWidth="0" w:num="1">
            <w:col w:w="10729"/>
          </w:cols>
          <w:pgMar w:left="551" w:top="958" w:right="619"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ind w:left="293"/>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464" w:hanging="464"/>
        <w:spacing w:after="0"/>
        <w:tabs>
          <w:tab w:leader="none" w:pos="4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21"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30,930,386 shares</w:t>
      </w:r>
    </w:p>
    <w:p>
      <w:pPr>
        <w:spacing w:after="0" w:line="242" w:lineRule="exact"/>
        <w:rPr>
          <w:rFonts w:ascii="Arial" w:cs="Arial" w:eastAsia="Arial" w:hAnsi="Arial"/>
          <w:sz w:val="18"/>
          <w:szCs w:val="18"/>
          <w:color w:val="auto"/>
        </w:rPr>
      </w:pPr>
    </w:p>
    <w:p>
      <w:pPr>
        <w:ind w:left="464" w:hanging="464"/>
        <w:spacing w:after="0"/>
        <w:tabs>
          <w:tab w:leader="none" w:pos="4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23" w:lineRule="exact"/>
        <w:rPr>
          <w:rFonts w:ascii="Arial" w:cs="Arial" w:eastAsia="Arial" w:hAnsi="Arial"/>
          <w:sz w:val="18"/>
          <w:szCs w:val="18"/>
          <w:color w:val="auto"/>
        </w:rPr>
      </w:pPr>
    </w:p>
    <w:p>
      <w:pPr>
        <w:ind w:left="1124"/>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4" w:lineRule="exact"/>
        <w:rPr>
          <w:rFonts w:ascii="Arial" w:cs="Arial" w:eastAsia="Arial" w:hAnsi="Arial"/>
          <w:sz w:val="18"/>
          <w:szCs w:val="18"/>
          <w:color w:val="auto"/>
        </w:rPr>
      </w:pPr>
    </w:p>
    <w:p>
      <w:pPr>
        <w:ind w:left="464" w:hanging="464"/>
        <w:spacing w:after="0"/>
        <w:tabs>
          <w:tab w:leader="none" w:pos="4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SHARED DISPOSITIVE POWER</w:t>
      </w:r>
    </w:p>
    <w:p>
      <w:pPr>
        <w:spacing w:after="0" w:line="34" w:lineRule="exact"/>
        <w:rPr>
          <w:rFonts w:ascii="Arial" w:cs="Arial" w:eastAsia="Arial" w:hAnsi="Arial"/>
          <w:sz w:val="17"/>
          <w:szCs w:val="17"/>
          <w:color w:val="auto"/>
        </w:rPr>
      </w:pPr>
    </w:p>
    <w:p>
      <w:pPr>
        <w:ind w:left="1124"/>
        <w:spacing w:after="0"/>
        <w:rPr>
          <w:rFonts w:ascii="Arial" w:cs="Arial" w:eastAsia="Arial" w:hAnsi="Arial"/>
          <w:sz w:val="17"/>
          <w:szCs w:val="17"/>
          <w:color w:val="auto"/>
        </w:rPr>
      </w:pPr>
      <w:r>
        <w:rPr>
          <w:rFonts w:ascii="Arial" w:cs="Arial" w:eastAsia="Arial" w:hAnsi="Arial"/>
          <w:sz w:val="18"/>
          <w:szCs w:val="18"/>
          <w:b w:val="1"/>
          <w:bCs w:val="1"/>
          <w:color w:val="auto"/>
        </w:rPr>
        <w:t>See Row 6 above</w:t>
      </w:r>
    </w:p>
    <w:p>
      <w:pPr>
        <w:spacing w:after="0" w:line="200" w:lineRule="exact"/>
        <w:rPr>
          <w:sz w:val="20"/>
          <w:szCs w:val="20"/>
          <w:color w:val="auto"/>
        </w:rPr>
      </w:pPr>
    </w:p>
    <w:p>
      <w:pPr>
        <w:sectPr>
          <w:pgSz w:w="11900" w:h="16838" w:orient="portrait"/>
          <w:cols w:equalWidth="0" w:num="2">
            <w:col w:w="1865" w:space="720"/>
            <w:col w:w="8144"/>
          </w:cols>
          <w:pgMar w:left="551" w:top="958" w:right="619" w:bottom="1440" w:gutter="0" w:footer="0" w:header="0"/>
          <w:type w:val="continuous"/>
        </w:sectPr>
      </w:pPr>
    </w:p>
    <w:p>
      <w:pPr>
        <w:spacing w:after="0" w:line="24" w:lineRule="exact"/>
        <w:rPr>
          <w:sz w:val="20"/>
          <w:szCs w:val="20"/>
          <w:color w:val="auto"/>
        </w:rPr>
      </w:pPr>
    </w:p>
    <w:p>
      <w:pPr>
        <w:ind w:left="809" w:hanging="641"/>
        <w:spacing w:after="0"/>
        <w:tabs>
          <w:tab w:leader="none" w:pos="809"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3"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92" w:lineRule="exact"/>
        <w:rPr>
          <w:sz w:val="20"/>
          <w:szCs w:val="20"/>
          <w:color w:val="auto"/>
        </w:rPr>
      </w:pPr>
    </w:p>
    <w:tbl>
      <w:tblPr>
        <w:tblLayout w:type="fixed"/>
        <w:tblInd w:w="129" w:type="dxa"/>
        <w:tblCellMar>
          <w:top w:w="0" w:type="dxa"/>
          <w:left w:w="0" w:type="dxa"/>
          <w:bottom w:w="0" w:type="dxa"/>
          <w:right w:w="0" w:type="dxa"/>
        </w:tblCellMar>
      </w:tblPr>
      <w:tr>
        <w:trPr>
          <w:trHeight w:val="283"/>
        </w:trPr>
        <w:tc>
          <w:tcPr>
            <w:tcW w:w="460" w:type="dxa"/>
            <w:vAlign w:val="bottom"/>
          </w:tcPr>
          <w:p>
            <w:pPr>
              <w:jc w:val="right"/>
              <w:ind w:right="150"/>
              <w:spacing w:after="0"/>
              <w:rPr>
                <w:sz w:val="20"/>
                <w:szCs w:val="20"/>
                <w:color w:val="auto"/>
              </w:rPr>
            </w:pPr>
            <w:r>
              <w:rPr>
                <w:rFonts w:ascii="Arial" w:cs="Arial" w:eastAsia="Arial" w:hAnsi="Arial"/>
                <w:sz w:val="18"/>
                <w:szCs w:val="18"/>
                <w:color w:val="auto"/>
                <w:w w:val="79"/>
              </w:rPr>
              <w:t>10.</w:t>
            </w:r>
          </w:p>
        </w:tc>
        <w:tc>
          <w:tcPr>
            <w:tcW w:w="8620" w:type="dxa"/>
            <w:vAlign w:val="bottom"/>
          </w:tcPr>
          <w:p>
            <w:pPr>
              <w:ind w:left="22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520" w:type="dxa"/>
            <w:vAlign w:val="bottom"/>
          </w:tcPr>
          <w:p>
            <w:pPr>
              <w:ind w:left="1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5" w:lineRule="exact"/>
        <w:rPr>
          <w:sz w:val="20"/>
          <w:szCs w:val="20"/>
          <w:color w:val="auto"/>
        </w:rPr>
      </w:pPr>
    </w:p>
    <w:p>
      <w:pPr>
        <w:ind w:left="809" w:hanging="682"/>
        <w:spacing w:after="0"/>
        <w:tabs>
          <w:tab w:leader="none" w:pos="8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469"/>
        <w:spacing w:after="0"/>
        <w:rPr>
          <w:rFonts w:ascii="Arial" w:cs="Arial" w:eastAsia="Arial" w:hAnsi="Arial"/>
          <w:sz w:val="18"/>
          <w:szCs w:val="18"/>
          <w:color w:val="auto"/>
        </w:rPr>
      </w:pPr>
      <w:r>
        <w:rPr>
          <w:rFonts w:ascii="Arial" w:cs="Arial" w:eastAsia="Arial" w:hAnsi="Arial"/>
          <w:sz w:val="18"/>
          <w:szCs w:val="18"/>
          <w:b w:val="1"/>
          <w:bCs w:val="1"/>
          <w:color w:val="auto"/>
        </w:rPr>
        <w:t>8.9%</w:t>
      </w:r>
    </w:p>
    <w:p>
      <w:pPr>
        <w:spacing w:after="0" w:line="242" w:lineRule="exact"/>
        <w:rPr>
          <w:rFonts w:ascii="Arial" w:cs="Arial" w:eastAsia="Arial" w:hAnsi="Arial"/>
          <w:sz w:val="18"/>
          <w:szCs w:val="18"/>
          <w:color w:val="auto"/>
        </w:rPr>
      </w:pPr>
    </w:p>
    <w:p>
      <w:pPr>
        <w:ind w:left="809" w:hanging="685"/>
        <w:spacing w:after="0"/>
        <w:tabs>
          <w:tab w:leader="none" w:pos="8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sz w:val="20"/>
          <w:szCs w:val="20"/>
          <w:color w:val="auto"/>
        </w:rPr>
      </w:pPr>
    </w:p>
    <w:p>
      <w:pPr>
        <w:ind w:left="1469"/>
        <w:spacing w:after="0"/>
        <w:rPr>
          <w:sz w:val="20"/>
          <w:szCs w:val="20"/>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340360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29"/>
          </w:cols>
          <w:pgMar w:left="551" w:top="958" w:right="619" w:bottom="1440" w:gutter="0" w:footer="0" w:header="0"/>
          <w:type w:val="continuous"/>
        </w:sectPr>
      </w:pPr>
    </w:p>
    <w:bookmarkStart w:id="8" w:name="page9"/>
    <w:bookmarkEnd w:id="8"/>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9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80" w:space="720"/>
            <w:col w:w="2640" w:space="720"/>
            <w:col w:w="2980"/>
          </w:cols>
          <w:pgMar w:left="320" w:top="958" w:right="33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Mereo BioPharma Group plc</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4th Floor, One Cavendish Place, London, W1G 0QF, United Kingdom</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This Schedule 13G is being jointly filed by Citadel Advisors LLC (“Citadel Advisors”), Citadel Advisors Holdings LP (“CAH”), Citadel</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7"/>
              </w:rPr>
              <w:t>GP LLC (“CGP”), Citadel Securities LLC (“Citadel Securities”), CALC IV LP (“CALC4”), Citadel Securities GP LLC (“CSGP”) and</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Mr. Kenneth Griffin (collectively with Citadel Advisors, CAH, CGP, Citadel Securities, CALC4 and CSGP, the “Reporting Persons”)</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1"/>
              </w:rPr>
              <w:t>with respect to shares of ordinary shares (and warrants to purchase ordinary shares) of the above-named issuer owned by Citadel Multi-</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6"/>
              </w:rPr>
              <w:t>Strategy Equities Master Fund Ltd., a Cayman Islands company (“CM”), Citadel Securities, and CRBU Holdings LLC, a Delaware</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limited liability company (“CRBH”).</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Citadel Advisors is the portfolio manager for CM. CAH is the sole member of Citadel Advisors. CGP is the general partner of CAH.</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1"/>
              </w:rPr>
              <w:t>CALC4 is the non-member manager of Citadel Securities and CRBH. CSGP is the general partner of CALC4. Mr. Griffin is the President</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and Chief Executive Officer of CGP, and owns a controlling interest in CGP and CSGP.</w:t>
            </w:r>
          </w:p>
        </w:tc>
      </w:tr>
      <w:tr>
        <w:trPr>
          <w:trHeight w:val="418"/>
        </w:trPr>
        <w:tc>
          <w:tcPr>
            <w:tcW w:w="1020" w:type="dxa"/>
            <w:vAlign w:val="bottom"/>
          </w:tcPr>
          <w:p>
            <w:pPr>
              <w:spacing w:after="0"/>
              <w:rPr>
                <w:sz w:val="24"/>
                <w:szCs w:val="24"/>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5"/>
              </w:rPr>
              <w:t>The filing of this statement shall not be construed as an admission that any of the Reporting Persons is the beneficial owner of any</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securities covered by the statement other than the securities actually owned by such person (if any).</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Address of Principal Business Office</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4"/>
              </w:rPr>
              <w:t>The address of the principal business office of each of the Reporting Persons is 131 S. Dearborn Street, 32nd Floor, Chicago, Illinois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60603.</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Citizenship</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Each of Citadel Advisors, CGP, Citadel Securities and CSGP is organized as a limited liability company under the laws of the State of</w:t>
            </w:r>
          </w:p>
        </w:tc>
      </w:tr>
      <w:tr>
        <w:trPr>
          <w:trHeight w:val="216"/>
        </w:trPr>
        <w:tc>
          <w:tcPr>
            <w:tcW w:w="1020" w:type="dxa"/>
            <w:vAlign w:val="bottom"/>
          </w:tcPr>
          <w:p>
            <w:pPr>
              <w:spacing w:after="0"/>
              <w:rPr>
                <w:sz w:val="18"/>
                <w:szCs w:val="18"/>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w w:val="93"/>
              </w:rPr>
              <w:t>Delaware. Each of CALC4 and CAH is organized as a limited partnership under the laws of the State of Delaware. Mr. Griffin is a U.S.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citizen.</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Ordinary shares, nominal value £0.003 per share</w:t>
            </w:r>
          </w:p>
        </w:tc>
      </w:tr>
      <w:tr>
        <w:trPr>
          <w:trHeight w:val="418"/>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589492107</w:t>
            </w:r>
          </w:p>
        </w:tc>
      </w:tr>
      <w:tr>
        <w:trPr>
          <w:trHeight w:val="432"/>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58" w:right="339" w:bottom="1440" w:gutter="0" w:footer="0" w:header="0"/>
          <w:type w:val="continuous"/>
        </w:sectPr>
      </w:pPr>
    </w:p>
    <w:bookmarkStart w:id="9" w:name="page10"/>
    <w:bookmarkEnd w:id="9"/>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603250</wp:posOffset>
            </wp:positionV>
            <wp:extent cx="1259840" cy="2228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10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80" w:space="720"/>
            <w:col w:w="2640" w:space="720"/>
            <w:col w:w="2680"/>
          </w:cols>
          <w:pgMar w:left="320" w:top="985" w:right="639" w:bottom="1440" w:gutter="0" w:footer="0" w:header="0"/>
        </w:sectPr>
      </w:pPr>
    </w:p>
    <w:p>
      <w:pPr>
        <w:spacing w:after="0" w:line="1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196" w:lineRule="exact"/>
        <w:rPr>
          <w:sz w:val="20"/>
          <w:szCs w:val="20"/>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2420" w:hanging="1116"/>
        <w:spacing w:after="0" w:line="223" w:lineRule="exact"/>
        <w:tabs>
          <w:tab w:leader="none" w:pos="1867"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1880" w:hanging="576"/>
        <w:spacing w:after="0" w:line="207" w:lineRule="exact"/>
        <w:tabs>
          <w:tab w:leader="none" w:pos="1880" w:val="left"/>
        </w:tabs>
        <w:numPr>
          <w:ilvl w:val="0"/>
          <w:numId w:val="3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Rule 13d-1(b)(1)(ii)(K).</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filing as a non-U.S. institution in accordance with Rule 13d-1(b)(1)(ii)(J), please specify the type of institution: 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985" w:right="639" w:bottom="1440" w:gutter="0" w:footer="0" w:header="0"/>
          <w:type w:val="continuous"/>
        </w:sectPr>
      </w:pPr>
    </w:p>
    <w:bookmarkStart w:id="10" w:name="page11"/>
    <w:bookmarkEnd w:id="10"/>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11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80" w:space="720"/>
            <w:col w:w="2640" w:space="720"/>
            <w:col w:w="2940"/>
          </w:cols>
          <w:pgMar w:left="320" w:top="958" w:right="379" w:bottom="1440" w:gutter="0" w:footer="0" w:header="0"/>
        </w:sectPr>
      </w:pPr>
    </w:p>
    <w:p>
      <w:pPr>
        <w:spacing w:after="0" w:line="11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980" w:hanging="676"/>
        <w:spacing w:after="0"/>
        <w:tabs>
          <w:tab w:leader="none" w:pos="1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600" w:hanging="648"/>
        <w:spacing w:after="0" w:line="277" w:lineRule="auto"/>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30,907,431 ordinary shares.</w:t>
      </w:r>
    </w:p>
    <w:p>
      <w:pPr>
        <w:spacing w:after="0" w:line="170" w:lineRule="exact"/>
        <w:rPr>
          <w:rFonts w:ascii="Arial" w:cs="Arial" w:eastAsia="Arial" w:hAnsi="Arial"/>
          <w:sz w:val="18"/>
          <w:szCs w:val="18"/>
          <w:color w:val="auto"/>
        </w:rPr>
      </w:pPr>
    </w:p>
    <w:p>
      <w:pPr>
        <w:ind w:left="2600" w:right="160" w:hanging="648"/>
        <w:spacing w:after="0" w:line="308" w:lineRule="auto"/>
        <w:tabs>
          <w:tab w:leader="none" w:pos="26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The number of shares that each of Citadel Advisors LLC, Citadel Advisors Holdings LP and Citadel GP LLC may be deemed to beneficially own constitutes approximately 8.9% of the ordinary shares outstanding.</w:t>
      </w:r>
    </w:p>
    <w:p>
      <w:pPr>
        <w:spacing w:after="0" w:line="146" w:lineRule="exact"/>
        <w:rPr>
          <w:rFonts w:ascii="Arial" w:cs="Arial" w:eastAsia="Arial" w:hAnsi="Arial"/>
          <w:sz w:val="17"/>
          <w:szCs w:val="17"/>
          <w:color w:val="auto"/>
        </w:rPr>
      </w:pPr>
    </w:p>
    <w:p>
      <w:pPr>
        <w:ind w:left="2640" w:hanging="688"/>
        <w:spacing w:after="0"/>
        <w:tabs>
          <w:tab w:leader="none" w:pos="2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power to vote or to direct the vote: 30,907,431</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30,907,431</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18,880 ordinary shares.</w:t>
      </w:r>
    </w:p>
    <w:p>
      <w:pPr>
        <w:spacing w:after="0" w:line="225" w:lineRule="exact"/>
        <w:rPr>
          <w:rFonts w:ascii="Arial" w:cs="Arial" w:eastAsia="Arial" w:hAnsi="Arial"/>
          <w:sz w:val="18"/>
          <w:szCs w:val="18"/>
          <w:color w:val="auto"/>
        </w:rPr>
      </w:pPr>
    </w:p>
    <w:p>
      <w:pPr>
        <w:ind w:left="2600" w:right="40" w:hanging="648"/>
        <w:spacing w:after="0" w:line="277" w:lineRule="auto"/>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less than 0.1% of the ordinary shares outstanding.</w:t>
      </w:r>
    </w:p>
    <w:p>
      <w:pPr>
        <w:spacing w:after="0" w:line="170" w:lineRule="exact"/>
        <w:rPr>
          <w:rFonts w:ascii="Arial" w:cs="Arial" w:eastAsia="Arial" w:hAnsi="Arial"/>
          <w:sz w:val="18"/>
          <w:szCs w:val="18"/>
          <w:color w:val="auto"/>
        </w:rPr>
      </w:pPr>
    </w:p>
    <w:p>
      <w:pPr>
        <w:ind w:left="2640" w:hanging="688"/>
        <w:spacing w:after="0"/>
        <w:tabs>
          <w:tab w:leader="none" w:pos="2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power to vote or to direct the vote: 18,880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240" w:hanging="640"/>
        <w:spacing w:after="0"/>
        <w:tabs>
          <w:tab w:leader="none" w:pos="324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18,880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CALC IV LP and Citadel Securities GP LLC</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Each of CALC IV LP and Citadel Securities GP LLC may be deemed to beneficially own 22,955 ordinary shares.</w:t>
      </w:r>
    </w:p>
    <w:p>
      <w:pPr>
        <w:spacing w:after="0" w:line="236" w:lineRule="exact"/>
        <w:rPr>
          <w:rFonts w:ascii="Arial" w:cs="Arial" w:eastAsia="Arial" w:hAnsi="Arial"/>
          <w:sz w:val="17"/>
          <w:szCs w:val="17"/>
          <w:color w:val="auto"/>
        </w:rPr>
      </w:pPr>
    </w:p>
    <w:p>
      <w:pPr>
        <w:ind w:left="2600" w:right="240" w:hanging="648"/>
        <w:spacing w:after="0" w:line="277" w:lineRule="auto"/>
        <w:tabs>
          <w:tab w:leader="none" w:pos="26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number of shares that each of CALC IV LP and Citadel Securities GP LLC may be deemed to beneficially own constitutes less than 0.1% of the ordinary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type w:val="continuous"/>
        </w:sectPr>
      </w:pPr>
    </w:p>
    <w:bookmarkStart w:id="11" w:name="page12"/>
    <w:bookmarkEnd w:id="11"/>
    <w:p>
      <w:pPr>
        <w:spacing w:after="0" w:line="209" w:lineRule="auto"/>
        <w:framePr w:w="1760" w:h="160" w:wrap="auto" w:vAnchor="page" w:hAnchor="page" w:x="560" w:y="992"/>
        <w:rPr>
          <w:rFonts w:ascii="Arial" w:cs="Arial" w:eastAsia="Arial" w:hAnsi="Arial"/>
          <w:sz w:val="16"/>
          <w:szCs w:val="16"/>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196" w:lineRule="auto"/>
        <w:framePr w:w="280" w:h="160" w:wrap="auto" w:vAnchor="page" w:hAnchor="page" w:x="2240" w:y="1492"/>
        <w:rPr>
          <w:rFonts w:ascii="Arial" w:cs="Arial" w:eastAsia="Arial" w:hAnsi="Arial"/>
          <w:sz w:val="17"/>
          <w:szCs w:val="17"/>
          <w:color w:val="auto"/>
        </w:rPr>
      </w:pPr>
      <w:r>
        <w:rPr>
          <w:rFonts w:ascii="Arial" w:cs="Arial" w:eastAsia="Arial" w:hAnsi="Arial"/>
          <w:sz w:val="17"/>
          <w:szCs w:val="17"/>
          <w:color w:val="auto"/>
        </w:rPr>
        <w:t>(c)</w:t>
      </w:r>
    </w:p>
    <w:p>
      <w:pPr>
        <w:ind w:left="37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59840" cy="222885"/>
                    </a:xfrm>
                    <a:prstGeom prst="rect">
                      <a:avLst/>
                    </a:prstGeom>
                    <a:noFill/>
                  </pic:spPr>
                </pic:pic>
              </a:graphicData>
            </a:graphic>
          </wp:anchor>
        </w:drawing>
        <w:t>13G/A</w:t>
      </w:r>
    </w:p>
    <w:p>
      <w:pPr>
        <w:spacing w:after="0" w:line="20" w:lineRule="exact"/>
        <w:rPr>
          <w:rFonts w:ascii="Arial" w:cs="Arial" w:eastAsia="Arial" w:hAnsi="Arial"/>
          <w:sz w:val="17"/>
          <w:szCs w:val="17"/>
          <w:color w:val="auto"/>
        </w:rPr>
      </w:pPr>
      <w:r>
        <w:rPr>
          <w:rFonts w:ascii="Arial" w:cs="Arial" w:eastAsia="Arial" w:hAnsi="Arial"/>
          <w:sz w:val="17"/>
          <w:szCs w:val="17"/>
          <w:color w:val="auto"/>
        </w:rPr>
        <w:br w:type="column"/>
      </w:r>
    </w:p>
    <w:p>
      <w:pPr>
        <w:spacing w:after="0"/>
        <w:rPr>
          <w:sz w:val="20"/>
          <w:szCs w:val="20"/>
          <w:color w:val="auto"/>
        </w:rPr>
      </w:pPr>
      <w:r>
        <w:rPr>
          <w:rFonts w:ascii="Arial" w:cs="Arial" w:eastAsia="Arial" w:hAnsi="Arial"/>
          <w:sz w:val="15"/>
          <w:szCs w:val="15"/>
          <w:color w:val="auto"/>
        </w:rPr>
        <w:t>Page 12 of 14 Pages</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05" w:lineRule="exact"/>
        <w:rPr>
          <w:rFonts w:ascii="Arial" w:cs="Arial" w:eastAsia="Arial" w:hAnsi="Arial"/>
          <w:sz w:val="17"/>
          <w:szCs w:val="17"/>
          <w:color w:val="auto"/>
        </w:rPr>
      </w:pPr>
    </w:p>
    <w:p>
      <w:pPr>
        <w:sectPr>
          <w:pgSz w:w="11900" w:h="16838" w:orient="portrait"/>
          <w:cols w:equalWidth="0" w:num="2">
            <w:col w:w="6420" w:space="720"/>
            <w:col w:w="2440"/>
          </w:cols>
          <w:pgMar w:left="1440" w:top="958" w:right="879" w:bottom="1440" w:gutter="0" w:footer="0" w:header="0"/>
        </w:sectPr>
      </w:pPr>
    </w:p>
    <w:p>
      <w:pPr>
        <w:spacing w:after="0" w:line="122" w:lineRule="exact"/>
        <w:rPr>
          <w:rFonts w:ascii="Arial" w:cs="Arial" w:eastAsia="Arial" w:hAnsi="Arial"/>
          <w:sz w:val="17"/>
          <w:szCs w:val="17"/>
          <w:color w:val="auto"/>
        </w:rPr>
      </w:pPr>
    </w:p>
    <w:p>
      <w:pPr>
        <w:ind w:left="1520"/>
        <w:spacing w:after="0"/>
        <w:rPr>
          <w:sz w:val="20"/>
          <w:szCs w:val="20"/>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7"/>
          <w:szCs w:val="17"/>
          <w:color w:val="auto"/>
        </w:rPr>
      </w:pPr>
    </w:p>
    <w:p>
      <w:pPr>
        <w:ind w:left="2120" w:hanging="640"/>
        <w:spacing w:after="0"/>
        <w:tabs>
          <w:tab w:leader="none" w:pos="21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shared power to vote or to direct the vote: 22,955</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4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22,955</w:t>
      </w:r>
    </w:p>
    <w:p>
      <w:pPr>
        <w:spacing w:after="0" w:line="225"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7"/>
          <w:szCs w:val="17"/>
          <w:color w:val="auto"/>
        </w:rPr>
        <w:t>Kenneth Griffin</w:t>
      </w:r>
    </w:p>
    <w:p>
      <w:pPr>
        <w:spacing w:after="0" w:line="225" w:lineRule="exact"/>
        <w:rPr>
          <w:rFonts w:ascii="Arial" w:cs="Arial" w:eastAsia="Arial" w:hAnsi="Arial"/>
          <w:sz w:val="18"/>
          <w:szCs w:val="18"/>
          <w:color w:val="auto"/>
        </w:rPr>
      </w:pPr>
    </w:p>
    <w:p>
      <w:pPr>
        <w:ind w:left="1480" w:hanging="648"/>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Mr. Griffin may be deemed to beneficially own 30,930,386 ordinary shares.</w:t>
      </w:r>
    </w:p>
    <w:p>
      <w:pPr>
        <w:spacing w:after="0" w:line="225" w:lineRule="exact"/>
        <w:rPr>
          <w:rFonts w:ascii="Arial" w:cs="Arial" w:eastAsia="Arial" w:hAnsi="Arial"/>
          <w:sz w:val="18"/>
          <w:szCs w:val="18"/>
          <w:color w:val="auto"/>
        </w:rPr>
      </w:pPr>
    </w:p>
    <w:p>
      <w:pPr>
        <w:ind w:left="1480" w:hanging="648"/>
        <w:spacing w:after="0" w:line="277" w:lineRule="auto"/>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number of shares that Mr. Griffin may be deemed to beneficially own constitutes approximately 8.9% of the ordinary shares outstanding.</w:t>
      </w:r>
    </w:p>
    <w:p>
      <w:pPr>
        <w:spacing w:after="0" w:line="170" w:lineRule="exact"/>
        <w:rPr>
          <w:rFonts w:ascii="Arial" w:cs="Arial" w:eastAsia="Arial" w:hAnsi="Arial"/>
          <w:sz w:val="18"/>
          <w:szCs w:val="18"/>
          <w:color w:val="auto"/>
        </w:rPr>
      </w:pPr>
    </w:p>
    <w:p>
      <w:pPr>
        <w:ind w:left="1480" w:hanging="648"/>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shared power to vote or to direct the vote: 30,930,386</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120" w:hanging="640"/>
        <w:spacing w:after="0"/>
        <w:tabs>
          <w:tab w:leader="none" w:pos="21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30,930,386</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580"/>
          </w:cols>
          <w:pgMar w:left="1440" w:top="958" w:right="879" w:bottom="1440" w:gutter="0" w:footer="0" w:header="0"/>
          <w:type w:val="continuous"/>
        </w:sectPr>
      </w:pPr>
    </w:p>
    <w:bookmarkStart w:id="12" w:name="page13"/>
    <w:bookmarkEnd w:id="12"/>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13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80" w:space="720"/>
            <w:col w:w="2640" w:space="720"/>
            <w:col w:w="2980"/>
          </w:cols>
          <w:pgMar w:left="320" w:top="958" w:right="339" w:bottom="1440" w:gutter="0" w:footer="0" w:header="0"/>
        </w:sectPr>
      </w:pP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85"/>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940" w:type="dxa"/>
            <w:vAlign w:val="bottom"/>
          </w:tcPr>
          <w:p>
            <w:pPr>
              <w:spacing w:after="0"/>
              <w:rPr>
                <w:sz w:val="24"/>
                <w:szCs w:val="24"/>
                <w:color w:val="auto"/>
              </w:rPr>
            </w:pPr>
          </w:p>
        </w:tc>
        <w:tc>
          <w:tcPr>
            <w:tcW w:w="10300" w:type="dxa"/>
            <w:vAlign w:val="bottom"/>
          </w:tcPr>
          <w:p>
            <w:pPr>
              <w:ind w:left="36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r>
      <w:tr>
        <w:trPr>
          <w:trHeight w:val="412"/>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Company</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See Item 2 above</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Not Applicable</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00" w:type="dxa"/>
            <w:vAlign w:val="bottom"/>
          </w:tcPr>
          <w:p>
            <w:pPr>
              <w:ind w:left="360"/>
              <w:spacing w:after="0"/>
              <w:rPr>
                <w:sz w:val="20"/>
                <w:szCs w:val="20"/>
                <w:color w:val="auto"/>
              </w:rPr>
            </w:pPr>
            <w:r>
              <w:rPr>
                <w:rFonts w:ascii="Arial" w:cs="Arial" w:eastAsia="Arial" w:hAnsi="Arial"/>
                <w:sz w:val="18"/>
                <w:szCs w:val="18"/>
                <w:b w:val="1"/>
                <w:bCs w:val="1"/>
                <w:color w:val="auto"/>
              </w:rPr>
              <w:t>Certification</w:t>
            </w:r>
          </w:p>
        </w:tc>
      </w:tr>
      <w:tr>
        <w:trPr>
          <w:trHeight w:val="418"/>
        </w:trPr>
        <w:tc>
          <w:tcPr>
            <w:tcW w:w="940" w:type="dxa"/>
            <w:vAlign w:val="bottom"/>
          </w:tcPr>
          <w:p>
            <w:pPr>
              <w:spacing w:after="0"/>
              <w:rPr>
                <w:sz w:val="24"/>
                <w:szCs w:val="24"/>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4"/>
              </w:rPr>
              <w:t>By signing below I certify that, to the best of my knowledge and belief, the securities referred to above were not acquired and are not</w:t>
            </w:r>
          </w:p>
        </w:tc>
      </w:tr>
      <w:tr>
        <w:trPr>
          <w:trHeight w:val="216"/>
        </w:trPr>
        <w:tc>
          <w:tcPr>
            <w:tcW w:w="940" w:type="dxa"/>
            <w:vAlign w:val="bottom"/>
          </w:tcPr>
          <w:p>
            <w:pPr>
              <w:spacing w:after="0"/>
              <w:rPr>
                <w:sz w:val="18"/>
                <w:szCs w:val="18"/>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w w:val="92"/>
              </w:rPr>
              <w:t>held for the purpose of or with the effect of changing or influencing the control of the issuer of the securities and were not acquired and</w:t>
            </w:r>
          </w:p>
        </w:tc>
      </w:tr>
      <w:tr>
        <w:trPr>
          <w:trHeight w:val="230"/>
        </w:trPr>
        <w:tc>
          <w:tcPr>
            <w:tcW w:w="940" w:type="dxa"/>
            <w:vAlign w:val="bottom"/>
          </w:tcPr>
          <w:p>
            <w:pPr>
              <w:spacing w:after="0"/>
              <w:rPr>
                <w:sz w:val="20"/>
                <w:szCs w:val="20"/>
                <w:color w:val="auto"/>
              </w:rPr>
            </w:pPr>
          </w:p>
        </w:tc>
        <w:tc>
          <w:tcPr>
            <w:tcW w:w="10300" w:type="dxa"/>
            <w:vAlign w:val="bottom"/>
          </w:tcPr>
          <w:p>
            <w:pPr>
              <w:ind w:left="360"/>
              <w:spacing w:after="0"/>
              <w:rPr>
                <w:sz w:val="20"/>
                <w:szCs w:val="20"/>
                <w:color w:val="auto"/>
              </w:rPr>
            </w:pPr>
            <w:r>
              <w:rPr>
                <w:rFonts w:ascii="Arial" w:cs="Arial" w:eastAsia="Arial" w:hAnsi="Arial"/>
                <w:sz w:val="18"/>
                <w:szCs w:val="18"/>
                <w:color w:val="auto"/>
              </w:rPr>
              <w:t>are not held in connection with or as a participant in any transaction having that purpose or effect.</w:t>
            </w:r>
          </w:p>
        </w:tc>
      </w:tr>
      <w:tr>
        <w:trPr>
          <w:trHeight w:val="432"/>
        </w:trPr>
        <w:tc>
          <w:tcPr>
            <w:tcW w:w="940" w:type="dxa"/>
            <w:vAlign w:val="bottom"/>
            <w:tcBorders>
              <w:bottom w:val="single" w:sz="8" w:color="auto"/>
            </w:tcBorders>
          </w:tcPr>
          <w:p>
            <w:pPr>
              <w:spacing w:after="0"/>
              <w:rPr>
                <w:sz w:val="24"/>
                <w:szCs w:val="24"/>
                <w:color w:val="auto"/>
              </w:rPr>
            </w:pPr>
          </w:p>
        </w:tc>
        <w:tc>
          <w:tcPr>
            <w:tcW w:w="10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58" w:right="339" w:bottom="1440" w:gutter="0" w:footer="0" w:header="0"/>
          <w:type w:val="continuous"/>
        </w:sectPr>
      </w:pPr>
    </w:p>
    <w:bookmarkStart w:id="13" w:name="page14"/>
    <w:bookmarkEnd w:id="1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319405</wp:posOffset>
            </wp:positionH>
            <wp:positionV relativeFrom="page">
              <wp:posOffset>586105</wp:posOffset>
            </wp:positionV>
            <wp:extent cx="1259840" cy="222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59840" cy="22288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6"/>
          <w:szCs w:val="16"/>
          <w:color w:val="auto"/>
        </w:rPr>
        <w:t>CUSIP N</w:t>
      </w:r>
      <w:r>
        <w:rPr>
          <w:rFonts w:ascii="Arial" w:cs="Arial" w:eastAsia="Arial" w:hAnsi="Arial"/>
          <w:sz w:val="11"/>
          <w:szCs w:val="11"/>
          <w:color w:val="auto"/>
        </w:rPr>
        <w:t>O</w:t>
      </w:r>
      <w:r>
        <w:rPr>
          <w:rFonts w:ascii="Arial" w:cs="Arial" w:eastAsia="Arial" w:hAnsi="Arial"/>
          <w:sz w:val="16"/>
          <w:szCs w:val="16"/>
          <w:color w:val="auto"/>
        </w:rPr>
        <w:t>. 589492107</w:t>
      </w:r>
    </w:p>
    <w:p>
      <w:pPr>
        <w:spacing w:after="0" w:line="20" w:lineRule="exact"/>
        <w:rPr>
          <w:sz w:val="20"/>
          <w:szCs w:val="20"/>
          <w:color w:val="auto"/>
        </w:rPr>
      </w:pPr>
      <w:r>
        <w:rPr>
          <w:sz w:val="20"/>
          <w:szCs w:val="20"/>
          <w:color w:val="auto"/>
        </w:rPr>
        <w:br w:type="column"/>
      </w:r>
    </w:p>
    <w:p>
      <w:pPr>
        <w:jc w:val="center"/>
        <w:ind w:right="2140"/>
        <w:spacing w:after="0"/>
        <w:rPr>
          <w:sz w:val="20"/>
          <w:szCs w:val="20"/>
          <w:color w:val="auto"/>
        </w:rPr>
      </w:pPr>
      <w:r>
        <w:rPr>
          <w:rFonts w:ascii="Arial" w:cs="Arial" w:eastAsia="Arial" w:hAnsi="Arial"/>
          <w:sz w:val="17"/>
          <w:szCs w:val="17"/>
          <w:b w:val="1"/>
          <w:bCs w:val="1"/>
          <w:color w:val="auto"/>
        </w:rPr>
        <w:t>13G/A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Page 14 of 14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-142875</wp:posOffset>
            </wp:positionV>
            <wp:extent cx="1388745" cy="222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8745" cy="22288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3">
            <w:col w:w="4180" w:space="720"/>
            <w:col w:w="2640" w:space="720"/>
            <w:col w:w="2980"/>
          </w:cols>
          <w:pgMar w:left="320" w:top="958" w:right="339" w:bottom="1440" w:gutter="0" w:footer="0" w:header="0"/>
        </w:sectPr>
      </w:pPr>
    </w:p>
    <w:p>
      <w:pPr>
        <w:spacing w:after="0" w:line="11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Dated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HOLDINGS LP</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GP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bl>
    <w:p>
      <w:pPr>
        <w:spacing w:after="0" w:line="1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KENNETH GRIFFIN</w:t>
      </w:r>
    </w:p>
    <w:p>
      <w:pPr>
        <w:spacing w:after="0" w:line="229"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Gregory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Gregory Johnson, attorney-in-fact</w:t>
      </w:r>
      <w:r>
        <w:rPr>
          <w:rFonts w:ascii="Arial" w:cs="Arial" w:eastAsia="Arial" w:hAnsi="Arial"/>
          <w:sz w:val="29"/>
          <w:szCs w:val="29"/>
          <w:u w:val="single" w:color="auto"/>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50" w:lineRule="exact"/>
        <w:rPr>
          <w:sz w:val="20"/>
          <w:szCs w:val="20"/>
          <w:color w:val="auto"/>
        </w:rPr>
      </w:pPr>
    </w:p>
    <w:p>
      <w:pPr>
        <w:ind w:left="340" w:right="100" w:hanging="332"/>
        <w:spacing w:after="0" w:line="263" w:lineRule="auto"/>
        <w:tabs>
          <w:tab w:leader="none" w:pos="340" w:val="left"/>
        </w:tabs>
        <w:numPr>
          <w:ilvl w:val="0"/>
          <w:numId w:val="42"/>
        </w:numPr>
        <w:rPr>
          <w:rFonts w:ascii="Arial" w:cs="Arial" w:eastAsia="Arial" w:hAnsi="Arial"/>
          <w:sz w:val="18"/>
          <w:szCs w:val="18"/>
          <w:u w:val="single" w:color="auto"/>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14" w:name="page15"/>
    <w:bookmarkEnd w:id="14"/>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13G/A filed herewith (and any amendments thereto), relating to the ordinary shares of Mereo BioPharma Group plc, an England and Wales corporation, is being filed jointly with the Securities and Exchange Commission pursuant to Rule 13d-1(c) under the Securities Exchange Act of 1934, as amended, on behalf of each of the undersigned.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this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2021.</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CALC IV LP</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ADVISORS HOLDINGS LP</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r>
        <w:trPr>
          <w:trHeight w:val="418"/>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720" w:type="dxa"/>
            <w:vAlign w:val="bottom"/>
            <w:gridSpan w:val="2"/>
          </w:tcPr>
          <w:p>
            <w:pPr>
              <w:ind w:left="220"/>
              <w:spacing w:after="0"/>
              <w:rPr>
                <w:sz w:val="20"/>
                <w:szCs w:val="20"/>
                <w:color w:val="auto"/>
              </w:rPr>
            </w:pPr>
            <w:r>
              <w:rPr>
                <w:rFonts w:ascii="Arial" w:cs="Arial" w:eastAsia="Arial" w:hAnsi="Arial"/>
                <w:sz w:val="18"/>
                <w:szCs w:val="18"/>
                <w:b w:val="1"/>
                <w:bCs w:val="1"/>
                <w:color w:val="auto"/>
              </w:rPr>
              <w:t>CITADEL GP LLC</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680" w:type="dxa"/>
            <w:vAlign w:val="bottom"/>
          </w:tcPr>
          <w:p>
            <w:pPr>
              <w:ind w:left="2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Johnson</w:t>
            </w:r>
          </w:p>
        </w:tc>
      </w:tr>
      <w:tr>
        <w:trPr>
          <w:trHeight w:val="224"/>
        </w:trPr>
        <w:tc>
          <w:tcPr>
            <w:tcW w:w="46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6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Gregory Johnson, Authorized Signatory</w:t>
            </w:r>
          </w:p>
        </w:tc>
      </w:tr>
    </w:tbl>
    <w:p>
      <w:pPr>
        <w:spacing w:after="0" w:line="1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KENNETH GRIFFIN</w:t>
      </w:r>
    </w:p>
    <w:p>
      <w:pPr>
        <w:spacing w:after="0" w:line="229"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Gregory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Gregory Johnson, attorney-in-fact</w:t>
      </w:r>
      <w:r>
        <w:rPr>
          <w:rFonts w:ascii="Arial" w:cs="Arial" w:eastAsia="Arial" w:hAnsi="Arial"/>
          <w:sz w:val="29"/>
          <w:szCs w:val="29"/>
          <w:u w:val="single" w:color="auto"/>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7830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0" w:lineRule="exact"/>
        <w:rPr>
          <w:sz w:val="20"/>
          <w:szCs w:val="20"/>
          <w:color w:val="auto"/>
        </w:rPr>
      </w:pPr>
    </w:p>
    <w:p>
      <w:pPr>
        <w:ind w:left="340" w:right="100" w:hanging="332"/>
        <w:spacing w:after="0" w:line="263" w:lineRule="auto"/>
        <w:tabs>
          <w:tab w:leader="none" w:pos="340" w:val="left"/>
        </w:tabs>
        <w:numPr>
          <w:ilvl w:val="0"/>
          <w:numId w:val="43"/>
        </w:numPr>
        <w:rPr>
          <w:rFonts w:ascii="Arial" w:cs="Arial" w:eastAsia="Arial" w:hAnsi="Arial"/>
          <w:sz w:val="18"/>
          <w:szCs w:val="18"/>
          <w:u w:val="single" w:color="auto"/>
          <w:color w:val="auto"/>
        </w:rPr>
      </w:pPr>
      <w:r>
        <w:rPr>
          <w:rFonts w:ascii="Arial" w:cs="Arial" w:eastAsia="Arial" w:hAnsi="Arial"/>
          <w:sz w:val="18"/>
          <w:szCs w:val="18"/>
          <w:color w:val="auto"/>
        </w:rPr>
        <w:t>Gregory Johnson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Jaws Acquisition Corp. on February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decimal"/>
      <w:start w:val="1"/>
    </w:lvl>
  </w:abstractNum>
  <w:abstractNum w:abstractNumId="2">
    <w:nsid w:val="2D1D5AE9"/>
    <w:multiLevelType w:val="hybridMultilevel"/>
    <w:lvl w:ilvl="0">
      <w:lvlJc w:val="left"/>
      <w:lvlText w:val="%1."/>
      <w:numFmt w:val="decimal"/>
      <w:start w:val="3"/>
    </w:lvl>
  </w:abstractNum>
  <w:abstractNum w:abstractNumId="3">
    <w:nsid w:val="6763845E"/>
    <w:multiLevelType w:val="hybridMultilevel"/>
    <w:lvl w:ilvl="0">
      <w:lvlJc w:val="left"/>
      <w:lvlText w:val="%1."/>
      <w:numFmt w:val="decimal"/>
      <w:start w:val="5"/>
    </w:lvl>
  </w:abstractNum>
  <w:abstractNum w:abstractNumId="4">
    <w:nsid w:val="75A2A8D4"/>
    <w:multiLevelType w:val="hybridMultilevel"/>
    <w:lvl w:ilvl="0">
      <w:lvlJc w:val="left"/>
      <w:lvlText w:val="%1."/>
      <w:numFmt w:val="decimal"/>
      <w:start w:val="9"/>
    </w:lvl>
  </w:abstractNum>
  <w:abstractNum w:abstractNumId="5">
    <w:nsid w:val="8EDBDAB"/>
    <w:multiLevelType w:val="hybridMultilevel"/>
    <w:lvl w:ilvl="0">
      <w:lvlJc w:val="left"/>
      <w:lvlText w:val="%1."/>
      <w:numFmt w:val="decimal"/>
      <w:start w:val="11"/>
    </w:lvl>
  </w:abstractNum>
  <w:abstractNum w:abstractNumId="6">
    <w:nsid w:val="79838CB2"/>
    <w:multiLevelType w:val="hybridMultilevel"/>
    <w:lvl w:ilvl="0">
      <w:lvlJc w:val="left"/>
      <w:lvlText w:val="1"/>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1."/>
      <w:numFmt w:val="decimal"/>
      <w:start w:val="3"/>
    </w:lvl>
  </w:abstractNum>
  <w:abstractNum w:abstractNumId="9">
    <w:nsid w:val="189A769B"/>
    <w:multiLevelType w:val="hybridMultilevel"/>
    <w:lvl w:ilvl="0">
      <w:lvlJc w:val="left"/>
      <w:lvlText w:val="%1."/>
      <w:numFmt w:val="decimal"/>
      <w:start w:val="5"/>
    </w:lvl>
  </w:abstractNum>
  <w:abstractNum w:abstractNumId="10">
    <w:nsid w:val="54E49EB4"/>
    <w:multiLevelType w:val="hybridMultilevel"/>
    <w:lvl w:ilvl="0">
      <w:lvlJc w:val="left"/>
      <w:lvlText w:val="%1."/>
      <w:numFmt w:val="decimal"/>
      <w:start w:val="9"/>
    </w:lvl>
  </w:abstractNum>
  <w:abstractNum w:abstractNumId="11">
    <w:nsid w:val="71F32454"/>
    <w:multiLevelType w:val="hybridMultilevel"/>
    <w:lvl w:ilvl="0">
      <w:lvlJc w:val="left"/>
      <w:lvlText w:val="%1."/>
      <w:numFmt w:val="decimal"/>
      <w:start w:val="1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3"/>
    </w:lvl>
  </w:abstractNum>
  <w:abstractNum w:abstractNumId="14">
    <w:nsid w:val="2901D82"/>
    <w:multiLevelType w:val="hybridMultilevel"/>
    <w:lvl w:ilvl="0">
      <w:lvlJc w:val="left"/>
      <w:lvlText w:val="%1."/>
      <w:numFmt w:val="decimal"/>
      <w:start w:val="5"/>
    </w:lvl>
  </w:abstractNum>
  <w:abstractNum w:abstractNumId="15">
    <w:nsid w:val="3A95F874"/>
    <w:multiLevelType w:val="hybridMultilevel"/>
    <w:lvl w:ilvl="0">
      <w:lvlJc w:val="left"/>
      <w:lvlText w:val="%1."/>
      <w:numFmt w:val="decimal"/>
      <w:start w:val="9"/>
    </w:lvl>
  </w:abstractNum>
  <w:abstractNum w:abstractNumId="16">
    <w:nsid w:val="8138641"/>
    <w:multiLevelType w:val="hybridMultilevel"/>
    <w:lvl w:ilvl="0">
      <w:lvlJc w:val="left"/>
      <w:lvlText w:val="%1."/>
      <w:numFmt w:val="decimal"/>
      <w:start w:val="1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3"/>
    </w:lvl>
  </w:abstractNum>
  <w:abstractNum w:abstractNumId="19">
    <w:nsid w:val="737B8DDC"/>
    <w:multiLevelType w:val="hybridMultilevel"/>
    <w:lvl w:ilvl="0">
      <w:lvlJc w:val="left"/>
      <w:lvlText w:val="%1."/>
      <w:numFmt w:val="decimal"/>
      <w:start w:val="5"/>
    </w:lvl>
  </w:abstractNum>
  <w:abstractNum w:abstractNumId="20">
    <w:nsid w:val="6CEAF087"/>
    <w:multiLevelType w:val="hybridMultilevel"/>
    <w:lvl w:ilvl="0">
      <w:lvlJc w:val="left"/>
      <w:lvlText w:val="%1."/>
      <w:numFmt w:val="decimal"/>
      <w:start w:val="9"/>
    </w:lvl>
  </w:abstractNum>
  <w:abstractNum w:abstractNumId="21">
    <w:nsid w:val="22221A70"/>
    <w:multiLevelType w:val="hybridMultilevel"/>
    <w:lvl w:ilvl="0">
      <w:lvlJc w:val="left"/>
      <w:lvlText w:val="%1."/>
      <w:numFmt w:val="decimal"/>
      <w:start w:val="1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3"/>
    </w:lvl>
  </w:abstractNum>
  <w:abstractNum w:abstractNumId="24">
    <w:nsid w:val="614FD4A1"/>
    <w:multiLevelType w:val="hybridMultilevel"/>
    <w:lvl w:ilvl="0">
      <w:lvlJc w:val="left"/>
      <w:lvlText w:val="%1."/>
      <w:numFmt w:val="decimal"/>
      <w:start w:val="5"/>
    </w:lvl>
  </w:abstractNum>
  <w:abstractNum w:abstractNumId="25">
    <w:nsid w:val="419AC241"/>
    <w:multiLevelType w:val="hybridMultilevel"/>
    <w:lvl w:ilvl="0">
      <w:lvlJc w:val="left"/>
      <w:lvlText w:val="%1."/>
      <w:numFmt w:val="decimal"/>
      <w:start w:val="9"/>
    </w:lvl>
  </w:abstractNum>
  <w:abstractNum w:abstractNumId="26">
    <w:nsid w:val="5577F8E1"/>
    <w:multiLevelType w:val="hybridMultilevel"/>
    <w:lvl w:ilvl="0">
      <w:lvlJc w:val="left"/>
      <w:lvlText w:val="%1."/>
      <w:numFmt w:val="decimal"/>
      <w:start w:val="1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3"/>
    </w:lvl>
  </w:abstractNum>
  <w:abstractNum w:abstractNumId="29">
    <w:nsid w:val="3804823E"/>
    <w:multiLevelType w:val="hybridMultilevel"/>
    <w:lvl w:ilvl="0">
      <w:lvlJc w:val="left"/>
      <w:lvlText w:val="%1."/>
      <w:numFmt w:val="decimal"/>
      <w:start w:val="5"/>
    </w:lvl>
  </w:abstractNum>
  <w:abstractNum w:abstractNumId="30">
    <w:nsid w:val="77465F01"/>
    <w:multiLevelType w:val="hybridMultilevel"/>
    <w:lvl w:ilvl="0">
      <w:lvlJc w:val="left"/>
      <w:lvlText w:val="%1."/>
      <w:numFmt w:val="decimal"/>
      <w:start w:val="9"/>
    </w:lvl>
  </w:abstractNum>
  <w:abstractNum w:abstractNumId="31">
    <w:nsid w:val="7724C67E"/>
    <w:multiLevelType w:val="hybridMultilevel"/>
    <w:lvl w:ilvl="0">
      <w:lvlJc w:val="left"/>
      <w:lvlText w:val="%1."/>
      <w:numFmt w:val="decimal"/>
      <w:start w:val="1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3"/>
    </w:lvl>
  </w:abstractNum>
  <w:abstractNum w:abstractNumId="34">
    <w:nsid w:val="5E884ADC"/>
    <w:multiLevelType w:val="hybridMultilevel"/>
    <w:lvl w:ilvl="0">
      <w:lvlJc w:val="left"/>
      <w:lvlText w:val="%1."/>
      <w:numFmt w:val="decimal"/>
      <w:start w:val="5"/>
    </w:lvl>
  </w:abstractNum>
  <w:abstractNum w:abstractNumId="35">
    <w:nsid w:val="51EAD36B"/>
    <w:multiLevelType w:val="hybridMultilevel"/>
    <w:lvl w:ilvl="0">
      <w:lvlJc w:val="left"/>
      <w:lvlText w:val="%1."/>
      <w:numFmt w:val="decimal"/>
      <w:start w:val="9"/>
    </w:lvl>
  </w:abstractNum>
  <w:abstractNum w:abstractNumId="36">
    <w:nsid w:val="2D517796"/>
    <w:multiLevelType w:val="hybridMultilevel"/>
    <w:lvl w:ilvl="0">
      <w:lvlJc w:val="left"/>
      <w:lvlText w:val="%1."/>
      <w:numFmt w:val="decimal"/>
      <w:start w:val="11"/>
    </w:lvl>
  </w:abstractNum>
  <w:abstractNum w:abstractNumId="37">
    <w:nsid w:val="580BD78F"/>
    <w:multiLevelType w:val="hybridMultilevel"/>
    <w:lvl w:ilvl="0">
      <w:lvlJc w:val="left"/>
      <w:lvlText w:val="(%1)"/>
      <w:numFmt w:val="lowerLetter"/>
      <w:start w:val="1"/>
    </w:lvl>
  </w:abstractNum>
  <w:abstractNum w:abstractNumId="38">
    <w:nsid w:val="153EA43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9">
    <w:nsid w:val="3855585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0">
    <w:nsid w:val="70A64E2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2021-02-16T16:19:28Z</dcterms:created>
  <dcterms:modified xsi:type="dcterms:W3CDTF">2021-02-16T16:19:28Z</dcterms:modified>
</cp:coreProperties>
</file>