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March 6, 2020</w:t>
      </w:r>
    </w:p>
    <w:p>
      <w:pPr>
        <w:spacing w:after="0" w:line="18" w:lineRule="exact"/>
        <w:rPr>
          <w:sz w:val="24"/>
          <w:szCs w:val="24"/>
          <w:color w:val="auto"/>
        </w:rPr>
      </w:pPr>
    </w:p>
    <w:p>
      <w:pPr>
        <w:ind w:left="8740"/>
        <w:spacing w:after="0"/>
        <w:rPr>
          <w:sz w:val="20"/>
          <w:szCs w:val="20"/>
          <w:color w:val="auto"/>
        </w:rPr>
      </w:pPr>
      <w:r>
        <w:rPr>
          <w:rFonts w:ascii="Arial" w:cs="Arial" w:eastAsia="Arial" w:hAnsi="Arial"/>
          <w:sz w:val="17"/>
          <w:szCs w:val="17"/>
          <w:b w:val="1"/>
          <w:bCs w:val="1"/>
          <w:color w:val="auto"/>
        </w:rPr>
        <w:t>Registration No. 333-236497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177800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Amendment No. 1</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to</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F-1</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169545</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MEREO BIOPHARMA GROUP PLC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(Translation of Registrant’s Name into English)</w:t>
      </w:r>
    </w:p>
    <w:p>
      <w:pPr>
        <w:spacing w:after="0" w:line="216"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2540" w:type="dxa"/>
            <w:vAlign w:val="bottom"/>
          </w:tcPr>
          <w:p>
            <w:pPr>
              <w:jc w:val="center"/>
              <w:ind w:right="582"/>
              <w:spacing w:after="0"/>
              <w:rPr>
                <w:sz w:val="20"/>
                <w:szCs w:val="20"/>
                <w:color w:val="auto"/>
              </w:rPr>
            </w:pPr>
            <w:r>
              <w:rPr>
                <w:rFonts w:ascii="Arial" w:cs="Arial" w:eastAsia="Arial" w:hAnsi="Arial"/>
                <w:sz w:val="18"/>
                <w:szCs w:val="18"/>
                <w:b w:val="1"/>
                <w:bCs w:val="1"/>
                <w:color w:val="auto"/>
                <w:w w:val="99"/>
              </w:rPr>
              <w:t>England and Wales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9"/>
              </w:rPr>
              <w:t>2834</w:t>
            </w:r>
          </w:p>
        </w:tc>
        <w:tc>
          <w:tcPr>
            <w:tcW w:w="2120" w:type="dxa"/>
            <w:vAlign w:val="bottom"/>
          </w:tcPr>
          <w:p>
            <w:pPr>
              <w:jc w:val="center"/>
              <w:ind w:left="622"/>
              <w:spacing w:after="0"/>
              <w:rPr>
                <w:sz w:val="20"/>
                <w:szCs w:val="20"/>
                <w:color w:val="auto"/>
              </w:rPr>
            </w:pPr>
            <w:r>
              <w:rPr>
                <w:rFonts w:ascii="Arial" w:cs="Arial" w:eastAsia="Arial" w:hAnsi="Arial"/>
                <w:sz w:val="18"/>
                <w:szCs w:val="18"/>
                <w:b w:val="1"/>
                <w:bCs w:val="1"/>
                <w:color w:val="auto"/>
                <w:w w:val="99"/>
              </w:rPr>
              <w:t>Not Applicable</w:t>
            </w:r>
          </w:p>
        </w:tc>
      </w:tr>
      <w:tr>
        <w:trPr>
          <w:trHeight w:val="162"/>
        </w:trPr>
        <w:tc>
          <w:tcPr>
            <w:tcW w:w="2540" w:type="dxa"/>
            <w:vAlign w:val="bottom"/>
          </w:tcPr>
          <w:p>
            <w:pPr>
              <w:jc w:val="center"/>
              <w:ind w:right="562"/>
              <w:spacing w:after="0"/>
              <w:rPr>
                <w:sz w:val="20"/>
                <w:szCs w:val="20"/>
                <w:color w:val="auto"/>
              </w:rPr>
            </w:pPr>
            <w:r>
              <w:rPr>
                <w:rFonts w:ascii="Arial" w:cs="Arial" w:eastAsia="Arial" w:hAnsi="Arial"/>
                <w:sz w:val="14"/>
                <w:szCs w:val="14"/>
                <w:color w:val="auto"/>
              </w:rPr>
              <w:t>(State or Other Jurisdiction of</w:t>
            </w:r>
          </w:p>
        </w:tc>
        <w:tc>
          <w:tcPr>
            <w:tcW w:w="4380" w:type="dxa"/>
            <w:vAlign w:val="bottom"/>
          </w:tcPr>
          <w:p>
            <w:pPr>
              <w:jc w:val="center"/>
              <w:ind w:right="2"/>
              <w:spacing w:after="0"/>
              <w:rPr>
                <w:sz w:val="20"/>
                <w:szCs w:val="20"/>
                <w:color w:val="auto"/>
              </w:rPr>
            </w:pPr>
            <w:r>
              <w:rPr>
                <w:rFonts w:ascii="Arial" w:cs="Arial" w:eastAsia="Arial" w:hAnsi="Arial"/>
                <w:sz w:val="14"/>
                <w:szCs w:val="14"/>
                <w:color w:val="auto"/>
              </w:rPr>
              <w:t>(Primary Standard Industrial Classification Code</w:t>
            </w:r>
          </w:p>
        </w:tc>
        <w:tc>
          <w:tcPr>
            <w:tcW w:w="2120" w:type="dxa"/>
            <w:vAlign w:val="bottom"/>
          </w:tcPr>
          <w:p>
            <w:pPr>
              <w:jc w:val="center"/>
              <w:ind w:left="622"/>
              <w:spacing w:after="0"/>
              <w:rPr>
                <w:sz w:val="20"/>
                <w:szCs w:val="20"/>
                <w:color w:val="auto"/>
              </w:rPr>
            </w:pPr>
            <w:r>
              <w:rPr>
                <w:rFonts w:ascii="Arial" w:cs="Arial" w:eastAsia="Arial" w:hAnsi="Arial"/>
                <w:sz w:val="14"/>
                <w:szCs w:val="14"/>
                <w:color w:val="auto"/>
              </w:rPr>
              <w:t>(I.R.S. Employer</w:t>
            </w:r>
          </w:p>
        </w:tc>
      </w:tr>
      <w:tr>
        <w:trPr>
          <w:trHeight w:val="172"/>
        </w:trPr>
        <w:tc>
          <w:tcPr>
            <w:tcW w:w="2540" w:type="dxa"/>
            <w:vAlign w:val="bottom"/>
          </w:tcPr>
          <w:p>
            <w:pPr>
              <w:jc w:val="center"/>
              <w:ind w:right="562"/>
              <w:spacing w:after="0"/>
              <w:rPr>
                <w:sz w:val="20"/>
                <w:szCs w:val="20"/>
                <w:color w:val="auto"/>
              </w:rPr>
            </w:pPr>
            <w:r>
              <w:rPr>
                <w:rFonts w:ascii="Arial" w:cs="Arial" w:eastAsia="Arial" w:hAnsi="Arial"/>
                <w:sz w:val="14"/>
                <w:szCs w:val="14"/>
                <w:color w:val="auto"/>
              </w:rPr>
              <w:t>Incorporation or Organization)</w:t>
            </w:r>
          </w:p>
        </w:tc>
        <w:tc>
          <w:tcPr>
            <w:tcW w:w="4380" w:type="dxa"/>
            <w:vAlign w:val="bottom"/>
          </w:tcPr>
          <w:p>
            <w:pPr>
              <w:jc w:val="center"/>
              <w:spacing w:after="0"/>
              <w:rPr>
                <w:sz w:val="20"/>
                <w:szCs w:val="20"/>
                <w:color w:val="auto"/>
              </w:rPr>
            </w:pPr>
            <w:r>
              <w:rPr>
                <w:rFonts w:ascii="Arial" w:cs="Arial" w:eastAsia="Arial" w:hAnsi="Arial"/>
                <w:sz w:val="14"/>
                <w:szCs w:val="14"/>
                <w:color w:val="auto"/>
              </w:rPr>
              <w:t>Number)</w:t>
            </w:r>
          </w:p>
        </w:tc>
        <w:tc>
          <w:tcPr>
            <w:tcW w:w="2120" w:type="dxa"/>
            <w:vAlign w:val="bottom"/>
          </w:tcPr>
          <w:p>
            <w:pPr>
              <w:jc w:val="center"/>
              <w:ind w:left="622"/>
              <w:spacing w:after="0"/>
              <w:rPr>
                <w:sz w:val="20"/>
                <w:szCs w:val="20"/>
                <w:color w:val="auto"/>
              </w:rPr>
            </w:pPr>
            <w:r>
              <w:rPr>
                <w:rFonts w:ascii="Arial" w:cs="Arial" w:eastAsia="Arial" w:hAnsi="Arial"/>
                <w:sz w:val="14"/>
                <w:szCs w:val="14"/>
                <w:color w:val="auto"/>
              </w:rPr>
              <w:t>Identification Number)</w:t>
            </w:r>
          </w:p>
        </w:tc>
      </w:tr>
    </w:tbl>
    <w:p>
      <w:pPr>
        <w:spacing w:after="0" w:line="1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Fourth Floor</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One Cavendish Place</w:t>
      </w:r>
    </w:p>
    <w:p>
      <w:pPr>
        <w:jc w:val="center"/>
        <w:ind w:right="-119"/>
        <w:spacing w:after="0" w:line="234" w:lineRule="auto"/>
        <w:rPr>
          <w:sz w:val="20"/>
          <w:szCs w:val="20"/>
          <w:color w:val="auto"/>
        </w:rPr>
      </w:pPr>
      <w:r>
        <w:rPr>
          <w:rFonts w:ascii="Arial" w:cs="Arial" w:eastAsia="Arial" w:hAnsi="Arial"/>
          <w:sz w:val="18"/>
          <w:szCs w:val="18"/>
          <w:b w:val="1"/>
          <w:bCs w:val="1"/>
          <w:color w:val="auto"/>
        </w:rPr>
        <w:t>London W1G 0QF UK</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+44 33 3023 7300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168910</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Mereo US Holdings Inc.</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251 Little Falls Drive</w:t>
      </w:r>
    </w:p>
    <w:p>
      <w:pPr>
        <w:jc w:val="center"/>
        <w:ind w:right="-119"/>
        <w:spacing w:after="0" w:line="234" w:lineRule="auto"/>
        <w:rPr>
          <w:sz w:val="20"/>
          <w:szCs w:val="20"/>
          <w:color w:val="auto"/>
        </w:rPr>
      </w:pPr>
      <w:r>
        <w:rPr>
          <w:rFonts w:ascii="Arial" w:cs="Arial" w:eastAsia="Arial" w:hAnsi="Arial"/>
          <w:sz w:val="18"/>
          <w:szCs w:val="18"/>
          <w:b w:val="1"/>
          <w:bCs w:val="1"/>
          <w:color w:val="auto"/>
        </w:rPr>
        <w:t>Wilmington, DE 19808</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+1 302 636 5401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David S. Bakst</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Mayer Brown LLP</w:t>
      </w:r>
    </w:p>
    <w:p>
      <w:pPr>
        <w:jc w:val="center"/>
        <w:ind w:right="-119"/>
        <w:spacing w:after="0" w:line="234" w:lineRule="auto"/>
        <w:rPr>
          <w:sz w:val="20"/>
          <w:szCs w:val="20"/>
          <w:color w:val="auto"/>
        </w:rPr>
      </w:pPr>
      <w:r>
        <w:rPr>
          <w:rFonts w:ascii="Arial" w:cs="Arial" w:eastAsia="Arial" w:hAnsi="Arial"/>
          <w:sz w:val="18"/>
          <w:szCs w:val="18"/>
          <w:b w:val="1"/>
          <w:bCs w:val="1"/>
          <w:color w:val="auto"/>
        </w:rPr>
        <w:t>1221 Avenue of the Americas</w:t>
      </w:r>
    </w:p>
    <w:p>
      <w:pPr>
        <w:jc w:val="center"/>
        <w:ind w:right="-119"/>
        <w:spacing w:after="0" w:line="235" w:lineRule="auto"/>
        <w:rPr>
          <w:sz w:val="20"/>
          <w:szCs w:val="20"/>
          <w:color w:val="auto"/>
        </w:rPr>
      </w:pPr>
      <w:r>
        <w:rPr>
          <w:rFonts w:ascii="Arial" w:cs="Arial" w:eastAsia="Arial" w:hAnsi="Arial"/>
          <w:sz w:val="18"/>
          <w:szCs w:val="18"/>
          <w:b w:val="1"/>
          <w:bCs w:val="1"/>
          <w:color w:val="auto"/>
        </w:rPr>
        <w:t>New York, New York 10020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+1 212 506 2500</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soon as practicable after the effective date of this Registration Statement.</w:t>
      </w:r>
    </w:p>
    <w:p>
      <w:pPr>
        <w:spacing w:after="0" w:line="217" w:lineRule="exact"/>
        <w:rPr>
          <w:sz w:val="24"/>
          <w:szCs w:val="24"/>
          <w:color w:val="auto"/>
        </w:rPr>
      </w:pPr>
    </w:p>
    <w:p>
      <w:pPr>
        <w:ind w:left="120" w:right="32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60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4162425</wp:posOffset>
            </wp:positionH>
            <wp:positionV relativeFrom="paragraph">
              <wp:posOffset>-27305</wp:posOffset>
            </wp:positionV>
            <wp:extent cx="431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1165" cy="8890"/>
                    </a:xfrm>
                    <a:prstGeom prst="rect">
                      <a:avLst/>
                    </a:prstGeom>
                    <a:noFill/>
                  </pic:spPr>
                </pic:pic>
              </a:graphicData>
            </a:graphic>
          </wp:anchor>
        </w:drawing>
      </w:r>
    </w:p>
    <w:p>
      <w:pPr>
        <w:spacing w:after="0" w:line="183"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3258185</wp:posOffset>
            </wp:positionH>
            <wp:positionV relativeFrom="paragraph">
              <wp:posOffset>-27305</wp:posOffset>
            </wp:positionV>
            <wp:extent cx="431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165" cy="8890"/>
                    </a:xfrm>
                    <a:prstGeom prst="rect">
                      <a:avLst/>
                    </a:prstGeom>
                    <a:noFill/>
                  </pic:spPr>
                </pic:pic>
              </a:graphicData>
            </a:graphic>
          </wp:anchor>
        </w:drawing>
      </w:r>
    </w:p>
    <w:p>
      <w:pPr>
        <w:spacing w:after="0" w:line="183"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3258185</wp:posOffset>
            </wp:positionH>
            <wp:positionV relativeFrom="paragraph">
              <wp:posOffset>-27305</wp:posOffset>
            </wp:positionV>
            <wp:extent cx="431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146" w:lineRule="exact"/>
        <w:rPr>
          <w:sz w:val="24"/>
          <w:szCs w:val="24"/>
          <w:color w:val="auto"/>
        </w:rPr>
      </w:pPr>
    </w:p>
    <w:p>
      <w:pPr>
        <w:ind w:left="120"/>
        <w:spacing w:after="0" w:line="161" w:lineRule="exact"/>
        <w:tabs>
          <w:tab w:leader="none" w:pos="10340" w:val="left"/>
        </w:tabs>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Emerging growth company</w:t>
      </w:r>
      <w:r>
        <w:rPr>
          <w:sz w:val="20"/>
          <w:szCs w:val="20"/>
          <w:color w:val="auto"/>
        </w:rPr>
        <w:tab/>
      </w:r>
      <w:r>
        <w:rPr>
          <w:rFonts w:ascii="MS PGothic" w:cs="MS PGothic" w:eastAsia="MS PGothic" w:hAnsi="MS PGothic"/>
          <w:sz w:val="12"/>
          <w:szCs w:val="12"/>
          <w:color w:val="auto"/>
        </w:rPr>
        <w:t>☒</w:t>
      </w:r>
    </w:p>
    <w:p>
      <w:pPr>
        <w:spacing w:after="0" w:line="268" w:lineRule="exact"/>
        <w:rPr>
          <w:sz w:val="24"/>
          <w:szCs w:val="24"/>
          <w:color w:val="auto"/>
        </w:rPr>
      </w:pPr>
    </w:p>
    <w:p>
      <w:pPr>
        <w:ind w:left="120" w:right="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160655</wp:posOffset>
            </wp:positionV>
            <wp:extent cx="1817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both"/>
        <w:ind w:left="120" w:right="22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169545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7"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40"/>
        <w:spacing w:after="0" w:line="274" w:lineRule="auto"/>
        <w:rPr>
          <w:sz w:val="20"/>
          <w:szCs w:val="20"/>
          <w:color w:val="auto"/>
        </w:rPr>
      </w:pPr>
      <w:r>
        <w:rPr>
          <w:rFonts w:ascii="Arial" w:cs="Arial" w:eastAsia="Arial" w:hAnsi="Arial"/>
          <w:sz w:val="17"/>
          <w:szCs w:val="17"/>
          <w:color w:val="CC062A"/>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260" w:type="dxa"/>
            <w:vAlign w:val="bottom"/>
          </w:tcPr>
          <w:p>
            <w:pPr>
              <w:spacing w:after="0"/>
              <w:rPr>
                <w:sz w:val="20"/>
                <w:szCs w:val="20"/>
                <w:color w:val="auto"/>
              </w:rPr>
            </w:pPr>
            <w:r>
              <w:rPr>
                <w:rFonts w:ascii="Arial" w:cs="Arial" w:eastAsia="Arial" w:hAnsi="Arial"/>
                <w:sz w:val="18"/>
                <w:szCs w:val="18"/>
                <w:b w:val="1"/>
                <w:bCs w:val="1"/>
                <w:color w:val="auto"/>
              </w:rPr>
              <w:t>PRELIMINARY PROSPECTUS (Subject to Completion)</w:t>
            </w:r>
          </w:p>
        </w:tc>
        <w:tc>
          <w:tcPr>
            <w:tcW w:w="3760" w:type="dxa"/>
            <w:vAlign w:val="bottom"/>
          </w:tcPr>
          <w:p>
            <w:pPr>
              <w:jc w:val="right"/>
              <w:spacing w:after="0"/>
              <w:rPr>
                <w:sz w:val="20"/>
                <w:szCs w:val="20"/>
                <w:color w:val="auto"/>
              </w:rPr>
            </w:pPr>
            <w:r>
              <w:rPr>
                <w:rFonts w:ascii="Arial" w:cs="Arial" w:eastAsia="Arial" w:hAnsi="Arial"/>
                <w:sz w:val="18"/>
                <w:szCs w:val="18"/>
                <w:b w:val="1"/>
                <w:bCs w:val="1"/>
                <w:color w:val="CC062A"/>
              </w:rPr>
              <w:t>Dated March</w:t>
            </w:r>
          </w:p>
        </w:tc>
      </w:tr>
      <w:tr>
        <w:trPr>
          <w:trHeight w:val="239"/>
        </w:trPr>
        <w:tc>
          <w:tcPr>
            <w:tcW w:w="726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CC062A"/>
              </w:rPr>
              <w:t>6, 2020</w:t>
            </w:r>
          </w:p>
        </w:tc>
      </w:tr>
      <w:tr>
        <w:trPr>
          <w:trHeight w:val="169"/>
        </w:trPr>
        <w:tc>
          <w:tcPr>
            <w:tcW w:w="7260" w:type="dxa"/>
            <w:vAlign w:val="bottom"/>
            <w:tcBorders>
              <w:bottom w:val="single" w:sz="8" w:color="334998"/>
            </w:tcBorders>
          </w:tcPr>
          <w:p>
            <w:pPr>
              <w:spacing w:after="0"/>
              <w:rPr>
                <w:sz w:val="14"/>
                <w:szCs w:val="14"/>
                <w:color w:val="auto"/>
              </w:rPr>
            </w:pPr>
          </w:p>
        </w:tc>
        <w:tc>
          <w:tcPr>
            <w:tcW w:w="3760" w:type="dxa"/>
            <w:vAlign w:val="bottom"/>
            <w:tcBorders>
              <w:bottom w:val="single" w:sz="8" w:color="334998"/>
            </w:tcBorders>
          </w:tcPr>
          <w:p>
            <w:pPr>
              <w:spacing w:after="0"/>
              <w:rPr>
                <w:sz w:val="14"/>
                <w:szCs w:val="14"/>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17,902,082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179705</wp:posOffset>
            </wp:positionV>
            <wp:extent cx="2468880" cy="899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888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Representing 89,510,410 Ordinary Shares</w:t>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prospectus relates to the sale of up to $28,300,000 or 17,902,082 American Depositary Shares (“ADSs”), which represent 89,510,410 of our ordinary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with each ADS representing five (5) of our ordinary shares, by Aspire Capital Fund, LLC (referred to in this prospectus as “Aspire Capital” or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“selling shareholder”) that we may issue at our option to Aspire Capital in the future, pursuant to a securities purchase agreement entered into with Aspire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 on February 10, 2020 (the “Purchase Agreement”), which consists of (i) 11,432,925 ordinary shares that may be exchanged for 2,286,585 ADSs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“Initial Shares”) that were issued to the selling shareholder for $0.26 per ordinary share (equivalent to $1.31 per ADS) for an aggregate amount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$3,000,000, (ii) 2,862,595 ordinary shares that may be exchanged for 572,519 ADSs (the “Commission Shares”) issued in satisfaction for the commission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fee due to Aspire Capital of $300,000 pursuant to the Purchase Agreement, and (iii) up to an additional $25,000,000 ordinary shares exchangeable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ADSs issuable to the selling shareholder under the Purchase Agreement for which we are registering 15,042,978 ADSs representing 75,214,890 ordinary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(calculated based on the average of the high and low sale price of our ordinary shares on the Alternative Investment Market (“AIM”) 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February 13, 2020 of £0.2575 per share, converted into U.S. dollars at the noon buying rate of the Federal Reserve Bank of New York on February 7,</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of $1.2908 to £1.0000). As of the date of this prospectus, the exact number of ordinary shares we may issue to the selling shareholder under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Agreement is not determinable because the actual purchase price per share will fluctuate based on the market price of our shares during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 of the Purchase Agreement.</w:t>
      </w:r>
    </w:p>
    <w:p>
      <w:pPr>
        <w:spacing w:after="0" w:line="221"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The ADSs may be evidenced by American Depositary Receipts (“ADRs”). Any proceeds that the Company receives under the Purchase Agreement are expected to be used for working capital and general corporate purposes.</w:t>
      </w:r>
    </w:p>
    <w:p>
      <w:pPr>
        <w:spacing w:after="0" w:line="19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prices at which the selling shareholder may sell the ADSs will be determined by the prevailing market price for the shares or in negotiated transactions. We will not receive proceeds from the sale of the ADSs by the selling shareholder. However, we may receive proceeds of up to $28.0 million from the sale of our ADSs to the selling shareholder pursuant to the Purchase Agreement, once the registration statement, of which this prospectus is a part, is declared effective, which includes $3.0 million that we received from the selling shareholder for the sale of the Initial Shares of 11,432,925 ordinary shares exchangeable for 2,286,585 ADSs to the selling shareholder.</w:t>
      </w:r>
    </w:p>
    <w:p>
      <w:pPr>
        <w:spacing w:after="0" w:line="203"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Aspire Capital is an “underwriter” within the meaning of the Securities Act. We will pay the expenses of registering these ADSs, but all selling and other expenses incurred by the selling shareholder will be paid by the selling shareholder.</w:t>
      </w:r>
    </w:p>
    <w:p>
      <w:pPr>
        <w:spacing w:after="0" w:line="195" w:lineRule="exact"/>
        <w:rPr>
          <w:sz w:val="20"/>
          <w:szCs w:val="20"/>
          <w:color w:val="auto"/>
        </w:rPr>
      </w:pPr>
    </w:p>
    <w:p>
      <w:pPr>
        <w:ind w:left="120" w:right="520"/>
        <w:spacing w:after="0" w:line="260" w:lineRule="auto"/>
        <w:rPr>
          <w:sz w:val="20"/>
          <w:szCs w:val="20"/>
          <w:color w:val="auto"/>
        </w:rPr>
      </w:pPr>
      <w:r>
        <w:rPr>
          <w:rFonts w:ascii="Arial" w:cs="Arial" w:eastAsia="Arial" w:hAnsi="Arial"/>
          <w:sz w:val="16"/>
          <w:szCs w:val="16"/>
          <w:color w:val="auto"/>
        </w:rPr>
        <w:t>Our ADSs trade on the Nasdaq Global Market (“Nasdaq”) under the symbol “MREO.” In addition, our ordinary shares trade on AIM, a market of the London Stock Exchange, under the symbol “MPH.”</w:t>
      </w:r>
    </w:p>
    <w:p>
      <w:pPr>
        <w:spacing w:after="0" w:line="195"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We are both an “emerging growth company” and a “foreign private issuer” as defined under the Securities Act of 1933, as amended, and, as such, are subject to reduced public company reporting requirements. See “Prospectus Summary—Implications of Being an Emerging Growth Company and a Foreign Private Issuer” for additional information.</w:t>
      </w:r>
    </w:p>
    <w:p>
      <w:pPr>
        <w:spacing w:after="0" w:line="181"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Our business and an investment in our ADSs involve significant risks. See “</w:t>
      </w:r>
      <w:hyperlink w:anchor="page2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22 of this prospectus.</w:t>
      </w:r>
    </w:p>
    <w:p>
      <w:pPr>
        <w:spacing w:after="0" w:line="241"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208280</wp:posOffset>
            </wp:positionV>
            <wp:extent cx="1817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44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6"/>
                <w:szCs w:val="16"/>
                <w:color w:val="auto"/>
              </w:rPr>
              <w:t>Prospectus dated</w:t>
            </w:r>
          </w:p>
        </w:tc>
        <w:tc>
          <w:tcPr>
            <w:tcW w:w="820" w:type="dxa"/>
            <w:vAlign w:val="bottom"/>
          </w:tcPr>
          <w:p>
            <w:pPr>
              <w:jc w:val="right"/>
              <w:spacing w:after="0"/>
              <w:rPr>
                <w:sz w:val="20"/>
                <w:szCs w:val="20"/>
                <w:color w:val="auto"/>
              </w:rPr>
            </w:pPr>
            <w:r>
              <w:rPr>
                <w:rFonts w:ascii="Arial" w:cs="Arial" w:eastAsia="Arial" w:hAnsi="Arial"/>
                <w:sz w:val="16"/>
                <w:szCs w:val="16"/>
                <w:color w:val="auto"/>
              </w:rPr>
              <w:t>, 2020</w:t>
            </w:r>
          </w:p>
        </w:tc>
      </w:tr>
    </w:tbl>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60" w:type="dxa"/>
            <w:vAlign w:val="bottom"/>
            <w:gridSpan w:val="5"/>
          </w:tcPr>
          <w:p>
            <w:pPr>
              <w:ind w:left="1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0560" w:type="dxa"/>
            <w:vAlign w:val="bottom"/>
            <w:gridSpan w:val="29"/>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60" w:type="dxa"/>
            <w:vAlign w:val="bottom"/>
            <w:gridSpan w:val="29"/>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Presentation of Financial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Prospectus Summary</w:t>
              </w:r>
            </w:hyperlink>
          </w:p>
        </w:tc>
        <w:tc>
          <w:tcPr>
            <w:tcW w:w="1200" w:type="dxa"/>
            <w:vAlign w:val="bottom"/>
            <w:tcBorders>
              <w:top w:val="single" w:sz="8" w:color="0000EE"/>
            </w:tcBorders>
            <w:gridSpan w:val="8"/>
          </w:tcPr>
          <w:p>
            <w:pPr>
              <w:spacing w:after="0"/>
              <w:rPr>
                <w:sz w:val="15"/>
                <w:szCs w:val="15"/>
                <w:color w:val="auto"/>
              </w:rPr>
            </w:pPr>
          </w:p>
        </w:tc>
        <w:tc>
          <w:tcPr>
            <w:tcW w:w="7640" w:type="dxa"/>
            <w:vAlign w:val="bottom"/>
            <w:gridSpan w:val="11"/>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Summary Consolidated Financial Data</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Summary Unaudited Pro Forma Condensed Combined Financial Information</w:t>
              </w:r>
            </w:hyperlink>
          </w:p>
        </w:tc>
        <w:tc>
          <w:tcPr>
            <w:tcW w:w="4460" w:type="dxa"/>
            <w:vAlign w:val="bottom"/>
            <w:gridSpan w:val="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Risk Factors</w:t>
              </w:r>
            </w:hyperlink>
          </w:p>
        </w:tc>
        <w:tc>
          <w:tcPr>
            <w:tcW w:w="9560" w:type="dxa"/>
            <w:vAlign w:val="bottom"/>
            <w:gridSpan w:val="2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Dividend Policy</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Cautionary Statement Regarding Forward-Looking Statements</w:t>
              </w:r>
            </w:hyperlink>
          </w:p>
        </w:tc>
        <w:tc>
          <w:tcPr>
            <w:tcW w:w="5580" w:type="dxa"/>
            <w:vAlign w:val="bottom"/>
            <w:gridSpan w:val="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202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w:anchor="page91">
              <w:r>
                <w:rPr>
                  <w:rFonts w:ascii="Arial" w:cs="Arial" w:eastAsia="Arial" w:hAnsi="Arial"/>
                  <w:sz w:val="18"/>
                  <w:szCs w:val="18"/>
                  <w:color w:val="0000EE"/>
                  <w:w w:val="98"/>
                </w:rPr>
                <w:t>Market and Industry Data</w:t>
              </w:r>
            </w:hyperlink>
          </w:p>
        </w:tc>
        <w:tc>
          <w:tcPr>
            <w:tcW w:w="8540" w:type="dxa"/>
            <w:vAlign w:val="bottom"/>
            <w:gridSpan w:val="1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92">
              <w:r>
                <w:rPr>
                  <w:rFonts w:ascii="Arial" w:cs="Arial" w:eastAsia="Arial" w:hAnsi="Arial"/>
                  <w:sz w:val="18"/>
                  <w:szCs w:val="18"/>
                  <w:color w:val="0000EE"/>
                  <w:w w:val="99"/>
                </w:rPr>
                <w:t>Trademarks, Service Marks and Trade Names</w:t>
              </w:r>
            </w:hyperlink>
          </w:p>
        </w:tc>
        <w:tc>
          <w:tcPr>
            <w:tcW w:w="6880" w:type="dxa"/>
            <w:vAlign w:val="bottom"/>
            <w:gridSpan w:val="8"/>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93">
              <w:r>
                <w:rPr>
                  <w:rFonts w:ascii="Arial" w:cs="Arial" w:eastAsia="Arial" w:hAnsi="Arial"/>
                  <w:sz w:val="18"/>
                  <w:szCs w:val="18"/>
                  <w:color w:val="0000EE"/>
                  <w:w w:val="98"/>
                </w:rPr>
                <w:t>Capitalization</w:t>
              </w:r>
            </w:hyperlink>
          </w:p>
        </w:tc>
        <w:tc>
          <w:tcPr>
            <w:tcW w:w="9480" w:type="dxa"/>
            <w:vAlign w:val="bottom"/>
            <w:gridSpan w:val="2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Dilution</w:t>
              </w:r>
            </w:hyperlink>
          </w:p>
        </w:tc>
        <w:tc>
          <w:tcPr>
            <w:tcW w:w="9960" w:type="dxa"/>
            <w:vAlign w:val="bottom"/>
            <w:gridSpan w:val="28"/>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97">
              <w:r>
                <w:rPr>
                  <w:rFonts w:ascii="Arial" w:cs="Arial" w:eastAsia="Arial" w:hAnsi="Arial"/>
                  <w:sz w:val="18"/>
                  <w:szCs w:val="18"/>
                  <w:color w:val="0000EE"/>
                  <w:w w:val="99"/>
                </w:rPr>
                <w:t>Unaudited Pro Forma Condensed Combined Financial Information</w:t>
              </w:r>
            </w:hyperlink>
          </w:p>
        </w:tc>
        <w:tc>
          <w:tcPr>
            <w:tcW w:w="5280" w:type="dxa"/>
            <w:vAlign w:val="bottom"/>
            <w:gridSpan w:val="3"/>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Selected Consolidated Financial Data of Mereo</w:t>
              </w:r>
            </w:hyperlink>
          </w:p>
        </w:tc>
        <w:tc>
          <w:tcPr>
            <w:tcW w:w="6800" w:type="dxa"/>
            <w:vAlign w:val="bottom"/>
            <w:gridSpan w:val="7"/>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 xml:space="preserve">Management’s Discussion and Analysis of Financial Condition and Results of Operation </w:t>
              </w:r>
            </w:hyperlink>
            <w:r>
              <w:rPr>
                <w:rFonts w:ascii="Arial" w:cs="Arial" w:eastAsia="Arial" w:hAnsi="Arial"/>
                <w:sz w:val="18"/>
                <w:szCs w:val="18"/>
                <w:color w:val="000000"/>
              </w:rPr>
              <w:t>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704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134">
              <w:r>
                <w:rPr>
                  <w:rFonts w:ascii="Arial" w:cs="Arial" w:eastAsia="Arial" w:hAnsi="Arial"/>
                  <w:sz w:val="18"/>
                  <w:szCs w:val="18"/>
                  <w:color w:val="0000EE"/>
                </w:rPr>
                <w:t>Business</w:t>
              </w:r>
            </w:hyperlink>
          </w:p>
        </w:tc>
        <w:tc>
          <w:tcPr>
            <w:tcW w:w="352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196">
              <w:r>
                <w:rPr>
                  <w:rFonts w:ascii="Arial" w:cs="Arial" w:eastAsia="Arial" w:hAnsi="Arial"/>
                  <w:sz w:val="18"/>
                  <w:szCs w:val="18"/>
                  <w:color w:val="0000EE"/>
                </w:rPr>
                <w:t>Management</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18">
              <w:r>
                <w:rPr>
                  <w:rFonts w:ascii="Arial" w:cs="Arial" w:eastAsia="Arial" w:hAnsi="Arial"/>
                  <w:sz w:val="18"/>
                  <w:szCs w:val="18"/>
                  <w:color w:val="0000EE"/>
                </w:rPr>
                <w:t>Principal Shareholders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221">
              <w:r>
                <w:rPr>
                  <w:rFonts w:ascii="Arial" w:cs="Arial" w:eastAsia="Arial" w:hAnsi="Arial"/>
                  <w:sz w:val="18"/>
                  <w:szCs w:val="18"/>
                  <w:color w:val="0000EE"/>
                  <w:w w:val="98"/>
                </w:rPr>
                <w:t>Related Party Transactions</w:t>
              </w:r>
            </w:hyperlink>
          </w:p>
        </w:tc>
        <w:tc>
          <w:tcPr>
            <w:tcW w:w="8400" w:type="dxa"/>
            <w:vAlign w:val="bottom"/>
            <w:gridSpan w:val="1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223">
              <w:r>
                <w:rPr>
                  <w:rFonts w:ascii="Arial" w:cs="Arial" w:eastAsia="Arial" w:hAnsi="Arial"/>
                  <w:sz w:val="18"/>
                  <w:szCs w:val="18"/>
                  <w:color w:val="0000EE"/>
                  <w:w w:val="99"/>
                </w:rPr>
                <w:t>Description of Share Capital and Articles of Association</w:t>
              </w:r>
            </w:hyperlink>
          </w:p>
        </w:tc>
        <w:tc>
          <w:tcPr>
            <w:tcW w:w="616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244">
              <w:r>
                <w:rPr>
                  <w:rFonts w:ascii="Arial" w:cs="Arial" w:eastAsia="Arial" w:hAnsi="Arial"/>
                  <w:sz w:val="18"/>
                  <w:szCs w:val="18"/>
                  <w:color w:val="0000EE"/>
                  <w:w w:val="99"/>
                </w:rPr>
                <w:t>Description of American Depositary Shares</w:t>
              </w:r>
            </w:hyperlink>
          </w:p>
        </w:tc>
        <w:tc>
          <w:tcPr>
            <w:tcW w:w="7120" w:type="dxa"/>
            <w:vAlign w:val="bottom"/>
            <w:gridSpan w:val="9"/>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83"/>
        </w:trPr>
        <w:tc>
          <w:tcPr>
            <w:tcW w:w="222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w:anchor="page256">
              <w:r>
                <w:rPr>
                  <w:rFonts w:ascii="Arial" w:cs="Arial" w:eastAsia="Arial" w:hAnsi="Arial"/>
                  <w:sz w:val="18"/>
                  <w:szCs w:val="18"/>
                  <w:color w:val="0000EE"/>
                  <w:w w:val="98"/>
                </w:rPr>
                <w:t>Material Tax Considerations</w:t>
              </w:r>
            </w:hyperlink>
          </w:p>
        </w:tc>
        <w:tc>
          <w:tcPr>
            <w:tcW w:w="8340" w:type="dxa"/>
            <w:vAlign w:val="bottom"/>
            <w:gridSpan w:val="1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83"/>
        </w:trPr>
        <w:tc>
          <w:tcPr>
            <w:tcW w:w="2460" w:type="dxa"/>
            <w:vAlign w:val="bottom"/>
            <w:tcBorders>
              <w:bottom w:val="single" w:sz="8" w:color="0000EE"/>
            </w:tcBorders>
            <w:gridSpan w:val="17"/>
          </w:tcPr>
          <w:p>
            <w:pPr>
              <w:spacing w:after="0" w:line="182" w:lineRule="exact"/>
              <w:rPr>
                <w:rFonts w:ascii="Arial" w:cs="Arial" w:eastAsia="Arial" w:hAnsi="Arial"/>
                <w:sz w:val="18"/>
                <w:szCs w:val="18"/>
                <w:color w:val="0000EE"/>
                <w:w w:val="98"/>
              </w:rPr>
            </w:pPr>
            <w:hyperlink w:anchor="page263">
              <w:r>
                <w:rPr>
                  <w:rFonts w:ascii="Arial" w:cs="Arial" w:eastAsia="Arial" w:hAnsi="Arial"/>
                  <w:sz w:val="18"/>
                  <w:szCs w:val="18"/>
                  <w:color w:val="0000EE"/>
                  <w:w w:val="98"/>
                </w:rPr>
                <w:t>The Aspire Capital Transaction</w:t>
              </w:r>
            </w:hyperlink>
          </w:p>
        </w:tc>
        <w:tc>
          <w:tcPr>
            <w:tcW w:w="8100" w:type="dxa"/>
            <w:vAlign w:val="bottom"/>
            <w:gridSpan w:val="1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67">
              <w:r>
                <w:rPr>
                  <w:rFonts w:ascii="Arial" w:cs="Arial" w:eastAsia="Arial" w:hAnsi="Arial"/>
                  <w:sz w:val="18"/>
                  <w:szCs w:val="18"/>
                  <w:color w:val="0000EE"/>
                </w:rPr>
                <w:t>Selling Shareholder</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83"/>
        </w:trPr>
        <w:tc>
          <w:tcPr>
            <w:tcW w:w="15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69">
              <w:r>
                <w:rPr>
                  <w:rFonts w:ascii="Arial" w:cs="Arial" w:eastAsia="Arial" w:hAnsi="Arial"/>
                  <w:sz w:val="18"/>
                  <w:szCs w:val="18"/>
                  <w:color w:val="0000EE"/>
                </w:rPr>
                <w:t>Plan of Distribution</w:t>
              </w:r>
            </w:hyperlink>
          </w:p>
        </w:tc>
        <w:tc>
          <w:tcPr>
            <w:tcW w:w="9000" w:type="dxa"/>
            <w:vAlign w:val="bottom"/>
            <w:gridSpan w:val="20"/>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w:anchor="page271">
              <w:r>
                <w:rPr>
                  <w:rFonts w:ascii="Arial" w:cs="Arial" w:eastAsia="Arial" w:hAnsi="Arial"/>
                  <w:sz w:val="18"/>
                  <w:szCs w:val="18"/>
                  <w:color w:val="0000EE"/>
                  <w:w w:val="98"/>
                </w:rPr>
                <w:t>Expenses of the Offering</w:t>
              </w:r>
            </w:hyperlink>
          </w:p>
        </w:tc>
        <w:tc>
          <w:tcPr>
            <w:tcW w:w="8580" w:type="dxa"/>
            <w:vAlign w:val="bottom"/>
            <w:gridSpan w:val="17"/>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72">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272">
              <w:r>
                <w:rPr>
                  <w:rFonts w:ascii="Arial" w:cs="Arial" w:eastAsia="Arial" w:hAnsi="Arial"/>
                  <w:sz w:val="18"/>
                  <w:szCs w:val="18"/>
                  <w:color w:val="0000EE"/>
                </w:rPr>
                <w:t>Experts</w:t>
              </w:r>
            </w:hyperlink>
          </w:p>
        </w:tc>
        <w:tc>
          <w:tcPr>
            <w:tcW w:w="9480" w:type="dxa"/>
            <w:vAlign w:val="bottom"/>
            <w:gridSpan w:val="2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760" w:type="dxa"/>
            <w:vAlign w:val="bottom"/>
            <w:gridSpan w:val="1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9"/>
          </w:tcPr>
          <w:p>
            <w:pPr>
              <w:spacing w:after="0" w:line="182" w:lineRule="exact"/>
              <w:rPr>
                <w:rFonts w:ascii="Arial" w:cs="Arial" w:eastAsia="Arial" w:hAnsi="Arial"/>
                <w:sz w:val="18"/>
                <w:szCs w:val="18"/>
                <w:color w:val="0000EE"/>
              </w:rPr>
            </w:pPr>
            <w:hyperlink w:anchor="page273">
              <w:r>
                <w:rPr>
                  <w:rFonts w:ascii="Arial" w:cs="Arial" w:eastAsia="Arial" w:hAnsi="Arial"/>
                  <w:sz w:val="18"/>
                  <w:szCs w:val="18"/>
                  <w:color w:val="0000EE"/>
                </w:rPr>
                <w:t>Service of Process and Enforcement of Liabilities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183"/>
        </w:trPr>
        <w:tc>
          <w:tcPr>
            <w:tcW w:w="39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275">
              <w:r>
                <w:rPr>
                  <w:rFonts w:ascii="Arial" w:cs="Arial" w:eastAsia="Arial" w:hAnsi="Arial"/>
                  <w:sz w:val="18"/>
                  <w:szCs w:val="18"/>
                  <w:color w:val="0000EE"/>
                </w:rPr>
                <w:t>Where You Can Find More Information</w:t>
              </w:r>
            </w:hyperlink>
          </w:p>
        </w:tc>
        <w:tc>
          <w:tcPr>
            <w:tcW w:w="666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83"/>
        </w:trPr>
        <w:tc>
          <w:tcPr>
            <w:tcW w:w="30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285">
              <w:r>
                <w:rPr>
                  <w:rFonts w:ascii="Arial" w:cs="Arial" w:eastAsia="Arial" w:hAnsi="Arial"/>
                  <w:sz w:val="18"/>
                  <w:szCs w:val="18"/>
                  <w:color w:val="0000EE"/>
                </w:rPr>
                <w:t>Index to Financial Statements</w:t>
              </w:r>
            </w:hyperlink>
          </w:p>
        </w:tc>
        <w:tc>
          <w:tcPr>
            <w:tcW w:w="7500" w:type="dxa"/>
            <w:vAlign w:val="bottom"/>
            <w:gridSpan w:val="10"/>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231775</wp:posOffset>
            </wp:positionV>
            <wp:extent cx="1817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selling shareholder has not, authorized anyone to provide you with different information, and we and the selling shareholder take no responsibility for any other information others may give you. We are not, and the selling shareholder is not, making an offer to sell our ADSs in any jurisdiction where such offer or sale is not permitted. You should not assume that the information contained in this prospectus is accurate as of any date other than the date on the front cover of this prospectus, regardless of the time of delivery of this prospectus or the sale of any ADSs.</w:t>
      </w:r>
    </w:p>
    <w:p>
      <w:pPr>
        <w:spacing w:after="0" w:line="20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investors outside the United States: neither we nor the selling shareholder have done anything that would permit the offering or possession or distribution of this prospectus or any free writing prospectus in any jurisdiction, other than the United States, where action for that purpose is required. Persons outside the United States who come into possession of this prospectus or any free writing prospectus must inform themselves about, and observe any restrictions relating to, the offering and the distribution of this prospectus and any free writing prospectus outside the United States.</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120" w:right="200" w:firstLine="440"/>
        <w:spacing w:after="0" w:line="274" w:lineRule="auto"/>
        <w:rPr>
          <w:sz w:val="20"/>
          <w:szCs w:val="20"/>
          <w:color w:val="auto"/>
        </w:rPr>
      </w:pPr>
      <w:r>
        <w:rPr>
          <w:rFonts w:ascii="Arial" w:cs="Arial" w:eastAsia="Arial" w:hAnsi="Arial"/>
          <w:sz w:val="17"/>
          <w:szCs w:val="17"/>
          <w:color w:val="auto"/>
        </w:rPr>
        <w:t>Under this registration statement, the selling shareholder may sell our ADSs described in this prospectus from time to time. Please read carefully this prospectus together with additional information described below under “Where You Can Find More Information.”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or the context otherwise requires, all references in this prospectus to:</w:t>
      </w:r>
    </w:p>
    <w:p>
      <w:pPr>
        <w:spacing w:after="0" w:line="202" w:lineRule="exact"/>
        <w:rPr>
          <w:sz w:val="20"/>
          <w:szCs w:val="20"/>
          <w:color w:val="auto"/>
        </w:rPr>
      </w:pPr>
    </w:p>
    <w:p>
      <w:pPr>
        <w:ind w:left="980" w:hanging="432"/>
        <w:spacing w:after="0"/>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“ADSs” are to our American Depositary Shares, each of which represents five ordinary shares of Mereo BioPharma Group plc;</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“ADRs” are to the American Depositary Receipts that may evidence our ADSs;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“EMA” are to the European Medicines Agency;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“Exchange Act” are to the U.S. Securities Exchange Act of 1934, as amended;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“FDA” are to the U.S. Food and Drug Administration;</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27"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the “Company,” “we,” “us,” and “our” refer to Mereo BioPharma Group plc and our wholly-owned subsidiaries Mereo BioPharma 1 Limited, Mereo BioPharma 2 Limited, Mereo BioPharma 3 Limited, Mereo BioPharma 4 Limited, Mereo BioPharma Ireland Limited, Mereo US Holdings Inc., NAVI Subsidiary, Inc. and OncoMed Pharmaceuticals, Inc. Our consolidated financial statements also treat Mereo BioPharma Group plc Employee Benefit Trust, an employee benefit trust operated by us, as a wholly-owned subsidiary of ours;</w:t>
      </w:r>
    </w:p>
    <w:p>
      <w:pPr>
        <w:spacing w:after="0" w:line="30" w:lineRule="exact"/>
        <w:rPr>
          <w:rFonts w:ascii="MS PGothic" w:cs="MS PGothic" w:eastAsia="MS PGothic" w:hAnsi="MS PGothic"/>
          <w:sz w:val="25"/>
          <w:szCs w:val="25"/>
          <w:color w:val="auto"/>
          <w:vertAlign w:val="superscript"/>
        </w:rPr>
      </w:pPr>
    </w:p>
    <w:p>
      <w:pPr>
        <w:ind w:left="980" w:right="460" w:hanging="432"/>
        <w:spacing w:after="0" w:line="223"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“Merger” are to the merger of Mereo MergerCo One Inc. and OncoMed Pharmaceuticals, Inc., with OncoMed Pharmaceuticals, Inc. surviving as a wholly-owned subsidiary of Mereo US Holdings Inc., and as an indirect wholly-owned subsidiary of Mereo BioPharma Group plc;</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“Merger Agreement” are to the Agreement and Plan of Merger and Reorganization, dated December 5, 2018, by and among Mereo BioPharma Group plc, Mereo US Holdings Inc., Mereo MergerCo One Inc. and OncoMed Pharmaceuticals, Inc.;</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are to OncoMed Pharmaceuticals, Inc.;</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are to our ordinary shares, each of £0.003 nominal value;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 are to the U.S. Securities and Exchange Commission;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“Securities Act” are to the U.S. Securities Act of 1933, as amended;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 “USD,” “US$” and “U.S. dollar” are to the United States dollar (or units thereof);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 “GBP,” “pound sterling,” “pence” and “p” are to the British pound sterling (or units thereof).</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34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This prospectus includes our audited consolidated financial statements as of December 31, 2018 and 2017 and for each of the three years in the period ended December 31, 2018, our unaudited interim consolidated financial statements as of June 30, 2019 and 2018 and for the six months ended June 30, 2019 and 2018, prepared in accordance with International Financial Reporting Standards (“IFRS”), as issued by the International Accounting Standards Board (“IASB”), and certain unaudited pro forma condensed combined financial information. The unaudited interim consolidated financial statements have been prepared in accordance with International Accounting Standards (“IAS”) 34 as issued by the IASB. None of our financial statements were prepared in accordance with U.S. generally accepted accounting standards (“U.S. GAAP”).</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financial information is presented in pounds sterling. Translations from pounds sterling into U.S. dollars are not necessarily</w:t>
      </w:r>
    </w:p>
    <w:p>
      <w:pPr>
        <w:jc w:val="center"/>
        <w:ind w:right="-119"/>
        <w:spacing w:after="0"/>
        <w:rPr>
          <w:sz w:val="20"/>
          <w:szCs w:val="20"/>
          <w:color w:val="auto"/>
        </w:rPr>
      </w:pPr>
      <w:r>
        <w:rPr>
          <w:rFonts w:ascii="Arial" w:cs="Arial" w:eastAsia="Arial" w:hAnsi="Arial"/>
          <w:sz w:val="17"/>
          <w:szCs w:val="17"/>
          <w:color w:val="auto"/>
        </w:rPr>
        <w:t>indicative of the amounts of U.S. dollars that could actually have been purchased upon exchange of pounds sterling at the dates indicated.</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7"/>
          <w:szCs w:val="17"/>
          <w:color w:val="auto"/>
        </w:rPr>
        <w:t>This prospectus also includes the audited balance sheets of OncoMed Pharmaceuticals, Inc. as of December 31, 2018 and 2017, the related statements of operations, comprehensive loss, stockholders’ equity (deficit) and cash flows for each of the three years in the period ended December 31, 2018, and the related notes (collectively referred to as the “OncoMed financial statements”). The OncoMed financial statements have been prepared in conformity with U.S. GAAP. OncoMed financial information is presented in U.S. dollars.</w:t>
      </w:r>
    </w:p>
    <w:p>
      <w:pPr>
        <w:spacing w:after="0" w:line="189"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80"/>
          </w:cols>
          <w:pgMar w:left="32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56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45561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00" w:right="10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information set forth under the sections titled “Selected Consolidated Financial Data of Mereo,” “Unaudited Pro Forma Condensed Combined Financial Information,” “Risk Factors,” “Business,” “Management’s Discussion and Analysis of Financial Condition and Results of Operations” and our consolidated financial statements, including the notes thereto, before deciding to invest in our ADSs.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85" w:lineRule="exact"/>
        <w:rPr>
          <w:sz w:val="20"/>
          <w:szCs w:val="20"/>
          <w:color w:val="auto"/>
        </w:rPr>
      </w:pPr>
    </w:p>
    <w:p>
      <w:pPr>
        <w:ind w:left="300" w:right="100" w:firstLine="426"/>
        <w:spacing w:after="0" w:line="238"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patients with rare diseases. Our ADSs trade on Nasdaq under the symbol “MREO” and our ordinary shares trade on the AIM, a market of the London Stock Exchange, under the symbol “MPH.” Our strategy is to build a portfolio of rare disease product candidates acquired from pharmaceutical and large biotechnology companies and to develop these through regulatory approval and subsequent commercialization.</w:t>
      </w:r>
    </w:p>
    <w:p>
      <w:pPr>
        <w:spacing w:after="0" w:line="202" w:lineRule="exact"/>
        <w:rPr>
          <w:sz w:val="20"/>
          <w:szCs w:val="20"/>
          <w:color w:val="auto"/>
        </w:rPr>
      </w:pPr>
    </w:p>
    <w:p>
      <w:pPr>
        <w:ind w:left="300" w:right="140" w:firstLine="426"/>
        <w:spacing w:after="0" w:line="238" w:lineRule="auto"/>
        <w:rPr>
          <w:sz w:val="20"/>
          <w:szCs w:val="20"/>
          <w:color w:val="auto"/>
        </w:rPr>
      </w:pPr>
      <w:r>
        <w:rPr>
          <w:rFonts w:ascii="Arial" w:cs="Arial" w:eastAsia="Arial" w:hAnsi="Arial"/>
          <w:sz w:val="18"/>
          <w:szCs w:val="18"/>
          <w:color w:val="auto"/>
        </w:rPr>
        <w:t>Our existing portfolio consists of five clinical-stage product candidates. Our rare and orphan disease product candidates, setrusumab for the treatment of osteogenesis imperfecta (“OI”) and alvelestat for the treatment of severe alpha-1 antitrypsin deficiency (“AATD”), represent an attractive development and commercialization opportunity for us. Each of our rare disease product candidates has generated positive clinical data for its target indication or for a related indication.</w:t>
      </w:r>
    </w:p>
    <w:p>
      <w:pPr>
        <w:spacing w:after="0" w:line="205" w:lineRule="exact"/>
        <w:rPr>
          <w:sz w:val="20"/>
          <w:szCs w:val="20"/>
          <w:color w:val="auto"/>
        </w:rPr>
      </w:pPr>
    </w:p>
    <w:p>
      <w:pPr>
        <w:ind w:left="300" w:right="460" w:firstLine="426"/>
        <w:spacing w:after="0" w:line="238" w:lineRule="auto"/>
        <w:rPr>
          <w:sz w:val="20"/>
          <w:szCs w:val="20"/>
          <w:color w:val="auto"/>
        </w:rPr>
      </w:pPr>
      <w:r>
        <w:rPr>
          <w:rFonts w:ascii="Arial" w:cs="Arial" w:eastAsia="Arial" w:hAnsi="Arial"/>
          <w:sz w:val="18"/>
          <w:szCs w:val="18"/>
          <w:color w:val="auto"/>
        </w:rPr>
        <w:t>We plan to partner or sell our existing non-rare disease product candidates, which include acumapimod for the treatment of acute exacerbations of chronic obstructive pulmonary disease (“AECOPD”), leflutrozole for the treatment of hypogonadotropic hypogonadism (“HH”) in obese men and etigilimab for the treatment of solid tumors, recognizing the need for a larger sales infrastructure and greater resources to take these product candidates to market.</w:t>
      </w:r>
    </w:p>
    <w:p>
      <w:pPr>
        <w:spacing w:after="0" w:line="205"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Our strategy is to selectively acquire product candidates for rare diseases that have already received significant investment from pharmaceutical and large biotechnology companies and that have substantial pre-clinical, clinical, and manufacturing data packages, with a focus on rare bone, endocrine, and respiratory diseases. Since our formation in March 2015, we have successfully executed on this strategy by acquiring our five clinical-stage product candidates, four of which were acquired from large pharmaceutical companies and one of which we recently acquired in the Merger. We also acquired a second clinical-stage product candidate in the Merger, which we have out-licensed to a third party. We aim to efficiently develop our product candidates through clinical development, and have commenced or completed large, randomized Phase 2 clinical trials for four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32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42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70421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300" w:firstLine="426"/>
        <w:spacing w:after="0" w:line="246" w:lineRule="auto"/>
        <w:rPr>
          <w:sz w:val="20"/>
          <w:szCs w:val="20"/>
          <w:color w:val="auto"/>
        </w:rPr>
      </w:pPr>
      <w:r>
        <w:rPr>
          <w:rFonts w:ascii="Arial" w:cs="Arial" w:eastAsia="Arial" w:hAnsi="Arial"/>
          <w:sz w:val="18"/>
          <w:szCs w:val="18"/>
          <w:color w:val="auto"/>
        </w:rPr>
        <w:t>The following table summarizes our product candidate pipeline. We have global commercial rights to setrusumab, alvelestat, acumapimod, leflutrozole and etigilimab.</w:t>
      </w:r>
    </w:p>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Rare Disease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Non-Rare Disease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0" w:right="340" w:firstLine="426"/>
        <w:spacing w:after="0" w:line="238"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portfolio consists of the following product candidates:</w:t>
      </w:r>
    </w:p>
    <w:p>
      <w:pPr>
        <w:spacing w:after="0" w:line="217" w:lineRule="exact"/>
        <w:rPr>
          <w:sz w:val="20"/>
          <w:szCs w:val="20"/>
          <w:color w:val="auto"/>
        </w:rPr>
      </w:pPr>
    </w:p>
    <w:p>
      <w:pPr>
        <w:ind w:left="1120" w:hanging="407"/>
        <w:spacing w:after="0" w:line="230"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Setrusumab (BPS-804): </w:t>
      </w:r>
      <w:r>
        <w:rPr>
          <w:rFonts w:ascii="Arial" w:cs="Arial" w:eastAsia="Arial" w:hAnsi="Arial"/>
          <w:sz w:val="18"/>
          <w:szCs w:val="18"/>
          <w:color w:val="auto"/>
        </w:rPr>
        <w:t>Setrusumab is a novel antibody we are developing as a treatment for OI, a rare genetic disease</w:t>
      </w:r>
      <w:r>
        <w:rPr>
          <w:rFonts w:ascii="Arial" w:cs="Arial" w:eastAsia="Arial" w:hAnsi="Arial"/>
          <w:sz w:val="18"/>
          <w:szCs w:val="18"/>
          <w:b w:val="1"/>
          <w:bCs w:val="1"/>
          <w:color w:val="auto"/>
        </w:rPr>
        <w:t xml:space="preserve"> </w:t>
      </w:r>
      <w:r>
        <w:rPr>
          <w:rFonts w:ascii="Arial" w:cs="Arial" w:eastAsia="Arial" w:hAnsi="Arial"/>
          <w:sz w:val="18"/>
          <w:szCs w:val="18"/>
          <w:color w:val="auto"/>
        </w:rPr>
        <w:t>that results in bones that can break easily and is commonly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9"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4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2419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40" w:right="160"/>
        <w:spacing w:after="0" w:line="237" w:lineRule="auto"/>
        <w:rPr>
          <w:sz w:val="20"/>
          <w:szCs w:val="20"/>
          <w:color w:val="auto"/>
        </w:rPr>
      </w:pPr>
      <w:r>
        <w:rPr>
          <w:rFonts w:ascii="Arial" w:cs="Arial" w:eastAsia="Arial" w:hAnsi="Arial"/>
          <w:sz w:val="18"/>
          <w:szCs w:val="18"/>
          <w:color w:val="auto"/>
        </w:rPr>
        <w:t>known as brittle bone disease. OI is a debilitating orphan disease for which there are no treatments approved by the FDA or EMA. It is estimated that OI affects a minimum of 20,000 people in the United States and approximately 32,000 people in Germany, Spain, France, Italy, and the United Kingdom. Setrusumab is designed to inhibit sclerostin, a protein that inhibits the activity of bone-forming cells. We believe setrusumab’s mechanism of action is well suited for the treatment of OI and has the potential to become a novel treatment option for patients that could reduce fractures and improve patient quality of life.</w:t>
      </w:r>
    </w:p>
    <w:p>
      <w:pPr>
        <w:spacing w:after="0" w:line="16" w:lineRule="exact"/>
        <w:rPr>
          <w:sz w:val="20"/>
          <w:szCs w:val="20"/>
          <w:color w:val="auto"/>
        </w:rPr>
      </w:pPr>
    </w:p>
    <w:p>
      <w:pPr>
        <w:ind w:left="1140"/>
        <w:spacing w:after="0" w:line="235" w:lineRule="auto"/>
        <w:rPr>
          <w:sz w:val="20"/>
          <w:szCs w:val="20"/>
          <w:color w:val="auto"/>
        </w:rPr>
      </w:pPr>
      <w:r>
        <w:rPr>
          <w:rFonts w:ascii="Arial" w:cs="Arial" w:eastAsia="Arial" w:hAnsi="Arial"/>
          <w:sz w:val="18"/>
          <w:szCs w:val="18"/>
          <w:color w:val="auto"/>
        </w:rPr>
        <w:t>In 2016, we obtained orphan drug designation in OI for setrusumab in the United States and the EU, in February 2017, setrusumab was accepted into the adaptive pathways program in the EU and, in November 2017, it was accepted into the Priority Medicines (“PRIME”) scheme of the EMA. See “Business—Government Regulation—Foreign Government Regulation.” Prior to our acquisition of setrusumab, Novartis Pharma AG (“Novartis”) conducted four clinical trials in 106 patients and healthy volunteers. A Phase 2 clinical trial of setrusumab showed statistically significant improvements in bone formation biomarkers and bone mineral density. In May 2017, we initiated a Phase 2b clinical trial for setrusumab in adults in the United States, Europe and Canada. The trial is randomized with three blinded arms at a high, medium and low doses to establish the dose response curve and an open label arm at the top dose. We reported top-line data on the three blinded dose ranging arms in November 2019 with the results supporting progression of setrusumab into a pediatric pivotal study in OI. See “—Recent Developments—12-month top-line data from the setrusumab Phase 2b dose-ranging study in adult patients.” Following the completion of the dosing part of the study, patients will continue to be followed for a further twelve months to examine the off-effects of setrusumab. We have also agreed on a pediatric investigational plan for setrusumab with the EMA and intend to prepare for a pivotal trial of setrusumab in Europe and Canada in children with severe OI in 2020, with fracture rate as the primary endpoint. We believe that the results from this trial, if favorable, will be sufficient to support the submission of a Marketing Authorization Application (“MAA”) to the EMA for setrusumab for the treatment of children with severe OI and a CMA (as defined below) for the treatment of OI in adults in the EU.</w:t>
      </w:r>
    </w:p>
    <w:p>
      <w:pPr>
        <w:spacing w:after="0" w:line="38" w:lineRule="exact"/>
        <w:rPr>
          <w:sz w:val="20"/>
          <w:szCs w:val="20"/>
          <w:color w:val="auto"/>
        </w:rPr>
      </w:pPr>
    </w:p>
    <w:p>
      <w:pPr>
        <w:ind w:left="1140" w:right="20"/>
        <w:spacing w:after="0" w:line="236" w:lineRule="auto"/>
        <w:rPr>
          <w:sz w:val="20"/>
          <w:szCs w:val="20"/>
          <w:color w:val="auto"/>
        </w:rPr>
      </w:pPr>
      <w:r>
        <w:rPr>
          <w:rFonts w:ascii="Arial" w:cs="Arial" w:eastAsia="Arial" w:hAnsi="Arial"/>
          <w:sz w:val="18"/>
          <w:szCs w:val="18"/>
          <w:color w:val="auto"/>
        </w:rPr>
        <w:t>The FDA approved the first sclerostin inhibitor for treatment of osteoporosis, romosozumab (Evenity), in April 2019 following an 18-1 favorable advisory committee vote. This was over a year after the FDA rejected our request for a Type C meeting to discuss the initiation of a pediatric Phase 3 study for setrusumab for the treatment of patients with severe OI. Based on these events and with our setrusumab Phase 2b efficacy and safety data in adult OI patients, we re-engaged with the FDA at the end of 2019 to discuss the expansion of the pivotal trial of setrusumab for the treatment of patients with severe OI to include sites in the United States. In February 2020, we announced the successful completion of a Type B End-of-Phase 2 meeting with the FDA to discuss the development of setrusumab for the treatment of children and adolescents with OI in the United States. See “—Recent Developments—Positive Feedback from Type B End-of-Phase 2 Meeting with the FDA.” In June 2019, the EMA’s human medicines committee (“CHMP”) adopted a negative opinion recommending the refusal of a marketing authorization for the same sclerostin inhibitor. However, in October 2019, following a re-examination procedure, the CHMP adopted a positive opinion recommending marketing authorization for the sclerostin inhibitor. In December 2019, the European Commission approved the MAA for romosozumab (Evenity).</w:t>
      </w:r>
    </w:p>
    <w:p>
      <w:pPr>
        <w:spacing w:after="0" w:line="6" w:lineRule="exact"/>
        <w:rPr>
          <w:sz w:val="20"/>
          <w:szCs w:val="20"/>
          <w:color w:val="auto"/>
        </w:rPr>
      </w:pPr>
    </w:p>
    <w:p>
      <w:pPr>
        <w:ind w:left="1120" w:hanging="407"/>
        <w:spacing w:after="0" w:line="232"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Alvelestat (MPH-966): </w:t>
      </w:r>
      <w:r>
        <w:rPr>
          <w:rFonts w:ascii="Arial" w:cs="Arial" w:eastAsia="Arial" w:hAnsi="Arial"/>
          <w:sz w:val="18"/>
          <w:szCs w:val="18"/>
          <w:color w:val="auto"/>
        </w:rPr>
        <w:t>Alvelestat is a novel, oral small molecule we are developing for the treatment of severe AATD, a</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life-threatening, rare, genetic condition caused by a lack of effective alpha-1 antitrypsin (“AAT”), a protein that protects the lungs from enzymatic degradation. This degradation leads to severe debilitating diseases, including early-onset pulmonary emphysema, a disease that irreversibly destroys the tissues that support lung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40" w:right="340"/>
        <w:spacing w:after="0" w:line="238" w:lineRule="auto"/>
        <w:rPr>
          <w:sz w:val="20"/>
          <w:szCs w:val="20"/>
          <w:color w:val="auto"/>
        </w:rPr>
      </w:pPr>
      <w:r>
        <w:rPr>
          <w:rFonts w:ascii="Arial" w:cs="Arial" w:eastAsia="Arial" w:hAnsi="Arial"/>
          <w:sz w:val="18"/>
          <w:szCs w:val="18"/>
          <w:color w:val="auto"/>
        </w:rPr>
        <w:t>function. There are an estimated 50,000 patients in North America and 60,000 patients in Europe with severe AATD. Alvelestat is designed to inhibit neutrophil elastase (“NE”), a neutrophil protease, which is a key enzyme involved in the destruction of lung tissue. We believe the inhibition of NE has the potential to protect AATD patients from further lung damage.</w:t>
      </w:r>
    </w:p>
    <w:p>
      <w:pPr>
        <w:spacing w:after="0" w:line="16" w:lineRule="exact"/>
        <w:rPr>
          <w:sz w:val="20"/>
          <w:szCs w:val="20"/>
          <w:color w:val="auto"/>
        </w:rPr>
      </w:pPr>
    </w:p>
    <w:p>
      <w:pPr>
        <w:ind w:left="1140"/>
        <w:spacing w:after="0" w:line="237" w:lineRule="auto"/>
        <w:rPr>
          <w:sz w:val="20"/>
          <w:szCs w:val="20"/>
          <w:color w:val="auto"/>
        </w:rPr>
      </w:pPr>
      <w:r>
        <w:rPr>
          <w:rFonts w:ascii="Arial" w:cs="Arial" w:eastAsia="Arial" w:hAnsi="Arial"/>
          <w:sz w:val="18"/>
          <w:szCs w:val="18"/>
          <w:color w:val="auto"/>
        </w:rPr>
        <w:t>Prior to our license of alvelestat, AstraZeneca AB (“AstraZeneca”) conducted 12 clinical trials involving 1,776 subjects, including trials in bronchiectasis and cystic fibrosis (“CF”). Although these trials were conducted in diseases other than AATD, we believe the data demonstrated potential clinical benefit and biomarker evidence of treatment effect for AATD patients. We have initiated a Phase 2 proof-of-concept clinical trial in patients with severe AATD in the United States and the EU and expect to report top-line data from this trial in mid-2020. We are also planning to evaluate the use of alvelestat to treat patients with bronchiolitis obliterans syndrome (“BOS”) as a result of lung transplant. BOS is an orphan disease and the primary cause of death in adult lung transplant patients from one year following transplant.</w:t>
      </w:r>
    </w:p>
    <w:p>
      <w:pPr>
        <w:spacing w:after="0" w:line="5" w:lineRule="exact"/>
        <w:rPr>
          <w:sz w:val="20"/>
          <w:szCs w:val="20"/>
          <w:color w:val="auto"/>
        </w:rPr>
      </w:pPr>
    </w:p>
    <w:p>
      <w:pPr>
        <w:ind w:left="1120" w:right="60" w:hanging="407"/>
        <w:spacing w:after="0" w:line="233"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Acumapimod (BCT-197): </w:t>
      </w:r>
      <w:r>
        <w:rPr>
          <w:rFonts w:ascii="Arial" w:cs="Arial" w:eastAsia="Arial" w:hAnsi="Arial"/>
          <w:sz w:val="18"/>
          <w:szCs w:val="18"/>
          <w:color w:val="auto"/>
        </w:rPr>
        <w:t>Acumapimod is a p38 Mitogen-activated protein (“MAP”) kinase inhibitor we are developing as</w:t>
      </w:r>
      <w:r>
        <w:rPr>
          <w:rFonts w:ascii="Arial" w:cs="Arial" w:eastAsia="Arial" w:hAnsi="Arial"/>
          <w:sz w:val="18"/>
          <w:szCs w:val="18"/>
          <w:b w:val="1"/>
          <w:bCs w:val="1"/>
          <w:color w:val="auto"/>
        </w:rPr>
        <w:t xml:space="preserve"> </w:t>
      </w:r>
      <w:r>
        <w:rPr>
          <w:rFonts w:ascii="Arial" w:cs="Arial" w:eastAsia="Arial" w:hAnsi="Arial"/>
          <w:sz w:val="18"/>
          <w:szCs w:val="18"/>
          <w:color w:val="auto"/>
        </w:rPr>
        <w:t>an oral first-line acute therapy for patients with AECOPD. Chronic obstructive pulmonary disease (“COPD”) is a non-fully-reversible, progressive lung disease in which inflammation plays a central role. There are an estimated 16 million people in the United States diagnosed with COPD. Of all hospital admissions in the United States related to COPD, approximately 63% are for AECOPD patients. We believe acumapimod offers a potential new treatment for controlling inflammation by targeting pathways that drive the pathological mechanism behind AECOPD.</w:t>
      </w:r>
    </w:p>
    <w:p>
      <w:pPr>
        <w:spacing w:after="0" w:line="27" w:lineRule="exact"/>
        <w:rPr>
          <w:sz w:val="20"/>
          <w:szCs w:val="20"/>
          <w:color w:val="auto"/>
        </w:rPr>
      </w:pPr>
    </w:p>
    <w:p>
      <w:pPr>
        <w:ind w:left="1140"/>
        <w:spacing w:after="0" w:line="238" w:lineRule="auto"/>
        <w:rPr>
          <w:sz w:val="20"/>
          <w:szCs w:val="20"/>
          <w:color w:val="auto"/>
        </w:rPr>
      </w:pPr>
      <w:r>
        <w:rPr>
          <w:rFonts w:ascii="Arial" w:cs="Arial" w:eastAsia="Arial" w:hAnsi="Arial"/>
          <w:sz w:val="18"/>
          <w:szCs w:val="18"/>
          <w:color w:val="auto"/>
        </w:rPr>
        <w:t>Since there are currently no approved therapies in the United States or the EU to treat AECOPD, we believe that there is significant medical need for a drug which is disease-modifying. We believe acumapimod could potentially prevent AECOPD instead of just treating the symptoms and has the potential to improve quality of life, slow the progression of the disease, and significantly reduce direct healthcare costs.</w:t>
      </w:r>
    </w:p>
    <w:p>
      <w:pPr>
        <w:spacing w:after="0" w:line="29" w:lineRule="exact"/>
        <w:rPr>
          <w:sz w:val="20"/>
          <w:szCs w:val="20"/>
          <w:color w:val="auto"/>
        </w:rPr>
      </w:pPr>
    </w:p>
    <w:p>
      <w:pPr>
        <w:ind w:left="1140" w:right="500"/>
        <w:spacing w:after="0"/>
        <w:rPr>
          <w:sz w:val="20"/>
          <w:szCs w:val="20"/>
          <w:color w:val="auto"/>
        </w:rPr>
      </w:pPr>
      <w:r>
        <w:rPr>
          <w:rFonts w:ascii="Arial" w:cs="Arial" w:eastAsia="Arial" w:hAnsi="Arial"/>
          <w:sz w:val="18"/>
          <w:szCs w:val="18"/>
          <w:color w:val="auto"/>
        </w:rPr>
        <w:t>Prior to our acquisition of acumapimod,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w:t>
      </w:r>
    </w:p>
    <w:p>
      <w:pPr>
        <w:spacing w:after="0" w:line="14" w:lineRule="exact"/>
        <w:rPr>
          <w:sz w:val="20"/>
          <w:szCs w:val="20"/>
          <w:color w:val="auto"/>
        </w:rPr>
      </w:pPr>
    </w:p>
    <w:p>
      <w:pPr>
        <w:ind w:left="1140"/>
        <w:spacing w:after="0" w:line="234" w:lineRule="auto"/>
        <w:rPr>
          <w:sz w:val="20"/>
          <w:szCs w:val="20"/>
          <w:color w:val="auto"/>
        </w:rPr>
      </w:pPr>
      <w:r>
        <w:rPr>
          <w:rFonts w:ascii="Arial" w:cs="Arial" w:eastAsia="Arial" w:hAnsi="Arial"/>
          <w:sz w:val="18"/>
          <w:szCs w:val="18"/>
          <w:color w:val="auto"/>
        </w:rPr>
        <w:t>We conducted a Phase 2 dose-ranging clinical trial for acumapimod in 282 patients with AECOPD to explore two different dosing regimens on top of standard of care, which included steroids, antibiotics, and bronchodilators. Both dosing regimens showed a statistically significant change in the amount of air that can be forcibly exhaled in one second (“FEV1”), a standard measure of exhalation, from baseline to Day 7, meeting the trial’s primary endpoint on an intent-to-treat patient population basis. In addition, dose-dependent, statistically significant reductions in high sensitivity C-reactive protein (“hsCRP”) and fibrinogen were shown with treatment with acumapimod, with hsCRP remaining suppressed through the</w:t>
      </w:r>
    </w:p>
    <w:p>
      <w:pPr>
        <w:spacing w:after="0" w:line="4" w:lineRule="exact"/>
        <w:rPr>
          <w:sz w:val="20"/>
          <w:szCs w:val="20"/>
          <w:color w:val="auto"/>
        </w:rPr>
      </w:pPr>
    </w:p>
    <w:p>
      <w:pPr>
        <w:ind w:left="1140" w:right="100"/>
        <w:spacing w:after="0" w:line="238" w:lineRule="auto"/>
        <w:rPr>
          <w:sz w:val="20"/>
          <w:szCs w:val="20"/>
          <w:color w:val="auto"/>
        </w:rPr>
      </w:pPr>
      <w:r>
        <w:rPr>
          <w:rFonts w:ascii="Arial" w:cs="Arial" w:eastAsia="Arial" w:hAnsi="Arial"/>
          <w:sz w:val="18"/>
          <w:szCs w:val="18"/>
          <w:color w:val="auto"/>
        </w:rPr>
        <w:t>26-week observation period. Treatment with acumapimod also showed a statistically significant reduction in the number of COPD exacerbations that required hospitalization. Consistent with these results, there was a significant reduction in the use of corticosteroid and antibiotics in the follow-up portion of the study. In addition, acumapimod was reported to be safe and well tolerated. Based on these results, we intend to explore strategic options with third parties for the further development of acumapimod.</w:t>
      </w:r>
    </w:p>
    <w:p>
      <w:pPr>
        <w:spacing w:after="0" w:line="27" w:lineRule="exact"/>
        <w:rPr>
          <w:sz w:val="20"/>
          <w:szCs w:val="20"/>
          <w:color w:val="auto"/>
        </w:rPr>
      </w:pPr>
    </w:p>
    <w:p>
      <w:pPr>
        <w:jc w:val="both"/>
        <w:ind w:left="1140" w:right="60"/>
        <w:spacing w:after="0"/>
        <w:rPr>
          <w:sz w:val="20"/>
          <w:szCs w:val="20"/>
          <w:color w:val="auto"/>
        </w:rPr>
      </w:pPr>
      <w:r>
        <w:rPr>
          <w:rFonts w:ascii="Arial" w:cs="Arial" w:eastAsia="Arial" w:hAnsi="Arial"/>
          <w:sz w:val="18"/>
          <w:szCs w:val="18"/>
          <w:color w:val="auto"/>
        </w:rPr>
        <w:t>In addition, in April 2019, we announced a successful end of Phase 2 meeting with the FDA regarding acumapimod. In the meeting, we and the FDA agreed on a development plan for acumapimod. In September 2019, we had a positive Scientific Advice Working Party (“SAWP”) meeting with the EMA.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84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4984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20" w:hanging="407"/>
        <w:spacing w:after="0" w:line="233"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Leflutrozole (BGS-649): </w:t>
      </w:r>
      <w:r>
        <w:rPr>
          <w:rFonts w:ascii="Arial" w:cs="Arial" w:eastAsia="Arial" w:hAnsi="Arial"/>
          <w:sz w:val="18"/>
          <w:szCs w:val="18"/>
          <w:color w:val="auto"/>
        </w:rPr>
        <w:t>Leflutrozole is a once-weekly oral therapy we are developing for the treatment of HH in obese</w:t>
      </w:r>
      <w:r>
        <w:rPr>
          <w:rFonts w:ascii="Arial" w:cs="Arial" w:eastAsia="Arial" w:hAnsi="Arial"/>
          <w:sz w:val="18"/>
          <w:szCs w:val="18"/>
          <w:b w:val="1"/>
          <w:bCs w:val="1"/>
          <w:color w:val="auto"/>
        </w:rPr>
        <w:t xml:space="preserve"> </w:t>
      </w:r>
      <w:r>
        <w:rPr>
          <w:rFonts w:ascii="Arial" w:cs="Arial" w:eastAsia="Arial" w:hAnsi="Arial"/>
          <w:sz w:val="18"/>
          <w:szCs w:val="18"/>
          <w:color w:val="auto"/>
        </w:rPr>
        <w:t>men. HH is a clinical syndrome that results from inadequate levels of testosterone. Based on World Health Organization (“WHO”) estimates and scientific data, we estimate there are approximately seven million cases of HH in obese men in the United States. In these men, a decline in testosterone is exacerbated by high levels of the aromatase enzyme, which is present in fat tissue and leads to a reduction in testosterone. Leflutrozole is designed to inhibit the aromatase enzyme and is being developed to restore normal levels of testosterone without causing excessively high testosterone levels or reducing the levels of luteinizing hormone (“LH”) or follicle stimulating hormone (“FSH”). Both LH and FSH play key roles in sperm formation and LH plays a key role in endogenous testosterone formation. In contrast to current therapies for HH, which involve the exogenous administration of testosterone and lead to further down regulation of LH and FSH, we believe that leflutrozole, by preserving sperm formation through LH and FSH production, may present a benefit to patients.</w:t>
      </w:r>
    </w:p>
    <w:p>
      <w:pPr>
        <w:spacing w:after="0" w:line="19" w:lineRule="exact"/>
        <w:rPr>
          <w:rFonts w:ascii="MS PGothic" w:cs="MS PGothic" w:eastAsia="MS PGothic" w:hAnsi="MS PGothic"/>
          <w:sz w:val="25"/>
          <w:szCs w:val="25"/>
          <w:color w:val="auto"/>
          <w:vertAlign w:val="superscript"/>
        </w:rPr>
      </w:pPr>
    </w:p>
    <w:p>
      <w:pPr>
        <w:ind w:left="1140" w:right="28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leflutrozole, Novartis conducted seven clinical trials in 131 patients and healthy volunteers, including a Phase 2 proof-of-concept trial for HH in obese men in which leflutrozole normalized testosterone levels in all patients and demonstrated an increase in LH and FSH levels.</w:t>
      </w:r>
    </w:p>
    <w:p>
      <w:pPr>
        <w:spacing w:after="0" w:line="27" w:lineRule="exact"/>
        <w:rPr>
          <w:sz w:val="20"/>
          <w:szCs w:val="20"/>
          <w:color w:val="auto"/>
        </w:rPr>
      </w:pPr>
    </w:p>
    <w:p>
      <w:pPr>
        <w:ind w:left="1140" w:right="20"/>
        <w:spacing w:after="0" w:line="234" w:lineRule="auto"/>
        <w:rPr>
          <w:sz w:val="20"/>
          <w:szCs w:val="20"/>
          <w:color w:val="auto"/>
        </w:rPr>
      </w:pPr>
      <w:r>
        <w:rPr>
          <w:rFonts w:ascii="Arial" w:cs="Arial" w:eastAsia="Arial" w:hAnsi="Arial"/>
          <w:sz w:val="18"/>
          <w:szCs w:val="18"/>
          <w:color w:val="auto"/>
        </w:rPr>
        <w:t>In March 2018, we reported top-line data from our completed Phase 2b dose-ranging clinical trial of leflutrozole for the treatment of HH in obese men. The trial enrolled 271 patients who were administered placebo or one of three doses of leflutrozole. The trial met our primary endpoint of normalizing testosterone levels in at least 75% of subjects after 24 weeks of treatment and all of the secondary endpoints, including normalizing testosterone in at least 90% of patients after</w:t>
      </w:r>
    </w:p>
    <w:p>
      <w:pPr>
        <w:spacing w:after="0" w:line="3" w:lineRule="exact"/>
        <w:rPr>
          <w:sz w:val="20"/>
          <w:szCs w:val="20"/>
          <w:color w:val="auto"/>
        </w:rPr>
      </w:pPr>
    </w:p>
    <w:p>
      <w:pPr>
        <w:ind w:left="1140" w:right="20"/>
        <w:spacing w:after="0" w:line="236" w:lineRule="auto"/>
        <w:rPr>
          <w:sz w:val="20"/>
          <w:szCs w:val="20"/>
          <w:color w:val="auto"/>
        </w:rPr>
      </w:pPr>
      <w:r>
        <w:rPr>
          <w:rFonts w:ascii="Arial" w:cs="Arial" w:eastAsia="Arial" w:hAnsi="Arial"/>
          <w:sz w:val="18"/>
          <w:szCs w:val="18"/>
          <w:color w:val="auto"/>
        </w:rPr>
        <w:t>24 weeks of treatment at the two highest doses and improvement in LH and FSH levels at all three doses. Leflutrozole was reported to be well-tolerated in the trial. A subset of 143 patients entered into a six-month safety extension study, with 88 patients completing the additional six months of treatment. The safety extension study was designed to examine if leflutrozole resulted in a pre-specified reduction in bone mineral density at 48 weeks following the initial 24 weeks treatment. In December 2018, we reported positive results from the safety extension study for leflutrozole. The study was successful in demonstrating that none of the doses of leflutrozole met the lower bound (95% confidence interval) of the pre-specified safety criterion of a greater than 3% reduction in lumbar spine bone mineral density after 48 weeks of treatment. In addition, there was no shift into clinical categories of osteopenia or osteoporosis, with no evidence of development of new osteopenia. The efficacy end points of testosterone, LH and FSH also showed improvements consistent with the main Phase 2b study. Following the positive result of the safety extension study for leflutrozole, we convened an advisory board meeting and concluded that the future development of leflutrozole should focus on male infertility. We intend to explore strategic options with third parties for the further development of leflutrozole.</w:t>
      </w:r>
    </w:p>
    <w:p>
      <w:pPr>
        <w:spacing w:after="0" w:line="6" w:lineRule="exact"/>
        <w:rPr>
          <w:sz w:val="20"/>
          <w:szCs w:val="20"/>
          <w:color w:val="auto"/>
        </w:rPr>
      </w:pPr>
    </w:p>
    <w:p>
      <w:pPr>
        <w:ind w:left="1120" w:hanging="407"/>
        <w:spacing w:after="0" w:line="233" w:lineRule="auto"/>
        <w:tabs>
          <w:tab w:leader="none" w:pos="112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Etigilimab (OMP-313M32)</w:t>
      </w:r>
      <w:r>
        <w:rPr>
          <w:rFonts w:ascii="Arial" w:cs="Arial" w:eastAsia="Arial" w:hAnsi="Arial"/>
          <w:sz w:val="18"/>
          <w:szCs w:val="18"/>
          <w:color w:val="auto"/>
        </w:rPr>
        <w:t>: Etigilimab is an anti-TIGIT therapeutic candidate intended to activate the immune system</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multiple mechanisms and enable anti-tumor activity. TIGIT (T-cell immunoreceptor with Ig and ITIM domains) is an inhibitory receptor that is thought to stop T-cells from attacking tumor cells. We acquired this therapeutic product candidate in the Merger. A Phase 1a/b clinical trial enrolled patients with advanced solid tumors into either a Phase 1a single-agent portion (dose escalation in all patients and expansion in selected tumor types) or Phase 1b combination portion in selected tumor types with nivolumab (dose escalation). 23 patients were treated in the Phase 1a dose escalation portion of the study and 10 patients were treated in the Phase 1b combination portion. Ten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8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40" w:right="40"/>
        <w:spacing w:after="0" w:line="246" w:lineRule="auto"/>
        <w:rPr>
          <w:sz w:val="20"/>
          <w:szCs w:val="20"/>
          <w:color w:val="auto"/>
        </w:rPr>
      </w:pPr>
      <w:r>
        <w:rPr>
          <w:rFonts w:ascii="Arial" w:cs="Arial" w:eastAsia="Arial" w:hAnsi="Arial"/>
          <w:sz w:val="18"/>
          <w:szCs w:val="18"/>
          <w:color w:val="auto"/>
        </w:rPr>
        <w:t>percent of the patients in the Phase 1b portion had a response and 10% had stable disease. The study has now completed enrollment and a clinical study report (“CSR”) is being drafted.</w:t>
      </w:r>
    </w:p>
    <w:p>
      <w:pPr>
        <w:spacing w:after="0" w:line="8" w:lineRule="exact"/>
        <w:rPr>
          <w:sz w:val="20"/>
          <w:szCs w:val="20"/>
          <w:color w:val="auto"/>
        </w:rPr>
      </w:pPr>
    </w:p>
    <w:p>
      <w:pPr>
        <w:ind w:left="1140" w:right="140"/>
        <w:spacing w:after="0" w:line="237" w:lineRule="auto"/>
        <w:rPr>
          <w:sz w:val="20"/>
          <w:szCs w:val="20"/>
          <w:color w:val="auto"/>
        </w:rPr>
      </w:pPr>
      <w:r>
        <w:rPr>
          <w:rFonts w:ascii="Arial" w:cs="Arial" w:eastAsia="Arial" w:hAnsi="Arial"/>
          <w:sz w:val="18"/>
          <w:szCs w:val="18"/>
          <w:color w:val="auto"/>
        </w:rPr>
        <w:t>The etigilimab program (also referred to as the TIGIT program) was previously subject to an exclusive license option with Celgene as part of the Collaboration Agreement. See “Business—Material Agreements—Collaboration Agreement with Celgene.” 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w:t>
      </w:r>
    </w:p>
    <w:p>
      <w:pPr>
        <w:spacing w:after="0" w:line="29" w:lineRule="exact"/>
        <w:rPr>
          <w:sz w:val="20"/>
          <w:szCs w:val="20"/>
          <w:color w:val="auto"/>
        </w:rPr>
      </w:pPr>
    </w:p>
    <w:p>
      <w:pPr>
        <w:ind w:left="1140" w:right="660"/>
        <w:spacing w:after="0" w:line="246" w:lineRule="auto"/>
        <w:rPr>
          <w:sz w:val="20"/>
          <w:szCs w:val="20"/>
          <w:color w:val="auto"/>
        </w:rPr>
      </w:pPr>
      <w:r>
        <w:rPr>
          <w:rFonts w:ascii="Arial" w:cs="Arial" w:eastAsia="Arial" w:hAnsi="Arial"/>
          <w:sz w:val="18"/>
          <w:szCs w:val="18"/>
          <w:color w:val="auto"/>
        </w:rPr>
        <w:t>See “Business—Material Agreements—Novartis Agreements” and “Business—Material Agreements—AstraZeneca Agreement” for important information regarding our license agreements with Novartis and AstraZeneca.</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12-month top-line data from the setrusumab Phase 2b dose-ranging study in adult patients</w:t>
      </w:r>
    </w:p>
    <w:p>
      <w:pPr>
        <w:spacing w:after="0" w:line="85" w:lineRule="exact"/>
        <w:rPr>
          <w:sz w:val="20"/>
          <w:szCs w:val="20"/>
          <w:color w:val="auto"/>
        </w:rPr>
      </w:pPr>
    </w:p>
    <w:p>
      <w:pPr>
        <w:ind w:left="300" w:right="460" w:firstLine="426"/>
        <w:spacing w:after="0" w:line="246" w:lineRule="auto"/>
        <w:rPr>
          <w:sz w:val="20"/>
          <w:szCs w:val="20"/>
          <w:color w:val="auto"/>
        </w:rPr>
      </w:pPr>
      <w:r>
        <w:rPr>
          <w:rFonts w:ascii="Arial" w:cs="Arial" w:eastAsia="Arial" w:hAnsi="Arial"/>
          <w:sz w:val="18"/>
          <w:szCs w:val="18"/>
          <w:color w:val="auto"/>
        </w:rPr>
        <w:t>On November 11, 2019, we reported 12-month top-line data from our Phase 2b dose-ranging clinical trial for setrusumab in adults with Type I, III or IV OI.</w:t>
      </w:r>
    </w:p>
    <w:p>
      <w:pPr>
        <w:spacing w:after="0" w:line="197"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The primary endpoint of the trial was change in trabecular volumetric bone mineral density (“Tr vBMD”) of the radius (wrist) over baseline after 12 months of treatment as measured by high resolution peripheral quantitative computerized tomography (“HRpQCT”). As a result of the unexpected high heterogeneity of the trial patients’ trabecular bone baseline values at the wrist (including both very low and very high trabecular bone at baseline as compared to the literature available),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volumetric BMD separately.</w:t>
      </w:r>
    </w:p>
    <w:p>
      <w:pPr>
        <w:spacing w:after="0" w:line="203" w:lineRule="exact"/>
        <w:rPr>
          <w:sz w:val="20"/>
          <w:szCs w:val="20"/>
          <w:color w:val="auto"/>
        </w:rPr>
      </w:pPr>
    </w:p>
    <w:p>
      <w:pPr>
        <w:ind w:left="300" w:right="300" w:firstLine="426"/>
        <w:spacing w:after="0" w:line="237" w:lineRule="auto"/>
        <w:rPr>
          <w:sz w:val="20"/>
          <w:szCs w:val="20"/>
          <w:color w:val="auto"/>
        </w:rPr>
      </w:pPr>
      <w:r>
        <w:rPr>
          <w:rFonts w:ascii="Arial" w:cs="Arial" w:eastAsia="Arial" w:hAnsi="Arial"/>
          <w:sz w:val="18"/>
          <w:szCs w:val="18"/>
          <w:color w:val="auto"/>
        </w:rPr>
        <w:t>Importantly, when the percentage change in trabecular and cortical volumetric bone mineral density (“BMD”) at the wrist were combined (the total volumetric BMD as measured by HRpQCT, a secondary endpoint of the study), an increase in total volumetric BMD was observed and reached statistical significance in the medium and high dose cohorts. Mean increases in total volumetric BMD were 4.11% (p=0.004), 4.5% (p=0.028), and 0.58% (p=0.97) in the high, medium, and low dose cohorts (post hoc analysis), respectively. This suggests total volumetric BMD increases were driven by the ability of setrusumab to increase cortical volumetric BMD.</w:t>
      </w:r>
    </w:p>
    <w:p>
      <w:pPr>
        <w:spacing w:after="0" w:line="205" w:lineRule="exact"/>
        <w:rPr>
          <w:sz w:val="20"/>
          <w:szCs w:val="20"/>
          <w:color w:val="auto"/>
        </w:rPr>
      </w:pPr>
    </w:p>
    <w:p>
      <w:pPr>
        <w:ind w:left="300" w:right="60" w:firstLine="426"/>
        <w:spacing w:after="0" w:line="236" w:lineRule="auto"/>
        <w:rPr>
          <w:sz w:val="20"/>
          <w:szCs w:val="20"/>
          <w:color w:val="auto"/>
        </w:rPr>
      </w:pPr>
      <w:r>
        <w:rPr>
          <w:rFonts w:ascii="Arial" w:cs="Arial" w:eastAsia="Arial" w:hAnsi="Arial"/>
          <w:sz w:val="18"/>
          <w:szCs w:val="18"/>
          <w:color w:val="auto"/>
        </w:rPr>
        <w:t>The study achieved its important secondary endpoint of increase in areal BMD at the lumbar spine at six and 12 months over baseline using dual energy x-ray absorptiometry (“DXA”), a well-established measurement tool of BMD (cortical and trabecular bone), reaching statistical significance in the high and medium doses cohorts at both six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and IV) represented in the study and improved with duration of treatment. Statistically significant changes in areal BMD were also observed by DXA at the femoral neck and total hip with mean increases of 3.1% (p=0.022) and 2.2% (P=0.011), respectively, at 12 months in the high dose cohort.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320" w:top="459" w:right="6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340" w:firstLine="426"/>
        <w:spacing w:after="0" w:line="257" w:lineRule="auto"/>
        <w:rPr>
          <w:sz w:val="20"/>
          <w:szCs w:val="20"/>
          <w:color w:val="auto"/>
        </w:rPr>
      </w:pPr>
      <w:r>
        <w:rPr>
          <w:rFonts w:ascii="Arial" w:cs="Arial" w:eastAsia="Arial" w:hAnsi="Arial"/>
          <w:sz w:val="17"/>
          <w:szCs w:val="17"/>
          <w:color w:val="auto"/>
        </w:rPr>
        <w:t>On January 14, 2020, we reported additional data to the above from our Phase 2b does-ranging clinical trial for setrusumab. This additional data demonstrated a dose dependent increase in bone strength (stiffness and failure load) as measured by Finite Element Analysis (“FEA”). This was a second prespecified primary end point and reached statistical significance in the high dose cohort. FEA is a technique that, based on the HRpQCT, allows for the estimation of physical properties of bone,</w:t>
      </w:r>
    </w:p>
    <w:p>
      <w:pPr>
        <w:spacing w:after="0" w:line="189"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We also reported on the end point of Trabecular Bone Score (TBS) at the lumbar spine. Setrusumab demonstrated a statistically significant increase in TBS at both the high (p&lt;0.001) and medium dose cohorts (p&lt;0.001). TBS is a gray-level texture index determined from patient lumbar spine DXA scans that correlates with 3D parameters of trabecular bone architecture thought to help predict fracture.</w:t>
      </w:r>
    </w:p>
    <w:p>
      <w:pPr>
        <w:spacing w:after="0" w:line="205" w:lineRule="exact"/>
        <w:rPr>
          <w:sz w:val="20"/>
          <w:szCs w:val="20"/>
          <w:color w:val="auto"/>
        </w:rPr>
      </w:pPr>
    </w:p>
    <w:p>
      <w:pPr>
        <w:jc w:val="both"/>
        <w:ind w:left="300" w:right="720" w:firstLine="426"/>
        <w:spacing w:after="0"/>
        <w:rPr>
          <w:sz w:val="20"/>
          <w:szCs w:val="20"/>
          <w:color w:val="auto"/>
        </w:rPr>
      </w:pPr>
      <w:r>
        <w:rPr>
          <w:rFonts w:ascii="Arial" w:cs="Arial" w:eastAsia="Arial" w:hAnsi="Arial"/>
          <w:sz w:val="18"/>
          <w:szCs w:val="18"/>
          <w:color w:val="auto"/>
        </w:rPr>
        <w:t>Although the Phase 2b trial was not powered to show a difference in fracture rates, a trend of reduction in fractures was observed in the high-dose cohort. Setrusumab was safe and well-tolerated in the study. There were no cardiac-related safety concerns observed in the study.</w:t>
      </w:r>
    </w:p>
    <w:p>
      <w:pPr>
        <w:spacing w:after="0" w:line="203"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The study enrolled 112 adults (69 with type I, 28 with type IV and 15 with type III OI) at 27 clinical sites across the United States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Six-month results from this open-label arm were reported in May 2019 and presented at the American Society of Bone Mineral Research (ASBMR) Annual Meeting in September 2019. Patients in the open-label arm of the study have not yet completed 12 months of treatment with setrusumab, therefore the top-line 12-month results reported on November 11, 2019 and on January 14, 2020 are from the three-arm blinded portion of the study.</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Positive Feedback from Type B End-of-Phase 2 Meeting with the FDA</w:t>
      </w:r>
    </w:p>
    <w:p>
      <w:pPr>
        <w:spacing w:after="0" w:line="126"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On February 28, 2020, we announced the successful completion of a Type B End-of-Phase 2 meeting with the FDA to discuss the development of setrusumab for the treatment of children and adolescents with OI. Following the review of the data from the our Phase 2b (ASTEROID) study with setrusumab in adults with OI, the FDA agreed on the design of a Phase 3 pediatric study in OI to be completed prior to the submission of a Biologics License Application (“BLA”) in the United States. This is in line with our proposed pivotal pediatric study design that has already been agreed to in principle with the EMA. The Phase 3 pediatric study will include the following elements:</w:t>
      </w:r>
    </w:p>
    <w:p>
      <w:pPr>
        <w:spacing w:after="0" w:line="232" w:lineRule="exact"/>
        <w:rPr>
          <w:sz w:val="20"/>
          <w:szCs w:val="20"/>
          <w:color w:val="auto"/>
        </w:rPr>
      </w:pPr>
    </w:p>
    <w:p>
      <w:pPr>
        <w:ind w:left="1120" w:right="140" w:hanging="407"/>
        <w:spacing w:after="0" w:line="218"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single study with two cohorts in approximately 160 children and adolescents ages 2 to &lt;18 years diagnosed with Type I, II, III or IV OI and a confirmed genetic mutation leading to a collagen defect;</w:t>
      </w:r>
    </w:p>
    <w:p>
      <w:pPr>
        <w:spacing w:after="0" w:line="27" w:lineRule="exact"/>
        <w:rPr>
          <w:rFonts w:ascii="MS PGothic" w:cs="MS PGothic" w:eastAsia="MS PGothic" w:hAnsi="MS PGothic"/>
          <w:sz w:val="25"/>
          <w:szCs w:val="25"/>
          <w:color w:val="auto"/>
          <w:vertAlign w:val="superscript"/>
        </w:rPr>
      </w:pPr>
    </w:p>
    <w:p>
      <w:pPr>
        <w:ind w:left="1120" w:right="500" w:hanging="407"/>
        <w:spacing w:after="0" w:line="218"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safety cohort with a limited number of patients will confirm the dose of setrusumab based on safety and the efficacy cohort will be a two-arm, randomized, double-blind, active control design of 12 months duration;</w:t>
      </w:r>
    </w:p>
    <w:p>
      <w:pPr>
        <w:spacing w:after="0" w:line="27" w:lineRule="exact"/>
        <w:rPr>
          <w:rFonts w:ascii="MS PGothic" w:cs="MS PGothic" w:eastAsia="MS PGothic" w:hAnsi="MS PGothic"/>
          <w:sz w:val="25"/>
          <w:szCs w:val="25"/>
          <w:color w:val="auto"/>
          <w:vertAlign w:val="superscript"/>
        </w:rPr>
      </w:pPr>
    </w:p>
    <w:p>
      <w:pPr>
        <w:jc w:val="both"/>
        <w:ind w:left="1120" w:right="100" w:hanging="407"/>
        <w:spacing w:after="0" w:line="223"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efficacy cohort, participants will be randomized to one of two double-blinded study arms: in one arm participants will receive setrusumab at a dose equivalent to the high-dose arm utilized in the Phase 2b (ASTEROID) study and in the other arm, participants will receive a standardized bisphosphonate;</w:t>
      </w:r>
    </w:p>
    <w:p>
      <w:pPr>
        <w:spacing w:after="0" w:line="2"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primary endpoint of fracture rate versus active control following 12 months of treatment; and</w:t>
      </w:r>
    </w:p>
    <w:p>
      <w:pPr>
        <w:spacing w:after="0" w:line="26" w:lineRule="exact"/>
        <w:rPr>
          <w:rFonts w:ascii="MS PGothic" w:cs="MS PGothic" w:eastAsia="MS PGothic" w:hAnsi="MS PGothic"/>
          <w:sz w:val="25"/>
          <w:szCs w:val="25"/>
          <w:color w:val="auto"/>
          <w:vertAlign w:val="superscript"/>
        </w:rPr>
      </w:pPr>
    </w:p>
    <w:p>
      <w:pPr>
        <w:ind w:left="1120" w:right="200" w:hanging="407"/>
        <w:spacing w:after="0" w:line="218" w:lineRule="auto"/>
        <w:tabs>
          <w:tab w:leader="none" w:pos="112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secondary endpoint of BMD at the lumbar spine at 12 months over baseline measured using two-dimensional DAX, bone biomarkers, patient reported outcomes (PRO) and quality of life measures.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Licensing Agreement for Navicixizumab</w:t>
      </w:r>
    </w:p>
    <w:p>
      <w:pPr>
        <w:spacing w:after="0" w:line="85" w:lineRule="exact"/>
        <w:rPr>
          <w:sz w:val="20"/>
          <w:szCs w:val="20"/>
          <w:color w:val="auto"/>
        </w:rPr>
      </w:pPr>
    </w:p>
    <w:p>
      <w:pPr>
        <w:ind w:left="300" w:right="200" w:firstLine="426"/>
        <w:spacing w:after="0" w:line="237" w:lineRule="auto"/>
        <w:rPr>
          <w:sz w:val="20"/>
          <w:szCs w:val="20"/>
          <w:color w:val="auto"/>
        </w:rPr>
      </w:pPr>
      <w:r>
        <w:rPr>
          <w:rFonts w:ascii="Arial" w:cs="Arial" w:eastAsia="Arial" w:hAnsi="Arial"/>
          <w:sz w:val="18"/>
          <w:szCs w:val="18"/>
          <w:color w:val="auto"/>
        </w:rPr>
        <w:t>On January 13, 2020, we entered into a global license agreement with Oncologie, Inc. (“Oncologie”) for the development and commercialization of Navicixizumab (“Navi”),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 through the Merger. In October 2019, the FDA granted Fast Track designation to Navi and has agreed in principle on the design of a study that could potentially support accelerated approval for Navi in a heavily pretreated, platinum-resistant ovarian cancer patient population.</w:t>
      </w:r>
    </w:p>
    <w:p>
      <w:pPr>
        <w:spacing w:after="0" w:line="203" w:lineRule="exact"/>
        <w:rPr>
          <w:sz w:val="20"/>
          <w:szCs w:val="20"/>
          <w:color w:val="auto"/>
        </w:rPr>
      </w:pPr>
    </w:p>
    <w:p>
      <w:pPr>
        <w:ind w:left="300" w:right="120" w:firstLine="426"/>
        <w:spacing w:after="0" w:line="237" w:lineRule="auto"/>
        <w:rPr>
          <w:sz w:val="20"/>
          <w:szCs w:val="20"/>
          <w:color w:val="auto"/>
        </w:rPr>
      </w:pPr>
      <w:r>
        <w:rPr>
          <w:rFonts w:ascii="Arial" w:cs="Arial" w:eastAsia="Arial" w:hAnsi="Arial"/>
          <w:sz w:val="18"/>
          <w:szCs w:val="18"/>
          <w:color w:val="auto"/>
        </w:rPr>
        <w:t>Under the terms of the license agreement, Oncologie will receive an exclusive worldwide license to develop and commercialize Navi. We received an upfront payment of $4.0 million and will receive an additional payment of $2.0 million conditional on a CMC (Chemistry, Manufacturing and Controls) milestone. Oncologie will be responsible for all future research, development and commercialization of Navi. Additionally, we will be eligible to receive up to $300 million in future clinical, regulatory and commercial milestones, tiered royalties ranging from the mid-single-digit to sub-teen percentages on global annual net sales of Navi, as well as a negotiated percentage of sublicensing revenues from certain sublicensees.</w:t>
      </w:r>
    </w:p>
    <w:p>
      <w:pPr>
        <w:spacing w:after="0" w:line="205" w:lineRule="exact"/>
        <w:rPr>
          <w:sz w:val="20"/>
          <w:szCs w:val="20"/>
          <w:color w:val="auto"/>
        </w:rPr>
      </w:pPr>
    </w:p>
    <w:p>
      <w:pPr>
        <w:ind w:left="300" w:right="80" w:firstLine="426"/>
        <w:spacing w:after="0" w:line="237" w:lineRule="auto"/>
        <w:rPr>
          <w:sz w:val="20"/>
          <w:szCs w:val="20"/>
          <w:color w:val="auto"/>
        </w:rPr>
      </w:pPr>
      <w:r>
        <w:rPr>
          <w:rFonts w:ascii="Arial" w:cs="Arial" w:eastAsia="Arial" w:hAnsi="Arial"/>
          <w:sz w:val="18"/>
          <w:szCs w:val="18"/>
          <w:color w:val="auto"/>
        </w:rPr>
        <w:t>As a consequence of the license agreement with Oncologie, and in accordance with the terms and conditions of the Contingent Value Rights Agreement for former stockholders of OncoMed, dated April 23, 2019, by and between us and Computershare Inc., as rights agent, (the “CVR Agreement”), holders of contingent value rights (“CVRs”) pursuant to the CVR Agreement will be entitled to receive certain eligible cash milestone payments made to us under the license agreement relating to the development and commercialization of Navi. The receipt of the upfront milestone payment of $4.0 million by us in January 2020 will result in a payment to CVR holders of approximately 1.2 cents per CVR, a total of approximately $462,748 (after deductions of costs, charges and expenditures). It is expected this distribution will be made to CVR holders by March 17, 2020.</w:t>
      </w:r>
    </w:p>
    <w:p>
      <w:pPr>
        <w:spacing w:after="0" w:line="203" w:lineRule="exact"/>
        <w:rPr>
          <w:sz w:val="20"/>
          <w:szCs w:val="20"/>
          <w:color w:val="auto"/>
        </w:rPr>
      </w:pPr>
    </w:p>
    <w:p>
      <w:pPr>
        <w:ind w:left="300" w:right="40" w:firstLine="426"/>
        <w:spacing w:after="0" w:line="237" w:lineRule="auto"/>
        <w:rPr>
          <w:sz w:val="20"/>
          <w:szCs w:val="20"/>
          <w:color w:val="auto"/>
        </w:rPr>
      </w:pPr>
      <w:r>
        <w:rPr>
          <w:rFonts w:ascii="Arial" w:cs="Arial" w:eastAsia="Arial" w:hAnsi="Arial"/>
          <w:sz w:val="18"/>
          <w:szCs w:val="18"/>
          <w:color w:val="auto"/>
        </w:rPr>
        <w:t>Holders of CVRs pursuant to the CVR Agreement will be entitled to receive additional eligible cash milestone payments made to us under the license agreement relating to Navi. Pursuant to the terms of the CVR Agreement, if a milestone occurs prior to the fifth anniversary of the closing of the Merger, then holders of CVRs will be entitled to receive an amount in cash equal to 70% of the aggregate principal amount received by us after deduction of costs, charges and expenditures. Such milestone payments are also subject to a cash consideration cap, pursuant to which the aggregate principal amount of all cash payments made to holders of CVRs under the CVR Agreement shall in no case exceed $79.7 million.</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New Novartis Notes</w:t>
      </w:r>
    </w:p>
    <w:p>
      <w:pPr>
        <w:spacing w:after="0" w:line="85"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On February 10, 2020, we entered into a £3,841,479 convertible loan note instrument with Novartis pursuant to which we issued Novartis 3,841,479 unsecured convertible loan notes (the “New Novartis Notes”) and warrants to purchase 1,449,614 ordinary shares. See “Description of Share Capital and Articles of Association—Novartis Notes”.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Aspire Capital Transaction</w:t>
      </w:r>
    </w:p>
    <w:p>
      <w:pPr>
        <w:spacing w:after="0" w:line="126" w:lineRule="exact"/>
        <w:rPr>
          <w:sz w:val="20"/>
          <w:szCs w:val="20"/>
          <w:color w:val="auto"/>
        </w:rPr>
      </w:pPr>
    </w:p>
    <w:p>
      <w:pPr>
        <w:ind w:left="300" w:right="20" w:firstLine="426"/>
        <w:spacing w:after="0" w:line="246" w:lineRule="auto"/>
        <w:rPr>
          <w:sz w:val="20"/>
          <w:szCs w:val="20"/>
          <w:color w:val="auto"/>
        </w:rPr>
      </w:pPr>
      <w:r>
        <w:rPr>
          <w:rFonts w:ascii="Arial" w:cs="Arial" w:eastAsia="Arial" w:hAnsi="Arial"/>
          <w:sz w:val="18"/>
          <w:szCs w:val="18"/>
          <w:color w:val="auto"/>
        </w:rPr>
        <w:t>On February 10, 2020, we entered into a Purchase Agreement with Aspire Capital Fund, LLC, an Illinois limited liability company (referred to in this prospectus as “Aspire Capital”), which provides that,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00"/>
        <w:spacing w:after="0" w:line="237" w:lineRule="auto"/>
        <w:rPr>
          <w:sz w:val="20"/>
          <w:szCs w:val="20"/>
          <w:color w:val="auto"/>
        </w:rPr>
      </w:pPr>
      <w:r>
        <w:rPr>
          <w:rFonts w:ascii="Arial" w:cs="Arial" w:eastAsia="Arial" w:hAnsi="Arial"/>
          <w:sz w:val="18"/>
          <w:szCs w:val="18"/>
          <w:color w:val="auto"/>
        </w:rPr>
        <w:t>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11,432,925 ordinary shares that are exchangeable for 2,286,585 ADSs for $3.0 million. In consideration for entering into the Purchase Agreement, concurrently with the execution of the Purchase Agreement, we paid Aspire Capital a commission fee of $300,000, which was wholly satisfied by the issuance to Aspire Capital of 2,862,595 ordinary shares that are exchangeable for 572,519 ADSs. See “The Aspire Capital Transaction.”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Boxer Capital Transaction</w:t>
      </w:r>
    </w:p>
    <w:p>
      <w:pPr>
        <w:spacing w:after="0" w:line="126"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On February 19, 2020, we entered into a securities purchase agreement with Boxer Capital, LLC (‘‘Boxer Capital’’). Under the terms of the agreement, Boxer Capital agreed to invest $ 3.0 million by purchasing 12,252,715 ordinary shares (equivalent to 2,450,543 ADSs) at a price equivalent to 18.8 pence per ordinary share, which represented a 20% discount to our closing share price of 23.5 pence on AIM on February 18, 2020. We intend to use the net proceeds from this private placement for general corporate purposes, including clinical trial activity and working capital. There are no warrants, derivatives, or other share classes associated with this transaction. Further, there are no restrictions on future financings and there are no financial covenants, participation rights, rights of first refusal, or penalties in the purchase agreement entered into in connection with this transaction.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left="300" w:right="240" w:firstLine="426"/>
        <w:spacing w:after="0" w:line="274" w:lineRule="auto"/>
        <w:rPr>
          <w:sz w:val="20"/>
          <w:szCs w:val="20"/>
          <w:color w:val="auto"/>
        </w:rPr>
      </w:pPr>
      <w:r>
        <w:rPr>
          <w:rFonts w:ascii="Arial" w:cs="Arial" w:eastAsia="Arial" w:hAnsi="Arial"/>
          <w:sz w:val="17"/>
          <w:szCs w:val="17"/>
          <w:color w:val="auto"/>
        </w:rPr>
        <w:t>We intend to become a leading biopharmaceutical company developing innovative therapeutics that aim to improve outcomes for patients with rare bone, respiratory and endocrine diseases. The key elements of our strategy to achieve this goal include:</w:t>
      </w:r>
    </w:p>
    <w:p>
      <w:pPr>
        <w:spacing w:after="0" w:line="180" w:lineRule="exact"/>
        <w:rPr>
          <w:sz w:val="20"/>
          <w:szCs w:val="20"/>
          <w:color w:val="auto"/>
        </w:rPr>
      </w:pPr>
    </w:p>
    <w:p>
      <w:pPr>
        <w:ind w:left="1120" w:right="80" w:hanging="407"/>
        <w:spacing w:after="0" w:line="234" w:lineRule="auto"/>
        <w:tabs>
          <w:tab w:leader="none" w:pos="112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completed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announced top-line data of a Phase 2b clinical trial of setrusumab for the treatment of OI in adults in the United States, Europe and Canada. We reported top-line data on the three blinded dose ranging arms in November 2019 with the results supporting progression of setrusumab into a pediatric pivotal study in OI. Following the completion of the dosing part of the study, patients will continue to be followed for a further 12 months to examine the off-effects of setrusumab. We have agreed on a pediatric investigational plan for setrusumab with the EMA and following our post Phase 2 meeting with the FDA in February 2020, we intend to prepare for a pivotal trial in the United States, EU and Canada in children with severe OI in 2020, with fracture as the primary end point. We believe the results from this trial, if favorable, will be sufficient to support the submission of a BLA in the United States and MAA in the EU for setrusumab for the treatment of children with severe OI and a conditional marketing authorization (“CMA”) for the treatment of adults with OI. We have commenced a Phase 2 clinical trial of alvelestat for the treatment of severe AATD and expect to report top-line data from this trial in mid-2020. If the results are favorable and pending regulatory feedback, we intend to continue to develop alvelestat toward approval and commercialization. For setrusumab and alvelestat, if approved, and for any future product candidates for rare diseases, we intend either to establish a sales and marketing organization with technical expertise and supporting distribution capabilities to commercialize or co-commercialize these product candidates in major markets or potentially to outsource aspects of these functions to third parties or partners.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20" w:right="40" w:hanging="407"/>
        <w:spacing w:after="0" w:line="233" w:lineRule="auto"/>
        <w:tabs>
          <w:tab w:leader="none" w:pos="112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non-rare disease product candidates and explore strategic relationships with third parties for further clinical development and/or commercialization or strategic sales or out-licensing. </w:t>
      </w:r>
      <w:r>
        <w:rPr>
          <w:rFonts w:ascii="Arial" w:cs="Arial" w:eastAsia="Arial" w:hAnsi="Arial"/>
          <w:sz w:val="18"/>
          <w:szCs w:val="18"/>
          <w:color w:val="auto"/>
        </w:rPr>
        <w:t>Based on the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our Phase 2 clinical trial of acumapimod, we plan to enter into one or more strategic relationships with third parties for acumapimod to undertake the next phase of clinical development and, if approved, commercialization. In March 2018, we reported top-line Phase 2b data for leflutrozole for the treatment of HH and in December 2018, we reported positive results from the safety extension study for leflutrozole. We intend to explore strategic relationships with third parties for the further development and commercialization of leflutrozole. In addition, we plan to enter into strategic relationships with third parties for the further development of etigilimab, which we acquired in the Merger. Alternatively, we may seek to sell or out-license one or more of our non-rare disease product candidates.</w:t>
      </w:r>
    </w:p>
    <w:p>
      <w:pPr>
        <w:spacing w:after="0" w:line="90" w:lineRule="exact"/>
        <w:rPr>
          <w:rFonts w:ascii="MS PGothic" w:cs="MS PGothic" w:eastAsia="MS PGothic" w:hAnsi="MS PGothic"/>
          <w:sz w:val="25"/>
          <w:szCs w:val="25"/>
          <w:color w:val="auto"/>
          <w:vertAlign w:val="superscript"/>
        </w:rPr>
      </w:pPr>
    </w:p>
    <w:p>
      <w:pPr>
        <w:ind w:left="1120" w:hanging="407"/>
        <w:spacing w:after="0" w:line="233" w:lineRule="auto"/>
        <w:tabs>
          <w:tab w:leader="none" w:pos="112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We intend to leverage these relationships to grow our pipeline with a focus on rare bone, endocrine, and respiratory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their target indications or with clinical data in a related indication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90" w:lineRule="exact"/>
        <w:rPr>
          <w:rFonts w:ascii="MS PGothic" w:cs="MS PGothic" w:eastAsia="MS PGothic" w:hAnsi="MS PGothic"/>
          <w:sz w:val="25"/>
          <w:szCs w:val="25"/>
          <w:color w:val="auto"/>
          <w:vertAlign w:val="superscript"/>
        </w:rPr>
      </w:pPr>
    </w:p>
    <w:p>
      <w:pPr>
        <w:ind w:left="1120" w:right="40" w:hanging="407"/>
        <w:spacing w:after="0" w:line="233" w:lineRule="auto"/>
        <w:tabs>
          <w:tab w:leader="none" w:pos="112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as well as by the Merger, and a track record of structuring transactions that enable us to leverage our core capabilities while creating value for all stakeholders. We intend to continue to enter into strategic relationships that align our interests with those of pharmaceutical and large biotechnology companies and that we believe to be mutually beneficial.</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6" w:lineRule="exact"/>
        <w:rPr>
          <w:sz w:val="20"/>
          <w:szCs w:val="20"/>
          <w:color w:val="auto"/>
        </w:rPr>
      </w:pPr>
    </w:p>
    <w:p>
      <w:pPr>
        <w:ind w:left="300" w:right="260" w:firstLine="426"/>
        <w:spacing w:after="0"/>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ADSs. Among these important risks are the following:</w:t>
      </w:r>
    </w:p>
    <w:p>
      <w:pPr>
        <w:spacing w:after="0" w:line="230" w:lineRule="exact"/>
        <w:rPr>
          <w:sz w:val="20"/>
          <w:szCs w:val="20"/>
          <w:color w:val="auto"/>
        </w:rPr>
      </w:pPr>
    </w:p>
    <w:p>
      <w:pPr>
        <w:ind w:left="1120" w:right="80" w:hanging="407"/>
        <w:spacing w:after="0" w:line="223" w:lineRule="auto"/>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2"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do not obtain adequate and timely funding, we may not be able to continue as a going concern.</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successful in our efforts to identify and acquire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2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1219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300" w:hanging="407"/>
        <w:spacing w:after="0" w:line="226"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27" w:lineRule="exact"/>
        <w:rPr>
          <w:rFonts w:ascii="MS PGothic" w:cs="MS PGothic" w:eastAsia="MS PGothic" w:hAnsi="MS PGothic"/>
          <w:sz w:val="25"/>
          <w:szCs w:val="25"/>
          <w:color w:val="auto"/>
          <w:vertAlign w:val="superscript"/>
        </w:rPr>
      </w:pPr>
    </w:p>
    <w:p>
      <w:pPr>
        <w:ind w:left="1120" w:right="500" w:hanging="407"/>
        <w:spacing w:after="0" w:line="229" w:lineRule="auto"/>
        <w:tabs>
          <w:tab w:leader="none" w:pos="1120" w:val="left"/>
        </w:tabs>
        <w:numPr>
          <w:ilvl w:val="0"/>
          <w:numId w:val="11"/>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depend heavily on the success of our product candidates, and we cannot give any assurance that our product candidates will receive regulatory approval for any indication, which is necessary before they can be commercialized.</w:t>
      </w:r>
    </w:p>
    <w:p>
      <w:pPr>
        <w:spacing w:after="0" w:line="27" w:lineRule="exact"/>
        <w:rPr>
          <w:rFonts w:ascii="MS PGothic" w:cs="MS PGothic" w:eastAsia="MS PGothic" w:hAnsi="MS PGothic"/>
          <w:sz w:val="24"/>
          <w:szCs w:val="24"/>
          <w:color w:val="auto"/>
          <w:vertAlign w:val="superscript"/>
        </w:rPr>
      </w:pPr>
    </w:p>
    <w:p>
      <w:pPr>
        <w:ind w:left="1120" w:right="120" w:hanging="407"/>
        <w:spacing w:after="0" w:line="226"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are, and will continue to be, dependent on pre-clinical and clinical trials conducted prior to our acquisition of a product candidate having been conducted in compliance with all applicable regulatory requirements and clinical standards and the results having been accurately reported, including for trials conducted by Novartis, AstraZeneca and OncoMed for our current product candidates.</w:t>
      </w:r>
    </w:p>
    <w:p>
      <w:pPr>
        <w:spacing w:after="0" w:line="27" w:lineRule="exact"/>
        <w:rPr>
          <w:rFonts w:ascii="MS PGothic" w:cs="MS PGothic" w:eastAsia="MS PGothic" w:hAnsi="MS PGothic"/>
          <w:sz w:val="25"/>
          <w:szCs w:val="25"/>
          <w:color w:val="auto"/>
          <w:vertAlign w:val="superscript"/>
        </w:rPr>
      </w:pPr>
    </w:p>
    <w:p>
      <w:pPr>
        <w:ind w:left="112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the EMA, or other comparable foreign authorities.</w:t>
      </w:r>
    </w:p>
    <w:p>
      <w:pPr>
        <w:spacing w:after="0" w:line="28" w:lineRule="exact"/>
        <w:rPr>
          <w:rFonts w:ascii="MS PGothic" w:cs="MS PGothic" w:eastAsia="MS PGothic" w:hAnsi="MS PGothic"/>
          <w:sz w:val="25"/>
          <w:szCs w:val="25"/>
          <w:color w:val="auto"/>
          <w:vertAlign w:val="superscript"/>
        </w:rPr>
      </w:pPr>
    </w:p>
    <w:p>
      <w:pPr>
        <w:ind w:left="1120" w:right="40" w:hanging="407"/>
        <w:spacing w:after="0" w:line="218"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27" w:lineRule="exact"/>
        <w:rPr>
          <w:rFonts w:ascii="MS PGothic" w:cs="MS PGothic" w:eastAsia="MS PGothic" w:hAnsi="MS PGothic"/>
          <w:sz w:val="25"/>
          <w:szCs w:val="25"/>
          <w:color w:val="auto"/>
          <w:vertAlign w:val="superscript"/>
        </w:rPr>
      </w:pPr>
    </w:p>
    <w:p>
      <w:pPr>
        <w:ind w:left="1120" w:right="2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rely, and expect to continue to rely, on third parties to conduct our clinical trials and to manufacture our product candidates for pre-clinical and clinical testing, and those third parties may not perform satisfactorily and it may be difficult or time-consuming to replace them, which could delay our product development activities.</w:t>
      </w:r>
    </w:p>
    <w:p>
      <w:pPr>
        <w:spacing w:after="0" w:line="28" w:lineRule="exact"/>
        <w:rPr>
          <w:rFonts w:ascii="MS PGothic" w:cs="MS PGothic" w:eastAsia="MS PGothic" w:hAnsi="MS PGothic"/>
          <w:sz w:val="25"/>
          <w:szCs w:val="25"/>
          <w:color w:val="auto"/>
          <w:vertAlign w:val="superscript"/>
        </w:rPr>
      </w:pPr>
    </w:p>
    <w:p>
      <w:pPr>
        <w:jc w:val="both"/>
        <w:ind w:left="1120" w:right="46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adequately protect our technology, or to secure and maintain our freedom to operate or our issued patents protecting our product candidates, others could preclude us from commercializing our technology and product candidates or compete against us more directly.</w:t>
      </w:r>
    </w:p>
    <w:p>
      <w:pPr>
        <w:spacing w:after="0" w:line="2"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face significant competition from other biotechnology and pharmaceutical companies.</w:t>
      </w:r>
    </w:p>
    <w:p>
      <w:pPr>
        <w:spacing w:after="0" w:line="26" w:lineRule="exact"/>
        <w:rPr>
          <w:rFonts w:ascii="MS PGothic" w:cs="MS PGothic" w:eastAsia="MS PGothic" w:hAnsi="MS PGothic"/>
          <w:sz w:val="25"/>
          <w:szCs w:val="25"/>
          <w:color w:val="auto"/>
          <w:vertAlign w:val="superscript"/>
        </w:rPr>
      </w:pPr>
    </w:p>
    <w:p>
      <w:pPr>
        <w:ind w:left="1120" w:right="4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fail to comply with our obligations under our existing intellectual property licenses with Novartis or AstraZeneca or any other current or future intellectual property licenses with third parties, we could lose license rights that are important to our business, and our business may be substantially harmed as a result.</w:t>
      </w:r>
    </w:p>
    <w:p>
      <w:pPr>
        <w:spacing w:after="0" w:line="28" w:lineRule="exact"/>
        <w:rPr>
          <w:rFonts w:ascii="MS PGothic" w:cs="MS PGothic" w:eastAsia="MS PGothic" w:hAnsi="MS PGothic"/>
          <w:sz w:val="25"/>
          <w:szCs w:val="25"/>
          <w:color w:val="auto"/>
          <w:vertAlign w:val="superscript"/>
        </w:rPr>
      </w:pPr>
    </w:p>
    <w:p>
      <w:pPr>
        <w:ind w:left="1120" w:right="20" w:hanging="407"/>
        <w:spacing w:after="0" w:line="218"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successful commercialization of our product candidates, if any, will depend in part on the extent to which governmental authorities and health insurers establish adequate coverage, reimbursement levels, and pricing policies.</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fully realize the anticipated benefits of the Merger or realize such benefits within the timing anticipated.</w:t>
      </w:r>
    </w:p>
    <w:p>
      <w:pPr>
        <w:spacing w:after="0" w:line="26" w:lineRule="exact"/>
        <w:rPr>
          <w:rFonts w:ascii="MS PGothic" w:cs="MS PGothic" w:eastAsia="MS PGothic" w:hAnsi="MS PGothic"/>
          <w:sz w:val="25"/>
          <w:szCs w:val="25"/>
          <w:color w:val="auto"/>
          <w:vertAlign w:val="superscript"/>
        </w:rPr>
      </w:pPr>
    </w:p>
    <w:p>
      <w:pPr>
        <w:ind w:left="1120" w:right="180" w:hanging="407"/>
        <w:spacing w:after="0" w:line="218"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a significant risk that we will be a passive foreign investment company (“PFIC”) for any taxable year, which could result in material adverse U.S. federal income tax consequences if you are a U.S. investor.</w:t>
      </w:r>
    </w:p>
    <w:p>
      <w:pPr>
        <w:spacing w:after="0" w:line="27" w:lineRule="exact"/>
        <w:rPr>
          <w:rFonts w:ascii="MS PGothic" w:cs="MS PGothic" w:eastAsia="MS PGothic" w:hAnsi="MS PGothic"/>
          <w:sz w:val="25"/>
          <w:szCs w:val="25"/>
          <w:color w:val="auto"/>
          <w:vertAlign w:val="superscript"/>
        </w:rPr>
      </w:pPr>
    </w:p>
    <w:p>
      <w:pPr>
        <w:ind w:left="1120" w:right="120" w:hanging="407"/>
        <w:spacing w:after="0" w:line="223"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a foreign private issuer, we are exempt from a number of rules under the U.S. securities laws and Nasdaq corporate governance rules and are permitted to file less information with the SEC than U.S. domestic public companies, which may limit the information available to holders of our ADSs.</w:t>
      </w:r>
    </w:p>
    <w:p>
      <w:pPr>
        <w:spacing w:after="0" w:line="28" w:lineRule="exact"/>
        <w:rPr>
          <w:rFonts w:ascii="MS PGothic" w:cs="MS PGothic" w:eastAsia="MS PGothic" w:hAnsi="MS PGothic"/>
          <w:sz w:val="25"/>
          <w:szCs w:val="25"/>
          <w:color w:val="auto"/>
          <w:vertAlign w:val="superscript"/>
        </w:rPr>
      </w:pPr>
    </w:p>
    <w:p>
      <w:pPr>
        <w:ind w:left="1120" w:right="260" w:hanging="407"/>
        <w:spacing w:after="0" w:line="218"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Circumstances affecting Woodford Investment Management Limited may have a material adverse impact on the price of our ADSs and ordinary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85" w:lineRule="exact"/>
        <w:rPr>
          <w:sz w:val="20"/>
          <w:szCs w:val="20"/>
          <w:color w:val="auto"/>
        </w:rPr>
      </w:pPr>
    </w:p>
    <w:p>
      <w:pPr>
        <w:ind w:left="300" w:right="10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hanging="407"/>
        <w:spacing w:after="0" w:line="223" w:lineRule="auto"/>
        <w:tabs>
          <w:tab w:leader="none" w:pos="112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00" w:hanging="407"/>
        <w:spacing w:after="0" w:line="218" w:lineRule="auto"/>
        <w:tabs>
          <w:tab w:leader="none" w:pos="112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360" w:hanging="407"/>
        <w:spacing w:after="0" w:line="223" w:lineRule="auto"/>
        <w:tabs>
          <w:tab w:leader="none" w:pos="112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14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00" w:right="50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00" w:right="16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85"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40" w:hanging="407"/>
        <w:spacing w:after="0" w:line="218" w:lineRule="auto"/>
        <w:tabs>
          <w:tab w:leader="none" w:pos="112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13"/>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320" w:top="459"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52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17526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00" w:right="1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80"/>
          </w:cols>
          <w:pgMar w:left="320" w:top="459" w:right="79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004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ADSs offered by the selling shareholder:</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Ordinary shares outstanding</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American Depositary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Up to 17,902,082 ADSs, each representing five (5) ordinary shares.</w:t>
      </w:r>
    </w:p>
    <w:p>
      <w:pPr>
        <w:spacing w:after="0" w:line="25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112,255,142 ordinary shares as of February 11, 2020, including ordinary shares in the form of ADSs.</w:t>
      </w:r>
    </w:p>
    <w:p>
      <w:pPr>
        <w:spacing w:after="0" w:line="22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Each ADS represents five (5) ordinary shares, nominal value £0.003 per ordinary share. As an ADS holder, you will not be treated as one of our shareholders and you will not have shareholder rights. You will have the rights of an ADS holder or beneficial owner of ADSs as provided in the deposit agreement among us, the depositary, and all holders and beneficial owners of ADSs issued thereunder. To better understand the terms of our ADSs, see “Description of American Depositary Shares.” We also encourage you to read the deposit agreement, the form of which is filed as an exhibit to the registration statement of which this prospectus forms a part.</w:t>
      </w:r>
    </w:p>
    <w:p>
      <w:pPr>
        <w:spacing w:after="0" w:line="200" w:lineRule="exact"/>
        <w:rPr>
          <w:sz w:val="20"/>
          <w:szCs w:val="20"/>
          <w:color w:val="auto"/>
        </w:rPr>
      </w:pPr>
    </w:p>
    <w:p>
      <w:pPr>
        <w:sectPr>
          <w:pgSz w:w="11900" w:h="16838" w:orient="portrait"/>
          <w:cols w:equalWidth="0" w:num="2">
            <w:col w:w="4160" w:space="720"/>
            <w:col w:w="6260"/>
          </w:cols>
          <w:pgMar w:left="320" w:top="459" w:right="439" w:bottom="1440" w:gutter="0" w:footer="0" w:header="0"/>
          <w:type w:val="continuous"/>
        </w:sectPr>
      </w:pP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3380" w:type="dxa"/>
            <w:vAlign w:val="bottom"/>
          </w:tcPr>
          <w:p>
            <w:pPr>
              <w:ind w:left="180"/>
              <w:spacing w:after="0"/>
              <w:rPr>
                <w:sz w:val="20"/>
                <w:szCs w:val="20"/>
                <w:color w:val="auto"/>
              </w:rPr>
            </w:pPr>
            <w:r>
              <w:rPr>
                <w:rFonts w:ascii="Arial" w:cs="Arial" w:eastAsia="Arial" w:hAnsi="Arial"/>
                <w:sz w:val="18"/>
                <w:szCs w:val="18"/>
                <w:color w:val="auto"/>
              </w:rPr>
              <w:t>Depositary</w:t>
            </w:r>
          </w:p>
        </w:tc>
        <w:tc>
          <w:tcPr>
            <w:tcW w:w="7640" w:type="dxa"/>
            <w:vAlign w:val="bottom"/>
          </w:tcPr>
          <w:p>
            <w:pPr>
              <w:ind w:left="1380"/>
              <w:spacing w:after="0"/>
              <w:rPr>
                <w:sz w:val="20"/>
                <w:szCs w:val="20"/>
                <w:color w:val="auto"/>
              </w:rPr>
            </w:pPr>
            <w:r>
              <w:rPr>
                <w:rFonts w:ascii="Arial" w:cs="Arial" w:eastAsia="Arial" w:hAnsi="Arial"/>
                <w:sz w:val="18"/>
                <w:szCs w:val="18"/>
                <w:color w:val="auto"/>
              </w:rPr>
              <w:t>Citibank, N.A.</w:t>
            </w:r>
          </w:p>
        </w:tc>
      </w:tr>
      <w:tr>
        <w:trPr>
          <w:trHeight w:val="445"/>
        </w:trPr>
        <w:tc>
          <w:tcPr>
            <w:tcW w:w="33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640" w:type="dxa"/>
            <w:vAlign w:val="bottom"/>
          </w:tcPr>
          <w:p>
            <w:pPr>
              <w:ind w:left="1380"/>
              <w:spacing w:after="0"/>
              <w:rPr>
                <w:sz w:val="20"/>
                <w:szCs w:val="20"/>
                <w:color w:val="auto"/>
              </w:rPr>
            </w:pPr>
            <w:r>
              <w:rPr>
                <w:rFonts w:ascii="Arial" w:cs="Arial" w:eastAsia="Arial" w:hAnsi="Arial"/>
                <w:sz w:val="18"/>
                <w:szCs w:val="18"/>
                <w:color w:val="auto"/>
              </w:rPr>
              <w:t>The selling shareholder will receive all of the proceeds from the sale of the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ADSs offered for sale by it under this prospectus. We will not receive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proceeds from the sale of the ADSs by the selling shareholder. However, we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may receive up to $28.0 million in proceeds from the sale of our ordinary</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shares exchangeable for ADSs to the selling shareholder under the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Purchase Agreement described below, which includes the $3.0 million that</w:t>
            </w:r>
          </w:p>
        </w:tc>
      </w:tr>
      <w:tr>
        <w:trPr>
          <w:trHeight w:val="202"/>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we received from the selling shareholder for the sale of 11,432,925 ordinary</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shares exchangeable for 2,286,585 ADSs to the selling shareholder. We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intend to use any proceeds from the selling shareholder that we received</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under the Purchase Agreement, together with our existing cash, short-term</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deposits and short-term investments, to advance the clinical development of</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setrusumab and alvelestat, and the remainder to fund general research and</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development activities, working capital and other general corporate</w:t>
            </w:r>
          </w:p>
        </w:tc>
      </w:tr>
      <w:tr>
        <w:trPr>
          <w:trHeight w:val="217"/>
        </w:trPr>
        <w:tc>
          <w:tcPr>
            <w:tcW w:w="3380" w:type="dxa"/>
            <w:vAlign w:val="bottom"/>
          </w:tcPr>
          <w:p>
            <w:pPr>
              <w:spacing w:after="0"/>
              <w:rPr>
                <w:sz w:val="18"/>
                <w:szCs w:val="18"/>
                <w:color w:val="auto"/>
              </w:rPr>
            </w:pPr>
          </w:p>
        </w:tc>
        <w:tc>
          <w:tcPr>
            <w:tcW w:w="7640" w:type="dxa"/>
            <w:vAlign w:val="bottom"/>
          </w:tcPr>
          <w:p>
            <w:pPr>
              <w:ind w:left="1380"/>
              <w:spacing w:after="0"/>
              <w:rPr>
                <w:sz w:val="20"/>
                <w:szCs w:val="20"/>
                <w:color w:val="auto"/>
              </w:rPr>
            </w:pPr>
            <w:r>
              <w:rPr>
                <w:rFonts w:ascii="Arial" w:cs="Arial" w:eastAsia="Arial" w:hAnsi="Arial"/>
                <w:sz w:val="18"/>
                <w:szCs w:val="18"/>
                <w:color w:val="auto"/>
              </w:rPr>
              <w:t>purposes. See “Use of Proceeds.”</w:t>
            </w:r>
          </w:p>
        </w:tc>
      </w:tr>
      <w:tr>
        <w:trPr>
          <w:trHeight w:val="431"/>
        </w:trPr>
        <w:tc>
          <w:tcPr>
            <w:tcW w:w="33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640" w:type="dxa"/>
            <w:vAlign w:val="bottom"/>
          </w:tcPr>
          <w:p>
            <w:pPr>
              <w:ind w:left="1380"/>
              <w:spacing w:after="0"/>
              <w:rPr>
                <w:sz w:val="20"/>
                <w:szCs w:val="20"/>
                <w:color w:val="auto"/>
              </w:rPr>
            </w:pPr>
            <w:r>
              <w:rPr>
                <w:rFonts w:ascii="Arial" w:cs="Arial" w:eastAsia="Arial" w:hAnsi="Arial"/>
                <w:sz w:val="18"/>
                <w:szCs w:val="18"/>
                <w:color w:val="auto"/>
              </w:rPr>
              <w:t>See “Risk Factors” and the other information included in this prospectus for</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a discussion of factors you should consider before deciding to invest in our</w:t>
            </w:r>
          </w:p>
        </w:tc>
      </w:tr>
      <w:tr>
        <w:trPr>
          <w:trHeight w:val="217"/>
        </w:trPr>
        <w:tc>
          <w:tcPr>
            <w:tcW w:w="3380" w:type="dxa"/>
            <w:vAlign w:val="bottom"/>
          </w:tcPr>
          <w:p>
            <w:pPr>
              <w:spacing w:after="0"/>
              <w:rPr>
                <w:sz w:val="18"/>
                <w:szCs w:val="18"/>
                <w:color w:val="auto"/>
              </w:rPr>
            </w:pPr>
          </w:p>
        </w:tc>
        <w:tc>
          <w:tcPr>
            <w:tcW w:w="7640" w:type="dxa"/>
            <w:vAlign w:val="bottom"/>
          </w:tcPr>
          <w:p>
            <w:pPr>
              <w:ind w:left="1380"/>
              <w:spacing w:after="0"/>
              <w:rPr>
                <w:sz w:val="20"/>
                <w:szCs w:val="20"/>
                <w:color w:val="auto"/>
              </w:rPr>
            </w:pPr>
            <w:r>
              <w:rPr>
                <w:rFonts w:ascii="Arial" w:cs="Arial" w:eastAsia="Arial" w:hAnsi="Arial"/>
                <w:sz w:val="18"/>
                <w:szCs w:val="18"/>
                <w:color w:val="auto"/>
              </w:rPr>
              <w:t>ADSs.</w:t>
            </w:r>
          </w:p>
        </w:tc>
      </w:tr>
      <w:tr>
        <w:trPr>
          <w:trHeight w:val="445"/>
        </w:trPr>
        <w:tc>
          <w:tcPr>
            <w:tcW w:w="3380" w:type="dxa"/>
            <w:vAlign w:val="bottom"/>
          </w:tcPr>
          <w:p>
            <w:pPr>
              <w:ind w:left="180"/>
              <w:spacing w:after="0"/>
              <w:rPr>
                <w:sz w:val="20"/>
                <w:szCs w:val="20"/>
                <w:color w:val="auto"/>
              </w:rPr>
            </w:pPr>
            <w:r>
              <w:rPr>
                <w:rFonts w:ascii="Arial" w:cs="Arial" w:eastAsia="Arial" w:hAnsi="Arial"/>
                <w:sz w:val="18"/>
                <w:szCs w:val="18"/>
                <w:color w:val="auto"/>
              </w:rPr>
              <w:t>Nasdaq trading symbol</w:t>
            </w:r>
          </w:p>
        </w:tc>
        <w:tc>
          <w:tcPr>
            <w:tcW w:w="7640" w:type="dxa"/>
            <w:vAlign w:val="bottom"/>
          </w:tcPr>
          <w:p>
            <w:pPr>
              <w:ind w:left="1380"/>
              <w:spacing w:after="0"/>
              <w:rPr>
                <w:sz w:val="20"/>
                <w:szCs w:val="20"/>
                <w:color w:val="auto"/>
              </w:rPr>
            </w:pPr>
            <w:r>
              <w:rPr>
                <w:rFonts w:ascii="Arial" w:cs="Arial" w:eastAsia="Arial" w:hAnsi="Arial"/>
                <w:sz w:val="18"/>
                <w:szCs w:val="18"/>
                <w:color w:val="auto"/>
              </w:rPr>
              <w:t>“MREO”</w:t>
            </w:r>
          </w:p>
        </w:tc>
      </w:tr>
      <w:tr>
        <w:trPr>
          <w:trHeight w:val="459"/>
        </w:trPr>
        <w:tc>
          <w:tcPr>
            <w:tcW w:w="3380" w:type="dxa"/>
            <w:vAlign w:val="bottom"/>
          </w:tcPr>
          <w:p>
            <w:pPr>
              <w:ind w:left="180"/>
              <w:spacing w:after="0"/>
              <w:rPr>
                <w:sz w:val="20"/>
                <w:szCs w:val="20"/>
                <w:color w:val="auto"/>
              </w:rPr>
            </w:pPr>
            <w:r>
              <w:rPr>
                <w:rFonts w:ascii="Arial" w:cs="Arial" w:eastAsia="Arial" w:hAnsi="Arial"/>
                <w:sz w:val="18"/>
                <w:szCs w:val="18"/>
                <w:color w:val="auto"/>
              </w:rPr>
              <w:t>AIM trading symbol</w:t>
            </w:r>
          </w:p>
        </w:tc>
        <w:tc>
          <w:tcPr>
            <w:tcW w:w="7640" w:type="dxa"/>
            <w:vAlign w:val="bottom"/>
          </w:tcPr>
          <w:p>
            <w:pPr>
              <w:ind w:left="1380"/>
              <w:spacing w:after="0"/>
              <w:rPr>
                <w:sz w:val="20"/>
                <w:szCs w:val="20"/>
                <w:color w:val="auto"/>
              </w:rPr>
            </w:pPr>
            <w:r>
              <w:rPr>
                <w:rFonts w:ascii="Arial" w:cs="Arial" w:eastAsia="Arial" w:hAnsi="Arial"/>
                <w:sz w:val="18"/>
                <w:szCs w:val="18"/>
                <w:color w:val="auto"/>
              </w:rPr>
              <w:t>“MPH”</w:t>
            </w:r>
          </w:p>
        </w:tc>
      </w:tr>
      <w:tr>
        <w:trPr>
          <w:trHeight w:val="240"/>
        </w:trPr>
        <w:tc>
          <w:tcPr>
            <w:tcW w:w="338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spacing w:after="0"/>
              <w:rPr>
                <w:sz w:val="20"/>
                <w:szCs w:val="20"/>
                <w:color w:val="auto"/>
              </w:rPr>
            </w:pPr>
          </w:p>
        </w:tc>
      </w:tr>
      <w:tr>
        <w:trPr>
          <w:trHeight w:val="604"/>
        </w:trPr>
        <w:tc>
          <w:tcPr>
            <w:tcW w:w="3380" w:type="dxa"/>
            <w:vAlign w:val="bottom"/>
          </w:tcPr>
          <w:p>
            <w:pPr>
              <w:spacing w:after="0"/>
              <w:rPr>
                <w:sz w:val="24"/>
                <w:szCs w:val="24"/>
                <w:color w:val="auto"/>
              </w:rPr>
            </w:pPr>
          </w:p>
        </w:tc>
        <w:tc>
          <w:tcPr>
            <w:tcW w:w="7640" w:type="dxa"/>
            <w:vAlign w:val="bottom"/>
          </w:tcPr>
          <w:p>
            <w:pPr>
              <w:ind w:left="202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35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On February 10, 2020, we entered into a Purchase Agreement with Aspire Capital, which provides that, 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the Initial Shares of 11,432,925 ordinary shares that are exchangeable for 2,286,585 ADSs for $3.0 million. In consideration for entering into the Purchase Agreement, concurrently with the execution of the Purchase Agreement, we paid Aspire Capital a commission fee of $300,000, which was wholly satisfied by the issuance to Aspire Capital of the Commission Shares of 2,862,595 ordinary shares that are exchangeable for 572,519 ADSs. Concurrently with entering into the Purchase Agreement, we also entered into a registration rights agreement with Aspire Capital (referred to in this prospectus as the “Registration Rights Agreement”), in which we agreed to file one or more registration statements, including the registration statement of which this prospectus is a part, as permissible and necessary to register under the Securities Act, the sale of the ADSs that have been and may be issued to Aspire Capital under the Purchase Agreement.</w:t>
      </w:r>
    </w:p>
    <w:p>
      <w:pPr>
        <w:spacing w:after="0" w:line="205" w:lineRule="exact"/>
        <w:rPr>
          <w:sz w:val="20"/>
          <w:szCs w:val="20"/>
          <w:color w:val="auto"/>
        </w:rPr>
      </w:pPr>
    </w:p>
    <w:p>
      <w:pPr>
        <w:ind w:left="300" w:right="40" w:firstLine="426"/>
        <w:spacing w:after="0" w:line="237" w:lineRule="auto"/>
        <w:rPr>
          <w:sz w:val="20"/>
          <w:szCs w:val="20"/>
          <w:color w:val="auto"/>
        </w:rPr>
      </w:pPr>
      <w:r>
        <w:rPr>
          <w:rFonts w:ascii="Arial" w:cs="Arial" w:eastAsia="Arial" w:hAnsi="Arial"/>
          <w:sz w:val="18"/>
          <w:szCs w:val="18"/>
          <w:color w:val="auto"/>
        </w:rPr>
        <w:t>As of February 11, 2020, there were 112,255,142 ordinary shares outstanding (approximately 35% held by non-affiliates), which includes the Initial Shares of 11,432,925 ordinary shares exchangeable by the selling shareholder for 2,286,585 ADSs that have already been issued to Aspire Capital, (ii) the Commission Shares of 2,862,595 ordinary shares exchangeable by the selling shareholder for 572,519 ADSs that were issued to Aspire Capital in satisfaction of the commission fee of $300,000 due to Aspire Capital under the Purchase Agreement, and excludes the $25.0 million worth of our ordinary shares that are exchangeable for ADSs issuable to Aspire Capital pursuant to the Purchase Agreement. The number of ADSs representing ordinary shares ultimately offered for sale by Aspire Capital is dependent upon the number of ADSs purchased by Aspire Capital under the Purchase Agreement.</w:t>
      </w:r>
    </w:p>
    <w:p>
      <w:pPr>
        <w:spacing w:after="0" w:line="203" w:lineRule="exact"/>
        <w:rPr>
          <w:sz w:val="20"/>
          <w:szCs w:val="20"/>
          <w:color w:val="auto"/>
        </w:rPr>
      </w:pPr>
    </w:p>
    <w:p>
      <w:pPr>
        <w:ind w:left="300" w:right="60" w:firstLine="426"/>
        <w:spacing w:after="0" w:line="236" w:lineRule="auto"/>
        <w:rPr>
          <w:sz w:val="20"/>
          <w:szCs w:val="20"/>
          <w:color w:val="auto"/>
        </w:rPr>
      </w:pPr>
      <w:r>
        <w:rPr>
          <w:rFonts w:ascii="Arial" w:cs="Arial" w:eastAsia="Arial" w:hAnsi="Arial"/>
          <w:sz w:val="18"/>
          <w:szCs w:val="18"/>
          <w:color w:val="auto"/>
        </w:rPr>
        <w:t>Pursuant to the Purchase Agreement and the Registration Rights Agreement, we are registering 89,510,410 ordinary shares represented by 17,902,082 ADSs under the Securities Act, which includes (i) the Initial Shares of 11,432,925 ordinary shares exchangeable by the selling shareholder for 2,286,585 ADSs that have already been issued to Aspire Capital, (ii) the Commission Shares of 2,862,595 ordinary shares exchangeable by the selling shareholder for 572,519 ADSs that were issued to Aspire Capital in satisfaction of the commission fee of $300,000 due to Aspire Capital under the Purchase Agreement, and (iii) up to $25.0 million worth of ordinary shares that are exchangeable for ADSs that we may issue to Aspire Capital after this registration statement is declared effective under the Securities Act. All of ADSs representing ordinary shares issuable to Aspire Capital under the Purchase Agreement are being offered pursuant to this prospectus.</w:t>
      </w:r>
    </w:p>
    <w:p>
      <w:pPr>
        <w:spacing w:after="0" w:line="208" w:lineRule="exact"/>
        <w:rPr>
          <w:sz w:val="20"/>
          <w:szCs w:val="20"/>
          <w:color w:val="auto"/>
        </w:rPr>
      </w:pPr>
    </w:p>
    <w:p>
      <w:pPr>
        <w:ind w:left="300" w:right="60" w:firstLine="426"/>
        <w:spacing w:after="0" w:line="237" w:lineRule="auto"/>
        <w:rPr>
          <w:sz w:val="20"/>
          <w:szCs w:val="20"/>
          <w:color w:val="auto"/>
        </w:rPr>
      </w:pPr>
      <w:r>
        <w:rPr>
          <w:rFonts w:ascii="Arial" w:cs="Arial" w:eastAsia="Arial" w:hAnsi="Arial"/>
          <w:sz w:val="18"/>
          <w:szCs w:val="18"/>
          <w:color w:val="auto"/>
        </w:rPr>
        <w:t>After the SEC has declared effective the registration statement of which this prospectus is a part, on any business day on which the closing sale price of our ADSs is not less than $ 0.25 per share, we have the right, in our sole discretion, to present Aspire Capital with a purchase notice (each, a “Purchase Notice”), directing Aspire Capital (as principal) to purchase up to 150,000 ADSs per business day, up to $25.0 million worth of our ordinary shares that are exchangeable for ADSs in the aggregate over the term of the Purchase Agreement, at a per ADS price (the “Purchase Price”) calculated by reference to the prevailing market price of our ADSs over the preceding 10-business day period (as more specifically described below); however, no sale pursuant to a Purchase Notice may exceed $0.5 million per business day.</w:t>
      </w:r>
    </w:p>
    <w:p>
      <w:pPr>
        <w:spacing w:after="0" w:line="203" w:lineRule="exact"/>
        <w:rPr>
          <w:sz w:val="20"/>
          <w:szCs w:val="20"/>
          <w:color w:val="auto"/>
        </w:rPr>
      </w:pPr>
    </w:p>
    <w:p>
      <w:pPr>
        <w:ind w:left="300" w:right="260" w:firstLine="426"/>
        <w:spacing w:after="0" w:line="246" w:lineRule="auto"/>
        <w:rPr>
          <w:sz w:val="20"/>
          <w:szCs w:val="20"/>
          <w:color w:val="auto"/>
        </w:rPr>
      </w:pPr>
      <w:r>
        <w:rPr>
          <w:rFonts w:ascii="Arial" w:cs="Arial" w:eastAsia="Arial" w:hAnsi="Arial"/>
          <w:sz w:val="18"/>
          <w:szCs w:val="18"/>
          <w:color w:val="auto"/>
        </w:rPr>
        <w:t>In addition, on any date on which we submit a Purchase Notice to Aspire Capital for at least 150,000 ADSs, we also have the right, in our sole discretion, to present Aspire Capital with a volume-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81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24815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0"/>
        <w:spacing w:after="0" w:line="237" w:lineRule="auto"/>
        <w:rPr>
          <w:sz w:val="20"/>
          <w:szCs w:val="20"/>
          <w:color w:val="auto"/>
        </w:rPr>
      </w:pPr>
      <w:r>
        <w:rPr>
          <w:rFonts w:ascii="Arial" w:cs="Arial" w:eastAsia="Arial" w:hAnsi="Arial"/>
          <w:sz w:val="18"/>
          <w:szCs w:val="18"/>
          <w:color w:val="auto"/>
        </w:rPr>
        <w:t>weighted average price purchase notice (each, a “VWAP Purchase Notice”) directing Aspire Capital to purchase an amount of ADSs equal to up to 30% of the aggregate of the Company’s ADSs traded on the Nasdaq on the next business day (the “VWAP Purchase Date”) but not more than 250,000 ADSs, subject to a maximum number of ADSs we may determine (the “VWAP Purchase ADS Volume Maximum”) and a minimum trading price (the “VWAP Minimum Price Threshold”) (as more specifically described below). The purchase price per ADS pursuant to such VWAP Purchase Notice (the “VWAP Purchase Price”) is calculated by reference to the prevailing market price of our ADSs (as more specifically described below).</w:t>
      </w:r>
    </w:p>
    <w:p>
      <w:pPr>
        <w:spacing w:after="0" w:line="205"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The Purchase Agreement provides that the Company and Aspire Capital shall not effect any sales under the Purchase Agreement on any purchase date where the closing sale price of our ADSs is less than $0.25 per ADS (the “Floor Price”). This Floor Price and the respective prices and ADS numbers in the preceding paragraphs shall be appropriately adjusted for any reorganization, recapitalization, non-cash dividend, stock split, reverse stock split or other similar transaction. There are no trading volume requirements or restrictions under the Purchase Agreement, and we will control the timing and amount of any sales of our ADSs to Aspire Capital. Aspire Capital has no right to require any sales by us, but is obligated to make purchases from us as we direct in accordance with the Purchase Agreement. There are no limitations on use of proceeds, financial or business covenants, restrictions on future financings, rights of first refusal, participation rights, penalties or liquidated damages in the Purchase Agreement. Aspire Capital may not assign its rights or obligations under the Purchase Agreement. The Purchase Agreement may be terminated by us at any time, at our discretion, without any penalty or cost to us.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42" w:lineRule="exact"/>
        <w:rPr>
          <w:sz w:val="20"/>
          <w:szCs w:val="20"/>
          <w:color w:val="auto"/>
        </w:rPr>
      </w:pPr>
    </w:p>
    <w:p>
      <w:pPr>
        <w:ind w:left="300" w:right="40" w:firstLine="426"/>
        <w:spacing w:after="0" w:line="236" w:lineRule="auto"/>
        <w:rPr>
          <w:sz w:val="20"/>
          <w:szCs w:val="20"/>
          <w:color w:val="auto"/>
        </w:rPr>
      </w:pPr>
      <w:r>
        <w:rPr>
          <w:rFonts w:ascii="Arial" w:cs="Arial" w:eastAsia="Arial" w:hAnsi="Arial"/>
          <w:sz w:val="18"/>
          <w:szCs w:val="18"/>
          <w:color w:val="auto"/>
        </w:rPr>
        <w:t>The following tables set forth our summary consolidated financial data for the periods and as of the dates indicated. We have derived the consolidated statement of comprehensive loss data for the years ended December 31, 2018, 2017 and 2016 and the consolidated balance sheet data as of December 31, 2018 and 2017 from our audited consolidated financial statements included in this prospectus. Consolidated balance sheet data as of December 31, 2016 is derived from other consolidated financial statements not included in this prospectus. We have derived the unaudited consolidated statement of comprehensive loss data for the six-month periods ended June 30, 2019 and 2018 and the unaudited consolidated balance sheet data as of June 30, 2019 from our unaudited interim consolidated financial statements included in this prospectus, which have been prepared in accordance with IAS 34 as issued by the IASB. In the opinion of management, the unaudited interim consolidated financial statements reflect all adjustments, consisting of only normal recurring adjustments, necessary for a fair presentation of the financial information in those statements. Our historical results are not necessarily indicative of the results that should be expected for any future period. You should read the following summary consolidated financial data together with the audited and unaudited consolidated financial statements included in this prospectus and the sections titled “Management’s Discussion and Analysis of Financial Condition and Results of Operations” and “Unaudited Pro Forma Condensed Combined Financial Information.”</w:t>
      </w:r>
    </w:p>
    <w:p>
      <w:pPr>
        <w:spacing w:after="0" w:line="203" w:lineRule="exact"/>
        <w:rPr>
          <w:sz w:val="20"/>
          <w:szCs w:val="20"/>
          <w:color w:val="auto"/>
        </w:rPr>
      </w:pPr>
    </w:p>
    <w:p>
      <w:pPr>
        <w:ind w:left="300" w:right="200" w:firstLine="426"/>
        <w:spacing w:after="0" w:line="238"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in the tables below into U.S. dollars at the noon buying rate of the Federal Reserve Bank of New York on June 28, 2019, which was £1.00 to $1.2704. These translations should not be considered representations that any such amounts have been, could have been, or could be converted into U.S. dollars at that or any other exchange rate as of that or any other date.</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rPr>
              <w:t>(in thousands, except per ordinary share data)</w:t>
            </w:r>
          </w:p>
        </w:tc>
        <w:tc>
          <w:tcPr>
            <w:tcW w:w="174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Consolidated Statement of</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Comprehensive Loss</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Data:</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0" w:type="dxa"/>
            <w:vAlign w:val="bottom"/>
          </w:tcPr>
          <w:p>
            <w:pPr>
              <w:ind w:left="160"/>
              <w:spacing w:after="0"/>
              <w:rPr>
                <w:sz w:val="20"/>
                <w:szCs w:val="20"/>
                <w:color w:val="auto"/>
              </w:rPr>
            </w:pPr>
            <w:r>
              <w:rPr>
                <w:rFonts w:ascii="Arial" w:cs="Arial" w:eastAsia="Arial" w:hAnsi="Arial"/>
                <w:sz w:val="16"/>
                <w:szCs w:val="16"/>
                <w:color w:val="auto"/>
              </w:rPr>
              <w:t>expenses</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(24,563)</w:t>
            </w: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(31,204)</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(34,607)</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(43,964)</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(22,704)</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(28,843)</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(10,864)</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(13,802)</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(11,918)</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(15,141)</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(11,617)</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(10,697)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(13,590)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(12,505)</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(15,886)</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(7,102)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(9,022)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(6,462)</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(8,209)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spacing w:after="0"/>
              <w:rPr>
                <w:sz w:val="20"/>
                <w:szCs w:val="20"/>
                <w:color w:val="auto"/>
              </w:rPr>
            </w:pPr>
            <w:r>
              <w:rPr>
                <w:rFonts w:ascii="Arial" w:cs="Arial" w:eastAsia="Arial" w:hAnsi="Arial"/>
                <w:sz w:val="16"/>
                <w:szCs w:val="16"/>
                <w:color w:val="auto"/>
              </w:rPr>
              <w:t>Operating loss</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(36,180)</w:t>
            </w: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(45,962)</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(45,304)</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(57,554)</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(35,209)</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(44,729)</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(17,966)</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(22,824)</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(18,380)</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(23,350)</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Net income recognized on</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acquisition of subsidiary</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Finance income</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476</w:t>
            </w: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827</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1,050</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307</w:t>
            </w: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390</w:t>
            </w:r>
          </w:p>
        </w:tc>
        <w:tc>
          <w:tcPr>
            <w:tcW w:w="840" w:type="dxa"/>
            <w:vAlign w:val="bottom"/>
            <w:gridSpan w:val="2"/>
          </w:tcPr>
          <w:p>
            <w:pPr>
              <w:jc w:val="right"/>
              <w:ind w:right="128"/>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192</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Finance charge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(1,090)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(2,361)</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(2,999)</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(2,016)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54"/>
        </w:trPr>
        <w:tc>
          <w:tcPr>
            <w:tcW w:w="180" w:type="dxa"/>
            <w:vAlign w:val="bottom"/>
            <w:tcBorders>
              <w:top w:val="single" w:sz="8" w:color="auto"/>
              <w:left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80" w:type="dxa"/>
            <w:vAlign w:val="bottom"/>
            <w:tcBorders>
              <w:left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rPr>
              <w:t>(in thousands, except per ordinary share data)</w:t>
            </w:r>
          </w:p>
        </w:tc>
        <w:tc>
          <w:tcPr>
            <w:tcW w:w="174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80" w:type="dxa"/>
            <w:vAlign w:val="bottom"/>
            <w:tcBorders>
              <w:left w:val="single" w:sz="8" w:color="auto"/>
            </w:tcBorders>
          </w:tcPr>
          <w:p>
            <w:pPr>
              <w:spacing w:after="0"/>
              <w:rPr>
                <w:sz w:val="11"/>
                <w:szCs w:val="11"/>
                <w:color w:val="auto"/>
              </w:rPr>
            </w:pPr>
          </w:p>
        </w:tc>
        <w:tc>
          <w:tcPr>
            <w:tcW w:w="2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Net foreign exchange</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gain/(loss)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2,263</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2,874</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(1,384)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(1,759)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w:t>
            </w: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Net loss before tax</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(33,722)</w:t>
            </w: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(42,840)</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(46,951)</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(59,648)</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(37,307)</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(47,394)</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(19,353)</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(24,585)</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(18,682)</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(23,734)</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Taxation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5,331</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6,773</w:t>
            </w:r>
          </w:p>
        </w:tc>
        <w:tc>
          <w:tcPr>
            <w:tcW w:w="10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8,152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10,357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5,278</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6,704</w:t>
            </w: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2,365</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3,004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2,459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3,123</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Loss attributable to equity</w:t>
            </w: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tcPr>
          <w:p>
            <w:pPr>
              <w:ind w:left="160"/>
              <w:spacing w:after="0"/>
              <w:rPr>
                <w:sz w:val="20"/>
                <w:szCs w:val="20"/>
                <w:color w:val="auto"/>
              </w:rPr>
            </w:pPr>
            <w:r>
              <w:rPr>
                <w:rFonts w:ascii="Arial" w:cs="Arial" w:eastAsia="Arial" w:hAnsi="Arial"/>
                <w:sz w:val="16"/>
                <w:szCs w:val="16"/>
                <w:color w:val="auto"/>
              </w:rPr>
              <w:t>holders of Mereo</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(28,391)</w:t>
            </w: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(36,067)</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(38,799)</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(49,291)</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(32,029)</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(40,690)</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(16,988)</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(21,581)</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(16,223)</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(20,611)</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Fair value changes on</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 held at fair</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value through OCI</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Currency translation of</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Borders>
              <w:left w:val="single" w:sz="8" w:color="auto"/>
            </w:tcBorders>
          </w:tcPr>
          <w:p>
            <w:pPr>
              <w:spacing w:after="0"/>
              <w:rPr>
                <w:sz w:val="16"/>
                <w:szCs w:val="16"/>
                <w:color w:val="auto"/>
              </w:rPr>
            </w:pPr>
          </w:p>
        </w:tc>
        <w:tc>
          <w:tcPr>
            <w:tcW w:w="2200" w:type="dxa"/>
            <w:vAlign w:val="bottom"/>
          </w:tcPr>
          <w:p>
            <w:pPr>
              <w:ind w:left="160"/>
              <w:spacing w:after="0"/>
              <w:rPr>
                <w:sz w:val="20"/>
                <w:szCs w:val="20"/>
                <w:color w:val="auto"/>
              </w:rPr>
            </w:pPr>
            <w:r>
              <w:rPr>
                <w:rFonts w:ascii="Arial" w:cs="Arial" w:eastAsia="Arial" w:hAnsi="Arial"/>
                <w:sz w:val="16"/>
                <w:szCs w:val="16"/>
                <w:color w:val="auto"/>
              </w:rPr>
              <w:t>foreign operations</w:t>
            </w:r>
          </w:p>
        </w:tc>
        <w:tc>
          <w:tcPr>
            <w:tcW w:w="9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903</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loss</w:t>
            </w: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attributable to equity</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holders of Mereo</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(28,391)</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(36,067)</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(38,799)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(49,291)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(32,029)</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(40,690)</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(16,988)</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(21,581)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(15,424)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(19,596)</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Basic and diluted loss per</w:t>
            </w: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2200" w:type="dxa"/>
            <w:vAlign w:val="bottom"/>
          </w:tcPr>
          <w:p>
            <w:pPr>
              <w:ind w:left="160"/>
              <w:spacing w:after="0"/>
              <w:rPr>
                <w:sz w:val="20"/>
                <w:szCs w:val="20"/>
                <w:color w:val="auto"/>
              </w:rPr>
            </w:pPr>
            <w:r>
              <w:rPr>
                <w:rFonts w:ascii="Arial" w:cs="Arial" w:eastAsia="Arial" w:hAnsi="Arial"/>
                <w:sz w:val="16"/>
                <w:szCs w:val="16"/>
                <w:color w:val="auto"/>
              </w:rPr>
              <w:t>ordinary share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(0.63)</w:t>
            </w: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(0.80)</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(0.56)</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(0.71)</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(0.57)</w:t>
            </w:r>
          </w:p>
        </w:tc>
        <w:tc>
          <w:tcPr>
            <w:tcW w:w="840" w:type="dxa"/>
            <w:vAlign w:val="bottom"/>
            <w:gridSpan w:val="2"/>
          </w:tcPr>
          <w:p>
            <w:pPr>
              <w:jc w:val="right"/>
              <w:ind w:right="68"/>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(0.30)</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(0.28)</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89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308991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As of June 30,</w:t>
            </w:r>
          </w:p>
        </w:tc>
      </w:tr>
      <w:tr>
        <w:trPr>
          <w:trHeight w:val="155"/>
        </w:trPr>
        <w:tc>
          <w:tcPr>
            <w:tcW w:w="29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2900" w:type="dxa"/>
            <w:vAlign w:val="bottom"/>
          </w:tcPr>
          <w:p>
            <w:pPr>
              <w:spacing w:after="0"/>
              <w:rPr>
                <w:sz w:val="13"/>
                <w:szCs w:val="13"/>
                <w:color w:val="auto"/>
              </w:rPr>
            </w:pPr>
          </w:p>
        </w:tc>
        <w:tc>
          <w:tcPr>
            <w:tcW w:w="104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r>
      <w:tr>
        <w:trPr>
          <w:trHeight w:val="184"/>
        </w:trPr>
        <w:tc>
          <w:tcPr>
            <w:tcW w:w="2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r>
      <w:tr>
        <w:trPr>
          <w:trHeight w:val="80"/>
        </w:trPr>
        <w:tc>
          <w:tcPr>
            <w:tcW w:w="2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80"/>
        </w:trPr>
        <w:tc>
          <w:tcPr>
            <w:tcW w:w="29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Consolidated Balance Sheet</w:t>
            </w: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Cash and short-term deposits and</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900" w:type="dxa"/>
            <w:vAlign w:val="bottom"/>
          </w:tcPr>
          <w:p>
            <w:pPr>
              <w:ind w:left="180"/>
              <w:spacing w:after="0" w:line="203" w:lineRule="exact"/>
              <w:rPr>
                <w:sz w:val="20"/>
                <w:szCs w:val="20"/>
                <w:color w:val="auto"/>
              </w:rPr>
            </w:pPr>
            <w:r>
              <w:rPr>
                <w:rFonts w:ascii="Arial" w:cs="Arial" w:eastAsia="Arial" w:hAnsi="Arial"/>
                <w:sz w:val="18"/>
                <w:szCs w:val="18"/>
                <w:color w:val="auto"/>
              </w:rPr>
              <w:t>short-term investments</w:t>
            </w:r>
          </w:p>
        </w:tc>
        <w:tc>
          <w:tcPr>
            <w:tcW w:w="104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53,578</w:t>
            </w:r>
          </w:p>
        </w:tc>
        <w:tc>
          <w:tcPr>
            <w:tcW w:w="8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68,065</w:t>
            </w:r>
          </w:p>
        </w:tc>
        <w:tc>
          <w:tcPr>
            <w:tcW w:w="1100" w:type="dxa"/>
            <w:vAlign w:val="bottom"/>
          </w:tcPr>
          <w:p>
            <w:pPr>
              <w:jc w:val="right"/>
              <w:ind w:right="295"/>
              <w:spacing w:after="0" w:line="203" w:lineRule="exact"/>
              <w:rPr>
                <w:sz w:val="20"/>
                <w:szCs w:val="20"/>
                <w:color w:val="auto"/>
              </w:rPr>
            </w:pPr>
            <w:r>
              <w:rPr>
                <w:rFonts w:ascii="Arial" w:cs="Arial" w:eastAsia="Arial" w:hAnsi="Arial"/>
                <w:sz w:val="18"/>
                <w:szCs w:val="18"/>
                <w:color w:val="auto"/>
              </w:rPr>
              <w:t>52,545</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63,577</w:t>
            </w:r>
          </w:p>
        </w:tc>
        <w:tc>
          <w:tcPr>
            <w:tcW w:w="114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27,541</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34,989</w:t>
            </w:r>
          </w:p>
        </w:tc>
        <w:tc>
          <w:tcPr>
            <w:tcW w:w="940" w:type="dxa"/>
            <w:vAlign w:val="bottom"/>
          </w:tcPr>
          <w:p>
            <w:pPr>
              <w:jc w:val="right"/>
              <w:ind w:right="76"/>
              <w:spacing w:after="0" w:line="203" w:lineRule="exact"/>
              <w:rPr>
                <w:sz w:val="20"/>
                <w:szCs w:val="20"/>
                <w:color w:val="auto"/>
              </w:rPr>
            </w:pPr>
            <w:r>
              <w:rPr>
                <w:rFonts w:ascii="Arial" w:cs="Arial" w:eastAsia="Arial" w:hAnsi="Arial"/>
                <w:sz w:val="18"/>
                <w:szCs w:val="18"/>
                <w:color w:val="auto"/>
              </w:rPr>
              <w:t>36,118</w:t>
            </w:r>
          </w:p>
        </w:tc>
        <w:tc>
          <w:tcPr>
            <w:tcW w:w="9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45,884</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86,765</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110,226</w:t>
            </w:r>
          </w:p>
        </w:tc>
        <w:tc>
          <w:tcPr>
            <w:tcW w:w="110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96,335</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122,385</w:t>
            </w:r>
          </w:p>
        </w:tc>
        <w:tc>
          <w:tcPr>
            <w:tcW w:w="11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67,276</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85,468</w:t>
            </w:r>
          </w:p>
        </w:tc>
        <w:tc>
          <w:tcPr>
            <w:tcW w:w="9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107,141</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136,112</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10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193</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245</w:t>
            </w:r>
          </w:p>
        </w:tc>
        <w:tc>
          <w:tcPr>
            <w:tcW w:w="110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213</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271</w:t>
            </w:r>
          </w:p>
        </w:tc>
        <w:tc>
          <w:tcPr>
            <w:tcW w:w="11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214</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272</w:t>
            </w:r>
          </w:p>
        </w:tc>
        <w:tc>
          <w:tcPr>
            <w:tcW w:w="9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294</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373</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10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99,975</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127,009</w:t>
            </w:r>
          </w:p>
        </w:tc>
        <w:tc>
          <w:tcPr>
            <w:tcW w:w="110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118,227</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150,196</w:t>
            </w:r>
          </w:p>
        </w:tc>
        <w:tc>
          <w:tcPr>
            <w:tcW w:w="11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118,492</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150,532</w:t>
            </w:r>
          </w:p>
        </w:tc>
        <w:tc>
          <w:tcPr>
            <w:tcW w:w="9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121,684</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154,588</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10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(40,579)</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(51,552)</w:t>
            </w:r>
          </w:p>
        </w:tc>
        <w:tc>
          <w:tcPr>
            <w:tcW w:w="11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(79,316)</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(100,763)</w:t>
            </w:r>
          </w:p>
        </w:tc>
        <w:tc>
          <w:tcPr>
            <w:tcW w:w="11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(111,221)</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(141,295)</w:t>
            </w: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(127,356)</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(161,794)</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0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79,257</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100,688</w:t>
            </w:r>
          </w:p>
        </w:tc>
        <w:tc>
          <w:tcPr>
            <w:tcW w:w="110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62,483</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79,379</w:t>
            </w:r>
          </w:p>
        </w:tc>
        <w:tc>
          <w:tcPr>
            <w:tcW w:w="11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32,771</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41,632</w:t>
            </w:r>
          </w:p>
        </w:tc>
        <w:tc>
          <w:tcPr>
            <w:tcW w:w="9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59,031</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74,994</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7,508(1)</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9,538</w:t>
            </w:r>
          </w:p>
        </w:tc>
        <w:tc>
          <w:tcPr>
            <w:tcW w:w="11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33,852(2)</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43,006</w:t>
            </w:r>
          </w:p>
        </w:tc>
        <w:tc>
          <w:tcPr>
            <w:tcW w:w="11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34,505(3)</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43,836</w:t>
            </w:r>
          </w:p>
        </w:tc>
        <w:tc>
          <w:tcPr>
            <w:tcW w:w="9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48,110</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61,119</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 and liabilities</w:t>
            </w:r>
          </w:p>
        </w:tc>
        <w:tc>
          <w:tcPr>
            <w:tcW w:w="10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86,765</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110,226</w:t>
            </w:r>
          </w:p>
        </w:tc>
        <w:tc>
          <w:tcPr>
            <w:tcW w:w="110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96,335</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122,385</w:t>
            </w:r>
          </w:p>
        </w:tc>
        <w:tc>
          <w:tcPr>
            <w:tcW w:w="11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67,276</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85,468</w:t>
            </w:r>
          </w:p>
        </w:tc>
        <w:tc>
          <w:tcPr>
            <w:tcW w:w="9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107,141</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136,113</w:t>
            </w:r>
          </w:p>
        </w:tc>
      </w:tr>
    </w:tbl>
    <w:p>
      <w:pPr>
        <w:spacing w:after="0" w:line="175" w:lineRule="exact"/>
        <w:rPr>
          <w:sz w:val="20"/>
          <w:szCs w:val="20"/>
          <w:color w:val="auto"/>
        </w:rPr>
      </w:pPr>
    </w:p>
    <w:p>
      <w:pPr>
        <w:ind w:left="720" w:right="380" w:hanging="426"/>
        <w:spacing w:after="0" w:line="23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£3.1 million ($3.9 million) aggregate principal amount of, and accrued interest on, the Novartis Notes. See “Related Party Transactions—Other Transactions with Novartis—Novartis Notes.”</w:t>
      </w:r>
    </w:p>
    <w:p>
      <w:pPr>
        <w:spacing w:after="0" w:line="1" w:lineRule="exact"/>
        <w:rPr>
          <w:rFonts w:ascii="Arial" w:cs="Arial" w:eastAsia="Arial" w:hAnsi="Arial"/>
          <w:sz w:val="18"/>
          <w:szCs w:val="18"/>
          <w:color w:val="auto"/>
        </w:rPr>
      </w:pPr>
    </w:p>
    <w:p>
      <w:pPr>
        <w:ind w:left="720" w:right="380" w:hanging="426"/>
        <w:spacing w:after="0" w:line="23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 million ($2.5 million) aggregate principal amount of, and accrued interest on, the Novartis Notes. See “Related Party Transactions—Other Transactions with Novartis—Novartis Notes.”</w:t>
      </w:r>
    </w:p>
    <w:p>
      <w:pPr>
        <w:spacing w:after="0" w:line="1" w:lineRule="exact"/>
        <w:rPr>
          <w:rFonts w:ascii="Arial" w:cs="Arial" w:eastAsia="Arial" w:hAnsi="Arial"/>
          <w:sz w:val="18"/>
          <w:szCs w:val="18"/>
          <w:color w:val="auto"/>
        </w:rPr>
      </w:pPr>
    </w:p>
    <w:p>
      <w:pPr>
        <w:ind w:left="720" w:right="380" w:hanging="426"/>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 million ($2.5 million) aggregate principal amount of, and accrued interest on, the Novartis Notes. See “Related Party Transactions—Other Transactions with Novartis—Novartis Notes.”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78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32785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34"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The following summary unaudited pro forma condensed combined financial information is derived from the unaudited pro forma condensed combined statement of operations for the year ended December 31, 2018 and the six months ended June 30, 2019, after giving effect to the Merger as if it had occurred on January 1, 2018.</w:t>
      </w:r>
    </w:p>
    <w:p>
      <w:pPr>
        <w:spacing w:after="0" w:line="203" w:lineRule="exact"/>
        <w:rPr>
          <w:sz w:val="20"/>
          <w:szCs w:val="20"/>
          <w:color w:val="auto"/>
        </w:rPr>
      </w:pPr>
    </w:p>
    <w:p>
      <w:pPr>
        <w:jc w:val="both"/>
        <w:ind w:left="300" w:right="120" w:firstLine="426"/>
        <w:spacing w:after="0"/>
        <w:rPr>
          <w:sz w:val="20"/>
          <w:szCs w:val="20"/>
          <w:color w:val="auto"/>
        </w:rPr>
      </w:pPr>
      <w:r>
        <w:rPr>
          <w:rFonts w:ascii="Arial" w:cs="Arial" w:eastAsia="Arial" w:hAnsi="Arial"/>
          <w:sz w:val="18"/>
          <w:szCs w:val="18"/>
          <w:color w:val="auto"/>
        </w:rPr>
        <w:t>The summary unaudited pro forma condensed combined statement of operations has been prepared using the principles of the acquisition method of accounting in accordance with IFRS as issued by the IASB, and in particular IFRS 3—Business Combinations (“IFRS 3”), under which the Merger qualifies as the acquisition of OncoMed by us.</w:t>
      </w:r>
    </w:p>
    <w:p>
      <w:pPr>
        <w:spacing w:after="0" w:line="203"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The summary unaudited pro forma condensed combined statement of operations has been prepared by Mereo’s management in accordance with SEC Regulation S-X Article 11 for illustrative purposes only. The unaudited pro forma condensed combined statement of operations does not purport to represent what our actual results of operations would have been had the Merger occurred on the date assumed, nor is it indicative of the future results of the combined company. The unaudited pro forma condensed combined statement of operations for the year ended December 31, 2018 and the six months ended June 30, 2019 does not reflect any cost savings, operating synergies or revenue enhancements that the combined company may achieve as a result of the Merger. The pro forma adjustments reflected in the summary unaudited pro forma condensed combined statement of operations reflect estimates and assumptions made by Mereo’s management that Mereo believes to be reasonable.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convenience of the reader and except as otherwise indicated, we have translated pound sterling amounts in the tables</w:t>
      </w:r>
    </w:p>
    <w:p>
      <w:pPr>
        <w:ind w:left="300"/>
        <w:spacing w:after="0" w:line="234" w:lineRule="auto"/>
        <w:rPr>
          <w:sz w:val="20"/>
          <w:szCs w:val="20"/>
          <w:color w:val="auto"/>
        </w:rPr>
      </w:pPr>
      <w:r>
        <w:rPr>
          <w:rFonts w:ascii="Arial" w:cs="Arial" w:eastAsia="Arial" w:hAnsi="Arial"/>
          <w:sz w:val="18"/>
          <w:szCs w:val="18"/>
          <w:color w:val="auto"/>
        </w:rPr>
        <w:t>below into U.S. dollars at the noon buying rate of the Federal Reserve Bank of New York on June 28, 2019, which was £1.00 to</w:t>
      </w:r>
    </w:p>
    <w:p>
      <w:pPr>
        <w:ind w:left="300"/>
        <w:spacing w:after="0" w:line="235" w:lineRule="auto"/>
        <w:rPr>
          <w:sz w:val="20"/>
          <w:szCs w:val="20"/>
          <w:color w:val="auto"/>
        </w:rPr>
      </w:pPr>
      <w:r>
        <w:rPr>
          <w:rFonts w:ascii="Arial" w:cs="Arial" w:eastAsia="Arial" w:hAnsi="Arial"/>
          <w:sz w:val="18"/>
          <w:szCs w:val="18"/>
          <w:color w:val="auto"/>
        </w:rPr>
        <w:t>$1.2704. These translations should not be considered representations that any such amounts have been, could have been, or could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81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33813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60" w:firstLine="426"/>
        <w:spacing w:after="0" w:line="238" w:lineRule="auto"/>
        <w:rPr>
          <w:sz w:val="20"/>
          <w:szCs w:val="20"/>
          <w:color w:val="auto"/>
        </w:rPr>
      </w:pPr>
      <w:r>
        <w:rPr>
          <w:rFonts w:ascii="Arial" w:cs="Arial" w:eastAsia="Arial" w:hAnsi="Arial"/>
          <w:sz w:val="18"/>
          <w:szCs w:val="18"/>
          <w:color w:val="auto"/>
        </w:rPr>
        <w:t>The following summary unaudited pro forma condensed combined statement of operations should be read in conjunction with the information contained in “Unaudited Pro Forma Condensed Combined Financial Information,” “Risk Factors,” “Cautionary Statement Regarding Forward-Looking Statements,” “Selected Consolidated Financial Data of Mereo,” “Business,” and our consolidated financial statements included elsewhere in this prospectus.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980" w:type="dxa"/>
            <w:vAlign w:val="bottom"/>
            <w:gridSpan w:val="4"/>
          </w:tcPr>
          <w:p>
            <w:pPr>
              <w:jc w:val="center"/>
              <w:ind w:left="588"/>
              <w:spacing w:after="0"/>
              <w:rPr>
                <w:sz w:val="20"/>
                <w:szCs w:val="20"/>
                <w:color w:val="auto"/>
              </w:rPr>
            </w:pPr>
            <w:r>
              <w:rPr>
                <w:rFonts w:ascii="Arial" w:cs="Arial" w:eastAsia="Arial" w:hAnsi="Arial"/>
                <w:sz w:val="14"/>
                <w:szCs w:val="14"/>
                <w:b w:val="1"/>
                <w:bCs w:val="1"/>
                <w:color w:val="auto"/>
              </w:rPr>
              <w:t>Pro Forma Condensed Combined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1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4"/>
                <w:szCs w:val="14"/>
                <w:b w:val="1"/>
                <w:bCs w:val="1"/>
                <w:color w:val="auto"/>
              </w:rPr>
              <w:t>Statement of Operations</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1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gridSpan w:val="3"/>
          </w:tcPr>
          <w:p>
            <w:pPr>
              <w:jc w:val="right"/>
              <w:ind w:right="660"/>
              <w:spacing w:after="0" w:line="143" w:lineRule="exact"/>
              <w:rPr>
                <w:sz w:val="20"/>
                <w:szCs w:val="20"/>
                <w:color w:val="auto"/>
              </w:rPr>
            </w:pPr>
            <w:r>
              <w:rPr>
                <w:rFonts w:ascii="Arial" w:cs="Arial" w:eastAsia="Arial" w:hAnsi="Arial"/>
                <w:sz w:val="14"/>
                <w:szCs w:val="14"/>
                <w:b w:val="1"/>
                <w:bCs w:val="1"/>
                <w:color w:val="auto"/>
              </w:rPr>
              <w:t>Year Ended</w:t>
            </w:r>
          </w:p>
        </w:tc>
        <w:tc>
          <w:tcPr>
            <w:tcW w:w="17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Six Months Ended</w:t>
            </w:r>
          </w:p>
        </w:tc>
        <w:tc>
          <w:tcPr>
            <w:tcW w:w="340" w:type="dxa"/>
            <w:vAlign w:val="bottom"/>
            <w:gridSpan w:val="2"/>
          </w:tcPr>
          <w:p>
            <w:pPr>
              <w:spacing w:after="0"/>
              <w:rPr>
                <w:sz w:val="12"/>
                <w:szCs w:val="12"/>
                <w:color w:val="auto"/>
              </w:rPr>
            </w:pPr>
          </w:p>
        </w:tc>
      </w:tr>
      <w:tr>
        <w:trPr>
          <w:trHeight w:val="175"/>
        </w:trPr>
        <w:tc>
          <w:tcPr>
            <w:tcW w:w="1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 2018</w:t>
            </w:r>
          </w:p>
        </w:tc>
        <w:tc>
          <w:tcPr>
            <w:tcW w:w="2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June 30, 2019</w:t>
            </w:r>
          </w:p>
        </w:tc>
      </w:tr>
      <w:tr>
        <w:trPr>
          <w:trHeight w:val="156"/>
        </w:trPr>
        <w:tc>
          <w:tcPr>
            <w:tcW w:w="1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1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20" w:type="dxa"/>
            <w:vAlign w:val="bottom"/>
            <w:gridSpan w:val="5"/>
          </w:tcPr>
          <w:p>
            <w:pPr>
              <w:jc w:val="center"/>
              <w:spacing w:after="0" w:line="143" w:lineRule="exact"/>
              <w:rPr>
                <w:sz w:val="20"/>
                <w:szCs w:val="20"/>
                <w:color w:val="auto"/>
              </w:rPr>
            </w:pPr>
            <w:r>
              <w:rPr>
                <w:rFonts w:ascii="Arial" w:cs="Arial" w:eastAsia="Arial" w:hAnsi="Arial"/>
                <w:sz w:val="14"/>
                <w:szCs w:val="14"/>
                <w:b w:val="1"/>
                <w:bCs w:val="1"/>
                <w:color w:val="auto"/>
              </w:rPr>
              <w:t>(unaudited, in thousands, except per</w:t>
            </w:r>
          </w:p>
        </w:tc>
        <w:tc>
          <w:tcPr>
            <w:tcW w:w="340" w:type="dxa"/>
            <w:vAlign w:val="bottom"/>
            <w:gridSpan w:val="2"/>
          </w:tcPr>
          <w:p>
            <w:pPr>
              <w:spacing w:after="0"/>
              <w:rPr>
                <w:sz w:val="12"/>
                <w:szCs w:val="12"/>
                <w:color w:val="auto"/>
              </w:rPr>
            </w:pPr>
          </w:p>
        </w:tc>
      </w:tr>
      <w:tr>
        <w:trPr>
          <w:trHeight w:val="175"/>
        </w:trPr>
        <w:tc>
          <w:tcPr>
            <w:tcW w:w="18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4"/>
                <w:szCs w:val="14"/>
                <w:b w:val="1"/>
                <w:bCs w:val="1"/>
                <w:color w:val="auto"/>
              </w:rPr>
              <w:t>ordinary share data)</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 of Comprehensive Loss Data:</w:t>
            </w:r>
          </w:p>
        </w:tc>
        <w:tc>
          <w:tcPr>
            <w:tcW w:w="1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Collaboration and other revenue</w:t>
            </w:r>
          </w:p>
        </w:tc>
        <w:tc>
          <w:tcPr>
            <w:tcW w:w="26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33,243</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42,232</w:t>
            </w:r>
          </w:p>
        </w:tc>
        <w:tc>
          <w:tcPr>
            <w:tcW w:w="10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3,288</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4,177</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(48,285)</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(61,341)</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(16,434)</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(20,878)</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6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(23,476)</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(29,824)</w:t>
            </w:r>
          </w:p>
        </w:tc>
        <w:tc>
          <w:tcPr>
            <w:tcW w:w="10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(10,827)</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(13,755)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(38,518)</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(48,933)</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(23,973)</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(30,455)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26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1,476</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1,875</w:t>
            </w:r>
          </w:p>
        </w:tc>
        <w:tc>
          <w:tcPr>
            <w:tcW w:w="10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390</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(2,361)</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(2,999)</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(1,953)</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(2,481)</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26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(44)</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10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(20)</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(39,447)</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(50,113)</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(25,556)</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(32,466)</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26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5,563</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7,067</w:t>
            </w:r>
          </w:p>
        </w:tc>
        <w:tc>
          <w:tcPr>
            <w:tcW w:w="10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2,445</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3,106</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Mereo</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(33,884)</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(43,046)</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(23,111)</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(29,360)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Mereo</w:t>
            </w:r>
          </w:p>
        </w:tc>
        <w:tc>
          <w:tcPr>
            <w:tcW w:w="26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(33,884)</w:t>
            </w: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(43,046)</w:t>
            </w:r>
          </w:p>
        </w:tc>
        <w:tc>
          <w:tcPr>
            <w:tcW w:w="10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(23,111)</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(29,360)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per ordinary share</w:t>
            </w:r>
          </w:p>
        </w:tc>
        <w:tc>
          <w:tcPr>
            <w:tcW w:w="26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(0.35)</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(0.44)</w:t>
            </w:r>
          </w:p>
        </w:tc>
        <w:tc>
          <w:tcPr>
            <w:tcW w:w="108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(0.24)</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(0.30)</w:t>
            </w:r>
          </w:p>
        </w:tc>
        <w:tc>
          <w:tcPr>
            <w:tcW w:w="200" w:type="dxa"/>
            <w:vAlign w:val="bottom"/>
          </w:tcPr>
          <w:p>
            <w:pPr>
              <w:spacing w:after="0"/>
              <w:rPr>
                <w:sz w:val="17"/>
                <w:szCs w:val="17"/>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720" w:type="dxa"/>
            <w:vAlign w:val="bottom"/>
          </w:tcPr>
          <w:p>
            <w:pPr>
              <w:jc w:val="right"/>
              <w:ind w:right="1370"/>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ADSs. Our business, financial condition, results of operation, or prospects could be materially and adversely affected if any of these risks occurs, and as a result, the market price of our ADSs could decline and you could lose all or part of your investment.</w:t>
      </w:r>
    </w:p>
    <w:p>
      <w:pPr>
        <w:spacing w:after="0" w:line="2" w:lineRule="exact"/>
        <w:rPr>
          <w:sz w:val="20"/>
          <w:szCs w:val="20"/>
          <w:color w:val="auto"/>
        </w:rPr>
      </w:pPr>
    </w:p>
    <w:p>
      <w:pPr>
        <w:jc w:val="both"/>
        <w:ind w:left="120" w:right="400"/>
        <w:spacing w:after="0"/>
        <w:rPr>
          <w:sz w:val="20"/>
          <w:szCs w:val="20"/>
          <w:color w:val="auto"/>
        </w:rPr>
      </w:pPr>
      <w:r>
        <w:rPr>
          <w:rFonts w:ascii="Arial" w:cs="Arial" w:eastAsia="Arial" w:hAnsi="Arial"/>
          <w:sz w:val="18"/>
          <w:szCs w:val="18"/>
          <w:i w:val="1"/>
          <w:iCs w:val="1"/>
          <w:color w:val="auto"/>
        </w:rPr>
        <w:t>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a multi-asset, clinical-stage biopharmaceutical company with a limited operating history, and have incurred significant operating losses since our formation. We had net losses of £16.2 million in the six months ended June 30, 2019 (£17.0 million in the six months ended June 30, 2018), and £32.0 million, £38.8 million and £28.4 million, in the years ended December 31, 2018, 2017 and 2016, respectively. As of June 30, 2019, we had an accumulated net loss of £127.4 million (£111.2 million as of December 31, 2018).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expand our research and development efforts, and seek to obtain regulatory approval and potentially commercialize our product candidates. We anticipate that our expenses will increase substantially as we:</w:t>
      </w:r>
    </w:p>
    <w:p>
      <w:pPr>
        <w:spacing w:after="0" w:line="184"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2b clinical trial of setrusumab for the treatment of OI, which currently involves a</w:t>
      </w:r>
    </w:p>
    <w:p>
      <w:pPr>
        <w:ind w:left="98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12-month period during which the off-effects of setrusumab will be examined following the top-line data read out in 2019;</w:t>
      </w:r>
    </w:p>
    <w:p>
      <w:pPr>
        <w:spacing w:after="0" w:line="9"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 clinical trial of alvelestat for the treatment of severe AATD;</w:t>
      </w:r>
    </w:p>
    <w:p>
      <w:pPr>
        <w:spacing w:after="0" w:line="26" w:lineRule="exact"/>
        <w:rPr>
          <w:rFonts w:ascii="MS PGothic" w:cs="MS PGothic" w:eastAsia="MS PGothic" w:hAnsi="MS PGothic"/>
          <w:sz w:val="25"/>
          <w:szCs w:val="25"/>
          <w:color w:val="auto"/>
          <w:vertAlign w:val="superscript"/>
        </w:rPr>
      </w:pPr>
    </w:p>
    <w:p>
      <w:pPr>
        <w:ind w:left="980" w:right="52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prepare for a pivotal trial of setrusumab in the United States, Europe and Canada in children with severe OI in 2020, with fracture rate as the primary endpoint;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acquire additional novel product candidates to treat rare diseases;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our product candidates;</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commercial infrastructure and work with contract manufacturing organizations (“CMOs”) to scale up manufacturing processes to commercialize or co-commercialize selected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 expand, and protect our intellectual property portfolio;</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secure, maintain, or obtain freedom to operate for our technologies and product candidates;</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clinical, scientific, operational, financial, and management personnel, including personnel to support the development of our product candidates and potential future commercialization or co-commercialization efforts; and</w:t>
      </w:r>
    </w:p>
    <w:p>
      <w:pPr>
        <w:spacing w:after="0" w:line="27" w:lineRule="exact"/>
        <w:rPr>
          <w:rFonts w:ascii="MS PGothic" w:cs="MS PGothic" w:eastAsia="MS PGothic" w:hAnsi="MS PGothic"/>
          <w:sz w:val="25"/>
          <w:szCs w:val="25"/>
          <w:color w:val="auto"/>
          <w:vertAlign w:val="superscript"/>
        </w:rPr>
      </w:pPr>
    </w:p>
    <w:p>
      <w:pPr>
        <w:ind w:left="980" w:right="36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operations in the United Kingdom and potentially hire additional employees in the United States and in Europe, territories where we anticipate direct commercialization or commercialization with a partner.</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60" w:firstLine="440"/>
        <w:spacing w:after="0"/>
        <w:rPr>
          <w:sz w:val="20"/>
          <w:szCs w:val="20"/>
          <w:color w:val="auto"/>
        </w:rPr>
      </w:pPr>
      <w:r>
        <w:rPr>
          <w:rFonts w:ascii="Arial" w:cs="Arial" w:eastAsia="Arial" w:hAnsi="Arial"/>
          <w:sz w:val="18"/>
          <w:szCs w:val="18"/>
          <w:color w:val="auto"/>
        </w:rPr>
        <w:t>We have devoted substantially all of our financial resources and efforts to the acquisition and clinical development of our product candidates. We have not completed the clinical development of any product through approval and have never generated any product revenue.</w:t>
      </w:r>
    </w:p>
    <w:p>
      <w:pPr>
        <w:spacing w:after="0" w:line="203"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7"/>
          <w:szCs w:val="17"/>
          <w:color w:val="auto"/>
        </w:rPr>
        <w:t>To become and remain profitable, we must succeed in developing and commercializing product candidates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or entering into strategic relationships for our current and future product candidates, if approved. We are only in the preliminary stages of many of these activities. We may never succeed in these activities and, even if we do, we may never generate revenue that is significant enough to achieve profitability.</w:t>
      </w:r>
    </w:p>
    <w:p>
      <w:pPr>
        <w:spacing w:after="0" w:line="19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20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ordinary shares and could impair our ability to raise capital, acquire new product candidates, expand our business, or continue our operations. A decline in the market price of our ADSs or ordinary shares also could cause you to lose all or a part of your investment.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adequate and timely funding, we may not be able to continue as a going concern.</w:t>
      </w:r>
    </w:p>
    <w:p>
      <w:pPr>
        <w:spacing w:after="0" w:line="9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Under the current business plan and cash flow forecasts, with ongoing research and development efforts focused on our rare disease product candidates, setrusumab and alvelestat, and taking into account the funds raised from Novartis, Aspire Capital and Boxer Capital, together with other current short-term initiatives including the successful finalization of the current HM Revenue &amp; Customs (“HMRC”) enquiries in respect of our research and development tax claim relating to fiscal year 2018, we expect that our cash resources will extend to the end of the first half of 2020. Therefore, we will need additional external funding by the end of the first half of 2020 to be able to continue as a going concern.</w:t>
      </w:r>
    </w:p>
    <w:p>
      <w:pPr>
        <w:spacing w:after="0" w:line="205"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We will seek to obtain such funding from further equity financings, collaborations, licensing arrangements and potentially from the utilization of all or part of the additional $25.0 million we may receive from Aspire Capital pursuant to the Purchase Agreement, additional or restructured debt facilities or other sources. We also intend to raise additional equity capital in one or more transactions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700"/>
        <w:spacing w:after="0"/>
        <w:rPr>
          <w:sz w:val="20"/>
          <w:szCs w:val="20"/>
          <w:color w:val="auto"/>
        </w:rPr>
      </w:pPr>
      <w:r>
        <w:rPr>
          <w:rFonts w:ascii="Arial" w:cs="Arial" w:eastAsia="Arial" w:hAnsi="Arial"/>
          <w:sz w:val="18"/>
          <w:szCs w:val="18"/>
          <w:color w:val="auto"/>
        </w:rPr>
        <w:t>with institutional investors on terms substantially similar to the terms of Aspire Capital’s purchase of the Initial Shares. There is no guarantee that future funding will be available in sufficient amounts or on terms acceptable to us, if at all. If we are unable to raise sufficient external funding when needed, we could be forced to delay, reduce or eliminate our intended activities.</w:t>
      </w:r>
    </w:p>
    <w:p>
      <w:pPr>
        <w:spacing w:after="0" w:line="20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unaudited interim consolidated financial statements as of and for the six-month period ended June 30, 2019 included elsewhere in this prospectus have been prepared on a going concern basis; however, they make reference to a material uncertainty as to our ability to continue as a going concern because further funding was not committed at the date of approval of those unaudited interim consolidated financial statements. In addition, as only limited additional funding from the New Novartis Notes, the Purchase Agreement with Aspire Capital and the private placement with Boxer Capital has been secured as at the date of this prospectus, there remains a material uncertainty as to our ability to continue as a going concern. If we are unable to obtain adequate and timely funding such that the going concern basis of preparation were no longer appropriate, we would be required to make adjustments to our financial statements, which adjustments could include significant reductions in the balance sheet values of our assets to their recoverable amounts and the recognition of significant provisions for further liabilities that might arise.</w:t>
      </w:r>
    </w:p>
    <w:p>
      <w:pPr>
        <w:spacing w:after="0" w:line="18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61"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980" w:right="160" w:hanging="432"/>
        <w:spacing w:after="0" w:line="218"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 and our planned pivotal pediatric study for setrusumab and our ongoing Phase 2 clinical trial for alvelestat;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our license and option agreement with AstraZeneca; and</w:t>
      </w:r>
    </w:p>
    <w:p>
      <w:pPr>
        <w:spacing w:after="0" w:line="26" w:lineRule="exact"/>
        <w:rPr>
          <w:rFonts w:ascii="MS PGothic" w:cs="MS PGothic" w:eastAsia="MS PGothic" w:hAnsi="MS PGothic"/>
          <w:sz w:val="25"/>
          <w:szCs w:val="25"/>
          <w:color w:val="auto"/>
          <w:vertAlign w:val="superscript"/>
        </w:rPr>
      </w:pPr>
    </w:p>
    <w:p>
      <w:pPr>
        <w:ind w:left="980" w:right="500" w:hanging="432"/>
        <w:spacing w:after="0" w:line="218"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satisfy HMRC’s enquiries with respect to our fiscal year 2018 research and development tax credit claim and claims in respect of fiscal year 2019 and future years.</w:t>
      </w:r>
    </w:p>
    <w:p>
      <w:pPr>
        <w:spacing w:after="0" w:line="203"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Furthermore, we expect to incur additional costs associated with operating as a public company in the United Kingdom and the United States and maintaining a quotation and listing, respectively, on the AIM and Nasdaq.</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we will need to obtain substantial additional funding in connection with our continuing operations.</w:t>
      </w:r>
    </w:p>
    <w:p>
      <w:pPr>
        <w:spacing w:after="0" w:line="212"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and ordinary shares.</w:t>
      </w:r>
    </w:p>
    <w:p>
      <w:pPr>
        <w:spacing w:after="0" w:line="205"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 and potentially force us to discontinue operations. See “—If we do not obtain adequate and timely funding, we may not be able to continue as a going concern.”</w:t>
      </w:r>
    </w:p>
    <w:p>
      <w:pPr>
        <w:spacing w:after="0" w:line="167"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4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Since our formation, we have devoted substantially all of our resources to acquiring our product candidates and developing setrusumab, alvelestat, acumapimod, and leflutrozole; building our intellectual property portfolio; developing our supply chain; planning our business; raising capital; and providing general and administrative support for these operations. We have not yet demonstrated our ability to successfully complete any Phase 3 or other pivotal clinical trials, obtain regulatory approval, arrange for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large pharmaceutical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acquire additional product candidates.</w:t>
      </w:r>
    </w:p>
    <w:p>
      <w:pPr>
        <w:spacing w:after="0" w:line="8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Part of our strategy involves identifying and acquiring novel product candidates that have received significant investment from large pharmaceutical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232" w:lineRule="exact"/>
        <w:rPr>
          <w:sz w:val="20"/>
          <w:szCs w:val="20"/>
          <w:color w:val="auto"/>
        </w:rPr>
      </w:pPr>
    </w:p>
    <w:p>
      <w:pPr>
        <w:ind w:left="980" w:right="14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80" w:hanging="432"/>
        <w:spacing w:after="0" w:line="229" w:lineRule="auto"/>
        <w:tabs>
          <w:tab w:leader="none" w:pos="980" w:val="left"/>
        </w:tabs>
        <w:numPr>
          <w:ilvl w:val="0"/>
          <w:numId w:val="19"/>
        </w:numPr>
        <w:rPr>
          <w:rFonts w:ascii="MS PGothic" w:cs="MS PGothic" w:eastAsia="MS PGothic" w:hAnsi="MS PGothic"/>
          <w:sz w:val="24"/>
          <w:szCs w:val="24"/>
          <w:color w:val="auto"/>
          <w:vertAlign w:val="superscript"/>
        </w:rPr>
      </w:pPr>
      <w:r>
        <w:rPr>
          <w:rFonts w:ascii="Arial" w:cs="Arial" w:eastAsia="Arial" w:hAnsi="Arial"/>
          <w:sz w:val="17"/>
          <w:szCs w:val="17"/>
          <w:color w:val="auto"/>
        </w:rPr>
        <w:t>potential product candidates may, with further studies, be shown to have harmful side effects or other characteristics that indicate that they are unlikely to be product candidates that will receive marketing approval and achieve market acceptance;</w:t>
      </w:r>
    </w:p>
    <w:p>
      <w:pPr>
        <w:spacing w:after="0" w:line="1" w:lineRule="exact"/>
        <w:rPr>
          <w:rFonts w:ascii="MS PGothic" w:cs="MS PGothic" w:eastAsia="MS PGothic" w:hAnsi="MS PGothic"/>
          <w:sz w:val="24"/>
          <w:szCs w:val="24"/>
          <w:color w:val="auto"/>
          <w:vertAlign w:val="superscript"/>
        </w:rPr>
      </w:pPr>
    </w:p>
    <w:p>
      <w:pPr>
        <w:ind w:left="980" w:hanging="432"/>
        <w:spacing w:after="0" w:line="230"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regulatory pathway for a potential product may be too complex and difficult to navigate successfully or economically;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may be competitive bids for potential product candidates which we do not seek to or are unable to match.</w:t>
      </w:r>
    </w:p>
    <w:p>
      <w:pPr>
        <w:spacing w:after="0" w:line="202"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8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our security holders, restrict our operations; or require us to relinquish rights to our technologies or product candidates.</w:t>
      </w:r>
    </w:p>
    <w:p>
      <w:pPr>
        <w:spacing w:after="0" w:line="41"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For example, our credit facility with Silicon Valley Bank and Kreos Capital V (UK) Limited (the “credit facility”) requires us to seek consent for certain corporate transactions, dispositions, or incurrences of certain debt. In addition, the credit facility is secured by substantially all of our assets, including intellectual property rights owned or controlled by us.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and ordinary shares to decline.</w:t>
      </w:r>
    </w:p>
    <w:p>
      <w:pPr>
        <w:spacing w:after="0" w:line="192"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b w:val="1"/>
          <w:bCs w:val="1"/>
          <w:i w:val="1"/>
          <w:iCs w:val="1"/>
          <w:color w:val="auto"/>
        </w:rPr>
        <w:t>We depend heavily on the success of setrusumab, alvelestat, acumapimod, leflutrozole and etigilimab. We cannot give any assurance that any of these product candidates or therapeutic candidates will receive regulatory approval, which is necessary before they can be commercialized. If we are unable to commercialize, whether on our own or through agreements with third parties, setrusumab, alvelestat, acumapimod, leflutrozole and etigilimab or experience significant delays in doing so, our ability to generate revenue and our financial condition will be adversely affected.</w:t>
      </w:r>
    </w:p>
    <w:p>
      <w:pPr>
        <w:spacing w:after="0" w:line="50" w:lineRule="exact"/>
        <w:rPr>
          <w:sz w:val="20"/>
          <w:szCs w:val="20"/>
          <w:color w:val="auto"/>
        </w:rPr>
      </w:pPr>
    </w:p>
    <w:p>
      <w:pPr>
        <w:ind w:left="120" w:right="320" w:firstLine="440"/>
        <w:spacing w:after="0" w:line="237" w:lineRule="auto"/>
        <w:rPr>
          <w:sz w:val="20"/>
          <w:szCs w:val="20"/>
          <w:color w:val="auto"/>
        </w:rPr>
      </w:pPr>
      <w:r>
        <w:rPr>
          <w:rFonts w:ascii="Arial" w:cs="Arial" w:eastAsia="Arial" w:hAnsi="Arial"/>
          <w:sz w:val="18"/>
          <w:szCs w:val="18"/>
          <w:color w:val="auto"/>
        </w:rPr>
        <w:t>We do not currently generate any revenue from sales of any product candidates, and we may never be able to develop or commercialize a marketable product. We have invested substantially all of our efforts and financial resources in the acquisition and development of setrusumab, alvelestat, acumapimod, leflutrozole and etigilimab.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53" w:lineRule="auto"/>
        <w:rPr>
          <w:sz w:val="20"/>
          <w:szCs w:val="20"/>
          <w:color w:val="auto"/>
        </w:rPr>
      </w:pPr>
      <w:r>
        <w:rPr>
          <w:rFonts w:ascii="Arial" w:cs="Arial" w:eastAsia="Arial" w:hAnsi="Arial"/>
          <w:sz w:val="17"/>
          <w:szCs w:val="17"/>
          <w:color w:val="auto"/>
        </w:rPr>
        <w:t>development, management of clinical and manufacturing activities, regulatory approval in multiple jurisdictions, procurement of manufacturing supply, commercialization, substantial additional investment, and significant marketing efforts before we generate any revenue from product sales. For example, we have agreed on a pediatric investigational plan (“PIP”) for setrusumab with the EMA and intend to prepare for a pivotal trial of setrusumab in Europe and Canada in children with severe OI in 2020, with fracture rate as the primary endpoint. We have also discussed with the FDA the expansion of the pivotal trial of setrusumab for the treatment of patients with severe OI to include sites in the United States. However, our pediatric plan for setrusumab may not be successful, which would adversely affect the clinical development of setrusumab in the United States and adversely affect our commercialization plans in the United States.</w:t>
      </w:r>
    </w:p>
    <w:p>
      <w:pPr>
        <w:spacing w:after="0" w:line="191"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We are not permitted to market or promote any product candidates in the United States, Europe, or other countries before we receive regulatory approval from the FDA, the EMA, or comparable foreign regulatory authorities, and we may never receive such regulatory approval for our current product candidates. We have not submitted a BLA or a New Drug Application (“NDA”) to the FDA, an MAA or CMA to the EMA, or comparable applications to other regulatory authorities, and do not expect to be in a position to do so in the foreseeable future. The success of our current product candidates will depend on many factors, including the following:</w:t>
      </w:r>
    </w:p>
    <w:p>
      <w:pPr>
        <w:spacing w:after="0" w:line="229" w:lineRule="exact"/>
        <w:rPr>
          <w:sz w:val="20"/>
          <w:szCs w:val="20"/>
          <w:color w:val="auto"/>
        </w:rPr>
      </w:pPr>
    </w:p>
    <w:p>
      <w:pPr>
        <w:ind w:left="980" w:right="58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able to demonstrate that any of our current product candidates is safe and effective as a treatment for the targeted indications to the satisfaction of the applicable regulatory authorities;</w:t>
      </w:r>
    </w:p>
    <w:p>
      <w:pPr>
        <w:spacing w:after="0" w:line="27" w:lineRule="exact"/>
        <w:rPr>
          <w:rFonts w:ascii="MS PGothic" w:cs="MS PGothic" w:eastAsia="MS PGothic" w:hAnsi="MS PGothic"/>
          <w:sz w:val="25"/>
          <w:szCs w:val="25"/>
          <w:color w:val="auto"/>
          <w:vertAlign w:val="superscript"/>
        </w:rPr>
      </w:pPr>
    </w:p>
    <w:p>
      <w:pPr>
        <w:ind w:left="980" w:right="70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additional clinical trials of our current product candidates, which would increase our costs and prolong development;</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of our current product candidates may not meet the level of statistical or clinical significance required by the applicable regulatory authorities for marketing approval;</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the number, design, size, conduct, or implementation of our planned and future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contract research organizations (“CROs”), that we retain to conduct clinical trials may take actions outside of our control that materially adversely impact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find the data from clinical trials sufficient to demonstrate that the clinical and other benefits of our current product candidates outweigh their safety risks;</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our interpretation of data from our clinical trials or may require that we conduct additional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accept data generated at our clinical trial sites;</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26"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submit a BLA or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27" w:lineRule="exact"/>
        <w:rPr>
          <w:rFonts w:ascii="MS PGothic" w:cs="MS PGothic" w:eastAsia="MS PGothic" w:hAnsi="MS PGothic"/>
          <w:sz w:val="25"/>
          <w:szCs w:val="25"/>
          <w:color w:val="auto"/>
          <w:vertAlign w:val="superscript"/>
        </w:rPr>
      </w:pPr>
    </w:p>
    <w:p>
      <w:pPr>
        <w:ind w:left="980" w:right="48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development of a risk evaluation and mitigation strategy (a “REMS”) as a condition of approval;</w:t>
      </w:r>
    </w:p>
    <w:p>
      <w:pPr>
        <w:spacing w:after="0" w:line="27" w:lineRule="exact"/>
        <w:rPr>
          <w:rFonts w:ascii="MS PGothic" w:cs="MS PGothic" w:eastAsia="MS PGothic" w:hAnsi="MS PGothic"/>
          <w:sz w:val="25"/>
          <w:szCs w:val="25"/>
          <w:color w:val="auto"/>
          <w:vertAlign w:val="superscript"/>
        </w:rPr>
      </w:pPr>
    </w:p>
    <w:p>
      <w:pPr>
        <w:ind w:left="980" w:right="50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change their approval policies or adopt new regulations;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our clinical trials, we may discover factors that limit the commercial viability of our current product candidates or make the commercialization of any of our current product candidates unfeasible; and</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approved, acceptance of our current product candidates by patients, the medical community, and third-party payors; our ability to compete with other therapies to treat OI, AATD, AECOPD, HH or ovarian cancer; continued acceptable safety profiles following approval of our current product candidates; and our ability to qualify for, maintain, enforce, and defend our intellectual property rights and claims.</w:t>
      </w:r>
    </w:p>
    <w:p>
      <w:pPr>
        <w:spacing w:after="0" w:line="20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If we do not successfully manage one or more of these factors in a timely manner or at all, we could experience significant delays or may not be able to successfully commercialize our current product candidates.</w:t>
      </w:r>
    </w:p>
    <w:p>
      <w:pPr>
        <w:spacing w:after="0" w:line="197"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plan to seek regulatory approval to commercialize, or co-commercialize, our current rare disease product candidates both in the United States and the European Union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99"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w:t>
      </w:r>
    </w:p>
    <w:p>
      <w:pPr>
        <w:spacing w:after="0" w:line="196"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non-U.K. economies and markets;</w:t>
      </w:r>
    </w:p>
    <w:p>
      <w:pPr>
        <w:spacing w:after="0" w:line="6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regulatory requirements for drug approvals in non-U.K. countries;</w:t>
      </w:r>
    </w:p>
    <w:p>
      <w:pPr>
        <w:spacing w:after="0" w:line="26" w:lineRule="exact"/>
        <w:rPr>
          <w:rFonts w:ascii="MS PGothic" w:cs="MS PGothic" w:eastAsia="MS PGothic" w:hAnsi="MS PGothic"/>
          <w:sz w:val="25"/>
          <w:szCs w:val="25"/>
          <w:color w:val="auto"/>
          <w:vertAlign w:val="superscript"/>
        </w:rPr>
      </w:pPr>
    </w:p>
    <w:p>
      <w:pPr>
        <w:ind w:left="980" w:right="40" w:hanging="432"/>
        <w:spacing w:after="0" w:line="218"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jurisdictions could present different issues for securing, maintaining, or obtaining freedom to operate for our intellectual property in such jurisdictions;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in compliance with non-U.K. laws and regulations;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regulations and customs, tariffs, and trade barriers;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currency exchange rates of the pound sterling and currency controls;</w:t>
      </w:r>
    </w:p>
    <w:p>
      <w:pPr>
        <w:spacing w:after="0" w:line="26" w:lineRule="exact"/>
        <w:rPr>
          <w:rFonts w:ascii="MS PGothic" w:cs="MS PGothic" w:eastAsia="MS PGothic" w:hAnsi="MS PGothic"/>
          <w:sz w:val="25"/>
          <w:szCs w:val="25"/>
          <w:color w:val="auto"/>
          <w:vertAlign w:val="superscript"/>
        </w:rPr>
      </w:pPr>
    </w:p>
    <w:p>
      <w:pPr>
        <w:ind w:left="980" w:right="40" w:hanging="432"/>
        <w:spacing w:after="0" w:line="218"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80" w:hanging="432"/>
        <w:spacing w:after="0" w:line="218"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trade protection measures, import or export licensing requirements or other restrictive actions by U.K. or non-U.K. governments;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reimbursement regimes and price controls in certain non-U.K. markets;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negative consequences from changes in tax laws;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outside of the United Kingdom;</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more common than in the United Kingdom;</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health epidemics and other widespread outbreaks of contagious disease, or natural disasters, including earthquakes, typhoons, hurricanes, floods, and fires.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99"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We face risks related to health epidemics and other widespread outbreaks of contagious disease, which could disrupt our operations and impact our operating results.</w:t>
      </w:r>
    </w:p>
    <w:p>
      <w:pPr>
        <w:spacing w:after="0" w:line="2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Significant outbreaks of contagious diseases, and other adverse public health developments, could have a material impact on our business operations and operating results. In December 2019, a strain of novel coronavirus, COVID-19, causing respiratory illness emerged in the city of Wuhan in the Hubei province of China. The Chinese government has taken certain emergency measures to combat the spread of the virus, including implementation of travel bans and closure of factories and businesses. Since that time, multiple other countries throughout the world have been affected by the spread of the virus. We continue to monitor the global spread of COVID-19 and have put in place and will continue to put in place measures as appropriate and necessary for our business. Any prolonged deviations from normal daily operations could negatively impact our business. While the full impact of this outbreak is unknown at this time, we are closely monitoring the rapid developments in countries that have become exposed to the virus and continually assessing the potential impact on our business. Any prolonged disruption of our clinical trials, suppliers or contract manufacturers could delay regulatory approvals or the commercialization of any current or future products.</w:t>
      </w:r>
    </w:p>
    <w:p>
      <w:pPr>
        <w:spacing w:after="0" w:line="184"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The United Kingdom’s withdrawal from the European Union could lead to increased market volatility, which could adversely impact the market price of our ADSs and make it more difficult for us to do business in Europe or have other adverse effects on our business.</w:t>
      </w:r>
    </w:p>
    <w:p>
      <w:pPr>
        <w:spacing w:after="0" w:line="42"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United Kingdom formally exited the European Union, commonly referred to as Brexit, on January 31, 2020. Under the terms of its departure, the United Kingdom will enter a transition period during which it will continue to follow all European Union rules and the trading relationship will remain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same. The transition period is scheduled to end on December 31, 2020. The long term effects of Brexit will depend on the agreements and arrangements the United Kingdom negotiates with the European Union, including whether and to what extent it will retain access to the European Union markets following the transition period. There will be a period of considerable uncertainty particularly in relation to United Kingdom financial and banking markets as well as on the regulatory process in Europe as these negotiations continue to unfold. As a result of this uncertainty, financial markets could experience volatility which could adversely affect the market price of our ADSs. Depending on the final terms of any agreements and arrangements negotiated with the European Union, we may also face new regulatory costs and challenges that could have a material adverse effect on our operations, including the potential for a delay in our clinical progress and approvals in Europe. Depending on the terms of any agreements and arrangements negotiated with the European Union, the United Kingdom could lose the benefits of global trade agreements negotiated by the European Union on behalf of its members, which may result in increased trade barriers that could make our doing business worldwide more difficult. In addition, currency exchange rates in the pound sterling and the euro with respect to each other and the U.S. dollar have already been adversely affected by Brexit. Should this foreign exchange volatility continue it could cause volatility in our financial results.</w:t>
      </w:r>
    </w:p>
    <w:p>
      <w:pPr>
        <w:spacing w:after="0" w:line="182"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b w:val="1"/>
          <w:bCs w:val="1"/>
          <w:i w:val="1"/>
          <w:iCs w:val="1"/>
          <w:color w:val="auto"/>
        </w:rPr>
        <w:t>Following the Licensing Agreement for Navi, and if we sell or out-license other of our non-rare disease product candidates or out-license any of our rare disease product candidates for any territories, we could be exposed to future liabilities.</w:t>
      </w:r>
    </w:p>
    <w:p>
      <w:pPr>
        <w:spacing w:after="0" w:line="4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Having recently completed the out-license of Navi, we plan to partner or sell or out-license our other non-rare disease product candidates, which include acumapimod for the treatment of AECOPD, leflutrozole for the treatment of HH in obese men and etigilimab for the treatment of solid tumors, recognizing the need for a larger sales infrastructure and greater resources to take these product candidates to market.</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may be exposed to future liabilities and/or obligations with respect to any such sale or out-licensing arrangements.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pacing w:after="0" w:line="20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As a result of the above, the total amount of costs and expenses that may be incurred with respect to liabilities associated with a sale or out-license may exceed our expectations, and we may experience other unanticipated adverse effects, all of which could adversely affect our business, financial condition, results of operations, and prospects.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Development, Clinical Testing, Manufacturing and Regulatory Approval</w:t>
      </w:r>
    </w:p>
    <w:p>
      <w:pPr>
        <w:spacing w:after="0" w:line="212" w:lineRule="exact"/>
        <w:rPr>
          <w:sz w:val="20"/>
          <w:szCs w:val="20"/>
          <w:color w:val="auto"/>
        </w:rPr>
      </w:pPr>
    </w:p>
    <w:p>
      <w:pPr>
        <w:ind w:left="120" w:right="220"/>
        <w:spacing w:after="0" w:line="261" w:lineRule="auto"/>
        <w:rPr>
          <w:sz w:val="20"/>
          <w:szCs w:val="20"/>
          <w:color w:val="auto"/>
        </w:rPr>
      </w:pPr>
      <w:r>
        <w:rPr>
          <w:rFonts w:ascii="Arial" w:cs="Arial" w:eastAsia="Arial" w:hAnsi="Arial"/>
          <w:sz w:val="17"/>
          <w:szCs w:val="17"/>
          <w:b w:val="1"/>
          <w:bCs w:val="1"/>
          <w:i w:val="1"/>
          <w:iCs w:val="1"/>
          <w:color w:val="auto"/>
        </w:rPr>
        <w:t>Setrusumab, alvelestat, acumapimod, leflutrozole and etigilimab are in clinical development. Clinical drug development is a lengthy and expensive process with uncertain timelines and uncertain outcomes, and results of earlier studies and trials may not be predictive of future results. If clinical trials of our product candidates are prolonged or delayed, or if our product candidates fail to show the desired safety and efficacy in later stage clinical trials, we may be unable to obtain required regulatory approvals and be unable to commercialize, or co-commercialize, our product candidates on a timely basis, or at all.</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To obtain the requisite regulatory approvals to market and sell any of our product candidates, we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208"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230" w:lineRule="exact"/>
        <w:rPr>
          <w:sz w:val="20"/>
          <w:szCs w:val="20"/>
          <w:color w:val="auto"/>
        </w:rPr>
      </w:pPr>
    </w:p>
    <w:p>
      <w:pPr>
        <w:ind w:left="980" w:right="50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regulatory or ethics committee approval to commence a trial, for example, if we are unable to submit our proposed protocol to the FDA for a pediatric clinical trial for setrusumab;</w:t>
      </w:r>
    </w:p>
    <w:p>
      <w:pPr>
        <w:spacing w:after="0" w:line="27"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7" w:lineRule="exact"/>
        <w:rPr>
          <w:rFonts w:ascii="MS PGothic" w:cs="MS PGothic" w:eastAsia="MS PGothic" w:hAnsi="MS PGothic"/>
          <w:sz w:val="25"/>
          <w:szCs w:val="25"/>
          <w:color w:val="auto"/>
          <w:vertAlign w:val="superscript"/>
        </w:rPr>
      </w:pPr>
    </w:p>
    <w:p>
      <w:pPr>
        <w:ind w:left="980" w:right="114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our CROs to execute our trials in accordance with the clinical trial protocol; good laboratory, clinical, and manufacturing practices (“GxP”); or other regulatory or contractual obligations;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institutional review board (“IRB”) approval, centrally or at each site;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recruit suitable patients to participate in a trial;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26"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our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adding new clinical trial sites;</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during manufacture, storage, or transport of our product candidates and the corresponding drug product;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inability to manufacture sufficient quantities of our product candidates for use in clinical trials;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8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actions claiming infringement by our product candidates in clinical trials inside or outside of the United States and obtaining injunctions interfering with our progress;</w:t>
      </w:r>
    </w:p>
    <w:p>
      <w:pPr>
        <w:spacing w:after="0" w:line="27" w:lineRule="exact"/>
        <w:rPr>
          <w:rFonts w:ascii="MS PGothic" w:cs="MS PGothic" w:eastAsia="MS PGothic" w:hAnsi="MS PGothic"/>
          <w:sz w:val="25"/>
          <w:szCs w:val="25"/>
          <w:color w:val="auto"/>
          <w:vertAlign w:val="superscript"/>
        </w:rPr>
      </w:pPr>
    </w:p>
    <w:p>
      <w:pPr>
        <w:ind w:left="980" w:right="96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27" w:lineRule="exact"/>
        <w:rPr>
          <w:rFonts w:ascii="MS PGothic" w:cs="MS PGothic" w:eastAsia="MS PGothic" w:hAnsi="MS PGothic"/>
          <w:sz w:val="25"/>
          <w:szCs w:val="25"/>
          <w:color w:val="auto"/>
          <w:vertAlign w:val="superscript"/>
        </w:rPr>
      </w:pPr>
    </w:p>
    <w:p>
      <w:pPr>
        <w:ind w:left="980" w:right="72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regulatory requirements, policies, and guidelines;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lower than anticipated retention rates of patients and healthy volunteers in clinical trials;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with the equipment used to conduct clinical trials or analyze the results;</w:t>
      </w:r>
    </w:p>
    <w:p>
      <w:pPr>
        <w:spacing w:after="0" w:line="26"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26"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identifying the populations that we are trying to treat in a particular trial, which may delay enrollment and reduce the power of a clinical trial to detect statistically significant results;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quality or stability of our product candidates falling below acceptable standards for either safety or efficacy;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discoveries that may reduce the commercial viability of our product candidates.</w:t>
      </w:r>
    </w:p>
    <w:p>
      <w:pPr>
        <w:spacing w:after="0" w:line="2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or timely funding to continue the clinical trial.</w:t>
      </w:r>
    </w:p>
    <w:p>
      <w:pPr>
        <w:spacing w:after="0" w:line="19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 number of academic institutions are currently conducting and sponsoring clinical trials relating to our product candidate, alvelestat, including a clinical trial in patients with BOS. We do not control the design or administration of investigator-sponsored trials, and such investigator-sponsored trials could identify significant concerns with respect to alvelestat that could impact our findings from our own clinical trials, and adversely affect our ability to obtain marketing approval from the FDA or other applicable authorities. To the extent the results of these or other investigator-sponsored trials are inconsistent with, or different from, the results of our company-sponsored trials or raise concerns regarding alvelestat, the FDA or a foreign regulatory authority may question the results of a company-sponsored trial, or subject such results to greater scrutiny than it otherwise would. In these circumstances, the FDA or such foreign regulatory authorities may require us to conduct additional clinical studies or submit additional clinical data, which could delay clinical development or marketing approval of alvelestat.</w:t>
      </w:r>
    </w:p>
    <w:p>
      <w:pPr>
        <w:spacing w:after="0" w:line="207"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EMA, or another regulatory authority. The FDA, the EMA, or such other regulatory authority may conclude that a financial relationship between us and a principal investigator has created a conflict of interest or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otherwise affected interpretation of the study. The FDA, the EMA, or such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the EMA, or the other regulatory authority, as the case may be, and may ultimately lead to the denial of marketing approval of our product candidates.</w:t>
      </w:r>
    </w:p>
    <w:p>
      <w:pPr>
        <w:spacing w:after="0" w:line="20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If we experience delays in the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Significant clinical trial delays could also allow our competitors to bring product candidates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w:t>
      </w:r>
    </w:p>
    <w:p>
      <w:pPr>
        <w:spacing w:after="0" w:line="208"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our product candidates produced in compliance with the requirements of current good manufacturing practice (“cGMP”) and other regulations. Furthermore, we rely on CROs and clinical trial sites to ensure the proper and timely conduct of our clinical trials and while we have agreements governing the CROs’ committed activities, we have limited influence over the CROs’ actual performance. 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81" w:lineRule="exact"/>
        <w:rPr>
          <w:sz w:val="20"/>
          <w:szCs w:val="20"/>
          <w:color w:val="auto"/>
        </w:rPr>
      </w:pPr>
    </w:p>
    <w:p>
      <w:pPr>
        <w:ind w:left="120" w:right="380"/>
        <w:spacing w:after="0" w:line="247" w:lineRule="auto"/>
        <w:rPr>
          <w:sz w:val="20"/>
          <w:szCs w:val="20"/>
          <w:color w:val="auto"/>
        </w:rPr>
      </w:pPr>
      <w:r>
        <w:rPr>
          <w:rFonts w:ascii="Arial" w:cs="Arial" w:eastAsia="Arial" w:hAnsi="Arial"/>
          <w:sz w:val="18"/>
          <w:szCs w:val="18"/>
          <w:b w:val="1"/>
          <w:bCs w:val="1"/>
          <w:i w:val="1"/>
          <w:iCs w:val="1"/>
          <w:color w:val="auto"/>
        </w:rPr>
        <w:t>Prior to our acquisition of setrusumab, alvelestat, acumapimod, leflutrozole and etigilimab, we were not involved in the development of these product candidates and, as a result, we are dependent on Novartis, AstraZeneca and OncoMed having accurately reported the results and correctly collected and interpreted the data from all clinical trials conducted prior to our acquisition.</w:t>
      </w:r>
    </w:p>
    <w:p>
      <w:pPr>
        <w:spacing w:after="0" w:line="61"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were not involved in the development of our current product candidates prior to our acquisition of such product candidates from Novartis, AstraZeneca and OncoMed, respectively. For all of our current product candidates, we have had no involvement with or control over their manufacturing or pre-clinical and clinical development prior to our acquisition of them. We are dependent on Novartis, AstraZeneca and OncoMed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OncoMed has not done this, the clinical development, regulatory approval, or commercialization of our product candidates may be adversely affected.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3"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50"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Undesirable side effects that may be caused by setrusumab, alvelestat, acumapimod, leflutrozole and etigilimab could cause us or regulatory authorities to interrupt, delay or halt clinical trials, and could result in a more restrictive label or the delay or denial of regulatory approval by the FDA, the EMA, or other comparable foreign authorities. Each of our product candidates has completed one or more clinical trials. In the trials conducted prior to our ownership and following our ownership, the most common adverse events observed have been the following:</w:t>
      </w:r>
    </w:p>
    <w:p>
      <w:pPr>
        <w:spacing w:after="0" w:line="193"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setrusumab, headache, influenza, arthralgia, and fatigue;</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alvelestat, headache, nasopharyngitis, and elevated levels of the liver enzymes aspartate aminotransferase and alanine aminotransferase;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acumapimod, a mild acne-like rash, tachycardia, dizziness, and headache;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leflutrozole, headache, increased hematocrit, and small increases in blood pressure;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etigilimab, rash, fatigue, nausea, pruritus, cough and autoimmune hepatitis.</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Clinical development for all of these product candidates is ongoing. Results of our ongoing and future clinical trials, or results from clinical trials for other similar product candidates,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our product candidates for any or all targeted indications.</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For example, the FDA approved the first sclerostin inhibitor for treatment of osteoporosis, Amgen Inc. (“Amgen”) and UCB S.A.’s (“UCB”) anti-sclerostin antibody, romosozumab (Evenity), in April 2019 following an 18-1 favorable advisory committee vote. However, Evenity received a Black Box warning that there may be an increase in risk of myocardial infarction (“MI”), stroke or cardiovascular death and it should not be initiated in patients who have had an MI or stroke in the last year. This was over a year after the FDA rejected our request for a Type C meeting to discuss the initiation of a pediatric Phase 3 study for setrusumab for the treatment of patients with severe OI. Based on these events and with our setrusumab Phase 2b efficacy and safety data in adult OI patients, we re-engaged with the FDA at the end of 2019 to discuss the expansion of the pivotal trial of setrusumab for the treatment of patients with severe OI to include sites in the United States. In February 2020, we announced the successful completion of a Type B End-of-phase 2 meeting with the FDA to discuss the expansion of the pediatric Phase 3 study for setrusumab for the treatment of children and adolescents with OI in the United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57" w:lineRule="auto"/>
        <w:rPr>
          <w:sz w:val="20"/>
          <w:szCs w:val="20"/>
          <w:color w:val="auto"/>
        </w:rPr>
      </w:pPr>
      <w:r>
        <w:rPr>
          <w:rFonts w:ascii="Arial" w:cs="Arial" w:eastAsia="Arial" w:hAnsi="Arial"/>
          <w:sz w:val="17"/>
          <w:szCs w:val="17"/>
          <w:color w:val="auto"/>
        </w:rPr>
        <w:t>States. See ‘‘Prospectus Summary—Recent Developments—Positive Feedback from Type B End-of-Phase 2 Meeting with the FDA.’’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In December 2019, the European Commission approved the MAA for Evenity.</w:t>
      </w:r>
    </w:p>
    <w:p>
      <w:pPr>
        <w:spacing w:after="0" w:line="189"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Drug-related side effects could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96" w:lineRule="exact"/>
        <w:rPr>
          <w:sz w:val="20"/>
          <w:szCs w:val="20"/>
          <w:color w:val="auto"/>
        </w:rPr>
      </w:pPr>
    </w:p>
    <w:p>
      <w:pPr>
        <w:ind w:left="980" w:hanging="432"/>
        <w:spacing w:after="0"/>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withdraw approvals of any such product and require us to take it off the market;</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required to change the way a product is administered, conduct additional clinical trials, or change the labeling of a product;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limitations on how we may promote the product;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product may decrease significantly;</w:t>
      </w:r>
    </w:p>
    <w:p>
      <w:pPr>
        <w:spacing w:after="0" w:line="26" w:lineRule="exact"/>
        <w:rPr>
          <w:rFonts w:ascii="MS PGothic" w:cs="MS PGothic" w:eastAsia="MS PGothic" w:hAnsi="MS PGothic"/>
          <w:sz w:val="25"/>
          <w:szCs w:val="25"/>
          <w:color w:val="auto"/>
          <w:vertAlign w:val="superscript"/>
        </w:rPr>
      </w:pPr>
    </w:p>
    <w:p>
      <w:pPr>
        <w:ind w:left="980" w:right="48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private or government payors may not offer, or may offer inadequate, reimbursement coverage for, our product candidates, or reimbursement payments may be delayed or impossible to recover;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litigation or product liability claims;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reputation may suffer.</w:t>
      </w:r>
    </w:p>
    <w:p>
      <w:pPr>
        <w:spacing w:after="0" w:line="20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Manufacturing tests of setrusumab have shown that it may cause an opalescence appearance to the liquid antibody formulation.</w:t>
      </w:r>
    </w:p>
    <w:p>
      <w:pPr>
        <w:spacing w:after="0" w:line="110"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Whilst we have recently conducted several large scale manufacturing runs of drug substance and drug product at third-party CMO’s without observing any opalescence and formulation studies are being conducted to in order to minimize any risk of significant opalescence or of aggregate formation, there can be no assurances that this opalescence will not occur in future manufacturing runs.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5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Due to the small number of patients for any rare disease, it may be difficult for us to enroll a sufficient number of patients in our clinical trials for our product candidates with indications in rare diseases or enrollment for these product candidates may take significantly longer than we anticipate. In addition, we will compete with other companies in enrolling the same limited population of patients, which may further challenge our ability to timely enroll patients in our clinical trials. It is estimated that OI, the target indication for setrusumab, affects a minimum of 20,000 people in the United States and approximately 32,000 people in Germany, Spain, France, Italy, and the United Kingdom, collectively. There are an estimated 50,000 and 60,000 persons in North America and Europe, respectively, with the genotypes that we intend to enroll in our clinical trials for AATD, the target indication for alvelestat.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our product candidates will increase our costs, slow down our development and approval of our product candidates,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9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2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199"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decreased demand for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injury to our reputation;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 of clinical trial participants;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defend related litigation;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management’s time and our resources;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substantial monetary awards to trial participants or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loss of revenue;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inability to commercialize, co-commercialize, or promote our product candidates.</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205"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 consuming, and inherently unpredictable as they rely on third party decisions outside of our control, and if we are ultimately unable to obtain regulatory approval for our product candidates, our business will be substantially harmed.</w:t>
      </w:r>
    </w:p>
    <w:p>
      <w:pPr>
        <w:spacing w:after="0" w:line="5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and relies on third party decisions outside of our control,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product’s clinical development and may vary among jurisdictions. We have not obtained regulatory approval for any of our product candidates and it is possible that none of our product candidates will obtain regulatory approval.</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9" w:lineRule="exact"/>
        <w:rPr>
          <w:sz w:val="20"/>
          <w:szCs w:val="20"/>
          <w:color w:val="auto"/>
        </w:rPr>
      </w:pPr>
    </w:p>
    <w:p>
      <w:pPr>
        <w:ind w:left="980" w:right="12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to the satisfaction of the FDA, the EMA, or comparable foreign regulatory authorities that a product is safe and effective for its proposed indication;</w:t>
      </w:r>
    </w:p>
    <w:p>
      <w:pPr>
        <w:spacing w:after="0" w:line="27" w:lineRule="exact"/>
        <w:rPr>
          <w:rFonts w:ascii="MS PGothic" w:cs="MS PGothic" w:eastAsia="MS PGothic" w:hAnsi="MS PGothic"/>
          <w:sz w:val="25"/>
          <w:szCs w:val="25"/>
          <w:color w:val="auto"/>
          <w:vertAlign w:val="superscript"/>
        </w:rPr>
      </w:pPr>
    </w:p>
    <w:p>
      <w:pPr>
        <w:ind w:left="980" w:right="52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that a product’s clinical and other benefits outweigh its safety risks;</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collected from clinical trials may not be sufficient to support the submission of a BLA or NDA in the United States, an MAA or CMA in the EU, or other comparable submission to obtain regulatory approval in other countries;</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hanging="432"/>
        <w:spacing w:after="0" w:line="218"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203"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product candidates. The FDA, the EMA, and other regulatory authorities have substantial discretion in the approval process, and determining when or whether regulatory approval will be obtained for a product. Even if we believe the data collected from clinical trials are promising, such data may not be sufficient to support approval by the FDA, the EMA, or any other regulatory authority.</w:t>
      </w:r>
    </w:p>
    <w:p>
      <w:pPr>
        <w:spacing w:after="0" w:line="189" w:lineRule="exact"/>
        <w:rPr>
          <w:sz w:val="20"/>
          <w:szCs w:val="20"/>
          <w:color w:val="auto"/>
        </w:rPr>
      </w:pPr>
    </w:p>
    <w:p>
      <w:pPr>
        <w:ind w:left="120" w:right="400" w:firstLine="440"/>
        <w:spacing w:after="0" w:line="257" w:lineRule="auto"/>
        <w:rPr>
          <w:sz w:val="20"/>
          <w:szCs w:val="20"/>
          <w:color w:val="auto"/>
        </w:rPr>
      </w:pPr>
      <w:r>
        <w:rPr>
          <w:rFonts w:ascii="Arial" w:cs="Arial" w:eastAsia="Arial" w:hAnsi="Arial"/>
          <w:sz w:val="17"/>
          <w:szCs w:val="17"/>
          <w:color w:val="auto"/>
        </w:rPr>
        <w:t>In addition, even if we were to obtain approval for any jurisdiction, regulatory authorities may approve our product candidates for fewer or more limited indications than we request, may grant approval contingent on the performance of costly post-marketing clinical trials, or may approve a product with a label that does not include the labeling claims necessary or desirable for the successful commercialization of such product. Any of the foregoing scenarios could materially harm our commercial prospects and business.</w:t>
      </w:r>
    </w:p>
    <w:p>
      <w:pPr>
        <w:spacing w:after="0" w:line="167"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p>
    <w:p>
      <w:pPr>
        <w:spacing w:after="0" w:line="61"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requirements for manufacturing, good distribution practice, requirements for product 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205"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MAAs. If any of these events occurs, our ability to sell our product may be impaired, and we may incur substantial additional expense to comply with regulatory requirements.</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may arise from future legislation or administrative or executive action, either in the United States, the United Kingdom, Europe, or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Notably, in January 2017, an Executive 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1"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b w:val="1"/>
          <w:bCs w:val="1"/>
          <w:i w:val="1"/>
          <w:iCs w:val="1"/>
          <w:color w:val="auto"/>
        </w:rPr>
        <w:t>Even if we obtain marketing approval of any of our product candidates in a major pharmaceutical market such as the United States or the EU, we may not be able to obtain approval or commercialize that product in other markets, which would limit our ability to realize our full market potential.</w:t>
      </w:r>
    </w:p>
    <w:p>
      <w:pPr>
        <w:spacing w:after="0" w:line="5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or any other markets, and our management team does not have experience in obtaining regulatory approval in markets outside of the United States and the EU.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61" w:lineRule="exact"/>
        <w:rPr>
          <w:sz w:val="20"/>
          <w:szCs w:val="20"/>
          <w:color w:val="auto"/>
        </w:rPr>
      </w:pPr>
    </w:p>
    <w:p>
      <w:pPr>
        <w:ind w:left="120" w:right="120" w:firstLine="440"/>
        <w:spacing w:after="0" w:line="234" w:lineRule="auto"/>
        <w:rPr>
          <w:sz w:val="20"/>
          <w:szCs w:val="20"/>
          <w:color w:val="auto"/>
        </w:rPr>
      </w:pPr>
      <w:r>
        <w:rPr>
          <w:rFonts w:ascii="Arial" w:cs="Arial" w:eastAsia="Arial" w:hAnsi="Arial"/>
          <w:sz w:val="18"/>
          <w:szCs w:val="18"/>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w:t>
      </w:r>
    </w:p>
    <w:p>
      <w:pPr>
        <w:spacing w:after="0" w:line="3" w:lineRule="exact"/>
        <w:rPr>
          <w:sz w:val="20"/>
          <w:szCs w:val="20"/>
          <w:color w:val="auto"/>
        </w:rPr>
      </w:pPr>
    </w:p>
    <w:p>
      <w:pPr>
        <w:ind w:left="120" w:hanging="4"/>
        <w:spacing w:after="0" w:line="250"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which imposes obligations and restrictions on the collection and use of personal data relating to individuals located in the EU and includes the General Data Protection Regulation (the “GDPR”) and any national laws implementing or supplementing the GDPR. If we do not comply with our obligations under the EU privacy regime, we could be exposed to significant fines and may be the subject of litigation and/or adverse publicity, which could have a material adverse effect on our reputation and business.</w:t>
      </w:r>
    </w:p>
    <w:p>
      <w:pPr>
        <w:spacing w:after="0" w:line="3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2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the United States,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and private insurers. Among the provisions of the ACA, those of greatest importance to the pharmaceutical and biotechnology industries include the following:</w:t>
      </w:r>
    </w:p>
    <w:p>
      <w:pPr>
        <w:spacing w:after="0" w:line="224" w:lineRule="exact"/>
        <w:rPr>
          <w:sz w:val="20"/>
          <w:szCs w:val="20"/>
          <w:color w:val="auto"/>
        </w:rPr>
      </w:pPr>
    </w:p>
    <w:p>
      <w:pPr>
        <w:ind w:left="980" w:right="30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28" w:lineRule="exact"/>
        <w:rPr>
          <w:rFonts w:ascii="MS PGothic" w:cs="MS PGothic" w:eastAsia="MS PGothic" w:hAnsi="MS PGothic"/>
          <w:sz w:val="25"/>
          <w:szCs w:val="25"/>
          <w:color w:val="auto"/>
          <w:vertAlign w:val="superscript"/>
        </w:rPr>
      </w:pPr>
    </w:p>
    <w:p>
      <w:pPr>
        <w:ind w:left="980" w:right="70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8" w:lineRule="exact"/>
        <w:rPr>
          <w:rFonts w:ascii="MS PGothic" w:cs="MS PGothic" w:eastAsia="MS PGothic" w:hAnsi="MS PGothic"/>
          <w:sz w:val="25"/>
          <w:szCs w:val="25"/>
          <w:color w:val="auto"/>
          <w:vertAlign w:val="superscript"/>
        </w:rPr>
      </w:pPr>
    </w:p>
    <w:p>
      <w:pPr>
        <w:ind w:left="980" w:right="4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28"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(“AMP”) of branded and generic drugs, respectively, and capped the total rebate amount for innovator drugs at 100% of the AMP;</w:t>
      </w:r>
    </w:p>
    <w:p>
      <w:pPr>
        <w:spacing w:after="0" w:line="28"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and biologics, including our product candidates, that are inhaled, infused, instilled, implanted, or injected;</w:t>
      </w:r>
    </w:p>
    <w:p>
      <w:pPr>
        <w:spacing w:after="0" w:line="27"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27" w:lineRule="exact"/>
        <w:rPr>
          <w:rFonts w:ascii="MS PGothic" w:cs="MS PGothic" w:eastAsia="MS PGothic" w:hAnsi="MS PGothic"/>
          <w:sz w:val="25"/>
          <w:szCs w:val="25"/>
          <w:color w:val="auto"/>
          <w:vertAlign w:val="superscript"/>
        </w:rPr>
      </w:pPr>
    </w:p>
    <w:p>
      <w:pPr>
        <w:ind w:left="980" w:right="28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8" w:lineRule="exact"/>
        <w:rPr>
          <w:rFonts w:ascii="MS PGothic" w:cs="MS PGothic" w:eastAsia="MS PGothic" w:hAnsi="MS PGothic"/>
          <w:sz w:val="25"/>
          <w:szCs w:val="25"/>
          <w:color w:val="auto"/>
          <w:vertAlign w:val="superscript"/>
        </w:rPr>
      </w:pPr>
    </w:p>
    <w:p>
      <w:pPr>
        <w:ind w:left="980" w:right="70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creation of the Independent Payment Advisory Board, which, once empaneled, would have the authority to recommend certain changes to the Medicare program that could result in reduced payments for prescription drugs and those recommendations could have the effect of law unless overruled by a supermajority vote of Congress. The Bipartisan Budget Act of 2018 repealed the creation of the Independent Payment Advisory Board before it could take effect;</w:t>
      </w:r>
    </w:p>
    <w:p>
      <w:pPr>
        <w:spacing w:after="0" w:line="27" w:lineRule="exact"/>
        <w:rPr>
          <w:rFonts w:ascii="MS PGothic" w:cs="MS PGothic" w:eastAsia="MS PGothic" w:hAnsi="MS PGothic"/>
          <w:sz w:val="25"/>
          <w:szCs w:val="25"/>
          <w:color w:val="auto"/>
          <w:vertAlign w:val="superscript"/>
        </w:rPr>
      </w:pPr>
    </w:p>
    <w:p>
      <w:pPr>
        <w:ind w:left="980" w:right="10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the entities eligible for discounts under the Public Health Service program;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licensure framework for follow on biologic product candidates.</w:t>
      </w:r>
    </w:p>
    <w:p>
      <w:pPr>
        <w:spacing w:after="0" w:line="202"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The Trump administration has also announced that it will discontinue the payment of cost-sharing reduction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We continue to evaluate the effect that the ACA and its possible repeal and replacement has on our business. It is uncertain the extent to which any such changes may impact our business or financial condition.</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future customers and accordingly, our financial operations.</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non-rare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w:t>
      </w:r>
    </w:p>
    <w:p>
      <w:pPr>
        <w:spacing w:after="0" w:line="208"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w:t>
      </w:r>
    </w:p>
    <w:p>
      <w:pPr>
        <w:spacing w:after="0" w:line="208" w:lineRule="exact"/>
        <w:rPr>
          <w:sz w:val="20"/>
          <w:szCs w:val="20"/>
          <w:color w:val="auto"/>
        </w:rPr>
      </w:pPr>
    </w:p>
    <w:p>
      <w:pPr>
        <w:ind w:left="120" w:right="460" w:firstLine="440"/>
        <w:spacing w:after="0"/>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or co-commercialize, our product candidates, if approved. In addition to continuing pressure on prices and cost containment measures, legislative developments at the EU or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w:t>
      </w:r>
    </w:p>
    <w:p>
      <w:pPr>
        <w:spacing w:after="0" w:line="194"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In markets outside of the United States and EU, reimbursement and healthcare payment systems vary significantly by country, and many countries have instituted price ceilings on specific product candidates and therapies.</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0"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232" w:lineRule="exact"/>
        <w:rPr>
          <w:sz w:val="20"/>
          <w:szCs w:val="20"/>
          <w:color w:val="auto"/>
        </w:rPr>
      </w:pPr>
    </w:p>
    <w:p>
      <w:pPr>
        <w:ind w:left="980" w:right="60" w:hanging="432"/>
        <w:spacing w:after="0" w:line="230"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29"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false claims and civil monetary penalties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40"/>
        <w:spacing w:after="0" w:line="238" w:lineRule="auto"/>
        <w:rPr>
          <w:sz w:val="20"/>
          <w:szCs w:val="20"/>
          <w:color w:val="auto"/>
        </w:rPr>
      </w:pPr>
      <w:r>
        <w:rPr>
          <w:rFonts w:ascii="Arial" w:cs="Arial" w:eastAsia="Arial" w:hAnsi="Arial"/>
          <w:sz w:val="18"/>
          <w:szCs w:val="18"/>
          <w:color w:val="auto"/>
        </w:rPr>
        <w:t>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7" w:lineRule="exact"/>
        <w:rPr>
          <w:sz w:val="20"/>
          <w:szCs w:val="20"/>
          <w:color w:val="auto"/>
        </w:rPr>
      </w:pPr>
    </w:p>
    <w:p>
      <w:pPr>
        <w:ind w:left="980" w:right="4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9" w:lineRule="exact"/>
        <w:rPr>
          <w:rFonts w:ascii="MS PGothic" w:cs="MS PGothic" w:eastAsia="MS PGothic" w:hAnsi="MS PGothic"/>
          <w:sz w:val="25"/>
          <w:szCs w:val="25"/>
          <w:color w:val="auto"/>
          <w:vertAlign w:val="superscript"/>
        </w:rPr>
      </w:pPr>
    </w:p>
    <w:p>
      <w:pPr>
        <w:ind w:left="980" w:right="6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HIPAA, as amended by the Health Information Technology for Economic and Clinical Health Act of 2009 (“HITECH”) and its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its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9"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Public Health Service Act (“PHSA”), which prohibits, among other things, the introduction into interstate commerce of a biological product unless a biologics license is in effect for that product;</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7"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their immediate family members;</w:t>
      </w:r>
    </w:p>
    <w:p>
      <w:pPr>
        <w:spacing w:after="0" w:line="30" w:lineRule="exact"/>
        <w:rPr>
          <w:rFonts w:ascii="MS PGothic" w:cs="MS PGothic" w:eastAsia="MS PGothic" w:hAnsi="MS PGothic"/>
          <w:sz w:val="25"/>
          <w:szCs w:val="25"/>
          <w:color w:val="auto"/>
          <w:vertAlign w:val="superscript"/>
        </w:rPr>
      </w:pPr>
    </w:p>
    <w:p>
      <w:pPr>
        <w:ind w:left="980" w:right="14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220"/>
        <w:spacing w:after="0" w:line="244" w:lineRule="auto"/>
        <w:rPr>
          <w:sz w:val="20"/>
          <w:szCs w:val="20"/>
          <w:color w:val="auto"/>
        </w:rPr>
      </w:pPr>
      <w:r>
        <w:rPr>
          <w:rFonts w:ascii="Arial" w:cs="Arial" w:eastAsia="Arial" w:hAnsi="Arial"/>
          <w:sz w:val="18"/>
          <w:szCs w:val="18"/>
          <w:color w:val="auto"/>
        </w:rPr>
        <w:t>which differ from each other in significant ways and often are not preempted by HIPAA, thus complicating compliance efforts; and</w:t>
      </w:r>
    </w:p>
    <w:p>
      <w:pPr>
        <w:spacing w:after="0" w:line="25" w:lineRule="exact"/>
        <w:rPr>
          <w:sz w:val="20"/>
          <w:szCs w:val="20"/>
          <w:color w:val="auto"/>
        </w:rPr>
      </w:pPr>
    </w:p>
    <w:p>
      <w:pPr>
        <w:ind w:left="980" w:right="80" w:hanging="432"/>
        <w:spacing w:after="0" w:line="218"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3"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United States),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7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41"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We are subject to diverse laws and regulations relating to data privacy and security in the EU, including the GDPR. New global privacy rules are being enacted and existing ones are being updated and strengthened. We are likely to be required to expend capital and other resources to ensure ongoing compliance with these laws and regulations.</w:t>
      </w:r>
    </w:p>
    <w:p>
      <w:pPr>
        <w:spacing w:after="0" w:line="203" w:lineRule="exact"/>
        <w:rPr>
          <w:sz w:val="20"/>
          <w:szCs w:val="20"/>
          <w:color w:val="auto"/>
        </w:rPr>
      </w:pPr>
    </w:p>
    <w:p>
      <w:pPr>
        <w:ind w:left="120" w:right="220" w:firstLine="440"/>
        <w:spacing w:after="0" w:line="248" w:lineRule="auto"/>
        <w:rPr>
          <w:sz w:val="20"/>
          <w:szCs w:val="20"/>
          <w:color w:val="auto"/>
        </w:rPr>
      </w:pPr>
      <w:r>
        <w:rPr>
          <w:rFonts w:ascii="Arial" w:cs="Arial" w:eastAsia="Arial" w:hAnsi="Arial"/>
          <w:sz w:val="17"/>
          <w:szCs w:val="17"/>
          <w:color w:val="auto"/>
        </w:rPr>
        <w:t>The GDPR applies extraterritorially and implements stringent operational requirements for controllers and processors of personal data. For example, the GDPR: (i) requires detailed disclosures to data subjects; (ii) requires disclosure of the legal basis on which personal data is processed; (iii) makes it harder to obtain valid consent for processing; (iv) requires the appointment of a data protection officer where sensitive personal data (i.e. health data) is processed on a large scale; (v) provides more robust rights for data subjects;</w:t>
      </w:r>
    </w:p>
    <w:p>
      <w:pPr>
        <w:spacing w:after="0" w:line="2" w:lineRule="exact"/>
        <w:rPr>
          <w:sz w:val="20"/>
          <w:szCs w:val="20"/>
          <w:color w:val="auto"/>
        </w:rPr>
      </w:pPr>
    </w:p>
    <w:p>
      <w:pPr>
        <w:ind w:left="120" w:right="100" w:hanging="4"/>
        <w:spacing w:after="0" w:line="238"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introduces mandatory data breach notification through the EU; (vii) imposes additional obligations when contracting with service providers; and (viii) requires an appropriate privacy governance framework to be implemented including policies, procedures, training and data audit. The GDPR permits member state derogations for certain issues and, accordingly, we are also subject to EU national laws relating to the processing of certain data such as genetic data, biometric data and data concerning health. Complying with these numerous,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complex and often changing regulations is expensive and difficult. Failure by us, or our partners or service providers, to comply with the GDPR could result in regulatory investigations, enforcement notices and/or fines of up to the higher of 20 million euros or up to 4% of our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our business, reputation and financial condition.</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data controller, we are accountable for any third-party data service providers we engage to process personal data on our behalf. We attempt to address the associated risks by performing security assessments, detailed due diligence and regularly performing privacy and security reviews of our vendors and requiring all such third-party providers with data access to sign agreements, including business associate agreements, and where required under EU law,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20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also subject to evolving European privacy laws on electronic marketing and cookies. The EU is in the process of replacing the e-Privacy Directive (2002/58/EC) (the “e-Privacy Directive”) with a new set of rules taking the form of a regulation, which will be directly applicable to the laws of each European member state, without need for further implementation. The draft e-Privacy Regulation (the “e-Privacy Regulation”) imposes strict opt-in marketing rules with limited exceptions for business-to-business communications, alters rules on third-party cookies, web beacons and similar technology and significantly increases fining powers to the same levels as GDPR (i.e. the greater of 20 million euros or 4% of total global annual revenue). While the e-Privacy Regulation was originally intended to be adopted on May 25, 2018 (alongside the GDPR), it is still going through the European legislative process and commentators now expect it to be adopted during the second half of 2020 or during 2021 following a transition period.</w:t>
      </w:r>
    </w:p>
    <w:p>
      <w:pPr>
        <w:spacing w:after="0" w:line="186" w:lineRule="exact"/>
        <w:rPr>
          <w:sz w:val="20"/>
          <w:szCs w:val="20"/>
          <w:color w:val="auto"/>
        </w:rPr>
      </w:pPr>
    </w:p>
    <w:p>
      <w:pPr>
        <w:ind w:left="120" w:right="440"/>
        <w:spacing w:after="0" w:line="253" w:lineRule="auto"/>
        <w:rPr>
          <w:sz w:val="20"/>
          <w:szCs w:val="20"/>
          <w:color w:val="auto"/>
        </w:rPr>
      </w:pPr>
      <w:r>
        <w:rPr>
          <w:rFonts w:ascii="Arial" w:cs="Arial" w:eastAsia="Arial" w:hAnsi="Arial"/>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5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operations are subject to anti-corruption laws, including the U.K. Bribery Act 2010 (the “Bribery Act”); the U.S. Foreign Corrupt Practices Act (the “FCPA”); and other anti-corruption laws that apply in countries where we do business and may do business in the future. The Bribery Act,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7"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We are also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(collectively, the “Trade Control Laws”).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left="120" w:right="880"/>
        <w:spacing w:after="0" w:line="271"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acquiring, developing, or commercializing competing product candidates before or more successfully than we do.</w:t>
      </w:r>
    </w:p>
    <w:p>
      <w:pPr>
        <w:spacing w:after="0" w:line="41"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setrusumab, alvelestat, acumapimod, leflutrozole or etigilimab is approved, we will face intense competition from a variety of businesses, including large, fully integrated pharmaceutical companies, non-rare pharmaceutical companies, and biopharmaceutical companies in the United States,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face competition for each of our current product candidates, including specifically:</w:t>
      </w:r>
    </w:p>
    <w:p>
      <w:pPr>
        <w:spacing w:after="0" w:line="239" w:lineRule="exact"/>
        <w:rPr>
          <w:sz w:val="20"/>
          <w:szCs w:val="20"/>
          <w:color w:val="auto"/>
        </w:rPr>
      </w:pPr>
    </w:p>
    <w:p>
      <w:pPr>
        <w:ind w:left="980" w:right="40" w:hanging="432"/>
        <w:spacing w:after="0" w:line="231"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setrusumab’s current closest potential competitors in development for the treatment of OI to be Amgen denosumab (Prolia) an anti-resorptive agent, and Amgen and UCB’s anti-sclerostin antibody, romosozumab (Evenity), which was approved in the United States in April 2019 for osteoporosis.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In December 2019, the European Commission approved the MAA for romosozumab (Evenity). In addition, Jiangsu Hengrui has commenced Phase 1 development of an anti-sclerostin antibody for osteoporosis, and Transcenta Holding has licensed the anti-sclerostin antibody blosozumab from Eli Lilly and Company (“Lilly”) and plans to develop it for osteoporosis. Additionally, Bone Therapeutics S.A. (“Bone Therapeutics”) is developing osteoblastic cell therapy product candidates. Baylor College of Medicine is also conducting a Phase 1 open label trial of fresolimumab, a TGF-B inhibitor, in adult OI patients.</w:t>
      </w:r>
    </w:p>
    <w:p>
      <w:pPr>
        <w:spacing w:after="0" w:line="28" w:lineRule="exact"/>
        <w:rPr>
          <w:rFonts w:ascii="MS PGothic" w:cs="MS PGothic" w:eastAsia="MS PGothic" w:hAnsi="MS PGothic"/>
          <w:sz w:val="25"/>
          <w:szCs w:val="25"/>
          <w:color w:val="auto"/>
          <w:vertAlign w:val="superscript"/>
        </w:rPr>
      </w:pPr>
    </w:p>
    <w:p>
      <w:pPr>
        <w:ind w:left="980" w:right="100" w:hanging="432"/>
        <w:spacing w:after="0" w:line="223"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alvelestat’s current closest potential competitors for the treatment of severe AATD to be alpha1-proteinase inhibitors that are administered intravenously in AAT augmentation therapy. Currently, there are four inhibitors on the market in the United States and the EU: Prolastin-C from Grifols, S.A. (“Grifols”), Aralast from Shire plc, now a subsidiary</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0"/>
        <w:spacing w:after="0" w:line="236" w:lineRule="auto"/>
        <w:rPr>
          <w:sz w:val="20"/>
          <w:szCs w:val="20"/>
          <w:color w:val="auto"/>
        </w:rPr>
      </w:pPr>
      <w:r>
        <w:rPr>
          <w:rFonts w:ascii="Arial" w:cs="Arial" w:eastAsia="Arial" w:hAnsi="Arial"/>
          <w:sz w:val="18"/>
          <w:szCs w:val="18"/>
          <w:color w:val="auto"/>
        </w:rPr>
        <w:t>of Takeda Pharmaceutical Company Ltd (“Shire”), Zemaira from CSL Limited (“CSL”), and Glassia from Kamada Ltd. (“Kamada”). Kamada is also investigating an inhaled version of augmentation therapy, InhibRx, Inc. (“InhibRx”) is in Phase 1 development of INBRX-101, a recombinant human alpha-1 antitrypsin Fc fusion protein (rhAAT-Fc) for replacement therapy, and Apic Bio, Inc. (“Apic Bio”) is in the early stages of developing gene-therapy approaches for AATD. Vertex Pharmaceuticals Inc. (“Vertex”) has a small molecule corrector program for AATD with VX-814 and VX-864 in Phase 1 development. Santhera Pharmaceuticals (“Santhera”), has in-licensed an inhaled NE inhibitor and is planning a multiple ascending dose study, with the initial indication targeted being CF; and CHF-6333 is an inhaled human NE inhibitor in Phase 1 development by Chiesi Farmaceutici S.p.A. (“Chiesi”) for the treatment of non-cystic fibrosis bronchiectasis and CF.</w:t>
      </w:r>
    </w:p>
    <w:p>
      <w:pPr>
        <w:spacing w:after="0" w:line="32" w:lineRule="exact"/>
        <w:rPr>
          <w:sz w:val="20"/>
          <w:szCs w:val="20"/>
          <w:color w:val="auto"/>
        </w:rPr>
      </w:pPr>
    </w:p>
    <w:p>
      <w:pPr>
        <w:ind w:left="980" w:hanging="432"/>
        <w:spacing w:after="0" w:line="229"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acumapimod, although we are not aware of any approved therapies for the treatment of AECOPD, there are a wide range of established therapies available for COPD as well as a number of product candidates in development, with Verona Pharma plc (“Verona Pharma”), GlaxoSmithKline plc. (“GlaxoSmithKline”), and AstraZeneca each conducting Phase 2 trials on drugs for the treatment of COPD. In addition, Pulmatrix, Inc. (“Pulmatrix”) has PUR1800, a narrow-spectrum kinase inhibitor (NSKI) expected to begin a Phase 1b for AECOPD in 2020. We consider acumapimod’s current closest potential competitor in development for the treatment of AECOPD to be Verona Pharma’s RPL554, a PDE3 / PDE4 dual inhibitor that is currently being developed as a bronchodilator and anti-inflammatory agent for COPD and asthma patients.</w:t>
      </w:r>
    </w:p>
    <w:p>
      <w:pPr>
        <w:spacing w:after="0" w:line="31" w:lineRule="exact"/>
        <w:rPr>
          <w:rFonts w:ascii="MS PGothic" w:cs="MS PGothic" w:eastAsia="MS PGothic" w:hAnsi="MS PGothic"/>
          <w:sz w:val="25"/>
          <w:szCs w:val="25"/>
          <w:color w:val="auto"/>
          <w:vertAlign w:val="superscript"/>
        </w:rPr>
      </w:pPr>
    </w:p>
    <w:p>
      <w:pPr>
        <w:ind w:left="980" w:right="100" w:hanging="432"/>
        <w:spacing w:after="0" w:line="230"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leflutrozole’s current closest potential competitors for the treatment of HH to be testosterone replacement therapies (“TRT”). These include Androgel from AbbVie Inc. (“AbbVie”), and Lilly’s Axiron, both administered transdermally by applying a gel formulation, which are approved in the United States and Europe, Andriol from Merck &amp; Co., Inc. (“Merck”), an oral testosterone therapy, which is approved in Europe but not in the United States and Jatenzo from Clarus Therapeutics, Inc. (“Clarus”) approved in the United States in March 2019. There are also other approved TRT product candidates that are administered via injection and other oral TRTs that are still in the development or registration stages, such as Tlando from Lipocine, Inc. (“Lipocine”). The FDA held advisory committee meetings in January 2018 for Tlando. On May 9, 2018, Lipocine announced that it had received a complete response letter from the FDA and on May 14, 2019, Lipocine announced the acceptance of the NDA for Tlando. Lipocine has also announced an injunction against Clarus for its product Jatenzo.</w:t>
      </w:r>
    </w:p>
    <w:p>
      <w:pPr>
        <w:spacing w:after="0" w:line="33" w:lineRule="exact"/>
        <w:rPr>
          <w:rFonts w:ascii="MS PGothic" w:cs="MS PGothic" w:eastAsia="MS PGothic" w:hAnsi="MS PGothic"/>
          <w:sz w:val="25"/>
          <w:szCs w:val="25"/>
          <w:color w:val="auto"/>
          <w:vertAlign w:val="superscript"/>
        </w:rPr>
      </w:pPr>
    </w:p>
    <w:p>
      <w:pPr>
        <w:ind w:left="980" w:right="180" w:hanging="432"/>
        <w:spacing w:after="0" w:line="229"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etigilimab’s competitors to be existing cancer treatments such as the commercially available immuno-oncology agents (e.g., Yervoy, Keytruda, and Opdivo), chemotherapeutic agents, and antibody based therapeutics such as Avastin and Erbitux. In addition, other potential competitors include several other anti-TIGIT agents (e.g., those currently being developed by Genentech (Roche), Merck, Bristol-Myers Squibb or BMS, and Arcus Biosciences) and investigational immuno-oncologic agents against other targets. There are established pharmaceutical and biotechnology companies that are known to be involved in oncology research.</w:t>
      </w:r>
    </w:p>
    <w:p>
      <w:pPr>
        <w:spacing w:after="0" w:line="20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also anticipate that new companies will enter these markets in the future. If we successfully develop and commercialize any of setrusumab, alvelestat, acumapimod, leflutrozole or etigilimab,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229" w:lineRule="exact"/>
        <w:rPr>
          <w:sz w:val="20"/>
          <w:szCs w:val="20"/>
          <w:color w:val="auto"/>
        </w:rPr>
      </w:pPr>
    </w:p>
    <w:p>
      <w:pPr>
        <w:ind w:left="980" w:right="480" w:hanging="432"/>
        <w:spacing w:after="0" w:line="218"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60"/>
        <w:spacing w:after="0" w:line="244" w:lineRule="auto"/>
        <w:rPr>
          <w:sz w:val="20"/>
          <w:szCs w:val="20"/>
          <w:color w:val="auto"/>
        </w:rPr>
      </w:pPr>
      <w:r>
        <w:rPr>
          <w:rFonts w:ascii="Arial" w:cs="Arial" w:eastAsia="Arial" w:hAnsi="Arial"/>
          <w:sz w:val="18"/>
          <w:szCs w:val="18"/>
          <w:color w:val="auto"/>
        </w:rPr>
        <w:t>acquisitions in the biopharmaceutical and pharmaceutical industries may result in even more resources being concentrated in our competitors;</w:t>
      </w:r>
    </w:p>
    <w:p>
      <w:pPr>
        <w:spacing w:after="0" w:line="25" w:lineRule="exact"/>
        <w:rPr>
          <w:sz w:val="20"/>
          <w:szCs w:val="20"/>
          <w:color w:val="auto"/>
        </w:rPr>
      </w:pPr>
    </w:p>
    <w:p>
      <w:pPr>
        <w:ind w:left="980" w:right="36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commercialize product candidates that are safer, more effective, less expensive, more convenient, or easier to administer, or have fewer or less severe effects, or in certain cases could be curative for the condition;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obtain quicker regulatory approval;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superior proprietary positions covering our product candidates and technologies;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implement more effective approaches to sales and marketing;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more advantageous strategic alliances.</w:t>
      </w:r>
    </w:p>
    <w:p>
      <w:pPr>
        <w:spacing w:after="0" w:line="20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w:t>
      </w:r>
    </w:p>
    <w:p>
      <w:pPr>
        <w:spacing w:after="0" w:line="184"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b w:val="1"/>
          <w:bCs w:val="1"/>
          <w:i w:val="1"/>
          <w:iCs w:val="1"/>
          <w:color w:val="auto"/>
        </w:rPr>
        <w:t>We have obtained orphan drug designation for setrusumab for the treatment of OI in the United States and EU, but we may be unable to obtain orphan drug designation for alvelestat or any future product candidates, and we may be unable to obtain or maintain the benefits associated with orphan drug designation, including the potential for orphan drug exclusivity, for setrusumab or any other product for which we obtain orphan drug designation.</w:t>
      </w:r>
    </w:p>
    <w:p>
      <w:pPr>
        <w:spacing w:after="0" w:line="6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Under the Orphan Drug Act of 1983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(“COMP”) recommends to the European Commission the granting of orphan designation to promote the development of medicinal products that are intended for the diagnosis, prevention or treatment of a life-threatening or chronically debilitating condition affecting not more than five in 10,000 persons in the EU. Additionally, designation is granted for medicinal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where the medicine can demonstrate that it is of significant benefit to those affected by the condition.</w:t>
      </w:r>
    </w:p>
    <w:p>
      <w:pPr>
        <w:spacing w:after="0" w:line="205"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designation entitles a party to financial incentives such as reduction of fees or fee waivers and ten years of market exclusivity following approval. This period can be extended by two years if studies in children are performed in accordance with a PIP. In addition, this period may be reduced to six years if the orphan drug designation criteria are no longer met, including where it is shown that the drug is sufficiently profitable not to justify maintenance of market exclusivity or where the manufacturer is unable to supply the treatment.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20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have obtained orphan drug designation from the FDA and EMA for setrusumab for the treatment of OI, and we plan to seek orphan drug designation for alvelestat and future rare disease product candidates.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United States may be unavailable if we seek approval for an indication broader than the orphan-designated indication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with different active moieties can be approved for the same condition. In addition, the FDA and the EMA can subsequently approve product candidates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w:t>
      </w:r>
    </w:p>
    <w:p>
      <w:pPr>
        <w:spacing w:after="0" w:line="21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to our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indication. In the future, there is the potential for additional legal challenges to the FDA’s orphan drug regulations and policies, and it is uncertain how ongoing and future challenges might affect our business.</w:t>
      </w:r>
    </w:p>
    <w:p>
      <w:pPr>
        <w:spacing w:after="0" w:line="17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We may seek and fail to obtain breakthrough therapy designation by the FDA for setrusumab or alvelestat, or any future product candidates or access to the PRIME scheme by the EMA for alvelestat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61"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 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setrusumab was admitted to the PRIME scheme of the EMA.</w:t>
      </w:r>
    </w:p>
    <w:p>
      <w:pPr>
        <w:spacing w:after="0" w:line="19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8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We intend to directly commercialize or co-commercialize our product candidates for rare diseases and to seek strategic relationships with third parties for the development and/or commercialization of our product candidates for non-rare diseases. If we are unable to develop our own sales, marketing, and distribution capabilities or enter into business arrangements, we may not be successful in commercializing our product candidates.</w:t>
      </w:r>
    </w:p>
    <w:p>
      <w:pPr>
        <w:spacing w:after="0" w:line="4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have no marketing, sales, or distribution capabilities and we currently have no experience with marketing, selling or distributing pharmaceutical product candidates. We also have no strategic relationships in place for the commercialization of our product candidates. For setrusumab and alvelestat, if approved, and for any future product candidates for rare diseases, we intend either to establish a sales and marketing organization with technical expertise and supporting distribution capabilities to commercialize or co-commercialize these product candidates in major markets or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potentially to outsource aspects of these functions to third parties or partners. We may not be able to hire a sales force that is sufficient in size or has adequate expertise in OI, AATD, or other relevant rare diseases. Any failure or delay in the development of our internal sales, marketing, and distribution capabilities would adversely impact the commercialization of these product candidates.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currently intend to enter into strategic relationships with pharmaceutical, biopharmaceutical or other partners for the continued development of our non-rare disease product candidates, acumapimod, etigilimab and leflutrozole, and we may take the same approach for other product candidates. These arrangements would also likely include the commercialization of a product. Alternatively, we may seek to sell or out-license one or more of our non-rare disease product candidates. See “—Risks Related to Our Business and Industry— Following the Licensing Agreement for Navi, and if we sell or out-license other of our non-rare disease product candidates or out-license any of our rare disease product candidates for any territories, we could be exposed to future liabilities.”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strategic relationships with third parties, our future product revenue will suffer and we may incur significant losses.</w:t>
      </w:r>
    </w:p>
    <w:p>
      <w:pPr>
        <w:spacing w:after="0" w:line="18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61" w:lineRule="exact"/>
        <w:rPr>
          <w:sz w:val="20"/>
          <w:szCs w:val="20"/>
          <w:color w:val="auto"/>
        </w:rPr>
      </w:pPr>
    </w:p>
    <w:p>
      <w:pPr>
        <w:ind w:left="120" w:right="120" w:firstLine="440"/>
        <w:spacing w:after="0" w:line="251"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 party payors may also elect to restrict coverage to a subset of patients that could potentially be treated with our products, if approved.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199"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202"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 candidates.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No uniform policy for coverage and reimbursement for product candidates exists among third-party payors in the United States.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Our operations are also subject to extensive governmental price controls and other market regulations in the United Kingdom and other countries outside of the United States,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213"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w:t>
      </w:r>
    </w:p>
    <w:p>
      <w:pPr>
        <w:spacing w:after="0" w:line="180"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b w:val="1"/>
          <w:bCs w:val="1"/>
          <w:i w:val="1"/>
          <w:iCs w:val="1"/>
          <w:color w:val="auto"/>
        </w:rPr>
        <w:t>Our existing and future product candidates may not gain market acceptance, in which case our ability to generate product revenues will be compromised.</w:t>
      </w:r>
    </w:p>
    <w:p>
      <w:pPr>
        <w:spacing w:after="0" w:line="4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Even if the FDA, the EMA,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96" w:lineRule="exact"/>
        <w:rPr>
          <w:sz w:val="20"/>
          <w:szCs w:val="20"/>
          <w:color w:val="auto"/>
        </w:rPr>
      </w:pPr>
    </w:p>
    <w:p>
      <w:pPr>
        <w:ind w:left="980" w:hanging="432"/>
        <w:spacing w:after="0"/>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of market introduction;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number and clinical profile of competing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clinical indications for which our product candidates are approved;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provide acceptable evidence of safety and efficacy;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side effects;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cost-effectiveness;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marketing and distribution support;</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potential advantages over alternative treatment methods.</w:t>
      </w:r>
    </w:p>
    <w:p>
      <w:pPr>
        <w:spacing w:after="0" w:line="20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53"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 candidates in the United States may face competition sooner than anticipated.</w:t>
      </w:r>
    </w:p>
    <w:p>
      <w:pPr>
        <w:spacing w:after="0" w:line="27" w:lineRule="exact"/>
        <w:rPr>
          <w:sz w:val="20"/>
          <w:szCs w:val="20"/>
          <w:color w:val="auto"/>
        </w:rPr>
      </w:pPr>
    </w:p>
    <w:p>
      <w:pPr>
        <w:ind w:left="120" w:right="60" w:firstLine="440"/>
        <w:spacing w:after="0" w:line="251" w:lineRule="auto"/>
        <w:rPr>
          <w:sz w:val="20"/>
          <w:szCs w:val="20"/>
          <w:color w:val="auto"/>
        </w:rPr>
      </w:pPr>
      <w:r>
        <w:rPr>
          <w:rFonts w:ascii="Arial" w:cs="Arial" w:eastAsia="Arial" w:hAnsi="Arial"/>
          <w:sz w:val="17"/>
          <w:szCs w:val="17"/>
          <w:color w:val="auto"/>
        </w:rPr>
        <w:t>In the United States, the Biologics Price Competition and Innovation Act of 2009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 candidates.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In the EU, MAAs for product candidates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61"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have relied upon and plan to continue to rely upon independent clinical investigators and CROs to conduct our clinical trials and to monitor and manage data for our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GxP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GxP requirements. Our failure to comply with these regulations may require us to repeat clinical trials, which would delay the regulatory approval process.</w:t>
      </w:r>
    </w:p>
    <w:p>
      <w:pPr>
        <w:spacing w:after="0" w:line="21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00"/>
        <w:spacing w:after="0"/>
        <w:rPr>
          <w:sz w:val="20"/>
          <w:szCs w:val="20"/>
          <w:color w:val="auto"/>
        </w:rPr>
      </w:pPr>
      <w:r>
        <w:rPr>
          <w:rFonts w:ascii="Arial" w:cs="Arial" w:eastAsia="Arial" w:hAnsi="Arial"/>
          <w:sz w:val="18"/>
          <w:szCs w:val="18"/>
          <w:color w:val="auto"/>
        </w:rPr>
        <w:t>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pacing w:after="0" w:line="20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8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61"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our product candidates. Instead, we rely on and expect to continue to rely on CMOs for the supply of cGMP grade clinical trial materials and commercial quantities of our product candidates, if approved. Reliance on CMOs may expose us to more risk than if we were to manufacture our product candidates ourselves. Novartis previously provided clinical supplies for setrusumab, acumapimod, and leflutrozole and certain transitional services. We have moved the clinical supply manufacture for these product candidates to CMOs. We also intend to contract with CMOs for the clinical supply of alvelestat.</w:t>
      </w:r>
    </w:p>
    <w:p>
      <w:pPr>
        <w:spacing w:after="0" w:line="205"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facilities used to manufacture our product candidates must be approved by the FDA, the EMA, and comparable foreign authorities pursuant to inspections. While we provide oversight of manufacturing activities, we do not and will not control the execution of our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investigational medicinal product candidates in clinical trials, or for commercial distribution of our product candidates, if approved. In addition, we have limited control over the ability of our CMOs to maintain adequate quality control, quality assurance and qualified personnel. If the FDA, the EMA or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Furthermore, CMOs may breach existing agreements they have with us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because of factors beyond our control. They may also terminate or refuse to renew their agreement at a time that is costly or otherwise inconvenient for us. In addition, the manufacture of biologics involves expensive and complex processes and worldwide capacity at CMOs for the manufacture of biologics is currently limited. In addition, Novartis has a contractual right to approve or reject any additional CMO we wish to engage for the manufacture of setrusumab, other than those CMOs that we and Novartis have already agreed upon. If we were unable to find an adequate CMO or another acceptable solution in time, our clinical trials could be delayed or our commercial activities could be harmed.</w:t>
      </w:r>
    </w:p>
    <w:p>
      <w:pPr>
        <w:spacing w:after="0" w:line="20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80"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5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Our development program for our product candidates, particularly as we enter late-stage development, will require substantial additional funds. We currently intend to enter into strategic relationships with pharmaceutical, biopharmaceutical or other partners for the continued development of our non-rare disease product candidates, acumapimod, etigilimab and leflutrozole, and we may take the same approach for other product candidates. Alternatively, we may seek to sell or out-license one or more of our non-rare disease product candidates. See “—Risks Related to Our Business and Industry—Following the Licensing Agreement for Navi, and if we sell or out-license other of our non-rare disease product candidates or out-license any of our rare disease product candidates for any territories, we could be exposed to future liabilities.”</w:t>
      </w:r>
    </w:p>
    <w:p>
      <w:pPr>
        <w:spacing w:after="0" w:line="203"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 types of development arrangements referred to above are complex and time-consuming to negotiate and document, and we may not be able to enter into these arrangements on favorable terms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If we are unable to enter into an appropriate arrangement for the development of our non-rare disease product candidates, we may have to reduce, delay, or terminate the development of such product candidates. We could also seek to sell or out-license one or more of our non-rare disease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See also “—Risks Related to Commercialization—We intend to directly commercialize or co-commercialize our product candidates for rare diseases and to seek strategic relationships with third parties for the development and/or commercialization of our product candidates for non-rare diseases. If we are unable to develop our own sales, marketing, and distribution capabilities or enter into business arrangements, we may not be successful in commercializing our product candidates.”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2"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5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our setrusumab, acumapimod, and leflutrozole product candidates acquired or exclusively licensed from Novartis, patents and patent applications which cover our alvelestat product candidate exclusively licensed (with the option to purchase) from AstraZeneca, and patents and patent applications which cover Navi and our etigilimab product candidate (solely owned by OncoMed). The assignments of those patents and patent applications which we acquired from Novartis have been registered with the relevant authorities in key territories and the exclusive licenses from AstraZeneca have also been registered with the relevant authorities in key territories.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21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applications may not be prosecuted and enforced in a manner consistent with the best interests of our business.</w:t>
      </w:r>
    </w:p>
    <w:p>
      <w:pPr>
        <w:spacing w:after="0" w:line="21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w:t>
      </w:r>
    </w:p>
    <w:p>
      <w:pPr>
        <w:ind w:left="120"/>
        <w:spacing w:after="0" w:line="234" w:lineRule="auto"/>
        <w:rPr>
          <w:sz w:val="20"/>
          <w:szCs w:val="20"/>
          <w:color w:val="auto"/>
        </w:rPr>
      </w:pPr>
      <w:r>
        <w:rPr>
          <w:rFonts w:ascii="Arial" w:cs="Arial" w:eastAsia="Arial" w:hAnsi="Arial"/>
          <w:sz w:val="18"/>
          <w:szCs w:val="18"/>
          <w:color w:val="auto"/>
        </w:rPr>
        <w:t>that we or our licensors were the first to file any patent application related to our product candidates. Furthermore, in the United States, if</w:t>
      </w:r>
    </w:p>
    <w:p>
      <w:pPr>
        <w:ind w:left="120"/>
        <w:spacing w:after="0" w:line="235" w:lineRule="auto"/>
        <w:rPr>
          <w:sz w:val="20"/>
          <w:szCs w:val="20"/>
          <w:color w:val="auto"/>
        </w:rPr>
      </w:pPr>
      <w:r>
        <w:rPr>
          <w:rFonts w:ascii="Arial" w:cs="Arial" w:eastAsia="Arial" w:hAnsi="Arial"/>
          <w:sz w:val="18"/>
          <w:szCs w:val="18"/>
          <w:color w:val="auto"/>
        </w:rPr>
        <w:t>third parties have filed such patent applications on or before March 15, 2013, the date on which the United States changed from a first to</w:t>
      </w:r>
    </w:p>
    <w:p>
      <w:pPr>
        <w:ind w:left="120"/>
        <w:spacing w:after="0" w:line="235" w:lineRule="auto"/>
        <w:rPr>
          <w:sz w:val="20"/>
          <w:szCs w:val="20"/>
          <w:color w:val="auto"/>
        </w:rPr>
      </w:pPr>
      <w:r>
        <w:rPr>
          <w:rFonts w:ascii="Arial" w:cs="Arial" w:eastAsia="Arial" w:hAnsi="Arial"/>
          <w:sz w:val="18"/>
          <w:szCs w:val="18"/>
          <w:color w:val="auto"/>
        </w:rPr>
        <w:t>invent to a first to file patent system, an interference proceeding can be initiated by such third parties to determine who was the first to</w:t>
      </w:r>
    </w:p>
    <w:p>
      <w:pPr>
        <w:ind w:left="120"/>
        <w:spacing w:after="0" w:line="235" w:lineRule="auto"/>
        <w:rPr>
          <w:sz w:val="20"/>
          <w:szCs w:val="20"/>
          <w:color w:val="auto"/>
        </w:rPr>
      </w:pPr>
      <w:r>
        <w:rPr>
          <w:rFonts w:ascii="Arial" w:cs="Arial" w:eastAsia="Arial" w:hAnsi="Arial"/>
          <w:sz w:val="18"/>
          <w:szCs w:val="18"/>
          <w:color w:val="auto"/>
        </w:rPr>
        <w:t>invent any of the subject matter covered by the patent claims of our applications. If third parties have filed such applications after</w:t>
      </w:r>
    </w:p>
    <w:p>
      <w:pPr>
        <w:ind w:left="120"/>
        <w:spacing w:after="0" w:line="235" w:lineRule="auto"/>
        <w:rPr>
          <w:sz w:val="20"/>
          <w:szCs w:val="20"/>
          <w:color w:val="auto"/>
        </w:rPr>
      </w:pPr>
      <w:r>
        <w:rPr>
          <w:rFonts w:ascii="Arial" w:cs="Arial" w:eastAsia="Arial" w:hAnsi="Arial"/>
          <w:sz w:val="18"/>
          <w:szCs w:val="18"/>
          <w:color w:val="auto"/>
        </w:rPr>
        <w:t>March 15, 2013, a derivation proceeding can be initiated by such third parties to determine whether our invention was derived from such</w:t>
      </w:r>
    </w:p>
    <w:p>
      <w:pPr>
        <w:ind w:left="120"/>
        <w:spacing w:after="0" w:line="234" w:lineRule="auto"/>
        <w:rPr>
          <w:sz w:val="20"/>
          <w:szCs w:val="20"/>
          <w:color w:val="auto"/>
        </w:rPr>
      </w:pPr>
      <w:r>
        <w:rPr>
          <w:rFonts w:ascii="Arial" w:cs="Arial" w:eastAsia="Arial" w:hAnsi="Arial"/>
          <w:sz w:val="18"/>
          <w:szCs w:val="18"/>
          <w:color w:val="auto"/>
        </w:rPr>
        <w:t>third parties’ product candidates. Even where we have a valid and enforceable patent, we may not be able to exclude others from</w:t>
      </w:r>
    </w:p>
    <w:p>
      <w:pPr>
        <w:ind w:left="120"/>
        <w:spacing w:after="0" w:line="235" w:lineRule="auto"/>
        <w:rPr>
          <w:sz w:val="20"/>
          <w:szCs w:val="20"/>
          <w:color w:val="auto"/>
        </w:rPr>
      </w:pPr>
      <w:r>
        <w:rPr>
          <w:rFonts w:ascii="Arial" w:cs="Arial" w:eastAsia="Arial" w:hAnsi="Arial"/>
          <w:sz w:val="18"/>
          <w:szCs w:val="18"/>
          <w:color w:val="auto"/>
        </w:rPr>
        <w:t>practicing our invention where the other party can show that they used the invention in commerce before our filing date or the other party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benefits from a compulsory license.</w:t>
      </w:r>
    </w:p>
    <w:p>
      <w:pPr>
        <w:spacing w:after="0" w:line="190"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not be able to protect our intellectual property rights throughout the world.</w:t>
      </w:r>
    </w:p>
    <w:p>
      <w:pPr>
        <w:spacing w:after="0" w:line="4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United States or Europe. These product candidates may compete with our product candidates, and our and our licensors’ patents or other intellectual property rights may not be effective or sufficient to prevent them from competing.</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13"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67"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41" w:lineRule="exact"/>
        <w:rPr>
          <w:sz w:val="20"/>
          <w:szCs w:val="20"/>
          <w:color w:val="auto"/>
        </w:rPr>
      </w:pPr>
    </w:p>
    <w:p>
      <w:pPr>
        <w:jc w:val="both"/>
        <w:ind w:left="120" w:right="80" w:firstLine="440"/>
        <w:spacing w:after="0" w:line="274" w:lineRule="auto"/>
        <w:rPr>
          <w:sz w:val="20"/>
          <w:szCs w:val="20"/>
          <w:color w:val="auto"/>
        </w:rPr>
      </w:pPr>
      <w:r>
        <w:rPr>
          <w:rFonts w:ascii="Arial" w:cs="Arial" w:eastAsia="Arial" w:hAnsi="Arial"/>
          <w:sz w:val="17"/>
          <w:szCs w:val="17"/>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2" w:lineRule="exact"/>
        <w:rPr>
          <w:sz w:val="20"/>
          <w:szCs w:val="20"/>
          <w:color w:val="auto"/>
        </w:rPr>
      </w:pPr>
    </w:p>
    <w:p>
      <w:pPr>
        <w:ind w:left="980" w:right="200" w:hanging="432"/>
        <w:spacing w:after="0" w:line="218"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be able to make compounds that are the same as or similar to our product candidates but that are not covered by the claims of the patents that we own or have exclusively licensed;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impair our ability to develop or commercialize our product candidates;</w:t>
      </w:r>
    </w:p>
    <w:p>
      <w:pPr>
        <w:spacing w:after="0" w:line="26" w:lineRule="exact"/>
        <w:rPr>
          <w:rFonts w:ascii="MS PGothic" w:cs="MS PGothic" w:eastAsia="MS PGothic" w:hAnsi="MS PGothic"/>
          <w:sz w:val="25"/>
          <w:szCs w:val="25"/>
          <w:color w:val="auto"/>
          <w:vertAlign w:val="superscript"/>
        </w:rPr>
      </w:pPr>
    </w:p>
    <w:p>
      <w:pPr>
        <w:ind w:left="980" w:right="360" w:hanging="432"/>
        <w:spacing w:after="0" w:line="218"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be extended beyond the expected patent term and thus may impair our ability to develop or commercialize our product candidates;</w:t>
      </w:r>
    </w:p>
    <w:p>
      <w:pPr>
        <w:spacing w:after="0" w:line="27" w:lineRule="exact"/>
        <w:rPr>
          <w:rFonts w:ascii="MS PGothic" w:cs="MS PGothic" w:eastAsia="MS PGothic" w:hAnsi="MS PGothic"/>
          <w:sz w:val="25"/>
          <w:szCs w:val="25"/>
          <w:color w:val="auto"/>
          <w:vertAlign w:val="superscript"/>
        </w:rPr>
      </w:pPr>
    </w:p>
    <w:p>
      <w:pPr>
        <w:ind w:left="980" w:right="480" w:hanging="432"/>
        <w:spacing w:after="0" w:line="218"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27" w:lineRule="exact"/>
        <w:rPr>
          <w:rFonts w:ascii="MS PGothic" w:cs="MS PGothic" w:eastAsia="MS PGothic" w:hAnsi="MS PGothic"/>
          <w:sz w:val="25"/>
          <w:szCs w:val="25"/>
          <w:color w:val="auto"/>
          <w:vertAlign w:val="superscript"/>
        </w:rPr>
      </w:pPr>
    </w:p>
    <w:p>
      <w:pPr>
        <w:ind w:left="980" w:right="360" w:hanging="432"/>
        <w:spacing w:after="0" w:line="223"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possible that the pending patent applications that we own or have exclusively licensed may not lead to issued patents;</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27"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27" w:lineRule="exact"/>
        <w:rPr>
          <w:rFonts w:ascii="MS PGothic" w:cs="MS PGothic" w:eastAsia="MS PGothic" w:hAnsi="MS PGothic"/>
          <w:sz w:val="25"/>
          <w:szCs w:val="25"/>
          <w:color w:val="auto"/>
          <w:vertAlign w:val="superscript"/>
        </w:rPr>
      </w:pPr>
    </w:p>
    <w:p>
      <w:pPr>
        <w:ind w:left="980" w:right="240" w:hanging="432"/>
        <w:spacing w:after="0" w:line="223"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 candidates for sale in our major commercial markets;</w:t>
      </w:r>
    </w:p>
    <w:p>
      <w:pPr>
        <w:spacing w:after="0" w:line="28" w:lineRule="exact"/>
        <w:rPr>
          <w:rFonts w:ascii="MS PGothic" w:cs="MS PGothic" w:eastAsia="MS PGothic" w:hAnsi="MS PGothic"/>
          <w:sz w:val="25"/>
          <w:szCs w:val="25"/>
          <w:color w:val="auto"/>
          <w:vertAlign w:val="superscript"/>
        </w:rPr>
      </w:pPr>
    </w:p>
    <w:p>
      <w:pPr>
        <w:ind w:left="980" w:right="60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performing manufacturing or testing for us using our product candidates or technologies could use the intellectual property of others without obtaining a proper license;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or our licensors’ inventions or technologies may be found to be not patentable;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develop additional technologies that are patentable.</w:t>
      </w:r>
    </w:p>
    <w:p>
      <w:pPr>
        <w:spacing w:after="0" w:line="180"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i w:val="1"/>
          <w:iCs w:val="1"/>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61"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(“EPO”), containing claims that appear to cover the use of setrusumab in the treatment of OI. The patent owner could assert such patent against us, which could present the foregoing risks and impose limitations in our ability to develop, manufacture or sell setrusumab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20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 xml:space="preserve">Any of our patents may be challenged, narrowed, circumvented, or invalidated by third parties. The issuance of a patent is not conclusive as to its inventorship, scope, validity, or enforceability, and our patents may be challenged in the courts or patent offices in the United States and abroad. We may be subject to a third party preissuance submission of prior art to the USPTO or become involved in opposition, derivation, revocation, reexamination, post-grant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us, even if the eventual outcome is favorable to us.</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5" w:lineRule="exact"/>
        <w:rPr>
          <w:sz w:val="20"/>
          <w:szCs w:val="20"/>
          <w:color w:val="auto"/>
        </w:rPr>
      </w:pPr>
    </w:p>
    <w:p>
      <w:pPr>
        <w:ind w:left="120" w:right="800" w:firstLine="440"/>
        <w:spacing w:after="0" w:line="246"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 candidates, the defendant could counterclaim that our patent is invalid or unenforceable. In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w:t>
      </w:r>
    </w:p>
    <w:p>
      <w:pPr>
        <w:spacing w:after="0" w:line="213"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20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interim proceedings or developments. If securities analysts or investors view these announcements in a negative light, the price of our ADSs could be adversely affected.</w:t>
      </w:r>
    </w:p>
    <w:p>
      <w:pPr>
        <w:spacing w:after="0" w:line="175"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41"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United States, Europe and elsewhere that is relevant to or necessary for the commercialization of our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w:t>
      </w:r>
    </w:p>
    <w:p>
      <w:pPr>
        <w:spacing w:after="0" w:line="190"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27"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7"/>
          <w:szCs w:val="17"/>
          <w:color w:val="auto"/>
        </w:rPr>
        <w:t>We are party to agreements with Novartis and AstraZeneca, under which we in-license certain intellectual property and were assigned, in the case of Novartis, or granted an option to acquire, in the case of AstraZeneca, certain patents and patent applications related to our business. In addition, we are party to an agreement with Oncologie,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4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83"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85"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We may be subject to claims challenging the inventorship of our patents and patent applications or ownership of our intellectual property. In particular, we may be subject to claims that former employees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4"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4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w:t>
      </w:r>
    </w:p>
    <w:p>
      <w:pPr>
        <w:spacing w:after="0" w:line="20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05"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20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80"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41"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w:t>
      </w:r>
    </w:p>
    <w:p>
      <w:pPr>
        <w:spacing w:after="0" w:line="182"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2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would be harmed.</w:t>
      </w:r>
    </w:p>
    <w:p>
      <w:pPr>
        <w:spacing w:after="0" w:line="27" w:lineRule="exact"/>
        <w:rPr>
          <w:sz w:val="20"/>
          <w:szCs w:val="20"/>
          <w:color w:val="auto"/>
        </w:rPr>
      </w:pPr>
    </w:p>
    <w:p>
      <w:pPr>
        <w:ind w:left="120" w:right="460" w:firstLine="440"/>
        <w:spacing w:after="0" w:line="238"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205" w:lineRule="exact"/>
        <w:rPr>
          <w:sz w:val="20"/>
          <w:szCs w:val="20"/>
          <w:color w:val="auto"/>
        </w:rPr>
      </w:pPr>
    </w:p>
    <w:p>
      <w:pPr>
        <w:jc w:val="both"/>
        <w:ind w:left="120" w:right="760" w:firstLine="440"/>
        <w:spacing w:after="0"/>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5"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8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61"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7"/>
          <w:szCs w:val="17"/>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19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information may be lost or we may suffer security breaches.</w:t>
      </w:r>
    </w:p>
    <w:p>
      <w:pPr>
        <w:spacing w:after="0" w:line="85" w:lineRule="exact"/>
        <w:rPr>
          <w:sz w:val="20"/>
          <w:szCs w:val="20"/>
          <w:color w:val="auto"/>
        </w:rPr>
      </w:pPr>
    </w:p>
    <w:p>
      <w:pPr>
        <w:ind w:left="120" w:right="860" w:firstLine="440"/>
        <w:spacing w:after="0" w:line="246"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personal data and personally identifiable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attacks by hackers or breached due to employee error, malfeasance, or other disruptions. The loss of clinical trial data from completed, ongoing, or planned trials could result in delays in our regulatory approval efforts and significantly increase our 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success depends upon the continued contributions of our key management, including all of our senior management team, and scientific and technical personnel, many of whom have been instrumental for us and have substantial experience with rare and non-rare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208"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We aim to expand our development, regulatory, and sales and marketing capabilities, and as a result, we may encounter difficulties in managing our planned growth, which could disrupt our operations.</w:t>
      </w:r>
    </w:p>
    <w:p>
      <w:pPr>
        <w:spacing w:after="0" w:line="197"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To manage our planned future growth, we must continue to implement and improve our managerial, operational and financial systems, expand our facilities or acquire new facilities, and continue to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 and our ADSs</w:t>
      </w:r>
    </w:p>
    <w:p>
      <w:pPr>
        <w:spacing w:after="0" w:line="212"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The market price for ADSs and the underlying ordinary shares may be volatile and may decline regardless of our operating performance, and the value of your investment could materially decline.</w:t>
      </w:r>
    </w:p>
    <w:p>
      <w:pPr>
        <w:spacing w:after="0" w:line="27" w:lineRule="exact"/>
        <w:rPr>
          <w:sz w:val="20"/>
          <w:szCs w:val="20"/>
          <w:color w:val="auto"/>
        </w:rPr>
      </w:pPr>
    </w:p>
    <w:p>
      <w:pPr>
        <w:ind w:left="120" w:right="980" w:firstLine="440"/>
        <w:spacing w:after="0" w:line="246" w:lineRule="auto"/>
        <w:rPr>
          <w:sz w:val="20"/>
          <w:szCs w:val="20"/>
          <w:color w:val="auto"/>
        </w:rPr>
      </w:pPr>
      <w:r>
        <w:rPr>
          <w:rFonts w:ascii="Arial" w:cs="Arial" w:eastAsia="Arial" w:hAnsi="Arial"/>
          <w:sz w:val="18"/>
          <w:szCs w:val="18"/>
          <w:color w:val="auto"/>
        </w:rPr>
        <w:t>The trading price of ADSs may fluctuate, and the trading price of ordinary shares on AIM is likely to continue to fluctuate, substantially.</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market price of ADSs and ordinary shares may fluctuate significantly in response to numerous factors, many of which are beyond our control, including:</w:t>
      </w:r>
    </w:p>
    <w:p>
      <w:pPr>
        <w:spacing w:after="0" w:line="188" w:lineRule="exact"/>
        <w:rPr>
          <w:sz w:val="20"/>
          <w:szCs w:val="20"/>
          <w:color w:val="auto"/>
        </w:rPr>
      </w:pPr>
    </w:p>
    <w:p>
      <w:pPr>
        <w:ind w:left="980" w:hanging="432"/>
        <w:spacing w:after="0"/>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our or our competitors;</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80" w:right="80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 and variances in our periodic results of operations from securities analysts’ estimates;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or ordinary shares by us, our senior management and board members, holders of ADSs or our other security holders in the future;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actions by institutional shareholders;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speculation in the press or the investment community;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2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ADSs or ordinary shares and may otherwise negatively affect the liquidity of ADSs and ordinary shares.</w:t>
      </w:r>
    </w:p>
    <w:p>
      <w:pPr>
        <w:spacing w:after="0" w:line="20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ADSs and ordinary shares, regardless of our operating performance. In the past in the United States, when the market price of a security has been volatile, holders of that security have often instituted securities class action litigation against the issuer of such securities. If any of the holders of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1"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The sale of our ADSs to Aspire Capital may cause substantial dilution to our existing shareholders and the sale of the ADSs acquired by Aspire Capital could cause the price of our ADSs to decline.</w:t>
      </w:r>
    </w:p>
    <w:p>
      <w:pPr>
        <w:spacing w:after="0" w:line="4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are registering for sale the Initial Shares of 2,286,585 ADSs and the Commission Shares of 572,519 ADSs that the selling shareholder may receive upon exchange of ordinary shares that we have issued to the selling shareholder and up to $25.0 million worth of ordinary shares in the form of ADSs that we may sell to Aspire Capital under the Purchase Agreement. It is anticipated that shares registered in this offering will be sold over a period of up to approximately 30 months from the date of this prospectus. The number of ADSs ultimately offered for sale by Aspire Capital under this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prospectus is dependent upon the number of ADSs we elect to sell to Aspire Capital under the Purchase Agreement. Depending on a variety of factors, including market liquidity of our ADSs, the sale of ADSs under the Purchase Agreement may cause the trading price of our ADSs to decline.</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Aspire Capital may ultimately purchase all, some or none of the additional $ 25.0 million worth of ordinary shares that are exchangeable for ADSs that, together with the Initial Shares and the Commission Shares, is the subject of this prospectus. Aspire Capital may sell all, some or none of our ADSs that it holds or comes to hold under the Purchase Agreement. Sales by Aspire Capital of ADSs acquired pursuant to the Purchase Agreement under the registration statement, of which this prospectus is a part, may result in dilution to the interests of other holders of our ADSs. The sale of a substantial number of ADSs by Aspire Capital in this offering, or anticipation of such sales, could cause the trading price of our ADSs to decline or make it more difficult for us to sell equity or equity-related securities in the future at a time and at a price that we might otherwise desire. However, we have the right under the Purchase Agreement to control the timing and amount of sales of our ADSs to Aspire Capital, and the Purchase Agreement may be terminated by us at any time at our discretion without any penalty or cost to 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ordinary shares or ADSs could depress the market price of ADSs.</w:t>
      </w:r>
    </w:p>
    <w:p>
      <w:pPr>
        <w:spacing w:after="0" w:line="9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If holders of ordinary shares or ADSs sell, or indicate an intent to sell, substantial amounts of ordinary shares or ADSs in the public markets, the trading price of ADSs or ordinary shares could decline significantly. These sales might also make it more difficult for us to sell equity or equity-related securities at a time and price that we otherwise would deem appropriate.</w:t>
      </w:r>
    </w:p>
    <w:p>
      <w:pPr>
        <w:spacing w:after="0" w:line="181"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Circumstances affecting Woodford Investment Management Limited may have a material adverse impact on the price of our ADSs and ordinary shares.</w:t>
      </w:r>
    </w:p>
    <w:p>
      <w:pPr>
        <w:spacing w:after="0" w:line="2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Until October 15, 2019, Woodford Investment Management Limited (“Woodford”) indirectly through various funds held 27.6% of our shares, of which 19.6 percentage points were held by LF Woodford Equity Income Fund (the “Fund”) and 8.0 percentage points were held by Woodford Patient Capital Trust, Plc (“WPCT”). On October 15, 2019, Link Fund Solutions Limited (“Link”), as authorized corporate director of the Fund, announced its decision to wind the Fund up as soon as practicable by way of an orderly realization of the Fund’s assets (the “Winding-up Announcement”). This decision came after Link’s decision on June 3, 2019 to suspend redemptions and other dealings in shares in the Fund as a result of an increased level of redemptions from the Fund. Also on October 15, 2019, Woodford ceased to be the investment manager for the Fund. It was further announced that Link has allocated the Fund’s assets into two portfolios, one comprised of listed assets and one comprised of unlisted and certain highly illiquid listed assets. According to the Winding-Up Announcement, BlackRock Advisors (UK) Limited has been appointed to sell the assets in the first portfolio during the period until winding up of the Fund commences. In addition, PJT Partners (UK) Limited will continue to assist Link in selling the assets in the second portfolio. On January 18, 2020, the Fund was formally moved into wind-up. Schroder Investment Management succeeded Woodford as investment manager of WPCT, and WPCT was renamed Schroder UK Public Private Trust PLC. The first capital distribution by Link was paid to investors on January 30, 2020, and further capital distributions are expected to be made as and when suitable amounts of cash have been raised from the sale of the remaining assets of the Fund.</w:t>
      </w:r>
    </w:p>
    <w:p>
      <w:pPr>
        <w:spacing w:after="0" w:line="21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As a direct or indirect result of the foregoing, all or part of the shares previously held and managed by Woodford may be sold or otherwise disposed of, any of which may occur imminently. Any such sale or other disposition, or the possibility of such transactions, could cause the market price of our ADSs and ordinary shares to decline. This could make it more difficult for other shareholders to sell their ADSs and ordinary shares in us at a favorable price and time or at all. In addition, while Link retains control over approximately 15.3% of our shares, it will continue to exert significant influence over all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matters requiring shareholder approval, including the election of directors and approval of significant corporate transactions. Link’s interests may conflict with your interests, including as a direct or indirect result of the above-described developments.</w:t>
      </w:r>
    </w:p>
    <w:p>
      <w:pPr>
        <w:spacing w:after="0" w:line="175"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The dual listing of ordinary shares and ADSs is costly to maintain and may adversely affect the liquidity and value of ordinary shares and ADSs.</w:t>
      </w:r>
    </w:p>
    <w:p>
      <w:pPr>
        <w:spacing w:after="0" w:line="41" w:lineRule="exact"/>
        <w:rPr>
          <w:sz w:val="20"/>
          <w:szCs w:val="20"/>
          <w:color w:val="auto"/>
        </w:rPr>
      </w:pPr>
    </w:p>
    <w:p>
      <w:pPr>
        <w:jc w:val="both"/>
        <w:ind w:left="120" w:right="180" w:firstLine="440"/>
        <w:spacing w:after="0" w:line="248" w:lineRule="auto"/>
        <w:rPr>
          <w:sz w:val="20"/>
          <w:szCs w:val="20"/>
          <w:color w:val="auto"/>
        </w:rPr>
      </w:pPr>
      <w:r>
        <w:rPr>
          <w:rFonts w:ascii="Arial" w:cs="Arial" w:eastAsia="Arial" w:hAnsi="Arial"/>
          <w:sz w:val="17"/>
          <w:szCs w:val="17"/>
          <w:color w:val="auto"/>
        </w:rPr>
        <w:t>Our ADSs are listed for trading on Nasdaq and our ordinary shares trade on AIM. Since April 24, 2019 we have maintained a dual listing, which has generated and will continue to generate additional costs, including significant legal, accounting, investor relations, and other expenses that we did not incur prior to April 24, 2019, in addition to the costs associated with the additional reporting requirements described elsewhere in this prospectus. We cannot predict the effect of this dual listing on the value of our ADSs and ordinary shares.</w:t>
      </w:r>
    </w:p>
    <w:p>
      <w:pPr>
        <w:spacing w:after="0" w:line="2"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However, the dual listing of ADSs and ordinary shares may dilute the liquidity of these securities in one or both markets and may adversely affect the development of an active trading market for our ADSs. The price of our ADSs could also be adversely affected by trading in ordinary shares on AIM. In addition, the dual listing of ordinary shares and ADSs may cause the market price for ADSs and the underlying ordinary shares to fluctuate and decline regardless of our operating performance. See “—The market price for ADSs and the underlying ordinary shares may be volatile and may decline regardless of our operating performance, and the value of your investment could materially decline.”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ADSs.</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share price of ordinary shares is quoted on AIM in pence sterling, while our ADSs trade on Nasdaq in U.S. dollars. Fluctuations in the exchange rate between the U.S. dollar and the pound sterling may result in differences between the value of our ADSs and the value of ordinary shares, which may result in heavy trading by investors seeking to exploit such differences. In addition, as a result of fluctuations in the exchange rate between the U.S. dollar and the pound sterling, the U.S. dollar equivalent of the proceeds that a holder of our ADSs would receive upon the sale in the United Kingdom of any ordinary shares withdrawn from the depositary, and the U.S. dollar equivalent of any cash dividends paid in pound sterling on ordinary shares represented by our ADSs, could also decline.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the offering and may not use them effectively.</w:t>
      </w:r>
    </w:p>
    <w:p>
      <w:pPr>
        <w:spacing w:after="0" w:line="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senior management will have broad discretion in the application of the net proceeds from the offering and could spend the proceeds in ways that do not improve our results of operations or enhance the value of our ADSs. The failure by our senior management to apply these funds effectively could result in financial losses, cause the price of our ADSs to decline, and delay the development of our product candidates. Pending their use, we may invest the net proceeds from the offering in a manner that does not produce income or that loses value.</w:t>
      </w:r>
    </w:p>
    <w:p>
      <w:pPr>
        <w:spacing w:after="0" w:line="180"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Purchasers of ADSs in the offering may not have the same voting rights as the holders of our ordinary shares and may not receive voting materials in time to be able to exercise their right to vote.</w:t>
      </w:r>
    </w:p>
    <w:p>
      <w:pPr>
        <w:spacing w:after="0" w:line="4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7"/>
          <w:szCs w:val="17"/>
          <w:color w:val="auto"/>
        </w:rPr>
        <w:t>Except as described in this prospectus, holders of our ADSs will not be able to exercise voting rights attaching to the ordinary shares represented by our ADSs on an individual basis. Holders of our ADSs will appoint the depositary or our nominee as their representative to exercise the voting rights attaching to the ordinary shares represented by our ADSs. Purchasers of ADSs in the offering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result, purchasers of ADSs in the offering may not be able to exercise voting rights and may lack recourse if their ADSs are not voted as requested. In addition, in their capacity as ADS holders, purchasers of ADSs in the offering will not be able to call a shareholders’ meeting.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ADSs and the withdrawal of the underlying ordinary shares.</w:t>
      </w:r>
    </w:p>
    <w:p>
      <w:pPr>
        <w:spacing w:after="0" w:line="9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208"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(our “Articles”). These rights differ in certain respects from the rights of shareholders in typical U.S. corporations. See “Description of Share Capital and Articles of Association—Differences in Corporate Law” and “Description of Share Capital and Articles of Association—Articles of Association—Other U.K. Law Considerations—City Code on Takeovers and Mergers.” in this prospectus for a description of the principal differences between the provisions of the U.K. Companies Act 2006 applicable to us and, for example, the Delaware General Corporation Law relating to shareholders’ rights and protections.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ADSs is entitled to charge holders fees for various services, including annual service fees.</w:t>
      </w:r>
    </w:p>
    <w:p>
      <w:pPr>
        <w:spacing w:after="0" w:line="85" w:lineRule="exact"/>
        <w:rPr>
          <w:sz w:val="20"/>
          <w:szCs w:val="20"/>
          <w:color w:val="auto"/>
        </w:rPr>
      </w:pPr>
    </w:p>
    <w:p>
      <w:pPr>
        <w:ind w:left="120" w:right="40" w:firstLine="440"/>
        <w:spacing w:after="0" w:line="252" w:lineRule="auto"/>
        <w:rPr>
          <w:sz w:val="20"/>
          <w:szCs w:val="20"/>
          <w:color w:val="auto"/>
        </w:rPr>
      </w:pPr>
      <w:r>
        <w:rPr>
          <w:rFonts w:ascii="Arial" w:cs="Arial" w:eastAsia="Arial" w:hAnsi="Arial"/>
          <w:sz w:val="17"/>
          <w:szCs w:val="17"/>
          <w:color w:val="auto"/>
        </w:rPr>
        <w:t>The depositary for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(“DTC”), the fees will be charged by the DTC participant to the account of the applicable beneficial owner in accordance with the procedures and practices of the DTC participant as in effect at the time. The depositary for ADSs will not be responsible for any United Kingdom stamp duty or stamp duty reserve tax arising upon the issuance or transfer of ADSs. For a discussion of the United Kingdom stamp duty and stamp duty reserve tax consequences of the issuance and transfer of ADSs, see “Material Tax Considerations—Material United Kingdom Tax Considerations—Stamp Duty and Stamp Duty Reserve Tax.”</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our business, the price and trading volume of ordinary shares and ADSs could decline.</w:t>
      </w:r>
    </w:p>
    <w:p>
      <w:pPr>
        <w:spacing w:after="0" w:line="41"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The trading market for our ordinary shares and ADSs depends in part on the research and reports that securities or industry analysts publish about us or our business. If one or more of the analysts who covers us downgrades our ordinary shares or ADSs or publishes incorrect or unfavorable research about our business, the price of our ordinary shares and/or ADSs would likely decline. If one or more of these analysts ceases coverage of us or fails to publish reports on us regularly, or downgrades our ordinary shares or ADSs, demand for ADSs or ordinary shares could decrease, which could cause the price of ADSs and/or ordinary shares and/or trading volume to decline.</w:t>
      </w:r>
    </w:p>
    <w:p>
      <w:pPr>
        <w:spacing w:after="0" w:line="168"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2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20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You may not receive distributions on ordinary shares represented by ADSs or any value for them if it is unlawful or impractical to make them available to holders of ADSs.</w:t>
      </w:r>
    </w:p>
    <w:p>
      <w:pPr>
        <w:spacing w:after="0" w:line="27"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83"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United States against us or members of our Board, which may limit the remedies otherwise available to us.</w:t>
      </w:r>
    </w:p>
    <w:p>
      <w:pPr>
        <w:spacing w:after="0" w:line="41"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are incorporated as a public limited company in England and Wales, and the majority of our assets are located outside the United States. In addition, the majority of the members of our board of directors (our “Board”) are nationals and residents of countries, including the United Kingdom, outside of the United States. Most or all of the assets of these individuals are located outside the United States. As a result, it may be difficult or impossible for you to bring an action against us or against these individuals in the United States if you believe your rights have been infringed under the securities laws or otherwise. In addition, a United Kingdom court may prevent you from enforcing a judgment of a U.S. court against us or these individuals based on the securities laws of the United States or any state thereof. A United Kingdom court may not allow you to bring an action against us or our directors based on the securities laws of the United States or any state thereof.</w:t>
      </w:r>
    </w:p>
    <w:p>
      <w:pPr>
        <w:spacing w:after="0" w:line="186" w:lineRule="exact"/>
        <w:rPr>
          <w:sz w:val="20"/>
          <w:szCs w:val="20"/>
          <w:color w:val="auto"/>
        </w:rPr>
      </w:pPr>
    </w:p>
    <w:p>
      <w:pPr>
        <w:ind w:left="120" w:right="1040"/>
        <w:spacing w:after="0" w:line="271" w:lineRule="auto"/>
        <w:rPr>
          <w:sz w:val="20"/>
          <w:szCs w:val="20"/>
          <w:color w:val="auto"/>
        </w:rPr>
      </w:pPr>
      <w:r>
        <w:rPr>
          <w:rFonts w:ascii="Arial" w:cs="Arial" w:eastAsia="Arial" w:hAnsi="Arial"/>
          <w:sz w:val="18"/>
          <w:szCs w:val="18"/>
          <w:b w:val="1"/>
          <w:bCs w:val="1"/>
          <w:i w:val="1"/>
          <w:iCs w:val="1"/>
          <w:color w:val="auto"/>
        </w:rPr>
        <w:t>Shareholders in countries other than the United Kingdom will suffer dilution if they are unable to participate in future pre-emptive equity offerings.</w:t>
      </w:r>
    </w:p>
    <w:p>
      <w:pPr>
        <w:spacing w:after="0" w:line="27"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United Kingdom may be restricted by applicable law or practice in the United Kingdom and overseas jurisdictions. In particular, the exercise of pre-emptive rights by United States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United States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 See “Description of Share Capital and Articles of Association” for further information relating to the Company’s existing authority to issue additional ordinary shares.</w:t>
      </w:r>
    </w:p>
    <w:p>
      <w:pPr>
        <w:spacing w:after="0" w:line="18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2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ADSs or ordinary shares in the foreseeable future, capital appreciation, if any, will be your sole source of gains and you may never receive a return on your investment.</w:t>
      </w:r>
    </w:p>
    <w:p>
      <w:pPr>
        <w:spacing w:after="0" w:line="41"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Further, we intend to retain future earnings, if any, for use in our business and do not anticipate paying any cash dividends in the foreseeable future. In addition, our credit facility prohibits us from paying dividends on our equity securities without Kreos’s consent, and any future debt agreements may likewise preclude us from paying dividends. As a result, capital appreciation, if any, on ADSs or ordinary shares will be your sole source of gains for the foreseeable future.</w:t>
      </w:r>
    </w:p>
    <w:p>
      <w:pPr>
        <w:spacing w:after="0" w:line="18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We are a “foreign private issuer” under the rules and regulations of the SEC and, as a result, are exempt from a number of rules under the Exchange Act and are permitted to file less information with the SEC than a company incorporated in the United States.</w:t>
      </w:r>
    </w:p>
    <w:p>
      <w:pPr>
        <w:spacing w:after="0" w:line="4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We are incorporated as a public limited company in England and Wales and are deemed to be a “foreign private issuer” under the rules and regulations of the SEC. As a foreign private issuer, we are exempt from certain rules under the Exchange Act that would otherwise apply if we were a company incorporated in the United States, including:</w:t>
      </w:r>
    </w:p>
    <w:p>
      <w:pPr>
        <w:spacing w:after="0" w:line="230" w:lineRule="exact"/>
        <w:rPr>
          <w:sz w:val="20"/>
          <w:szCs w:val="20"/>
          <w:color w:val="auto"/>
        </w:rPr>
      </w:pPr>
    </w:p>
    <w:p>
      <w:pPr>
        <w:ind w:left="980" w:right="380" w:hanging="432"/>
        <w:spacing w:after="0" w:line="218"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periodic reports and financial statements with the SEC as frequently or as promptly as United States companies with securities registered under the Exchange Act;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financial statements prepared in accordance with U.S. GAAP;</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proxy rules, which impose certain disclosure and procedural requirements for proxy solicitations;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comply with Regulation Fair Disclosure (“Regulation FD”), which imposes certain restrictions on the selective disclosure of material information.</w:t>
      </w:r>
    </w:p>
    <w:p>
      <w:pPr>
        <w:spacing w:after="0" w:line="203"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In addition, our officers, directors and principal shareholders are exempt from the reporting and “short-swing” profit recovery provisions of Section 16 of the Exchange Act and the related rules with respect to their purchases and sales of our ADSs and ordinary shares.</w:t>
      </w:r>
    </w:p>
    <w:p>
      <w:pPr>
        <w:spacing w:after="0" w:line="181"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As a foreign private issuer, we are not required to comply with some of the corporate governance standards of Nasdaq applicable to companies incorporated in the United States.</w:t>
      </w:r>
    </w:p>
    <w:p>
      <w:pPr>
        <w:spacing w:after="0" w:line="2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nominating and compensation committees of our Board comprised solely of independent directors. We are required to follow the AIM rules and Corporate Governance Code published by the Quoted Companies Alliance. As a result, holders of our ADSs may not be afforded the benefits of the corporate governance standards of Nasdaq to the same extent applicable to companies incorporated in the United States. See “Management—Foreign Private Issuer Exemption” elsewhere in this prospectus.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 may apply if we lose our status as a foreign private issuer.</w:t>
      </w:r>
    </w:p>
    <w:p>
      <w:pPr>
        <w:spacing w:after="0" w:line="9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we lose our status as a “foreign private issuer” under the rules and regulations of the SEC at some future time, then we will no longer be exempt from such rules and, among other things, will be required to file periodic reports and financial statements as if we were a company incorporated in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United States. The costs incurred in fulfilling these additional regulatory requirements could be substantial.</w:t>
      </w:r>
    </w:p>
    <w:p>
      <w:pPr>
        <w:spacing w:after="0" w:line="190"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Although our reporting obligations as a foreign private issuer are fewer than those of a public company incorporated in the United States, our costs of complying with our SEC reporting requirements are significant, and our management is required to devote substantial time to complying with SEC regulations.</w:t>
      </w:r>
    </w:p>
    <w:p>
      <w:pPr>
        <w:spacing w:after="0" w:line="5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2"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could have a material adverse effect on our business and stock price.</w:t>
      </w:r>
    </w:p>
    <w:p>
      <w:pPr>
        <w:spacing w:after="0" w:line="27"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Pursuant to Section 404, we are required to furnish a report by our senior management on our internal control over financial reporting beginning with a report as at December 31, 2019 in our annual report on Form 20-F filing in early 2020. However, while we remain an emerging growth company, we will not be required to include an attestation report on internal control over financial reporting issued by our independent registered public accounting firm. To achieve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83"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b w:val="1"/>
          <w:bCs w:val="1"/>
          <w:i w:val="1"/>
          <w:iCs w:val="1"/>
          <w:color w:val="auto"/>
        </w:rPr>
        <w:t>The executive officers, Board and certain of our existing shareholders own a majority or a significant portion of our outstanding ordinary shares and, as a result, have control or significant influence over us and our interests may conflict with the interests of these shareholders.</w:t>
      </w:r>
    </w:p>
    <w:p>
      <w:pPr>
        <w:spacing w:after="0" w:line="4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executive officers, Board and significant shareholders and their respective affiliates, in the aggregate, beneficially own a majority of our outstanding ordinary shares (including ordinary shares in the form of our ADSs). Depending on the level of attendance at our general meetings of shareholders, these shareholders either alone or voting together as a group may be in a position to control or significantly influence the outcome of decisions taken at any such general meeting. Any shareholder or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Any shareholder or group of shareholders controlling more than 75% of the share capital present and voting at our general meetings of shareholders may control any shareholder resolution amending our Articles. These shareholders may have interests that differ from ours and may vote in a way with which we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8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There is a significant risk that we will be a passive foreign investment company (“PFIC”) for any taxable year, which could result in material adverse U.S. federal income tax consequences if you are a U.S. investor.</w:t>
      </w:r>
    </w:p>
    <w:p>
      <w:pPr>
        <w:spacing w:after="0" w:line="4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hold a significant amount of cash and cash equivalents and this may continue to be the case taking into account the cash raised in this offering. Therefore, whether we will satisfy the asset test for the current or any future taxable year generally will depend on the quarterly value of our goodwill and other intangible assets, and on how quickly we utilize the cash in our business. Because (i) the value of our goodwill may be determined by reference to the market prices of our shares or ADSs, which have been volatile given the nature and early stage of our business and have been declining, (ii) we may hold cash and cash equivalents in amounts that could be significant in relation to the value of our goodwill and other intangible assets and (iii) a company’s PFIC status is an annual determination that can be made only after the end of each taxable year, there is a significant risk that we will be a PFIC under the asset test. In addition, it is not clear how to apply the income test to a company like us, which for any particular taxable year may have gross income that is either entirely passive or that significantly exceeds any active gross income, but the overall losses of which from research and development activities exceed the overall amount of its gross income for that year. We currently do not earn income from sales of drugs. Accordingly, U.S. investors should invest in our ADSs only if they are willing to bear the U.S. federal income tax consequences associated with investments in PFICs.</w:t>
      </w:r>
    </w:p>
    <w:p>
      <w:pPr>
        <w:spacing w:after="0" w:line="2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we were a PFIC for any taxable year during which a U.S. investor owns ADSs or ordinary shares, certain adverse U.S. federal income tax consequences could apply to such U.S. investor. We provide the information necessary for a U.S. investor to make a qualifying electing fund election with respect to us. See “Material Tax Considerations—Material U.S. Federal Income Tax Considerations” for further information. U.S. investors should consult their tax advisers regarding our PFIC status for any taxable year and the potential application of the PFIC rules to an investment in our ADSs.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fully realize the anticipated benefits of the Merger or realize such benefits within the timing anticipated.</w:t>
      </w:r>
    </w:p>
    <w:p>
      <w:pPr>
        <w:spacing w:after="0" w:line="99"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We entered into the Merger with OncoMed because we believed that the Merger would be beneficial to us and our shareholders. We may not be able to achieve the anticipated long-term strategic benefits of the Merger within the timing anticipated or at all. Any delays and challenges that may be encountered in completing the post-Merger process of consolidation could have an adverse effect on the business and results of our operations, and may affect the value of our ADSs and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failed to discover undisclosed liabilities of OncoMed.</w:t>
      </w:r>
    </w:p>
    <w:p>
      <w:pPr>
        <w:spacing w:after="0" w:line="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investigations and due diligence review of OncoMed may have failed to discover undisclosed liabilities of OncoMed. If OncoMed has undisclosed liabilities, we as a successor owner may be responsible for such undisclosed liabilities. Such undisclosed liabilities could have an adverse effect on the business and results of operations of us and our subsidiaries and may adversely affect the value of our ADSs and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intangible assets may become impaired, which could result in material non-cash charges to our results of operations.</w:t>
      </w:r>
    </w:p>
    <w:p>
      <w:pPr>
        <w:spacing w:after="0" w:line="85"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acquired a substantial quantity of intangible assets in the Merger. At least annually, or whenever events or changes in circumstances indicate a potential impairment in the carrying value as defined by IFRS as issued by the IASB, we will evaluate such intangible assets for impairment based on the recoverable value for such intangible assets, being the higher of fair value less costs to sell and value in use, of such intangible assets. Estimated fair values could change if there are changes in our capital structure, cost of debt, interest rates, capital expenditure levels, operating cash flows or market capitalization. Impairments of intangible assets could require material non-cash charges to our results of operations.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operational challenges in managing OncoMed’s business and staff following the Merger.</w:t>
      </w:r>
    </w:p>
    <w:p>
      <w:pPr>
        <w:spacing w:after="0" w:line="9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Mergers inherently have risks including misjudging key elements of an acquisition or failing to integrate it in an efficient and timely manner that would disrupt operations. In addition, as OncoMed is located in a different country and time zone, this also brings inherent management challenges. We are taking over existing ongoing clinical trials, which although are being conducted by reputable third party CRO contractors, remain our responsibility as the parent of OncoMed. We must also fully integrate OncoMed’s retained employees within our existing management structure. We may face operational challenges in managing OncoMed’s business and staff following the Merger which could have an adverse effect on the business and results of our operations, and may affect the value of our ADSs and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OncoMed’s ability to utilize its net operating loss carryforwards and certain other tax attributes may be limited.</w:t>
      </w:r>
    </w:p>
    <w:p>
      <w:pPr>
        <w:spacing w:after="0" w:line="8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Sections 382 and 383 of the United States Internal Revenue Code of 1986, as amended (the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ownership by “5% shareholders” that exceeds 50 percentage points over a rolling three-year period. Similar rules may apply under state tax laws.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2018, OncoMed had federal net operating loss carryforwards related to the 2018 tax year, amounting to</w:t>
      </w:r>
    </w:p>
    <w:p>
      <w:pPr>
        <w:ind w:left="120"/>
        <w:spacing w:after="0" w:line="234" w:lineRule="auto"/>
        <w:rPr>
          <w:sz w:val="20"/>
          <w:szCs w:val="20"/>
          <w:color w:val="auto"/>
        </w:rPr>
      </w:pPr>
      <w:r>
        <w:rPr>
          <w:rFonts w:ascii="Arial" w:cs="Arial" w:eastAsia="Arial" w:hAnsi="Arial"/>
          <w:sz w:val="18"/>
          <w:szCs w:val="18"/>
          <w:color w:val="auto"/>
        </w:rPr>
        <w:t>$39.1 million which carryforward indefinitely and $228.6 million, which relate to prior taxable years, that begin to expire in 2023. At</w:t>
      </w:r>
    </w:p>
    <w:p>
      <w:pPr>
        <w:ind w:left="120"/>
        <w:spacing w:after="0" w:line="235" w:lineRule="auto"/>
        <w:rPr>
          <w:sz w:val="20"/>
          <w:szCs w:val="20"/>
          <w:color w:val="auto"/>
        </w:rPr>
      </w:pPr>
      <w:r>
        <w:rPr>
          <w:rFonts w:ascii="Arial" w:cs="Arial" w:eastAsia="Arial" w:hAnsi="Arial"/>
          <w:sz w:val="18"/>
          <w:szCs w:val="18"/>
          <w:color w:val="auto"/>
        </w:rPr>
        <w:t>December 31, 2018, OncoMed had state net operating loss carryforwards of $97.2 million, which begin to expire in 2028, if not utilized. At</w:t>
      </w:r>
    </w:p>
    <w:p>
      <w:pPr>
        <w:ind w:left="120"/>
        <w:spacing w:after="0" w:line="235" w:lineRule="auto"/>
        <w:rPr>
          <w:sz w:val="20"/>
          <w:szCs w:val="20"/>
          <w:color w:val="auto"/>
        </w:rPr>
      </w:pPr>
      <w:r>
        <w:rPr>
          <w:rFonts w:ascii="Arial" w:cs="Arial" w:eastAsia="Arial" w:hAnsi="Arial"/>
          <w:sz w:val="18"/>
          <w:szCs w:val="18"/>
          <w:color w:val="auto"/>
        </w:rPr>
        <w:t>December 31, 2018, OncoMed also had federal and California research and development credit carryforwards aggregating approximately</w:t>
      </w:r>
    </w:p>
    <w:p>
      <w:pPr>
        <w:ind w:left="120"/>
        <w:spacing w:after="0" w:line="235" w:lineRule="auto"/>
        <w:rPr>
          <w:sz w:val="20"/>
          <w:szCs w:val="20"/>
          <w:color w:val="auto"/>
        </w:rPr>
      </w:pPr>
      <w:r>
        <w:rPr>
          <w:rFonts w:ascii="Arial" w:cs="Arial" w:eastAsia="Arial" w:hAnsi="Arial"/>
          <w:sz w:val="18"/>
          <w:szCs w:val="18"/>
          <w:color w:val="auto"/>
        </w:rPr>
        <w:t>$25.4 million and $19.8 million, respectively. The federal credits will expire in 2025, if not utilized. California research and development</w:t>
      </w:r>
    </w:p>
    <w:p>
      <w:pPr>
        <w:ind w:left="120"/>
        <w:spacing w:after="0" w:line="235" w:lineRule="auto"/>
        <w:rPr>
          <w:sz w:val="20"/>
          <w:szCs w:val="20"/>
          <w:color w:val="auto"/>
        </w:rPr>
      </w:pPr>
      <w:r>
        <w:rPr>
          <w:rFonts w:ascii="Arial" w:cs="Arial" w:eastAsia="Arial" w:hAnsi="Arial"/>
          <w:sz w:val="18"/>
          <w:szCs w:val="18"/>
          <w:color w:val="auto"/>
        </w:rPr>
        <w:t>credits have no expiration date. At December 31, 2018, OncoMed also had federal orphan drug credit and Alternative Minimum Tax</w:t>
      </w:r>
    </w:p>
    <w:p>
      <w:pPr>
        <w:ind w:left="120"/>
        <w:spacing w:after="0" w:line="234" w:lineRule="auto"/>
        <w:rPr>
          <w:sz w:val="20"/>
          <w:szCs w:val="20"/>
          <w:color w:val="auto"/>
        </w:rPr>
      </w:pPr>
      <w:r>
        <w:rPr>
          <w:rFonts w:ascii="Arial" w:cs="Arial" w:eastAsia="Arial" w:hAnsi="Arial"/>
          <w:sz w:val="18"/>
          <w:szCs w:val="18"/>
          <w:color w:val="auto"/>
        </w:rPr>
        <w:t>(“AMT”) carryforwards of approximately $39.3 million and $1.5 million, respectively. The federal orphan drug credits will begin to expire in</w:t>
      </w:r>
    </w:p>
    <w:p>
      <w:pPr>
        <w:ind w:left="120"/>
        <w:spacing w:after="0" w:line="235" w:lineRule="auto"/>
        <w:rPr>
          <w:sz w:val="20"/>
          <w:szCs w:val="20"/>
          <w:color w:val="auto"/>
        </w:rPr>
      </w:pPr>
      <w:r>
        <w:rPr>
          <w:rFonts w:ascii="Arial" w:cs="Arial" w:eastAsia="Arial" w:hAnsi="Arial"/>
          <w:sz w:val="18"/>
          <w:szCs w:val="18"/>
          <w:color w:val="auto"/>
        </w:rPr>
        <w:t>2034, if not utilized. A U.S. federal tax refund in respect of the AMT carryforward of approximately $1.3 million was subsequently received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2019, following closing of the Merger.</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believe that the Merger counted as an “ownership change,” which may impact OncoMed’s ability to fully realize the benefit of its net operating loss carryforwards. If that is the case, then OncoMed may be further limited in its ability to use its net operating loss carryforwards and other tax assets to reduce taxes owed on the net taxable income that OncoMed earns. Any such limitations on the ability to use its net operating loss carryforwards and other tax assets could adversely impact OncoMed’s business, financial condition and operating results.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have never paid or declared any cash dividends on our ADSs or ordinary shares, and we do not anticipate paying any cash dividends on our ADSs or ordinary shares in the foreseeable future. We intend to retain future earnings, if any, for use in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0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In addition, the terms of our existing loan agreement with Silicon Valley Bank and Kreos Capital V (UK) Limited (“Kreos”), preclude us from paying cash dividends without Kreos’s consent. See “Management’s Discussion and Analysis of Financial Condition and Results of Operations—Liquidity and Capital Resources—Indebtedness—Credit Facility.”</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320" w:top="459" w:right="6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This prospectus and the documents incorporated by reference herein contain statements that constitute forward-looking statements. Many of the forward-looking statements contained in this prospectus and the documents incorporated by reference herein can be identified by the use of forward-looking words such as “anticipate,” “believe,” “could,” “estimate,” “expect,” “intend,” “plan,” “potential” and “should,” among others.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58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30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continue as a going concern;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 candidates secure regulatory approval;</w:t>
      </w:r>
    </w:p>
    <w:p>
      <w:pPr>
        <w:spacing w:after="0" w:line="26" w:lineRule="exact"/>
        <w:rPr>
          <w:rFonts w:ascii="MS PGothic" w:cs="MS PGothic" w:eastAsia="MS PGothic" w:hAnsi="MS PGothic"/>
          <w:sz w:val="25"/>
          <w:szCs w:val="25"/>
          <w:color w:val="auto"/>
          <w:vertAlign w:val="superscript"/>
        </w:rPr>
      </w:pPr>
    </w:p>
    <w:p>
      <w:pPr>
        <w:ind w:left="980" w:right="86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 candidates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benefits from strategic sales or out-licensing of our non-rare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attain and/or maintain our desired pricing levels;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be included in healthcare systems in certain regions;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including the Merger with OncoMed;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2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880"/>
          </w:cols>
          <w:pgMar w:left="320" w:top="459" w:right="6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33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Solely for convenience, the trademarks, service marks, logos and trade names referred to in this prospectus are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table below sets forth our cash and short-term deposits and short-term investments and capitalization as of June 30, 2019 derived from our unaudited interim consolidated financial statements included elsewhere in this prospectus.</w:t>
      </w:r>
    </w:p>
    <w:p>
      <w:pPr>
        <w:spacing w:after="0" w:line="197"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You should read this table in conjunction with our unaudited interim consolidated financial statements included elsewhere in this prospectus.</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the noon buying rate of the Federal Reserve Bank of New York on June 28, 2019, which was £1.00 to $1.2704.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of June 30, 2019</w:t>
            </w:r>
          </w:p>
        </w:tc>
      </w:tr>
      <w:tr>
        <w:trPr>
          <w:trHeight w:val="156"/>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5"/>
          </w:tcPr>
          <w:p>
            <w:pPr>
              <w:jc w:val="right"/>
              <w:ind w:right="170"/>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36,118</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45,884</w:t>
            </w:r>
          </w:p>
        </w:tc>
        <w:tc>
          <w:tcPr>
            <w:tcW w:w="120" w:type="dxa"/>
            <w:vAlign w:val="bottom"/>
            <w:shd w:val="clear" w:color="auto" w:fill="CCEEFF"/>
          </w:tcPr>
          <w:p>
            <w:pPr>
              <w:spacing w:after="0"/>
              <w:rPr>
                <w:sz w:val="17"/>
                <w:szCs w:val="17"/>
                <w:color w:val="auto"/>
              </w:rPr>
            </w:pPr>
          </w:p>
        </w:tc>
      </w:tr>
      <w:tr>
        <w:trPr>
          <w:trHeight w:val="20"/>
        </w:trPr>
        <w:tc>
          <w:tcPr>
            <w:tcW w:w="62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28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1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19,732</w:t>
            </w:r>
          </w:p>
        </w:tc>
        <w:tc>
          <w:tcPr>
            <w:tcW w:w="34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25,068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7"/>
                <w:szCs w:val="17"/>
                <w:color w:val="auto"/>
              </w:rPr>
            </w:pPr>
          </w:p>
        </w:tc>
      </w:tr>
      <w:tr>
        <w:trPr>
          <w:trHeight w:val="209"/>
        </w:trPr>
        <w:tc>
          <w:tcPr>
            <w:tcW w:w="62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EBT shares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(1,658)</w:t>
            </w: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121,684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154,587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58,004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73,688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(127,356)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(161,793)</w:t>
            </w: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7,000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8,893</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1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1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74,992</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78,988</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100,346</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above excludes:</w:t>
      </w:r>
    </w:p>
    <w:p>
      <w:pPr>
        <w:spacing w:after="0" w:line="239" w:lineRule="exact"/>
        <w:rPr>
          <w:sz w:val="20"/>
          <w:szCs w:val="20"/>
          <w:color w:val="auto"/>
        </w:rPr>
      </w:pPr>
    </w:p>
    <w:p>
      <w:pPr>
        <w:ind w:left="980" w:right="6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11,357,738 ordinary shares issuable upon the exercise of share options outstanding under Mereo’s equity incentive plans as of June 30, 2019 at a weighted average exercise price of £1.45 per ordinary share;</w:t>
      </w:r>
    </w:p>
    <w:p>
      <w:pPr>
        <w:spacing w:after="0" w:line="27"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875,050 ADSs issuable upon the exercise of share options outstanding under Mereo’s equity incentive plans as of June 30, 2019 at a weighted average exercise price of $4.29 per ADS;</w:t>
      </w:r>
    </w:p>
    <w:p>
      <w:pPr>
        <w:spacing w:after="0" w:line="27" w:lineRule="exact"/>
        <w:rPr>
          <w:rFonts w:ascii="MS PGothic" w:cs="MS PGothic" w:eastAsia="MS PGothic" w:hAnsi="MS PGothic"/>
          <w:sz w:val="25"/>
          <w:szCs w:val="25"/>
          <w:color w:val="auto"/>
          <w:vertAlign w:val="superscript"/>
        </w:rPr>
      </w:pPr>
    </w:p>
    <w:p>
      <w:pPr>
        <w:jc w:val="both"/>
        <w:ind w:left="980" w:right="440" w:hanging="432"/>
        <w:spacing w:after="0" w:line="223"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162,997 nil-cost ordinary shares that may be issued upon exercise of share options awarded under the Mereo BioPharma Group plc DBSP, as described in “Management—Equity Compensation Arrangements—The Mereo DBSP,” as of June 30, 2019;</w:t>
      </w:r>
    </w:p>
    <w:p>
      <w:pPr>
        <w:spacing w:after="0" w:line="28" w:lineRule="exact"/>
        <w:rPr>
          <w:rFonts w:ascii="MS PGothic" w:cs="MS PGothic" w:eastAsia="MS PGothic" w:hAnsi="MS PGothic"/>
          <w:sz w:val="25"/>
          <w:szCs w:val="25"/>
          <w:color w:val="auto"/>
          <w:vertAlign w:val="superscript"/>
        </w:rPr>
      </w:pPr>
    </w:p>
    <w:p>
      <w:pPr>
        <w:ind w:left="980" w:right="40" w:hanging="432"/>
        <w:spacing w:after="0" w:line="223"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1,243,908 ordinary shares issuable upon the exercise of warrants to purchase ordinary shares outstanding as of June 30, 2019 at a weighted average exercise price of £2.95 per ordinary share, including 621,954 warrants exercisable by Silicon Valley Bank and 621,954 warrants exercisable by Kreos Capital V (UK) Limited; and</w:t>
      </w:r>
    </w:p>
    <w:p>
      <w:pPr>
        <w:spacing w:after="0" w:line="28"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41,286 ordinary shares issuable upon the exercise of warrants to purchase ordinary shares outstanding as of June 30, 2019 at an exercise price of £0.003 per ordinary share exercisable by The Alpha-1 Project, Inc.</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If you invest in our ADSs in this offering, your ownership interest will be diluted immediately to the extent of the difference between the offering price per ADS paid by purchasers in this offering and our as adjusted net tangible book value per ADS after completion of this offering. For the convenience of the reader, we have translated pound sterling amounts in this section into U.S. dollars at the noon buying rate of the Federal Reserve Bank of New York on June 29, 2019, which was £1.00 to $1.2704. These translations should not be considered representations that any such amounts have been, could have been or could be converted into U.S. dollars at that or any other exchange rate as of that or any other date.</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At June 30, 2019, we had a net tangible book value of £29.8 million ($ 37.9 million), corresponding to a net tangible book value of £0.30 per ordinary share (equal to $1.93 per ADS). Net tangible book value per ordinary share represents the amount of our total assets less our total liabilities, excluding goodwill and other intangible assets, divided by the total number of our ordinary shares outstanding as of June 30, 2019.</w:t>
      </w:r>
    </w:p>
    <w:p>
      <w:pPr>
        <w:spacing w:after="0" w:line="20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After giving effect to the sale of 2,859,104 ADSs in this offering at an assumed public offering price of $1.56 per ADS, which reflects the last reported sale price of our ADS on Nasdaq on February 8, 2020, and after deducting the estimated offering expenses payable by us, our as adjusted net tangible book value as of June 30, 2019 would have been £32.2 million ($40.9 million), representing an as adjusted net tangible book value of $1.82 per ADS, or $0.36 per ordinary share. This represents an immediate decrease in net tangible book value of $0.11 per ADS to existing shareholders and an immediate dilution of $0.51 per ADS, or $0.10 per ordinary share, to new investors purchasing ADSs in this offering. Dilution per ADS to new investors is determined by subtracting the as adjusted net tangible book value per ADS after this offering from the $0.26 per ordinary share (equivalent to $1.31 per ADS) paid by the selling shareholder. For the purposes of calculating dilution, the $25.0 million worth of ordinary shares issuable to the selling shareholder have been excluded from the calculation because, if utilized in full, would result in an immediate accretion in the as adjusted net tangible book value and is therefore not meaningful.</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this dilution to new investors purchasing ADSs in this offering.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w:t>
            </w:r>
          </w:p>
        </w:tc>
      </w:tr>
      <w:tr>
        <w:trPr>
          <w:trHeight w:val="162"/>
        </w:trPr>
        <w:tc>
          <w:tcPr>
            <w:tcW w:w="7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Ordinary</w:t>
            </w:r>
          </w:p>
        </w:tc>
      </w:tr>
      <w:tr>
        <w:trPr>
          <w:trHeight w:val="175"/>
        </w:trPr>
        <w:tc>
          <w:tcPr>
            <w:tcW w:w="7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Per ADS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r>
      <w:tr>
        <w:trPr>
          <w:trHeight w:val="196"/>
        </w:trPr>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Assumed public offering price</w:t>
            </w:r>
          </w:p>
        </w:tc>
        <w:tc>
          <w:tcPr>
            <w:tcW w:w="2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30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as of June 30, 2019</w:t>
            </w:r>
          </w:p>
        </w:tc>
        <w:tc>
          <w:tcPr>
            <w:tcW w:w="2160" w:type="dxa"/>
            <w:vAlign w:val="bottom"/>
            <w:gridSpan w:val="2"/>
          </w:tcPr>
          <w:p>
            <w:pPr>
              <w:ind w:left="20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1.93</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0.39</w:t>
            </w:r>
          </w:p>
        </w:tc>
      </w:tr>
      <w:tr>
        <w:trPr>
          <w:trHeight w:val="203"/>
        </w:trPr>
        <w:tc>
          <w:tcPr>
            <w:tcW w:w="7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Decrease in net tangible book value attributable to the offering</w:t>
            </w:r>
          </w:p>
        </w:tc>
        <w:tc>
          <w:tcPr>
            <w:tcW w:w="2160" w:type="dxa"/>
            <w:vAlign w:val="bottom"/>
            <w:gridSpan w:val="2"/>
            <w:shd w:val="clear" w:color="auto" w:fill="CCEEFF"/>
          </w:tcPr>
          <w:p>
            <w:pPr>
              <w:ind w:left="20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As adjusted net tangible book value as of June 30, 2019</w:t>
            </w:r>
          </w:p>
        </w:tc>
        <w:tc>
          <w:tcPr>
            <w:tcW w:w="2160" w:type="dxa"/>
            <w:vAlign w:val="bottom"/>
            <w:gridSpan w:val="2"/>
          </w:tcPr>
          <w:p>
            <w:pPr>
              <w:ind w:left="20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0.36</w:t>
            </w:r>
          </w:p>
        </w:tc>
      </w:tr>
      <w:tr>
        <w:trPr>
          <w:trHeight w:val="27"/>
        </w:trPr>
        <w:tc>
          <w:tcPr>
            <w:tcW w:w="7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to new investors in the offering</w:t>
            </w:r>
          </w:p>
        </w:tc>
        <w:tc>
          <w:tcPr>
            <w:tcW w:w="2160" w:type="dxa"/>
            <w:vAlign w:val="bottom"/>
            <w:gridSpan w:val="2"/>
            <w:shd w:val="clear" w:color="auto" w:fill="CCEEFF"/>
          </w:tcPr>
          <w:p>
            <w:pPr>
              <w:ind w:left="20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0.51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0.10</w:t>
            </w:r>
          </w:p>
        </w:tc>
      </w:tr>
    </w:tbl>
    <w:p>
      <w:pPr>
        <w:spacing w:after="0" w:line="21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dilution information above is illustrative only and will change based on the actual public offering price and other terms of this offering determined at pricing.</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and discussion above exclude (in each case, as calculated as of June 30, 2019 pursuant to the terms of each instrument):</w:t>
      </w:r>
    </w:p>
    <w:p>
      <w:pPr>
        <w:spacing w:after="0" w:line="239" w:lineRule="exact"/>
        <w:rPr>
          <w:sz w:val="20"/>
          <w:szCs w:val="20"/>
          <w:color w:val="auto"/>
        </w:rPr>
      </w:pPr>
    </w:p>
    <w:p>
      <w:pPr>
        <w:ind w:left="980" w:right="80" w:hanging="432"/>
        <w:spacing w:after="0" w:line="218"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11,357,738 ordinary shares issuable upon the exercise of share options outstanding under Mereo’s equity incentive plans as of June 30, 2019 at a weighted average exercise price of £1.45 per ordinary share;</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20" w:hanging="432"/>
        <w:spacing w:after="0" w:line="218"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875,050 ADSs issuable upon the exercise of share options outstanding under Mereo’s equity incentive plans as of June 30, 2019 at a weighted average exercise price of $4.29 per ADS;</w:t>
      </w:r>
    </w:p>
    <w:p>
      <w:pPr>
        <w:spacing w:after="0" w:line="27" w:lineRule="exact"/>
        <w:rPr>
          <w:rFonts w:ascii="MS PGothic" w:cs="MS PGothic" w:eastAsia="MS PGothic" w:hAnsi="MS PGothic"/>
          <w:sz w:val="25"/>
          <w:szCs w:val="25"/>
          <w:color w:val="auto"/>
          <w:vertAlign w:val="superscript"/>
        </w:rPr>
      </w:pPr>
    </w:p>
    <w:p>
      <w:pPr>
        <w:jc w:val="both"/>
        <w:ind w:left="980" w:right="420" w:hanging="432"/>
        <w:spacing w:after="0" w:line="223"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162,997 nil-cost ordinary shares that may be issued upon exercise of share options awarded under the Mereo BioPharma Group plc DBSP, as described in “Management—Equity Compensation Arrangements—The Mereo DBSP,” as of June 30, 2019;</w:t>
      </w:r>
    </w:p>
    <w:p>
      <w:pPr>
        <w:spacing w:after="0" w:line="28"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1,243,908 ordinary shares issuable upon the exercise of warrants to purchase ordinary shares outstanding as of June 30, 2019 at a weighted average exercise price of £2.95 per ordinary share, including 621,954 warrants exercisable by Silicon Valley Bank and 621,954 warrants exercisable by Kreos Capital V (UK) Limited;</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41,286 ordinary shares issuable upon the exercise of warrants to purchase ordinary shares outstanding as of June 30, 2019 at an exercise price of £0.003 per ordinary share exercisable by The Alpha-1 Project, Inc;</w:t>
      </w:r>
    </w:p>
    <w:p>
      <w:pPr>
        <w:spacing w:after="0" w:line="27" w:lineRule="exact"/>
        <w:rPr>
          <w:rFonts w:ascii="MS PGothic" w:cs="MS PGothic" w:eastAsia="MS PGothic" w:hAnsi="MS PGothic"/>
          <w:sz w:val="25"/>
          <w:szCs w:val="25"/>
          <w:color w:val="auto"/>
          <w:vertAlign w:val="superscript"/>
        </w:rPr>
      </w:pPr>
    </w:p>
    <w:p>
      <w:pPr>
        <w:jc w:val="both"/>
        <w:ind w:left="980" w:hanging="432"/>
        <w:spacing w:after="0" w:line="223"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14,496,147 ordinary shares issuable upon conversion by Novartis of the New Novartis Notes issued on February 10, 2020, and the warrants issued to Novartis in connection therewith to purchase up to 1,449,614 ordinary shares at an exercise price of £0.265 per ordinary share; and</w:t>
      </w:r>
    </w:p>
    <w:p>
      <w:pPr>
        <w:spacing w:after="0" w:line="28"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12,252,715 ordinary shares issued to Boxer Capital under the terms of our agreement with Boxer Capital entered into on February 19, 2020.</w:t>
      </w:r>
    </w:p>
    <w:p>
      <w:pPr>
        <w:spacing w:after="0" w:line="20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To the extent that share or ADS options or warrants are exercised or we issue additional shares or ADSs in the future, there will be further dilution to investors participating in the offering. If we raise additional capital through the sale of equity or convertible debt securities, the issuance of these securities could result in further dilution to our shareholders.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This prospectus relates to our ADSs representing ordinary shares that may be offered and sold from time to time by Aspire Capital. We will not receive any proceeds upon the sale of ADSs by Aspire Capital. However, we may receive proceeds of up to $28.0 million under the Purchase Agreement with Aspire Capital, which includes the $3.0 million that we received for sale of the Initial Shares to Aspire Capital.</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proceeds received from the sale of the ADSs under the Purchase Agreement are expected be used to advance the clinical development of setrusumab for the treatment of OI and alvelestat for the treatment of severe AATD, and to fund general research and development activities, working capital and other general corporate purposes, including the costs relating to entering into any third-party strategic relationship for development and commercialization of our non-rare disease product candidates. However, we cannot guarantee that we will receive any proceeds other than from the sale of the Initial Shares in connection with the Purchase Agreement because we may be unable or choose not to issue and sell any ADSs pursuant to the Purchase Agreement. Because of this, we have not determined the amount of net proceeds to be used specifically for any particular purpose or the timing of any expenditures. As a result, our management will retain broad discretion over the allocation of any net proceeds. Pending such uses, we plan to invest any net proceeds in short- and intermediate-term interest-bearing obligations and certificates of deposit.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342"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The following unaudited pro forma condensed combined financial information is comprised of the Unaudited Pro Forma Condensed Combined Statement of Operations for the year ended December 31, 2018 and interim period ended June 30, 2019, after giving effect to the Merger as if it had occurred on January 1, 2018.</w:t>
      </w:r>
    </w:p>
    <w:p>
      <w:pPr>
        <w:spacing w:after="0" w:line="20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Unaudited Pro Forma Condensed Combined Statement of Operations has been prepared using the principles of the acquisition method of accounting in accordance with IFRS as issued by the IASB, and in particular IFRS 3, under which the Merger qualifies as the acquisition of OncoMed by us. On the date of the acquisition, April 23, 2019, the identifiable assets and liabilities of OncoMed, were recorded by us at their respective fair values.</w:t>
      </w:r>
    </w:p>
    <w:p>
      <w:pPr>
        <w:spacing w:after="0" w:line="205"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Pro forma adjustments reflected in the Unaudited Pro Forma Condensed Combined Statement of Operations are based on items that are factually supportable and directly attributable to the Merger and which are expected to have a continuing impact on the consolidated entity.</w:t>
      </w:r>
    </w:p>
    <w:p>
      <w:pPr>
        <w:spacing w:after="0" w:line="20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Unaudited Pro Forma Condensed Combined Statement of Operations for the year ended December 31, 2018 has been prepared based on (i) our audited consolidated financial statements as of and for the year ended December 31, 2018 and (ii) the audited financial statements of OncoMed as of and for year ended December 31, 2018 included elsewhere in this prospectus.</w:t>
      </w:r>
    </w:p>
    <w:p>
      <w:pPr>
        <w:spacing w:after="0" w:line="203"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The Unaudited Pro Forma Condensed Combined Statement of Operations for the interim period ended June 30, 2019 has been prepared based on (i) our unaudited consolidated interim financial statements as of and for the period ended June 30, 2019 and (ii) financial information received by us relating to OncoMed for the period January 1, 2019 through April 23, 2019.</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consolidated financial statements are prepared in accordance with IFRS as issued by the IASB. The audited financial statements of OncoMed as of and for the year ended December 31, 2018 and financial information received by us relating to OncoMed for the period January 1, 2019 through April 23, 2019 was prepared in accordance with U.S. GAAP and for the purposes of the Unaudited Pro Forma Condensed Combined Statement of Operations, have been converted to IFRS as issued by the IASB on a basis consistent with the accounting policies and presentation adopted by us.</w:t>
      </w:r>
    </w:p>
    <w:p>
      <w:pPr>
        <w:spacing w:after="0" w:line="20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As noted above, the Unaudited Pro Forma Condensed Combined Statement of Operations has been prepared using the acquisition method of accounting in accordance with IFRS 3. The accounting for the acquisition is dependent upon certain valuations that are preliminary and subject to change. We will finalize amounts as we obtain the information necessary to complete the measurement processes. Accordingly, the pro forma adjustments are preliminary. Differences between these preliminary estimates and the final acquisition accounting may occur and these differences could be material. The differences, if any, could have a material impact on the accompanying Unaudited Pro Forma Condensed Combined Statement of Operations and our future results of operations and financial position.</w:t>
      </w:r>
    </w:p>
    <w:p>
      <w:pPr>
        <w:spacing w:after="0" w:line="203"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The Unaudited Pro Forma Condensed Combined Statement of Operations has been prepared by our management in accordance with SEC Regulation S-X Article 11 for illustrative purposes only. The Unaudited Pro Forma Condensed Combined Statement of Operations does not purport to represent what the actual results of our operations would have been had the Merger occurred on the respective dates assumed, nor is it indicative of the future results of the consolidated company. The Unaudited Pro Forma Condensed Combined Statement of Operations for the year ended December 31, 2018 and interim period ended June 30, 2019 does not reflect any cost savings, operating synergies or revenue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rPr>
          <w:sz w:val="20"/>
          <w:szCs w:val="20"/>
          <w:color w:val="auto"/>
        </w:rPr>
      </w:pPr>
      <w:r>
        <w:rPr>
          <w:rFonts w:ascii="Arial" w:cs="Arial" w:eastAsia="Arial" w:hAnsi="Arial"/>
          <w:sz w:val="18"/>
          <w:szCs w:val="18"/>
          <w:color w:val="auto"/>
        </w:rPr>
        <w:t>enhancements that the combined company may achieve as a result of the Merger. The pro forma adjustments reflected in the accompanying Unaudited Pro Forma Condensed Combined Statement of Operations reflect estimates and assumptions made by our management that we believe to be reasonable.</w:t>
      </w:r>
    </w:p>
    <w:p>
      <w:pPr>
        <w:spacing w:after="0" w:line="203"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Unaudited Pro Forma Condensed Combined Statement of Operations should be read in conjunction with the information contained in “Risk Factors,” “Cautionary Statement Regarding Forward-Looking Statements,” “Selected Consolidated Financial Data of Mereo,” “Business,” and our consolidated financial statements included elsewhere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UNAUDITED PRO FORMA CONDENSED COMBINED STATEMENT OF OPERATIONS FOR THE YEAR ENDED DECEMBER 31, 2018</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1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Historical financial</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21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information</w:t>
            </w: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Pro forma adjustment</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 forma condensed</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IFRS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Reclassification</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combined statement</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Mereo</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OncoMed</w:t>
            </w: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and Conversion</w:t>
            </w:r>
          </w:p>
        </w:tc>
        <w:tc>
          <w:tcPr>
            <w:tcW w:w="50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operations</w:t>
            </w:r>
          </w:p>
        </w:tc>
        <w:tc>
          <w:tcPr>
            <w:tcW w:w="0" w:type="dxa"/>
            <w:vAlign w:val="bottom"/>
          </w:tcPr>
          <w:p>
            <w:pPr>
              <w:spacing w:after="0"/>
              <w:rPr>
                <w:sz w:val="1"/>
                <w:szCs w:val="1"/>
                <w:color w:val="auto"/>
              </w:rPr>
            </w:pPr>
          </w:p>
        </w:tc>
      </w:tr>
      <w:tr>
        <w:trPr>
          <w:trHeight w:val="183"/>
        </w:trPr>
        <w:tc>
          <w:tcPr>
            <w:tcW w:w="35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Collaboration and other revenue</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33,243</w:t>
            </w:r>
          </w:p>
        </w:tc>
        <w:tc>
          <w:tcPr>
            <w:tcW w:w="2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33,243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Research and development expenses</w:t>
            </w: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(22,704)</w:t>
            </w: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(25,776)</w:t>
            </w:r>
          </w:p>
        </w:tc>
        <w:tc>
          <w:tcPr>
            <w:tcW w:w="1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(693)</w:t>
            </w:r>
          </w:p>
        </w:tc>
        <w:tc>
          <w:tcPr>
            <w:tcW w:w="500" w:type="dxa"/>
            <w:vAlign w:val="bottom"/>
          </w:tcPr>
          <w:p>
            <w:pPr>
              <w:ind w:left="140"/>
              <w:spacing w:after="0" w:line="189" w:lineRule="exact"/>
              <w:rPr>
                <w:sz w:val="20"/>
                <w:szCs w:val="20"/>
                <w:color w:val="auto"/>
              </w:rPr>
            </w:pPr>
            <w:r>
              <w:rPr>
                <w:rFonts w:ascii="Arial" w:cs="Arial" w:eastAsia="Arial" w:hAnsi="Arial"/>
                <w:sz w:val="17"/>
                <w:szCs w:val="17"/>
                <w:color w:val="auto"/>
              </w:rPr>
              <w:t>A</w:t>
            </w: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60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(48,285)</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888</w:t>
            </w:r>
          </w:p>
        </w:tc>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B</w:t>
            </w: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(12,505)</w:t>
            </w: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(13,599)</w:t>
            </w:r>
          </w:p>
        </w:tc>
        <w:tc>
          <w:tcPr>
            <w:tcW w:w="1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(693)</w:t>
            </w:r>
          </w:p>
        </w:tc>
        <w:tc>
          <w:tcPr>
            <w:tcW w:w="500" w:type="dxa"/>
            <w:vAlign w:val="bottom"/>
          </w:tcPr>
          <w:p>
            <w:pPr>
              <w:ind w:left="140"/>
              <w:spacing w:after="0" w:line="189" w:lineRule="exact"/>
              <w:rPr>
                <w:sz w:val="20"/>
                <w:szCs w:val="20"/>
                <w:color w:val="auto"/>
              </w:rPr>
            </w:pPr>
            <w:r>
              <w:rPr>
                <w:rFonts w:ascii="Arial" w:cs="Arial" w:eastAsia="Arial" w:hAnsi="Arial"/>
                <w:sz w:val="17"/>
                <w:szCs w:val="17"/>
                <w:color w:val="auto"/>
              </w:rPr>
              <w:t>A</w:t>
            </w: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2,433</w:t>
            </w:r>
          </w:p>
        </w:tc>
        <w:tc>
          <w:tcPr>
            <w:tcW w:w="50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C</w:t>
            </w:r>
          </w:p>
        </w:tc>
        <w:tc>
          <w:tcPr>
            <w:tcW w:w="160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(23,476)</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888</w:t>
            </w:r>
          </w:p>
        </w:tc>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B</w:t>
            </w: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Restructuring charges</w:t>
            </w: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(1,385)</w:t>
            </w:r>
          </w:p>
        </w:tc>
        <w:tc>
          <w:tcPr>
            <w:tcW w:w="1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1,385</w:t>
            </w:r>
          </w:p>
        </w:tc>
        <w:tc>
          <w:tcPr>
            <w:tcW w:w="500" w:type="dxa"/>
            <w:vAlign w:val="bottom"/>
          </w:tcPr>
          <w:p>
            <w:pPr>
              <w:ind w:left="140"/>
              <w:spacing w:after="0" w:line="189" w:lineRule="exact"/>
              <w:rPr>
                <w:sz w:val="20"/>
                <w:szCs w:val="20"/>
                <w:color w:val="auto"/>
              </w:rPr>
            </w:pPr>
            <w:r>
              <w:rPr>
                <w:rFonts w:ascii="Arial" w:cs="Arial" w:eastAsia="Arial" w:hAnsi="Arial"/>
                <w:sz w:val="17"/>
                <w:szCs w:val="17"/>
                <w:color w:val="auto"/>
              </w:rPr>
              <w:t>A</w:t>
            </w: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600" w:type="dxa"/>
            <w:vAlign w:val="bottom"/>
            <w:gridSpan w:val="2"/>
          </w:tcPr>
          <w:p>
            <w:pPr>
              <w:jc w:val="right"/>
              <w:ind w:right="120"/>
              <w:spacing w:after="0" w:line="18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loss</w:t>
            </w:r>
          </w:p>
        </w:tc>
        <w:tc>
          <w:tcPr>
            <w:tcW w:w="12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(35,209)</w:t>
            </w: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(7,517)</w:t>
            </w: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1,775</w:t>
            </w: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2,433</w:t>
            </w:r>
          </w:p>
        </w:tc>
        <w:tc>
          <w:tcPr>
            <w:tcW w:w="5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(38,518)</w:t>
            </w: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Finance charge</w:t>
            </w: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(2,361)</w:t>
            </w: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b w:val="1"/>
                <w:bCs w:val="1"/>
                <w:color w:val="auto"/>
              </w:rPr>
              <w:t>—</w:t>
            </w:r>
          </w:p>
        </w:tc>
        <w:tc>
          <w:tcPr>
            <w:tcW w:w="1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60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(2,361)</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Finance income</w:t>
            </w:r>
          </w:p>
        </w:tc>
        <w:tc>
          <w:tcPr>
            <w:tcW w:w="12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b w:val="1"/>
                <w:bCs w:val="1"/>
                <w:color w:val="auto"/>
              </w:rPr>
              <w:t>307</w:t>
            </w: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b w:val="1"/>
                <w:bCs w:val="1"/>
                <w:color w:val="auto"/>
              </w:rPr>
              <w:t>1,169</w:t>
            </w: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1,476</w:t>
            </w:r>
          </w:p>
        </w:tc>
        <w:tc>
          <w:tcPr>
            <w:tcW w:w="0" w:type="dxa"/>
            <w:vAlign w:val="bottom"/>
          </w:tcPr>
          <w:p>
            <w:pPr>
              <w:spacing w:after="0"/>
              <w:rPr>
                <w:sz w:val="1"/>
                <w:szCs w:val="1"/>
                <w:color w:val="auto"/>
              </w:rPr>
            </w:pP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Net foreign exchange gain/(loss)</w:t>
            </w: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(44)</w:t>
            </w: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b w:val="1"/>
                <w:bCs w:val="1"/>
                <w:color w:val="auto"/>
              </w:rPr>
              <w:t>—</w:t>
            </w:r>
          </w:p>
        </w:tc>
        <w:tc>
          <w:tcPr>
            <w:tcW w:w="1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60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(44)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loss before tax:</w:t>
            </w:r>
          </w:p>
        </w:tc>
        <w:tc>
          <w:tcPr>
            <w:tcW w:w="12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(37,307)</w:t>
            </w: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b w:val="1"/>
                <w:bCs w:val="1"/>
                <w:color w:val="auto"/>
              </w:rPr>
              <w:t>(6,348)</w:t>
            </w:r>
          </w:p>
        </w:tc>
        <w:tc>
          <w:tcPr>
            <w:tcW w:w="1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1,775</w:t>
            </w: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2,433</w:t>
            </w:r>
          </w:p>
        </w:tc>
        <w:tc>
          <w:tcPr>
            <w:tcW w:w="5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(39,447)</w:t>
            </w:r>
          </w:p>
        </w:tc>
        <w:tc>
          <w:tcPr>
            <w:tcW w:w="0" w:type="dxa"/>
            <w:vAlign w:val="bottom"/>
          </w:tcPr>
          <w:p>
            <w:pPr>
              <w:spacing w:after="0"/>
              <w:rPr>
                <w:sz w:val="1"/>
                <w:szCs w:val="1"/>
                <w:color w:val="auto"/>
              </w:rPr>
            </w:pPr>
          </w:p>
        </w:tc>
      </w:tr>
      <w:tr>
        <w:trPr>
          <w:trHeight w:val="196"/>
        </w:trPr>
        <w:tc>
          <w:tcPr>
            <w:tcW w:w="3520" w:type="dxa"/>
            <w:vAlign w:val="bottom"/>
          </w:tcPr>
          <w:p>
            <w:pPr>
              <w:spacing w:after="0" w:line="189" w:lineRule="exact"/>
              <w:rPr>
                <w:sz w:val="20"/>
                <w:szCs w:val="20"/>
                <w:color w:val="auto"/>
              </w:rPr>
            </w:pPr>
            <w:r>
              <w:rPr>
                <w:rFonts w:ascii="Arial" w:cs="Arial" w:eastAsia="Arial" w:hAnsi="Arial"/>
                <w:sz w:val="17"/>
                <w:szCs w:val="17"/>
                <w:color w:val="auto"/>
              </w:rPr>
              <w:t>Taxation</w:t>
            </w:r>
          </w:p>
        </w:tc>
        <w:tc>
          <w:tcPr>
            <w:tcW w:w="1200" w:type="dxa"/>
            <w:vAlign w:val="bottom"/>
            <w:gridSpan w:val="2"/>
          </w:tcPr>
          <w:p>
            <w:pPr>
              <w:jc w:val="right"/>
              <w:ind w:right="280"/>
              <w:spacing w:after="0" w:line="189" w:lineRule="exact"/>
              <w:rPr>
                <w:sz w:val="20"/>
                <w:szCs w:val="20"/>
                <w:color w:val="auto"/>
              </w:rPr>
            </w:pPr>
            <w:r>
              <w:rPr>
                <w:rFonts w:ascii="Arial" w:cs="Arial" w:eastAsia="Arial" w:hAnsi="Arial"/>
                <w:sz w:val="17"/>
                <w:szCs w:val="17"/>
                <w:b w:val="1"/>
                <w:bCs w:val="1"/>
                <w:color w:val="auto"/>
              </w:rPr>
              <w:t>5,277</w:t>
            </w: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b w:val="1"/>
                <w:bCs w:val="1"/>
                <w:color w:val="auto"/>
              </w:rPr>
              <w:t>286</w:t>
            </w:r>
          </w:p>
        </w:tc>
        <w:tc>
          <w:tcPr>
            <w:tcW w:w="1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600" w:type="dxa"/>
            <w:vAlign w:val="bottom"/>
            <w:gridSpan w:val="2"/>
          </w:tcPr>
          <w:p>
            <w:pPr>
              <w:jc w:val="right"/>
              <w:ind w:right="120"/>
              <w:spacing w:after="0" w:line="189" w:lineRule="exact"/>
              <w:rPr>
                <w:sz w:val="20"/>
                <w:szCs w:val="20"/>
                <w:color w:val="auto"/>
              </w:rPr>
            </w:pPr>
            <w:r>
              <w:rPr>
                <w:rFonts w:ascii="Arial" w:cs="Arial" w:eastAsia="Arial" w:hAnsi="Arial"/>
                <w:sz w:val="17"/>
                <w:szCs w:val="17"/>
                <w:b w:val="1"/>
                <w:bCs w:val="1"/>
                <w:color w:val="auto"/>
              </w:rPr>
              <w:t>5,563</w:t>
            </w: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Loss attributable to equity holders of</w:t>
            </w:r>
          </w:p>
        </w:tc>
        <w:tc>
          <w:tcPr>
            <w:tcW w:w="9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Mereo:</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(32,030)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(6,062)</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1,775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2,433</w:t>
            </w:r>
          </w:p>
        </w:tc>
        <w:tc>
          <w:tcPr>
            <w:tcW w:w="5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(33,884)</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7"/>
                <w:szCs w:val="17"/>
                <w:color w:val="auto"/>
              </w:rPr>
              <w:t>Basic and diluted loss per share</w:t>
            </w: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(0.45)</w:t>
            </w:r>
          </w:p>
        </w:tc>
        <w:tc>
          <w:tcPr>
            <w:tcW w:w="28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vMerge w:val="continue"/>
          </w:tcPr>
          <w:p>
            <w:pPr>
              <w:spacing w:after="0"/>
              <w:rPr>
                <w:sz w:val="17"/>
                <w:szCs w:val="17"/>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(0.35)</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Shares used to compute net loss per</w:t>
            </w: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ordinary share, basic and diluted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71,144,786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24,783,320</w:t>
            </w:r>
          </w:p>
        </w:tc>
        <w:tc>
          <w:tcPr>
            <w:tcW w:w="5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E</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95,928,106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CONDENSED COMBINED STATEMENT OF OPERATIONS FOR THE PERIOD ENDED JUNE 30, 2019</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3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Historical financial</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3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information</w:t>
            </w:r>
          </w:p>
        </w:tc>
        <w:tc>
          <w:tcPr>
            <w:tcW w:w="30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Pro forma adjustment</w:t>
            </w:r>
          </w:p>
        </w:tc>
        <w:tc>
          <w:tcPr>
            <w:tcW w:w="560" w:type="dxa"/>
            <w:vAlign w:val="bottom"/>
          </w:tcPr>
          <w:p>
            <w:pPr>
              <w:spacing w:after="0"/>
              <w:rPr>
                <w:sz w:val="15"/>
                <w:szCs w:val="15"/>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IFRS</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Reclassification</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Mereo</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OncoMed</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and Conversion</w:t>
            </w:r>
          </w:p>
        </w:tc>
        <w:tc>
          <w:tcPr>
            <w:tcW w:w="56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Collaboration and other revenue</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3,288</w:t>
            </w: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(11,918)</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(3,829)</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(687)</w:t>
            </w:r>
          </w:p>
        </w:tc>
        <w:tc>
          <w:tcPr>
            <w:tcW w:w="560" w:type="dxa"/>
            <w:vAlign w:val="bottom"/>
          </w:tcPr>
          <w:p>
            <w:pPr>
              <w:ind w:left="160"/>
              <w:spacing w:after="0" w:line="202" w:lineRule="exact"/>
              <w:rPr>
                <w:sz w:val="20"/>
                <w:szCs w:val="20"/>
                <w:color w:val="auto"/>
              </w:rPr>
            </w:pPr>
            <w:r>
              <w:rPr>
                <w:rFonts w:ascii="Arial" w:cs="Arial" w:eastAsia="Arial" w:hAnsi="Arial"/>
                <w:sz w:val="18"/>
                <w:szCs w:val="18"/>
                <w:color w:val="auto"/>
              </w:rPr>
              <w:t>B</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(16,434)</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(1,852)</w:t>
            </w:r>
          </w:p>
        </w:tc>
        <w:tc>
          <w:tcPr>
            <w:tcW w:w="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1,852</w:t>
            </w:r>
          </w:p>
        </w:tc>
        <w:tc>
          <w:tcPr>
            <w:tcW w:w="5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(9,107)</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(7,576)</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(687)</w:t>
            </w:r>
          </w:p>
        </w:tc>
        <w:tc>
          <w:tcPr>
            <w:tcW w:w="560" w:type="dxa"/>
            <w:vAlign w:val="bottom"/>
          </w:tcPr>
          <w:p>
            <w:pPr>
              <w:ind w:left="160"/>
              <w:spacing w:after="0" w:line="202" w:lineRule="exact"/>
              <w:rPr>
                <w:sz w:val="20"/>
                <w:szCs w:val="20"/>
                <w:color w:val="auto"/>
              </w:rPr>
            </w:pPr>
            <w:r>
              <w:rPr>
                <w:rFonts w:ascii="Arial" w:cs="Arial" w:eastAsia="Arial" w:hAnsi="Arial"/>
                <w:sz w:val="18"/>
                <w:szCs w:val="18"/>
                <w:color w:val="auto"/>
              </w:rPr>
              <w:t>B</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2,645</w:t>
            </w:r>
          </w:p>
        </w:tc>
        <w:tc>
          <w:tcPr>
            <w:tcW w:w="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C</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(10,827)</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(1,852)</w:t>
            </w:r>
          </w:p>
        </w:tc>
        <w:tc>
          <w:tcPr>
            <w:tcW w:w="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3,898</w:t>
            </w:r>
          </w:p>
        </w:tc>
        <w:tc>
          <w:tcPr>
            <w:tcW w:w="5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C</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1,852</w:t>
            </w:r>
          </w:p>
        </w:tc>
        <w:tc>
          <w:tcPr>
            <w:tcW w:w="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B</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(21,025)</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(8,117)</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(5,078)</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10,247</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(23,973)</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Gain on bargain purchase adjustment</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3,680</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(3,680)</w:t>
            </w:r>
          </w:p>
        </w:tc>
        <w:tc>
          <w:tcPr>
            <w:tcW w:w="5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D</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(1,454)</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(499)</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137</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253</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390</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 / (loss)</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(20)</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Net loss before tax:</w:t>
            </w:r>
          </w:p>
        </w:tc>
        <w:tc>
          <w:tcPr>
            <w:tcW w:w="9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(18,682)</w:t>
            </w:r>
          </w:p>
        </w:tc>
        <w:tc>
          <w:tcPr>
            <w:tcW w:w="36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(8,363)</w:t>
            </w:r>
          </w:p>
        </w:tc>
        <w:tc>
          <w:tcPr>
            <w:tcW w:w="340" w:type="dxa"/>
            <w:vAlign w:val="bottom"/>
            <w:vMerge w:val="continue"/>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(5,078)</w:t>
            </w:r>
          </w:p>
        </w:tc>
        <w:tc>
          <w:tcPr>
            <w:tcW w:w="5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6,567</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(25,556)</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2,459</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(14)</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2,445</w:t>
            </w:r>
          </w:p>
        </w:tc>
        <w:tc>
          <w:tcPr>
            <w:tcW w:w="0" w:type="dxa"/>
            <w:vAlign w:val="bottom"/>
          </w:tcPr>
          <w:p>
            <w:pPr>
              <w:spacing w:after="0"/>
              <w:rPr>
                <w:sz w:val="1"/>
                <w:szCs w:val="1"/>
                <w:color w:val="auto"/>
              </w:rPr>
            </w:pPr>
          </w:p>
        </w:tc>
      </w:tr>
      <w:tr>
        <w:trPr>
          <w:trHeight w:val="187"/>
        </w:trPr>
        <w:tc>
          <w:tcPr>
            <w:tcW w:w="4000" w:type="dxa"/>
            <w:vAlign w:val="bottom"/>
          </w:tcPr>
          <w:p>
            <w:pPr>
              <w:spacing w:after="0" w:line="187" w:lineRule="exact"/>
              <w:rPr>
                <w:sz w:val="20"/>
                <w:szCs w:val="20"/>
                <w:color w:val="auto"/>
              </w:rPr>
            </w:pPr>
            <w:r>
              <w:rPr>
                <w:rFonts w:ascii="Arial" w:cs="Arial" w:eastAsia="Arial" w:hAnsi="Arial"/>
                <w:sz w:val="18"/>
                <w:szCs w:val="18"/>
                <w:b w:val="1"/>
                <w:bCs w:val="1"/>
                <w:color w:val="auto"/>
              </w:rPr>
              <w:t>Loss attributable to equity holders of</w:t>
            </w: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Arial" w:cs="Arial" w:eastAsia="Arial" w:hAnsi="Arial"/>
                <w:sz w:val="18"/>
                <w:szCs w:val="18"/>
                <w:b w:val="1"/>
                <w:bCs w:val="1"/>
                <w:color w:val="auto"/>
              </w:rPr>
              <w:t>Mereo:</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(16,223)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(8,377)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(5,078)</w:t>
            </w:r>
          </w:p>
        </w:tc>
        <w:tc>
          <w:tcPr>
            <w:tcW w:w="5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6,567</w:t>
            </w:r>
          </w:p>
        </w:tc>
        <w:tc>
          <w:tcPr>
            <w:tcW w:w="5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(23,111)</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per share</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(0.22)</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187"/>
        </w:trPr>
        <w:tc>
          <w:tcPr>
            <w:tcW w:w="4000" w:type="dxa"/>
            <w:vAlign w:val="bottom"/>
          </w:tcPr>
          <w:p>
            <w:pPr>
              <w:spacing w:after="0" w:line="187" w:lineRule="exact"/>
              <w:rPr>
                <w:sz w:val="20"/>
                <w:szCs w:val="20"/>
                <w:color w:val="auto"/>
              </w:rPr>
            </w:pPr>
            <w:r>
              <w:rPr>
                <w:rFonts w:ascii="Arial" w:cs="Arial" w:eastAsia="Arial" w:hAnsi="Arial"/>
                <w:sz w:val="18"/>
                <w:szCs w:val="18"/>
                <w:b w:val="1"/>
                <w:bCs w:val="1"/>
                <w:color w:val="auto"/>
              </w:rPr>
              <w:t>Shares used to compute net loss per</w:t>
            </w: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00" w:type="dxa"/>
            <w:vAlign w:val="bottom"/>
          </w:tcPr>
          <w:p>
            <w:pPr>
              <w:ind w:left="180"/>
              <w:spacing w:after="0"/>
              <w:rPr>
                <w:sz w:val="20"/>
                <w:szCs w:val="20"/>
                <w:color w:val="auto"/>
              </w:rPr>
            </w:pPr>
            <w:r>
              <w:rPr>
                <w:rFonts w:ascii="Arial" w:cs="Arial" w:eastAsia="Arial" w:hAnsi="Arial"/>
                <w:sz w:val="18"/>
                <w:szCs w:val="18"/>
                <w:b w:val="1"/>
                <w:bCs w:val="1"/>
                <w:color w:val="auto"/>
              </w:rPr>
              <w:t>ordinary share, basic and diluted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71,337,074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24,783,320</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96,120,394</w:t>
            </w:r>
          </w:p>
        </w:tc>
        <w:tc>
          <w:tcPr>
            <w:tcW w:w="0" w:type="dxa"/>
            <w:vAlign w:val="bottom"/>
          </w:tcPr>
          <w:p>
            <w:pPr>
              <w:spacing w:after="0"/>
              <w:rPr>
                <w:sz w:val="1"/>
                <w:szCs w:val="1"/>
                <w:color w:val="auto"/>
              </w:rPr>
            </w:pPr>
          </w:p>
        </w:tc>
      </w:tr>
      <w:tr>
        <w:trPr>
          <w:trHeight w:val="351"/>
        </w:trPr>
        <w:tc>
          <w:tcPr>
            <w:tcW w:w="4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291"/>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Unaudited Pro Forma Condensed Combined Statement of Operations</w:t>
      </w:r>
    </w:p>
    <w:p>
      <w:pPr>
        <w:spacing w:after="0" w:line="239"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Unaudited Pro Forma Condensed Combined Statement of Operations are based on Mereo’s and OncoMed’s historical financial information as adjusted to give effect to the Merger, which will be accounted for under the acquisition method of accounting, and the alignment of OncoMed’s accounting policies to those of Mereo, the accounting acquirer. The unaudited pro forma condensed combined statement of operations for the year ended December 31, 2018 and interim period ended June 30, 2019 give effect to the Merger as if it had occurred on January 1, 2018.</w:t>
      </w:r>
    </w:p>
    <w:p>
      <w:pPr>
        <w:spacing w:after="0" w:line="207"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OncoMed’s financial information—Currency Adjustment</w:t>
      </w:r>
    </w:p>
    <w:p>
      <w:pPr>
        <w:spacing w:after="0" w:line="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consolidated financial statements of OncoMed were presented in U.S. dollars. For purposes of preparing the Unaudited Pro Forma Condensed Combined Statement of Operations, the consolidated financial statements were translated from U.S. dollars to pound sterling, Mereo’s presentation currency, using the following exchange rates for the periods below, calculated from data obtained from the United States Federal Reserve.</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400" w:type="dxa"/>
            <w:vAlign w:val="bottom"/>
          </w:tcPr>
          <w:p>
            <w:pPr>
              <w:ind w:left="120"/>
              <w:spacing w:after="0"/>
              <w:rPr>
                <w:sz w:val="20"/>
                <w:szCs w:val="20"/>
                <w:color w:val="auto"/>
              </w:rPr>
            </w:pPr>
            <w:r>
              <w:rPr>
                <w:rFonts w:ascii="Arial" w:cs="Arial" w:eastAsia="Arial" w:hAnsi="Arial"/>
                <w:sz w:val="18"/>
                <w:szCs w:val="18"/>
                <w:color w:val="auto"/>
              </w:rPr>
              <w:t>Average Exchange Rate from January 1,</w:t>
            </w:r>
          </w:p>
        </w:tc>
        <w:tc>
          <w:tcPr>
            <w:tcW w:w="2820" w:type="dxa"/>
            <w:vAlign w:val="bottom"/>
          </w:tcPr>
          <w:p>
            <w:pPr>
              <w:ind w:left="20"/>
              <w:spacing w:after="0"/>
              <w:rPr>
                <w:sz w:val="20"/>
                <w:szCs w:val="20"/>
                <w:color w:val="auto"/>
              </w:rPr>
            </w:pPr>
            <w:r>
              <w:rPr>
                <w:rFonts w:ascii="Arial" w:cs="Arial" w:eastAsia="Arial" w:hAnsi="Arial"/>
                <w:sz w:val="18"/>
                <w:szCs w:val="18"/>
                <w:color w:val="auto"/>
              </w:rPr>
              <w:t>2018 to December 31, 2018</w:t>
            </w:r>
          </w:p>
        </w:tc>
        <w:tc>
          <w:tcPr>
            <w:tcW w:w="1120" w:type="dxa"/>
            <w:vAlign w:val="bottom"/>
          </w:tcPr>
          <w:p>
            <w:pPr>
              <w:jc w:val="right"/>
              <w:spacing w:after="0"/>
              <w:rPr>
                <w:sz w:val="20"/>
                <w:szCs w:val="20"/>
                <w:color w:val="auto"/>
              </w:rPr>
            </w:pPr>
            <w:r>
              <w:rPr>
                <w:rFonts w:ascii="Arial" w:cs="Arial" w:eastAsia="Arial" w:hAnsi="Arial"/>
                <w:sz w:val="18"/>
                <w:szCs w:val="18"/>
                <w:color w:val="auto"/>
              </w:rPr>
              <w:t>1.3363</w:t>
            </w:r>
          </w:p>
        </w:tc>
      </w:tr>
      <w:tr>
        <w:trPr>
          <w:trHeight w:val="229"/>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400" w:type="dxa"/>
            <w:vAlign w:val="bottom"/>
          </w:tcPr>
          <w:p>
            <w:pPr>
              <w:ind w:left="120"/>
              <w:spacing w:after="0"/>
              <w:rPr>
                <w:sz w:val="20"/>
                <w:szCs w:val="20"/>
                <w:color w:val="auto"/>
              </w:rPr>
            </w:pPr>
            <w:r>
              <w:rPr>
                <w:rFonts w:ascii="Arial" w:cs="Arial" w:eastAsia="Arial" w:hAnsi="Arial"/>
                <w:sz w:val="18"/>
                <w:szCs w:val="18"/>
                <w:color w:val="auto"/>
              </w:rPr>
              <w:t>Average Exchange Rate from January 1,</w:t>
            </w:r>
          </w:p>
        </w:tc>
        <w:tc>
          <w:tcPr>
            <w:tcW w:w="2820" w:type="dxa"/>
            <w:vAlign w:val="bottom"/>
          </w:tcPr>
          <w:p>
            <w:pPr>
              <w:ind w:left="20"/>
              <w:spacing w:after="0"/>
              <w:rPr>
                <w:sz w:val="20"/>
                <w:szCs w:val="20"/>
                <w:color w:val="auto"/>
              </w:rPr>
            </w:pPr>
            <w:r>
              <w:rPr>
                <w:rFonts w:ascii="Arial" w:cs="Arial" w:eastAsia="Arial" w:hAnsi="Arial"/>
                <w:sz w:val="18"/>
                <w:szCs w:val="18"/>
                <w:color w:val="auto"/>
              </w:rPr>
              <w:t>2019 to June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1.2941</w:t>
            </w:r>
          </w:p>
        </w:tc>
      </w:tr>
    </w:tbl>
    <w:p>
      <w:pPr>
        <w:spacing w:after="0" w:line="207"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OncoMed financial information—U.S. GAAP to IFRS Adjustment and Reclassifications</w:t>
      </w:r>
    </w:p>
    <w:p>
      <w:pPr>
        <w:spacing w:after="0" w:line="8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consolidated financial statements of OncoMed were prepared in accordance with U.S. GAAP. For the purposes of the Unaudited Pro Forma Condensed Combined Statement of Operations, certain adjustments have been made to convert the financial information of OncoMed from U.S. GAAP to IFRS as issued by the IASB (“IFRS Reclassification and Conversion Adjustments”).</w:t>
      </w:r>
    </w:p>
    <w:p>
      <w:pPr>
        <w:spacing w:after="0" w:line="20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January 1, 2019 OncoMed adopted ASC 842 (Leases). The nature and effect from the adoption of ASC 842 (Leases) within the historic financial information of OncoMed, as presented in the Unaudited Pro Forma Condensed Combined Statement of Operations, was a depreciation charge for the right-of-use asset within general and administrative expenditure of £0.4 million and a finance charge on the lease liability of £0.5 million. OncoMed’s lease portfolio is a single-leased premise, for which no IFRS Reclassification and Conversion Adjustment is required under IFRS 16 (Leases).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99"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A summary of the pro forma adjustments recognized within the Unaudited Pro Forma Condensed Combined Statement of Operations for the year ended December 31, 2018 and interim period ended June 30, 2019 are presented below, with reference by letter key:</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w:t>
            </w:r>
          </w:p>
        </w:tc>
        <w:tc>
          <w:tcPr>
            <w:tcW w:w="5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Year ended December 31, 2018</w:t>
            </w:r>
          </w:p>
        </w:tc>
        <w:tc>
          <w:tcPr>
            <w:tcW w:w="5180" w:type="dxa"/>
            <w:vAlign w:val="bottom"/>
          </w:tcPr>
          <w:p>
            <w:pPr>
              <w:spacing w:after="0"/>
              <w:rPr>
                <w:sz w:val="20"/>
                <w:szCs w:val="20"/>
                <w:color w:val="auto"/>
              </w:rPr>
            </w:pPr>
            <w:r>
              <w:rPr>
                <w:rFonts w:ascii="Arial" w:cs="Arial" w:eastAsia="Arial" w:hAnsi="Arial"/>
                <w:sz w:val="14"/>
                <w:szCs w:val="14"/>
                <w:b w:val="1"/>
                <w:bCs w:val="1"/>
                <w:i w:val="1"/>
                <w:iCs w:val="1"/>
                <w:color w:val="auto"/>
              </w:rPr>
              <w:t>Interim period ended June 30, 2019</w:t>
            </w:r>
          </w:p>
        </w:tc>
        <w:tc>
          <w:tcPr>
            <w:tcW w:w="0" w:type="dxa"/>
            <w:vAlign w:val="bottom"/>
          </w:tcPr>
          <w:p>
            <w:pPr>
              <w:spacing w:after="0"/>
              <w:rPr>
                <w:sz w:val="1"/>
                <w:szCs w:val="1"/>
                <w:color w:val="auto"/>
              </w:rPr>
            </w:pPr>
          </w:p>
        </w:tc>
      </w:tr>
      <w:tr>
        <w:trPr>
          <w:trHeight w:val="210"/>
        </w:trPr>
        <w:tc>
          <w:tcPr>
            <w:tcW w:w="340" w:type="dxa"/>
            <w:vAlign w:val="bottom"/>
            <w:vMerge w:val="continue"/>
          </w:tcPr>
          <w:p>
            <w:pPr>
              <w:spacing w:after="0"/>
              <w:rPr>
                <w:sz w:val="18"/>
                <w:szCs w:val="18"/>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provision</w:t>
            </w:r>
          </w:p>
        </w:tc>
        <w:tc>
          <w:tcPr>
            <w:tcW w:w="10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Restructuring provision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12255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2255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66"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OncoMed recorded restructuring costs for the year ended December 31, 2018 as a single line in its statement of operations, however, to align to the functional presentation of Mereo’s statement of operations, an adjustment has been made to reclassify OncoMed’s £1.4 million total expense from “Restructuring charges” to “Research and development expenses” and “General and administrative expenses” of £0.7 million and £0.7 million, respectively.</w:t>
      </w:r>
    </w:p>
    <w:p>
      <w:pPr>
        <w:spacing w:after="0" w:line="113" w:lineRule="exact"/>
        <w:rPr>
          <w:sz w:val="20"/>
          <w:szCs w:val="20"/>
          <w:color w:val="auto"/>
        </w:rPr>
      </w:pPr>
    </w:p>
    <w:p>
      <w:pPr>
        <w:ind w:left="460" w:hanging="344"/>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color w:val="auto"/>
        </w:rPr>
        <w:t>Share-based payment awards</w:t>
      </w:r>
    </w:p>
    <w:p>
      <w:pPr>
        <w:spacing w:after="0" w:line="76" w:lineRule="exact"/>
        <w:rPr>
          <w:rFonts w:ascii="Arial" w:cs="Arial" w:eastAsia="Arial" w:hAnsi="Arial"/>
          <w:sz w:val="18"/>
          <w:szCs w:val="18"/>
          <w:b w:val="1"/>
          <w:bCs w:val="1"/>
          <w:i w:val="1"/>
          <w:iCs w:val="1"/>
          <w:color w:val="auto"/>
        </w:rPr>
      </w:pPr>
    </w:p>
    <w:p>
      <w:pPr>
        <w:ind w:left="460" w:right="120"/>
        <w:spacing w:after="0" w:line="236" w:lineRule="auto"/>
        <w:rPr>
          <w:rFonts w:ascii="Arial" w:cs="Arial" w:eastAsia="Arial" w:hAnsi="Arial"/>
          <w:sz w:val="18"/>
          <w:szCs w:val="18"/>
          <w:b w:val="1"/>
          <w:bCs w:val="1"/>
          <w:i w:val="1"/>
          <w:iCs w:val="1"/>
          <w:color w:val="auto"/>
        </w:rPr>
      </w:pPr>
      <w:r>
        <w:rPr>
          <w:rFonts w:ascii="Arial" w:cs="Arial" w:eastAsia="Arial" w:hAnsi="Arial"/>
          <w:sz w:val="18"/>
          <w:szCs w:val="18"/>
          <w:color w:val="auto"/>
        </w:rPr>
        <w:t>OncoMed issued a number of share-based payment awards with graded vesting features that contain only a service condition. As permitted under U.S. GAAP, OncoMed made an accounting policy election to record compensation expense for these awards on a straight-line basis over the entire vesting term of the grant, however, IFRS as issued by the IASB requires that compensation expense be recorded to reflect the vesting as it occurs for each tranche/instalment within the grant over the vesting period of that tranche/instalment. As a result, and due to the number of cancellations and forfeitures of the share-based payment awards during the year ended December 31, 2018 for which expense was reversed, the amount of expense recorded under IFRS as issued by the IASB is lower.</w:t>
      </w:r>
    </w:p>
    <w:p>
      <w:pPr>
        <w:spacing w:after="0" w:line="67" w:lineRule="exact"/>
        <w:rPr>
          <w:rFonts w:ascii="Arial" w:cs="Arial" w:eastAsia="Arial" w:hAnsi="Arial"/>
          <w:sz w:val="18"/>
          <w:szCs w:val="18"/>
          <w:b w:val="1"/>
          <w:bCs w:val="1"/>
          <w:i w:val="1"/>
          <w:iCs w:val="1"/>
          <w:color w:val="auto"/>
        </w:rPr>
      </w:pPr>
    </w:p>
    <w:p>
      <w:pPr>
        <w:ind w:left="460" w:right="20"/>
        <w:spacing w:after="0" w:line="237" w:lineRule="auto"/>
        <w:rPr>
          <w:rFonts w:ascii="Arial" w:cs="Arial" w:eastAsia="Arial" w:hAnsi="Arial"/>
          <w:sz w:val="18"/>
          <w:szCs w:val="18"/>
          <w:b w:val="1"/>
          <w:bCs w:val="1"/>
          <w:i w:val="1"/>
          <w:iCs w:val="1"/>
          <w:color w:val="auto"/>
        </w:rPr>
      </w:pPr>
      <w:r>
        <w:rPr>
          <w:rFonts w:ascii="Arial" w:cs="Arial" w:eastAsia="Arial" w:hAnsi="Arial"/>
          <w:sz w:val="18"/>
          <w:szCs w:val="18"/>
          <w:color w:val="auto"/>
        </w:rPr>
        <w:t>Accordingly, a reduction of £0.9 million of expense has been reflected in “Research and development expenses” and a reduction of £0.9 million of expense has been reflected in “General and administrative expenses” in the Unaudited Pro Forma Condensed Combined Statement of Operations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660"/>
        <w:spacing w:after="0" w:line="257" w:lineRule="auto"/>
        <w:rPr>
          <w:sz w:val="20"/>
          <w:szCs w:val="20"/>
          <w:color w:val="auto"/>
        </w:rPr>
      </w:pPr>
      <w:r>
        <w:rPr>
          <w:rFonts w:ascii="Arial" w:cs="Arial" w:eastAsia="Arial" w:hAnsi="Arial"/>
          <w:sz w:val="17"/>
          <w:szCs w:val="17"/>
          <w:color w:val="auto"/>
        </w:rPr>
        <w:t>For the interim period ended June 30, 2019, OncoMed restructuring costs were presented within “Research and development expenses” and “General and administrative expenses”, with no reclassification adjustment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Share-based payment awards</w:t>
      </w:r>
    </w:p>
    <w:p>
      <w:pPr>
        <w:spacing w:after="0" w:line="7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Immediately prior to the closing of the Merger with OncoMed on April 23, 2019, all share-based payment awards were cancelled. The cancellation was a result of the Merger and was only effected because the Merger occurred. Therefore, the impact of the cancellation is directly attributable to the Merger and is deemed non-recurring. IFRS Reclassification and Conversion Adjustments therefore include:</w:t>
      </w:r>
    </w:p>
    <w:p>
      <w:pPr>
        <w:spacing w:after="0" w:line="68" w:lineRule="exact"/>
        <w:rPr>
          <w:sz w:val="20"/>
          <w:szCs w:val="20"/>
          <w:color w:val="auto"/>
        </w:rPr>
      </w:pPr>
    </w:p>
    <w:p>
      <w:pPr>
        <w:ind w:left="320" w:right="140" w:hanging="319"/>
        <w:spacing w:after="0" w:line="237" w:lineRule="auto"/>
        <w:tabs>
          <w:tab w:leader="none" w:pos="319" w:val="left"/>
        </w:tabs>
        <w:numPr>
          <w:ilvl w:val="0"/>
          <w:numId w:val="55"/>
        </w:numPr>
        <w:rPr>
          <w:rFonts w:ascii="MS PGothic" w:cs="MS PGothic" w:eastAsia="MS PGothic" w:hAnsi="MS PGothic"/>
          <w:sz w:val="13"/>
          <w:szCs w:val="13"/>
          <w:color w:val="auto"/>
        </w:rPr>
      </w:pPr>
      <w:r>
        <w:rPr>
          <w:rFonts w:ascii="Arial" w:cs="Arial" w:eastAsia="Arial" w:hAnsi="Arial"/>
          <w:sz w:val="18"/>
          <w:szCs w:val="18"/>
          <w:color w:val="auto"/>
        </w:rPr>
        <w:t>An amount of £1.4 million recognized (£0.7 million within “Research and development expenses” and the remaining £0.7 million within “General and administrative expenses”) relating to a share-based payment charge under IFRS 2 for the period within the interim period ended June 30, 2019 prior to the cancellation date on April 23, 2019; and</w:t>
      </w:r>
    </w:p>
    <w:p>
      <w:pPr>
        <w:spacing w:after="0" w:line="29" w:lineRule="exact"/>
        <w:rPr>
          <w:rFonts w:ascii="MS PGothic" w:cs="MS PGothic" w:eastAsia="MS PGothic" w:hAnsi="MS PGothic"/>
          <w:sz w:val="13"/>
          <w:szCs w:val="13"/>
          <w:color w:val="auto"/>
        </w:rPr>
      </w:pPr>
    </w:p>
    <w:p>
      <w:pPr>
        <w:ind w:left="320" w:right="140" w:hanging="319"/>
        <w:spacing w:after="0" w:line="253" w:lineRule="auto"/>
        <w:tabs>
          <w:tab w:leader="none" w:pos="319"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An amount of £3.7 million recognized (£1.85 million within “Research and development expenses” and the remaining £1.85 million within “General and administrative expenses”) relating to the cancellation of the share-based payment awards on April 23, 2019 and the resultant acceleration charge from the immediate vesting required under IFRS 2.</w:t>
      </w:r>
    </w:p>
    <w:p>
      <w:pPr>
        <w:spacing w:after="0" w:line="60"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£3.7 million recognized relating to the cancellation of the share-based payment awards on April 23, 2019 is a non-recurring charge that is directly attributable to the</w:t>
      </w:r>
    </w:p>
    <w:p>
      <w:pPr>
        <w:sectPr>
          <w:pgSz w:w="11900" w:h="16838" w:orient="portrait"/>
          <w:cols w:equalWidth="0" w:num="2">
            <w:col w:w="5840" w:space="120"/>
            <w:col w:w="5180"/>
          </w:cols>
          <w:pgMar w:left="320" w:top="459" w:right="4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651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0" w:hanging="344"/>
        <w:spacing w:after="0"/>
        <w:tabs>
          <w:tab w:leader="none" w:pos="4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color w:val="auto"/>
        </w:rPr>
        <w:t>Transaction costs</w:t>
      </w:r>
    </w:p>
    <w:p>
      <w:pPr>
        <w:spacing w:after="0" w:line="76" w:lineRule="exact"/>
        <w:rPr>
          <w:rFonts w:ascii="Arial" w:cs="Arial" w:eastAsia="Arial" w:hAnsi="Arial"/>
          <w:sz w:val="18"/>
          <w:szCs w:val="18"/>
          <w:b w:val="1"/>
          <w:bCs w:val="1"/>
          <w:i w:val="1"/>
          <w:iCs w:val="1"/>
          <w:color w:val="auto"/>
        </w:rPr>
      </w:pPr>
    </w:p>
    <w:p>
      <w:pPr>
        <w:ind w:left="460"/>
        <w:spacing w:after="0" w:line="238" w:lineRule="auto"/>
        <w:rPr>
          <w:rFonts w:ascii="Arial" w:cs="Arial" w:eastAsia="Arial" w:hAnsi="Arial"/>
          <w:sz w:val="18"/>
          <w:szCs w:val="18"/>
          <w:b w:val="1"/>
          <w:bCs w:val="1"/>
          <w:i w:val="1"/>
          <w:iCs w:val="1"/>
          <w:color w:val="auto"/>
        </w:rPr>
      </w:pPr>
      <w:r>
        <w:rPr>
          <w:rFonts w:ascii="Arial" w:cs="Arial" w:eastAsia="Arial" w:hAnsi="Arial"/>
          <w:sz w:val="18"/>
          <w:szCs w:val="18"/>
          <w:color w:val="auto"/>
        </w:rPr>
        <w:t>£2.4 million has been eliminated from “General and administrative expenses” within the Unaudited Pro Forma Condensed Combined Statement of Operations for the year ended December 31, 2018 which represents non-recurring transactions costs incurred in relation to the Merger.</w:t>
      </w:r>
    </w:p>
    <w:p>
      <w:pPr>
        <w:spacing w:after="0" w:line="108" w:lineRule="exact"/>
        <w:rPr>
          <w:sz w:val="20"/>
          <w:szCs w:val="20"/>
          <w:color w:val="auto"/>
        </w:rPr>
      </w:pPr>
    </w:p>
    <w:p>
      <w:pPr>
        <w:ind w:left="460" w:hanging="344"/>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color w:val="auto"/>
        </w:rPr>
        <w:t>Gain on bargain purchase</w:t>
      </w:r>
    </w:p>
    <w:p>
      <w:pPr>
        <w:spacing w:after="0" w:line="76" w:lineRule="exact"/>
        <w:rPr>
          <w:rFonts w:ascii="Arial" w:cs="Arial" w:eastAsia="Arial" w:hAnsi="Arial"/>
          <w:sz w:val="18"/>
          <w:szCs w:val="18"/>
          <w:b w:val="1"/>
          <w:bCs w:val="1"/>
          <w:i w:val="1"/>
          <w:iCs w:val="1"/>
          <w:color w:val="auto"/>
        </w:rPr>
      </w:pPr>
    </w:p>
    <w:p>
      <w:pPr>
        <w:ind w:left="460" w:right="440"/>
        <w:spacing w:after="0" w:line="246" w:lineRule="auto"/>
        <w:rPr>
          <w:rFonts w:ascii="Arial" w:cs="Arial" w:eastAsia="Arial" w:hAnsi="Arial"/>
          <w:sz w:val="18"/>
          <w:szCs w:val="18"/>
          <w:b w:val="1"/>
          <w:bCs w:val="1"/>
          <w:i w:val="1"/>
          <w:iCs w:val="1"/>
          <w:color w:val="auto"/>
        </w:rPr>
      </w:pPr>
      <w:r>
        <w:rPr>
          <w:rFonts w:ascii="Arial" w:cs="Arial" w:eastAsia="Arial" w:hAnsi="Arial"/>
          <w:sz w:val="18"/>
          <w:szCs w:val="18"/>
          <w:color w:val="auto"/>
        </w:rPr>
        <w:t>Not recognized in the year ended December 31, 2018 as the transaction closed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-448310</wp:posOffset>
            </wp:positionV>
            <wp:extent cx="6995160" cy="9601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hanging="344"/>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color w:val="auto"/>
        </w:rPr>
        <w:t>Weighted average shares</w:t>
      </w:r>
    </w:p>
    <w:p>
      <w:pPr>
        <w:spacing w:after="0" w:line="76" w:lineRule="exact"/>
        <w:rPr>
          <w:rFonts w:ascii="Arial" w:cs="Arial" w:eastAsia="Arial" w:hAnsi="Arial"/>
          <w:sz w:val="18"/>
          <w:szCs w:val="18"/>
          <w:b w:val="1"/>
          <w:bCs w:val="1"/>
          <w:i w:val="1"/>
          <w:iCs w:val="1"/>
          <w:color w:val="auto"/>
        </w:rPr>
      </w:pPr>
    </w:p>
    <w:p>
      <w:pPr>
        <w:ind w:left="460" w:righ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Represents the increase in the weighted average shares in connection with the issuance of 24,783,320 ordinary shares on April 23, 2019 to finance the acquisition.</w:t>
      </w:r>
    </w:p>
    <w:p>
      <w:pPr>
        <w:spacing w:after="0" w:line="67" w:lineRule="exact"/>
        <w:rPr>
          <w:rFonts w:ascii="Arial" w:cs="Arial" w:eastAsia="Arial" w:hAnsi="Arial"/>
          <w:sz w:val="18"/>
          <w:szCs w:val="18"/>
          <w:b w:val="1"/>
          <w:bCs w:val="1"/>
          <w:i w:val="1"/>
          <w:iCs w:val="1"/>
          <w:color w:val="auto"/>
        </w:rPr>
      </w:pPr>
    </w:p>
    <w:p>
      <w:pPr>
        <w:jc w:val="both"/>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2018).</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Interim period ended June 30, 2019</w:t>
      </w:r>
    </w:p>
    <w:p>
      <w:pPr>
        <w:spacing w:after="0" w:line="3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Merger. Therefore, the charge is an adjusting item within the Unaudited Pro Forma Condensed Combined Statement of Operations for the interim period ended June 30, 2019. of Operations as the charge is non-recurring and directly attributable to the Merger.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w:t>
      </w:r>
    </w:p>
    <w:p>
      <w:pPr>
        <w:spacing w:after="0" w:line="7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£6.5 million has been eliminated from “General and administrative expenses” within the Unaudited Pro Forma Condensed Combined Statement of Operations for the interim period ended June 30, 2019 which represents non-recurring transactions costs incurred in relation to the Merger.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Gain on bargain purchase</w:t>
      </w:r>
    </w:p>
    <w:p>
      <w:pPr>
        <w:spacing w:after="0" w:line="7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Upon the closing of the Merger of OncoMed, a gain on bargain purchase of £3.7 million was recognized. As this is a non-recurring gain that is directly attributable to the Merger, the gain is an adjusting item within the Pro Forma Condensed Combined Statement of Operations for the interim period ended June 30,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w:t>
      </w:r>
    </w:p>
    <w:p>
      <w:pPr>
        <w:spacing w:after="0" w:line="7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Represents the increase in the weighted average shares in connection with the issuance of 24,783,320 ordinary shares on April 23, 2019 to finance the acquisition.</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2019).</w:t>
      </w:r>
    </w:p>
    <w:p>
      <w:pPr>
        <w:sectPr>
          <w:pgSz w:w="11900" w:h="16838" w:orient="portrait"/>
          <w:cols w:equalWidth="0" w:num="2">
            <w:col w:w="5720" w:space="240"/>
            <w:col w:w="514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CONSOLIDATED FINANCIAL DATA OF MEREO</w:t>
      </w:r>
    </w:p>
    <w:p>
      <w:pPr>
        <w:spacing w:after="0" w:line="34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You should read the following selected consolidated financial data together with the audited consolidated financial statements, the unaudited interim consolidated financial statements and the sections titled “Unaudited Pro Forma Condensed Combined Financial Information” and “Management’s Discussion and Analysis of Financial Condition and Results of Operations.” We have derived the consolidated statement of comprehensive loss data for the years ended December 31, 2018, 2017 and 2016 and the consolidated balance sheet data as of December 31, 2018 and 2017 from our audited consolidated financial statements included elsewhere in this prospectus. Consolidated balance sheet data as of December 31, 2016 is derived from other consolidated financial statements not included in this prospectus. We have derived the unaudited consolidated statement of comprehensive loss data for the six-month periods ended June 30, 2019 and 2018 and the unaudited consolidated balance sheet data as of June 30, 2019 from our unaudited interim consolidated financial statements included elsewhere in this prospectus, which have been prepared in accordance with IAS 34 as issued by the IASB. Our historical results are not necessarily indicative of the results that should be expected for any future period.</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in the tables below into U.S. dollars at the noon buying rate of the Federal Reserve Bank of New York on June 28, 2019, which was £1.00 to $1.2704. These translations should not be considered representations that any such amounts have been, could have been or could be converted into U.S. dollars at that or any other exchange rate as of that or any other date.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11"/>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4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gridSpan w:val="2"/>
          </w:tcPr>
          <w:p>
            <w:pPr>
              <w:ind w:left="340"/>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bottom w:val="single" w:sz="8" w:color="auto"/>
            </w:tcBorders>
            <w:gridSpan w:val="2"/>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38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400" w:type="dxa"/>
            <w:vAlign w:val="bottom"/>
          </w:tcPr>
          <w:p>
            <w:pPr>
              <w:spacing w:after="0"/>
              <w:rPr>
                <w:sz w:val="13"/>
                <w:szCs w:val="13"/>
                <w:color w:val="auto"/>
              </w:rPr>
            </w:pPr>
          </w:p>
        </w:tc>
        <w:tc>
          <w:tcPr>
            <w:tcW w:w="8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w w:val="93"/>
              </w:rPr>
              <w:t>(£)</w:t>
            </w:r>
          </w:p>
        </w:tc>
        <w:tc>
          <w:tcPr>
            <w:tcW w:w="640" w:type="dxa"/>
            <w:vAlign w:val="bottom"/>
            <w:tcBorders>
              <w:bottom w:val="single" w:sz="8" w:color="auto"/>
            </w:tcBorders>
            <w:gridSpan w:val="3"/>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0" w:type="dxa"/>
            <w:vAlign w:val="bottom"/>
            <w:gridSpan w:val="19"/>
          </w:tcPr>
          <w:p>
            <w:pPr>
              <w:ind w:left="40"/>
              <w:spacing w:after="0" w:line="143" w:lineRule="exact"/>
              <w:rPr>
                <w:sz w:val="20"/>
                <w:szCs w:val="20"/>
                <w:color w:val="auto"/>
              </w:rPr>
            </w:pPr>
            <w:r>
              <w:rPr>
                <w:rFonts w:ascii="Arial" w:cs="Arial" w:eastAsia="Arial" w:hAnsi="Arial"/>
                <w:sz w:val="14"/>
                <w:szCs w:val="14"/>
                <w:b w:val="1"/>
                <w:bCs w:val="1"/>
                <w:color w:val="auto"/>
              </w:rPr>
              <w:t>(in thousands, except per ordinary share data)</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Comprehensive</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5"/>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Loss Data:</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Research and development expenses</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(24,563)</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(31,204)</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(34,607)</w:t>
            </w:r>
          </w:p>
        </w:tc>
        <w:tc>
          <w:tcPr>
            <w:tcW w:w="920" w:type="dxa"/>
            <w:vAlign w:val="bottom"/>
            <w:gridSpan w:val="5"/>
          </w:tcPr>
          <w:p>
            <w:pPr>
              <w:jc w:val="right"/>
              <w:ind w:right="160"/>
              <w:spacing w:after="0"/>
              <w:rPr>
                <w:sz w:val="20"/>
                <w:szCs w:val="20"/>
                <w:color w:val="auto"/>
              </w:rPr>
            </w:pPr>
            <w:r>
              <w:rPr>
                <w:rFonts w:ascii="Arial" w:cs="Arial" w:eastAsia="Arial" w:hAnsi="Arial"/>
                <w:sz w:val="14"/>
                <w:szCs w:val="14"/>
                <w:color w:val="auto"/>
              </w:rPr>
              <w:t>(43,964)</w:t>
            </w:r>
          </w:p>
        </w:tc>
        <w:tc>
          <w:tcPr>
            <w:tcW w:w="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(22,704)</w:t>
            </w:r>
          </w:p>
        </w:tc>
        <w:tc>
          <w:tcPr>
            <w:tcW w:w="800" w:type="dxa"/>
            <w:vAlign w:val="bottom"/>
            <w:gridSpan w:val="5"/>
          </w:tcPr>
          <w:p>
            <w:pPr>
              <w:jc w:val="right"/>
              <w:ind w:right="40"/>
              <w:spacing w:after="0"/>
              <w:rPr>
                <w:sz w:val="20"/>
                <w:szCs w:val="20"/>
                <w:color w:val="auto"/>
              </w:rPr>
            </w:pPr>
            <w:r>
              <w:rPr>
                <w:rFonts w:ascii="Arial" w:cs="Arial" w:eastAsia="Arial" w:hAnsi="Arial"/>
                <w:sz w:val="14"/>
                <w:szCs w:val="14"/>
                <w:color w:val="auto"/>
              </w:rPr>
              <w:t>(28,843)</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(10,864)</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(13,802)</w:t>
            </w:r>
          </w:p>
        </w:tc>
        <w:tc>
          <w:tcPr>
            <w:tcW w:w="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(11,918)</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(15,141)</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expenses</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(11,617)</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(14,758)</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(10,697)</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4"/>
                <w:szCs w:val="14"/>
                <w:color w:val="auto"/>
              </w:rPr>
              <w:t>(13,590)</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(12,505)</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(15,886)</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(7,102)</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(9,022)</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(8,209)</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Operating loss</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(36,180)</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(45,962)</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(45,304)</w:t>
            </w:r>
          </w:p>
        </w:tc>
        <w:tc>
          <w:tcPr>
            <w:tcW w:w="920" w:type="dxa"/>
            <w:vAlign w:val="bottom"/>
            <w:gridSpan w:val="5"/>
          </w:tcPr>
          <w:p>
            <w:pPr>
              <w:jc w:val="right"/>
              <w:ind w:right="160"/>
              <w:spacing w:after="0"/>
              <w:rPr>
                <w:sz w:val="20"/>
                <w:szCs w:val="20"/>
                <w:color w:val="auto"/>
              </w:rPr>
            </w:pPr>
            <w:r>
              <w:rPr>
                <w:rFonts w:ascii="Arial" w:cs="Arial" w:eastAsia="Arial" w:hAnsi="Arial"/>
                <w:sz w:val="14"/>
                <w:szCs w:val="14"/>
                <w:color w:val="auto"/>
              </w:rPr>
              <w:t>(57,554)</w:t>
            </w:r>
          </w:p>
        </w:tc>
        <w:tc>
          <w:tcPr>
            <w:tcW w:w="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(35,209)</w:t>
            </w:r>
          </w:p>
        </w:tc>
        <w:tc>
          <w:tcPr>
            <w:tcW w:w="800" w:type="dxa"/>
            <w:vAlign w:val="bottom"/>
            <w:gridSpan w:val="5"/>
          </w:tcPr>
          <w:p>
            <w:pPr>
              <w:jc w:val="right"/>
              <w:ind w:right="40"/>
              <w:spacing w:after="0"/>
              <w:rPr>
                <w:sz w:val="20"/>
                <w:szCs w:val="20"/>
                <w:color w:val="auto"/>
              </w:rPr>
            </w:pPr>
            <w:r>
              <w:rPr>
                <w:rFonts w:ascii="Arial" w:cs="Arial" w:eastAsia="Arial" w:hAnsi="Arial"/>
                <w:sz w:val="14"/>
                <w:szCs w:val="14"/>
                <w:color w:val="auto"/>
              </w:rPr>
              <w:t>(44,729)</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(17,966)</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(22,824)</w:t>
            </w:r>
          </w:p>
        </w:tc>
        <w:tc>
          <w:tcPr>
            <w:tcW w:w="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(18,380)</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(23,350)</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Net income recognized on acquisition of subsidiary</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14"/>
                <w:szCs w:val="14"/>
                <w:color w:val="auto"/>
              </w:rPr>
            </w:pP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Finance income</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375</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476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color w:val="auto"/>
              </w:rPr>
              <w:t>1,050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307</w:t>
            </w:r>
          </w:p>
        </w:tc>
        <w:tc>
          <w:tcPr>
            <w:tcW w:w="800" w:type="dxa"/>
            <w:vAlign w:val="bottom"/>
            <w:gridSpan w:val="5"/>
          </w:tcPr>
          <w:p>
            <w:pPr>
              <w:jc w:val="right"/>
              <w:ind w:right="80"/>
              <w:spacing w:after="0"/>
              <w:rPr>
                <w:sz w:val="20"/>
                <w:szCs w:val="20"/>
                <w:color w:val="auto"/>
              </w:rPr>
            </w:pPr>
            <w:r>
              <w:rPr>
                <w:rFonts w:ascii="Arial" w:cs="Arial" w:eastAsia="Arial" w:hAnsi="Arial"/>
                <w:sz w:val="14"/>
                <w:szCs w:val="14"/>
                <w:color w:val="auto"/>
              </w:rPr>
              <w:t>390</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151</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192</w:t>
            </w: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Finance charge</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(180)</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(228)</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(1,385)</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(2,999)</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(1,587)</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(1,454)</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(1,847)</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Net foreign exchange gain/(loss)</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2,263</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2,874</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(1,384)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color w:val="auto"/>
              </w:rPr>
              <w:t>(1,759)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(44)</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w w:val="96"/>
              </w:rPr>
              <w:t>(56)</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49</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(26)</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Net loss before tax</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(33,722)</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(42,840)</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(46,951)</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4"/>
                <w:szCs w:val="14"/>
                <w:color w:val="auto"/>
              </w:rPr>
              <w:t>(59,648)</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(37,307)</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(47,394)</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(19,353)</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(24,585)</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(23,734)</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Taxation</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5,331</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6,773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8,152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10,357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5,278</w:t>
            </w:r>
          </w:p>
        </w:tc>
        <w:tc>
          <w:tcPr>
            <w:tcW w:w="800" w:type="dxa"/>
            <w:vAlign w:val="bottom"/>
            <w:gridSpan w:val="5"/>
          </w:tcPr>
          <w:p>
            <w:pPr>
              <w:jc w:val="right"/>
              <w:ind w:right="80"/>
              <w:spacing w:after="0"/>
              <w:rPr>
                <w:sz w:val="20"/>
                <w:szCs w:val="20"/>
                <w:color w:val="auto"/>
              </w:rPr>
            </w:pPr>
            <w:r>
              <w:rPr>
                <w:rFonts w:ascii="Arial" w:cs="Arial" w:eastAsia="Arial" w:hAnsi="Arial"/>
                <w:sz w:val="14"/>
                <w:szCs w:val="14"/>
                <w:color w:val="auto"/>
              </w:rPr>
              <w:t>6,704</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2,365</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3,004</w:t>
            </w: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2,459</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3,123</w:t>
            </w:r>
          </w:p>
        </w:tc>
        <w:tc>
          <w:tcPr>
            <w:tcW w:w="100" w:type="dxa"/>
            <w:vAlign w:val="bottom"/>
          </w:tcPr>
          <w:p>
            <w:pPr>
              <w:spacing w:after="0"/>
              <w:rPr>
                <w:sz w:val="14"/>
                <w:szCs w:val="14"/>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Loss attributable to equity holders of Mereo</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(28,391)</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(36,067)</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(38,799)</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4"/>
                <w:szCs w:val="14"/>
                <w:color w:val="auto"/>
              </w:rPr>
              <w:t>(49,291)</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(32,029)</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(40,690)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(16,988)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(21,581)</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(20,611)</w:t>
            </w:r>
          </w:p>
        </w:tc>
      </w:tr>
      <w:tr>
        <w:trPr>
          <w:trHeight w:val="167"/>
        </w:trPr>
        <w:tc>
          <w:tcPr>
            <w:tcW w:w="3400" w:type="dxa"/>
            <w:vAlign w:val="bottom"/>
          </w:tcPr>
          <w:p>
            <w:pPr>
              <w:spacing w:after="0"/>
              <w:rPr>
                <w:sz w:val="20"/>
                <w:szCs w:val="20"/>
                <w:color w:val="auto"/>
              </w:rPr>
            </w:pPr>
            <w:r>
              <w:rPr>
                <w:rFonts w:ascii="Arial" w:cs="Arial" w:eastAsia="Arial" w:hAnsi="Arial"/>
                <w:sz w:val="14"/>
                <w:szCs w:val="14"/>
                <w:color w:val="auto"/>
              </w:rPr>
              <w:t>Fair value changes on investments held at fair</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3400" w:type="dxa"/>
            <w:vAlign w:val="bottom"/>
          </w:tcPr>
          <w:p>
            <w:pPr>
              <w:ind w:left="140"/>
              <w:spacing w:after="0" w:line="157" w:lineRule="exact"/>
              <w:rPr>
                <w:sz w:val="20"/>
                <w:szCs w:val="20"/>
                <w:color w:val="auto"/>
              </w:rPr>
            </w:pPr>
            <w:r>
              <w:rPr>
                <w:rFonts w:ascii="Arial" w:cs="Arial" w:eastAsia="Arial" w:hAnsi="Arial"/>
                <w:sz w:val="14"/>
                <w:szCs w:val="14"/>
                <w:color w:val="auto"/>
              </w:rPr>
              <w:t>value through OCI</w:t>
            </w:r>
          </w:p>
        </w:tc>
        <w:tc>
          <w:tcPr>
            <w:tcW w:w="82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gridSpan w:val="3"/>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88</w:t>
            </w:r>
          </w:p>
        </w:tc>
        <w:tc>
          <w:tcPr>
            <w:tcW w:w="6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3"/>
                <w:szCs w:val="13"/>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Currency translation of foreign operations</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Arial" w:cs="Arial" w:eastAsia="Arial" w:hAnsi="Arial"/>
                <w:sz w:val="14"/>
                <w:szCs w:val="14"/>
                <w:color w:val="auto"/>
              </w:rPr>
              <w:t>Total comprehensive loss attributable to equity</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3400" w:type="dxa"/>
            <w:vAlign w:val="bottom"/>
          </w:tcPr>
          <w:p>
            <w:pPr>
              <w:ind w:left="140"/>
              <w:spacing w:after="0" w:line="157" w:lineRule="exact"/>
              <w:rPr>
                <w:sz w:val="20"/>
                <w:szCs w:val="20"/>
                <w:color w:val="auto"/>
              </w:rPr>
            </w:pPr>
            <w:r>
              <w:rPr>
                <w:rFonts w:ascii="Arial" w:cs="Arial" w:eastAsia="Arial" w:hAnsi="Arial"/>
                <w:sz w:val="14"/>
                <w:szCs w:val="14"/>
                <w:color w:val="auto"/>
              </w:rPr>
              <w:t>holders of Mereo</w:t>
            </w:r>
          </w:p>
        </w:tc>
        <w:tc>
          <w:tcPr>
            <w:tcW w:w="82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(28,391)</w:t>
            </w:r>
          </w:p>
        </w:tc>
        <w:tc>
          <w:tcPr>
            <w:tcW w:w="6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w w:val="99"/>
              </w:rPr>
              <w:t>(36,067)</w:t>
            </w:r>
          </w:p>
        </w:tc>
        <w:tc>
          <w:tcPr>
            <w:tcW w:w="60" w:type="dxa"/>
            <w:vAlign w:val="bottom"/>
          </w:tcPr>
          <w:p>
            <w:pPr>
              <w:spacing w:after="0"/>
              <w:rPr>
                <w:sz w:val="13"/>
                <w:szCs w:val="13"/>
                <w:color w:val="auto"/>
              </w:rPr>
            </w:pPr>
          </w:p>
        </w:tc>
        <w:tc>
          <w:tcPr>
            <w:tcW w:w="5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(38,799)</w:t>
            </w:r>
          </w:p>
        </w:tc>
        <w:tc>
          <w:tcPr>
            <w:tcW w:w="920" w:type="dxa"/>
            <w:vAlign w:val="bottom"/>
            <w:gridSpan w:val="5"/>
          </w:tcPr>
          <w:p>
            <w:pPr>
              <w:jc w:val="right"/>
              <w:ind w:right="160"/>
              <w:spacing w:after="0" w:line="157" w:lineRule="exact"/>
              <w:rPr>
                <w:sz w:val="20"/>
                <w:szCs w:val="20"/>
                <w:color w:val="auto"/>
              </w:rPr>
            </w:pPr>
            <w:r>
              <w:rPr>
                <w:rFonts w:ascii="Arial" w:cs="Arial" w:eastAsia="Arial" w:hAnsi="Arial"/>
                <w:sz w:val="14"/>
                <w:szCs w:val="14"/>
                <w:color w:val="auto"/>
              </w:rPr>
              <w:t>(49,291)</w:t>
            </w:r>
          </w:p>
        </w:tc>
        <w:tc>
          <w:tcPr>
            <w:tcW w:w="40" w:type="dxa"/>
            <w:vAlign w:val="bottom"/>
          </w:tcPr>
          <w:p>
            <w:pPr>
              <w:spacing w:after="0"/>
              <w:rPr>
                <w:sz w:val="13"/>
                <w:szCs w:val="13"/>
                <w:color w:val="auto"/>
              </w:rPr>
            </w:pPr>
          </w:p>
        </w:tc>
        <w:tc>
          <w:tcPr>
            <w:tcW w:w="5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(32,029)</w:t>
            </w:r>
          </w:p>
        </w:tc>
        <w:tc>
          <w:tcPr>
            <w:tcW w:w="800" w:type="dxa"/>
            <w:vAlign w:val="bottom"/>
            <w:gridSpan w:val="5"/>
          </w:tcPr>
          <w:p>
            <w:pPr>
              <w:jc w:val="right"/>
              <w:ind w:right="40"/>
              <w:spacing w:after="0" w:line="157" w:lineRule="exact"/>
              <w:rPr>
                <w:sz w:val="20"/>
                <w:szCs w:val="20"/>
                <w:color w:val="auto"/>
              </w:rPr>
            </w:pPr>
            <w:r>
              <w:rPr>
                <w:rFonts w:ascii="Arial" w:cs="Arial" w:eastAsia="Arial" w:hAnsi="Arial"/>
                <w:sz w:val="14"/>
                <w:szCs w:val="14"/>
                <w:color w:val="auto"/>
              </w:rPr>
              <w:t>(40,690)</w:t>
            </w:r>
          </w:p>
        </w:tc>
        <w:tc>
          <w:tcPr>
            <w:tcW w:w="820" w:type="dxa"/>
            <w:vAlign w:val="bottom"/>
            <w:gridSpan w:val="2"/>
          </w:tcPr>
          <w:p>
            <w:pPr>
              <w:jc w:val="right"/>
              <w:ind w:right="28"/>
              <w:spacing w:after="0" w:line="157" w:lineRule="exact"/>
              <w:rPr>
                <w:sz w:val="20"/>
                <w:szCs w:val="20"/>
                <w:color w:val="auto"/>
              </w:rPr>
            </w:pPr>
            <w:r>
              <w:rPr>
                <w:rFonts w:ascii="Arial" w:cs="Arial" w:eastAsia="Arial" w:hAnsi="Arial"/>
                <w:sz w:val="14"/>
                <w:szCs w:val="14"/>
                <w:color w:val="auto"/>
              </w:rPr>
              <w:t>(16,988)</w:t>
            </w:r>
          </w:p>
        </w:tc>
        <w:tc>
          <w:tcPr>
            <w:tcW w:w="80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(21,581)</w:t>
            </w:r>
          </w:p>
        </w:tc>
        <w:tc>
          <w:tcPr>
            <w:tcW w:w="40" w:type="dxa"/>
            <w:vAlign w:val="bottom"/>
          </w:tcPr>
          <w:p>
            <w:pPr>
              <w:spacing w:after="0"/>
              <w:rPr>
                <w:sz w:val="13"/>
                <w:szCs w:val="13"/>
                <w:color w:val="auto"/>
              </w:rPr>
            </w:pP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(15,424)</w:t>
            </w:r>
          </w:p>
        </w:tc>
        <w:tc>
          <w:tcPr>
            <w:tcW w:w="78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(19,596)</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loss per ordinary share</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(0.63)</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(0.80)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(0.71)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(0.57)</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(0.30)</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(0.28)</w:t>
            </w:r>
          </w:p>
        </w:tc>
      </w:tr>
      <w:tr>
        <w:trPr>
          <w:trHeight w:val="405"/>
        </w:trPr>
        <w:tc>
          <w:tcPr>
            <w:tcW w:w="3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As of June 30,</w:t>
            </w:r>
          </w:p>
        </w:tc>
      </w:tr>
      <w:tr>
        <w:trPr>
          <w:trHeight w:val="155"/>
        </w:trPr>
        <w:tc>
          <w:tcPr>
            <w:tcW w:w="3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Borders>
              <w:top w:val="single" w:sz="8" w:color="auto"/>
              <w:bottom w:val="single" w:sz="8" w:color="auto"/>
            </w:tcBorders>
            <w:gridSpan w:val="5"/>
          </w:tcPr>
          <w:p>
            <w:pPr>
              <w:jc w:val="right"/>
              <w:ind w:right="20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340"/>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508"/>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3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gridSpan w:val="7"/>
          </w:tcPr>
          <w:p>
            <w:pPr>
              <w:jc w:val="right"/>
              <w:ind w:right="488"/>
              <w:spacing w:after="0" w:line="155"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Cash and short-term deposits and short-term investments</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53,578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68,065</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52,545</w:t>
            </w:r>
          </w:p>
        </w:tc>
        <w:tc>
          <w:tcPr>
            <w:tcW w:w="4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63,577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8"/>
              <w:spacing w:after="0"/>
              <w:rPr>
                <w:sz w:val="20"/>
                <w:szCs w:val="20"/>
                <w:color w:val="auto"/>
              </w:rPr>
            </w:pPr>
            <w:r>
              <w:rPr>
                <w:rFonts w:ascii="Arial" w:cs="Arial" w:eastAsia="Arial" w:hAnsi="Arial"/>
                <w:sz w:val="14"/>
                <w:szCs w:val="14"/>
                <w:color w:val="auto"/>
              </w:rPr>
              <w:t>27,541</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34,989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36,118</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45,884</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8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86,765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110,226</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96,335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122,385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67,276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85,468</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107,141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136,112</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Issued capital</w:t>
            </w:r>
          </w:p>
        </w:tc>
        <w:tc>
          <w:tcPr>
            <w:tcW w:w="82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193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245</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213</w:t>
            </w:r>
          </w:p>
        </w:tc>
        <w:tc>
          <w:tcPr>
            <w:tcW w:w="4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271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8"/>
              <w:spacing w:after="0"/>
              <w:rPr>
                <w:sz w:val="20"/>
                <w:szCs w:val="20"/>
                <w:color w:val="auto"/>
              </w:rPr>
            </w:pPr>
            <w:r>
              <w:rPr>
                <w:rFonts w:ascii="Arial" w:cs="Arial" w:eastAsia="Arial" w:hAnsi="Arial"/>
                <w:sz w:val="14"/>
                <w:szCs w:val="14"/>
                <w:color w:val="auto"/>
              </w:rPr>
              <w:t>214</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272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294</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373</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Share premium</w:t>
            </w:r>
          </w:p>
        </w:tc>
        <w:tc>
          <w:tcPr>
            <w:tcW w:w="8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99,975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127,009</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118,227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150,196</w:t>
            </w:r>
          </w:p>
        </w:tc>
        <w:tc>
          <w:tcPr>
            <w:tcW w:w="112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rPr>
              <w:t>118,492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150,532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121,684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154,588</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Accumulated loss</w:t>
            </w:r>
          </w:p>
        </w:tc>
        <w:tc>
          <w:tcPr>
            <w:tcW w:w="82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4"/>
                <w:szCs w:val="14"/>
                <w:color w:val="auto"/>
              </w:rPr>
              <w:t>(40,579)</w:t>
            </w:r>
          </w:p>
        </w:tc>
        <w:tc>
          <w:tcPr>
            <w:tcW w:w="120" w:type="dxa"/>
            <w:vAlign w:val="bottom"/>
          </w:tcPr>
          <w:p>
            <w:pPr>
              <w:spacing w:after="0"/>
              <w:rPr>
                <w:sz w:val="14"/>
                <w:szCs w:val="14"/>
                <w:color w:val="auto"/>
              </w:rPr>
            </w:pPr>
          </w:p>
        </w:tc>
        <w:tc>
          <w:tcPr>
            <w:tcW w:w="1540" w:type="dxa"/>
            <w:vAlign w:val="bottom"/>
            <w:gridSpan w:val="8"/>
          </w:tcPr>
          <w:p>
            <w:pPr>
              <w:jc w:val="right"/>
              <w:spacing w:after="0"/>
              <w:rPr>
                <w:sz w:val="20"/>
                <w:szCs w:val="20"/>
                <w:color w:val="auto"/>
              </w:rPr>
            </w:pPr>
            <w:r>
              <w:rPr>
                <w:rFonts w:ascii="Arial" w:cs="Arial" w:eastAsia="Arial" w:hAnsi="Arial"/>
                <w:sz w:val="14"/>
                <w:szCs w:val="14"/>
                <w:color w:val="auto"/>
              </w:rPr>
              <w:t>(51,552)   (79,316)</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(100,763)</w:t>
            </w:r>
          </w:p>
        </w:tc>
        <w:tc>
          <w:tcPr>
            <w:tcW w:w="1120" w:type="dxa"/>
            <w:vAlign w:val="bottom"/>
            <w:gridSpan w:val="5"/>
          </w:tcPr>
          <w:p>
            <w:pPr>
              <w:jc w:val="right"/>
              <w:ind w:right="228"/>
              <w:spacing w:after="0"/>
              <w:rPr>
                <w:sz w:val="20"/>
                <w:szCs w:val="20"/>
                <w:color w:val="auto"/>
              </w:rPr>
            </w:pPr>
            <w:r>
              <w:rPr>
                <w:rFonts w:ascii="Arial" w:cs="Arial" w:eastAsia="Arial" w:hAnsi="Arial"/>
                <w:sz w:val="14"/>
                <w:szCs w:val="14"/>
                <w:color w:val="auto"/>
              </w:rPr>
              <w:t>(111,221)</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(141,295)</w:t>
            </w:r>
          </w:p>
        </w:tc>
        <w:tc>
          <w:tcPr>
            <w:tcW w:w="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(127,356)</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(161,794)</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Total equity</w:t>
            </w:r>
          </w:p>
        </w:tc>
        <w:tc>
          <w:tcPr>
            <w:tcW w:w="8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79,257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100,688</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62,483</w:t>
            </w:r>
          </w:p>
        </w:tc>
        <w:tc>
          <w:tcPr>
            <w:tcW w:w="4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79,379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32,771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41,632</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59,031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74,994</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Total liabilities</w:t>
            </w:r>
          </w:p>
        </w:tc>
        <w:tc>
          <w:tcPr>
            <w:tcW w:w="820" w:type="dxa"/>
            <w:vAlign w:val="bottom"/>
          </w:tcPr>
          <w:p>
            <w:pPr>
              <w:spacing w:after="0"/>
              <w:rPr>
                <w:sz w:val="14"/>
                <w:szCs w:val="14"/>
                <w:color w:val="auto"/>
              </w:rPr>
            </w:pPr>
          </w:p>
        </w:tc>
        <w:tc>
          <w:tcPr>
            <w:tcW w:w="860" w:type="dxa"/>
            <w:vAlign w:val="bottom"/>
            <w:gridSpan w:val="5"/>
          </w:tcPr>
          <w:p>
            <w:pPr>
              <w:jc w:val="right"/>
              <w:spacing w:after="0"/>
              <w:rPr>
                <w:sz w:val="20"/>
                <w:szCs w:val="20"/>
                <w:color w:val="auto"/>
              </w:rPr>
            </w:pPr>
            <w:r>
              <w:rPr>
                <w:rFonts w:ascii="Arial" w:cs="Arial" w:eastAsia="Arial" w:hAnsi="Arial"/>
                <w:sz w:val="14"/>
                <w:szCs w:val="14"/>
                <w:color w:val="auto"/>
              </w:rPr>
              <w:t>7,508(1)</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9,538</w:t>
            </w:r>
          </w:p>
        </w:tc>
        <w:tc>
          <w:tcPr>
            <w:tcW w:w="1260" w:type="dxa"/>
            <w:vAlign w:val="bottom"/>
            <w:gridSpan w:val="6"/>
          </w:tcPr>
          <w:p>
            <w:pPr>
              <w:jc w:val="right"/>
              <w:ind w:right="248"/>
              <w:spacing w:after="0"/>
              <w:rPr>
                <w:sz w:val="20"/>
                <w:szCs w:val="20"/>
                <w:color w:val="auto"/>
              </w:rPr>
            </w:pPr>
            <w:r>
              <w:rPr>
                <w:rFonts w:ascii="Arial" w:cs="Arial" w:eastAsia="Arial" w:hAnsi="Arial"/>
                <w:sz w:val="14"/>
                <w:szCs w:val="14"/>
                <w:color w:val="auto"/>
              </w:rPr>
              <w:t>33,852(2)</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43,006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34,505(3)</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43,836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48,110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61,119</w:t>
            </w:r>
          </w:p>
        </w:tc>
      </w:tr>
      <w:tr>
        <w:trPr>
          <w:trHeight w:val="162"/>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Total equity and liabilities</w:t>
            </w:r>
          </w:p>
        </w:tc>
        <w:tc>
          <w:tcPr>
            <w:tcW w:w="8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86,765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110,226</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96,335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122,385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67,276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85,468</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107,141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136,113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4" w:lineRule="exact"/>
        <w:rPr>
          <w:sz w:val="20"/>
          <w:szCs w:val="20"/>
          <w:color w:val="auto"/>
        </w:rPr>
      </w:pPr>
    </w:p>
    <w:p>
      <w:pPr>
        <w:ind w:left="540" w:right="120" w:hanging="424"/>
        <w:spacing w:after="0" w:line="241"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£3.1 million ($3.9 million) aggregate principal amount of, and accrued interest on, the Novartis Notes. See “Related Party Transactions—Other Transactions with Novartis—Novartis Notes.”</w:t>
      </w:r>
    </w:p>
    <w:p>
      <w:pPr>
        <w:ind w:left="540" w:right="120" w:hanging="424"/>
        <w:spacing w:after="0" w:line="241"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£2.0 million ($2.5 million) aggregate principal amount of, and accrued interest on, the Novartis Notes. See “Related Party Transactions—Other Transactions with Novartis—Novartis Notes.”</w:t>
      </w:r>
    </w:p>
    <w:p>
      <w:pPr>
        <w:ind w:left="540" w:right="120" w:hanging="424"/>
        <w:spacing w:after="0" w:line="258"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£2.0 million ($2.5 million) aggregate principal amount of, and accrued interest on, the Novartis Notes. See “Related Party Transactions—Other Transactions with Novartis—Novartis Notes.”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2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in “Selected Consolidated Financial Data of Mereo,” the audited consolidated financial statements, the unaudited interim consolidated financial statements and the section titled “Unaudited Pro Forma Condensed Combined Financial Information.” The following discussion is based on our financial information prepared in accordance with IFRS as issued by the IASB (and, in particular, our unaudited interim consolidated financial statements have been prepared in accordance with IAS 34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financial statements are presented in pounds sterling.</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7"/>
          <w:szCs w:val="17"/>
          <w:color w:val="auto"/>
        </w:rPr>
        <w:t>We are a biopharmaceutical company focused on the development and commercialization of innovative therapeutics that aim to improve outcomes for patients with rare diseases. Our strategy is to build a portfolio of rare disease product candidates acquired from pharmaceutical and large biotechnology companies and to develop these through regulatory approval and subsequent commercialization.</w:t>
      </w:r>
    </w:p>
    <w:p>
      <w:pPr>
        <w:spacing w:after="0" w:line="18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existing portfolio consists of five clinical-stage product candidates. Our rare and orphan disease product candidates, setrusumab for the treatment of OI and alvelestat for the treatment of severe AATD, represent an attractive development and commercialization opportunity for us. Each of our rare disease product candidates has generated positive clinical data for its target indication or for a related indication.</w:t>
      </w:r>
    </w:p>
    <w:p>
      <w:pPr>
        <w:spacing w:after="0" w:line="205"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We plan to partner or sell our existing non-rare disease product candidates, which include acumapimod for the treatment of AECOPD, leflutrozole for the treatment of HH in obese men and etigilimab for the treatment of solid tumors, recognizing the need for a larger sales infrastructure and greater resources to take these product candidates to market.</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strategy is to selectively acquire product candidates for rare diseases that have already received significant investment from pharmaceutical and large biotechnology companies and that have substantial pre-clinical, clinical, and manufacturing data packages, with a focus on rare bone, endocrine, and respiratory diseases. Since our formation in March 2015, we have successfully executed on this strategy by acquiring our five clinical-stage product candidates, four of which were acquired from large pharmaceutical companies and one of which we recently acquired in the Merger. We also acquired a second clinical-stage product candidate in the Merger, which we have out-licensed to a third party. We aim to efficiently develop our product candidates through clinical development, and have commenced or completed large, randomized Phase 2 clinical trials for four of our product candidates.</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do not have any approved product candidates and, as a result, have not generated any revenue from product sales. Our ability to generate revenue sufficient to achieve profitability will depend on our successful development and eventual commercialization of our rare disease product candidates, if approved, and our ability to complete partnering deals in respect of our non-rare disease product candidates. Since our inception, we have incurred significant operating losses. We had net losses of £16.2 million in the six months ended June 30, 2019 (£17.0 million in the six months ended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2018), and £32.0 million, £38.8 million and £28.4 million, in the years ended December 31, 2018, 2017 and 2016, respectively.</w:t>
      </w:r>
    </w:p>
    <w:p>
      <w:pPr>
        <w:ind w:left="120"/>
        <w:spacing w:after="0"/>
        <w:rPr>
          <w:sz w:val="20"/>
          <w:szCs w:val="20"/>
          <w:color w:val="auto"/>
        </w:rPr>
      </w:pPr>
      <w:r>
        <w:rPr>
          <w:rFonts w:ascii="Arial" w:cs="Arial" w:eastAsia="Arial" w:hAnsi="Arial"/>
          <w:sz w:val="18"/>
          <w:szCs w:val="18"/>
          <w:color w:val="auto"/>
        </w:rPr>
        <w:t>As of June 30, 2019, we had an accumulated net loss of £127.4 million (£111.2 million as of December 31, 2018).</w:t>
      </w:r>
    </w:p>
    <w:p>
      <w:pPr>
        <w:spacing w:after="0" w:line="21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expect to continue to incur significant expenses and operating losses for the foreseeable future as we advance the clinical and manufacturing development of our rare disease product candidates and seek regulatory approval. If approved, we also expect to incur significant commercialization expenses related to product manufacturing, marketing, sales, and distribution.</w:t>
      </w:r>
    </w:p>
    <w:p>
      <w:pPr>
        <w:spacing w:after="0" w:line="20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For our non-rare disease product candidates, including etigilimab (which we acquired from OncoMed), we expect to incur further costs in respect of completing development programs, further regulatory and scientific advice and, if approved, manufacturing, as well as costs associated with seeking suitable partnerships or negotiating possible sales.</w:t>
      </w:r>
    </w:p>
    <w:p>
      <w:pPr>
        <w:spacing w:after="0" w:line="20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We also expect to incur expenses in connection with the in-license or acquisition of additional product candidates and the potential clinical development of any such product candidates.</w:t>
      </w:r>
    </w:p>
    <w:p>
      <w:pPr>
        <w:spacing w:after="0" w:line="19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Furthermore, we became a U.S. public company listed on the Nasdaq upon closing of the Merger. We expect to incur additional costs associated with operating as a newly public company in the U.S. listed on the Nasdaq in addition to operating as a U.K. public company traded on AIM, including significant legal, accounting, investor relations, and other expenses that we did not previously incur prior to the Merger. Following the Merger, whilst OncoMed had significantly restructured its cost base ahead of the Merger, we expect to incur additional costs in relation to OncoMed, including operating costs relating to the Redwood City site.</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or other commercialization revenues, if ever, in respect of our rare disease product candidates or through partnering deals in the case of our non-rare disease product candidates, we will seek to finance our operations through a combination of public or private equity or debt financings or other sources. We may also seek to sell or out-license one or more of our non-rare disease product candidates. Adequate additional financing may not be available to us on acceptable terms, or at all. Our inability to raise capital as and when needed would have a negative impact on our financial condition and our ability to pursue our business strategy and to continue as a going concern. We will need to generate significant revenue to achieve profitability, and we may never do so.</w:t>
      </w:r>
    </w:p>
    <w:p>
      <w:pPr>
        <w:spacing w:after="0" w:line="208" w:lineRule="exact"/>
        <w:rPr>
          <w:sz w:val="20"/>
          <w:szCs w:val="20"/>
          <w:color w:val="auto"/>
        </w:rPr>
      </w:pPr>
    </w:p>
    <w:p>
      <w:pPr>
        <w:ind w:left="120" w:right="40" w:firstLine="440"/>
        <w:spacing w:after="0" w:line="252" w:lineRule="auto"/>
        <w:rPr>
          <w:sz w:val="20"/>
          <w:szCs w:val="20"/>
          <w:color w:val="auto"/>
        </w:rPr>
      </w:pPr>
      <w:r>
        <w:rPr>
          <w:rFonts w:ascii="Arial" w:cs="Arial" w:eastAsia="Arial" w:hAnsi="Arial"/>
          <w:sz w:val="17"/>
          <w:szCs w:val="17"/>
          <w:color w:val="auto"/>
        </w:rPr>
        <w:t>We were incorporated in March 2015 and are headquartered in London, United Kingdom. Since April 24, 2019, our ADSs have traded on Nasdaq under the symbol “MREO” and since June 9, 2016, our shares have traded on AIM under the symbol “MPH.” Since our formation through December 31, 2019, we have raised a total of £102.9 million in gross proceeds from private and public placements of our ordinary shares to institutional investors, £0.3 million from a placement of our ordinary shares to retail investors and exercised share options, $50.8 million from cash and short-term investments acquired in the Merger and £3.5 million from the issuance of the Novartis Notes (part of which were converted into ordinary shares in April 2017, and the remainder of which were converted into ordinary shares in June 2019). In August 2017, we also entered into a credit facility in the amount of £20.0 million which was fully drawn as at June 30, 2019 and December 31, 2018. As at June 30, 2019 our aggregate cash, short-term deposits and short-term investments were £36.1 million.</w:t>
      </w:r>
    </w:p>
    <w:p>
      <w:pPr>
        <w:spacing w:after="0" w:line="194"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We are organized into a single segment following management’s view of the business as a single portfolio of product candidates. Research and development expenses are monitored at a product level; however, decisions over resource allocation are made at an overall portfolio level. Our financing is managed and monitored on a consolidated basis.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 Purchase Agreements with Novartis</w:t>
      </w:r>
    </w:p>
    <w:p>
      <w:pPr>
        <w:spacing w:after="0" w:line="9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205"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connection with the acquisition of the Novartis Assets, we issued 3,849,000 of our ordinary shares to Novartis pursuant to a subscription agreement. See “Related Party Transactions— Subscription Agreement.” In addition, we paid Novartis $1.5 million for a payment made by Novartis to a third party in full satisfaction of all monetary obligations of Novartis to such third party with respect to acumapimod. 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w:t>
      </w:r>
    </w:p>
    <w:p>
      <w:pPr>
        <w:spacing w:after="0" w:line="19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5"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We have also agreed to pay Novartis up to $ 3.25 million in development and regulatory milestones, and to use commercially reasonable efforts to develop and commercialize an Antibody Product Candidate.</w:t>
      </w:r>
    </w:p>
    <w:p>
      <w:pPr>
        <w:spacing w:after="0" w:line="205"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See “Business—Material Agreements—Novartis Agreements” for additional information on the agreements entered into with Novartis.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 with AstraZeneca</w:t>
      </w:r>
    </w:p>
    <w:p>
      <w:pPr>
        <w:spacing w:after="0" w:line="8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October 2017, our wholly-owned subsidiary Mereo BioPharma 4 Limited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w:t>
      </w:r>
    </w:p>
    <w:p>
      <w:pPr>
        <w:spacing w:after="0" w:line="20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Upon entering into the License Agreement, we made an upfront payment of $3.0 million to AstraZeneca in cash and issued 490,798 new ordinary shares for an aggregate upfront payment equal to $5.0 million. In connection with certain development and regulatory milestones, we have agreed to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make payments of up to $115.5 million in the aggregate and issue additional ordinary shares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 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“Business—Material Agreements—AstraZeneca Agreement” for additional information.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agreement with Oncologie</w:t>
      </w:r>
    </w:p>
    <w:p>
      <w:pPr>
        <w:spacing w:after="0" w:line="99"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On January 13, 2020, we entered into a global license agreement with Oncologie for the development and commercialization of Navi, an anti-DLL4/VEGF bispecific antibody currently being evaluated in an ongoing Phase 1b study in combination with paclitaxel in patients with advanced heavily pretreated ovarian cancer, which we acquired in connection with the Merger.</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“Business—Material Agreements—Licensing Agreement for Navicixizumab” for additional information.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Agreement with OncoMed</w:t>
      </w:r>
    </w:p>
    <w:p>
      <w:pPr>
        <w:spacing w:after="0" w:line="85" w:lineRule="exact"/>
        <w:rPr>
          <w:sz w:val="20"/>
          <w:szCs w:val="20"/>
          <w:color w:val="auto"/>
        </w:rPr>
      </w:pPr>
    </w:p>
    <w:p>
      <w:pPr>
        <w:ind w:left="120" w:right="200" w:firstLine="440"/>
        <w:spacing w:after="0" w:line="248" w:lineRule="auto"/>
        <w:rPr>
          <w:sz w:val="20"/>
          <w:szCs w:val="20"/>
          <w:color w:val="auto"/>
        </w:rPr>
      </w:pPr>
      <w:r>
        <w:rPr>
          <w:rFonts w:ascii="Arial" w:cs="Arial" w:eastAsia="Arial" w:hAnsi="Arial"/>
          <w:sz w:val="17"/>
          <w:szCs w:val="17"/>
          <w:color w:val="auto"/>
        </w:rPr>
        <w:t>On April 23, 2019 we closed the Merger, pursuant to which an indirect, wholly-owned subsidiary of ours was merged with and into OncoMed, with OncoMed continuing as the surviving corporation in the Merger and our indirect, wholly-owned subsidiary. Upon the closing of the Merger, we issued 24,783,320 ordinary shares and OncoMed stockholders received, in exchange for each share of OncoMed common stock owned immediately prior to the Merger: (1) 0.127694 ADSs, each representing five of our ordinary shares, and</w:t>
      </w:r>
    </w:p>
    <w:p>
      <w:pPr>
        <w:spacing w:after="0" w:line="2" w:lineRule="exact"/>
        <w:rPr>
          <w:sz w:val="20"/>
          <w:szCs w:val="20"/>
          <w:color w:val="auto"/>
        </w:rPr>
      </w:pPr>
    </w:p>
    <w:p>
      <w:pPr>
        <w:ind w:left="120" w:right="60" w:hanging="4"/>
        <w:spacing w:after="0" w:line="238" w:lineRule="auto"/>
        <w:tabs>
          <w:tab w:leader="none" w:pos="3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 contingent value right per OncoMed stockholder, each representing the right to receive contingent consideration upon the achievement of certain milestones relating to certain OncoMed product candidates. Immediately following the effective time of the Merger, former OncoMed stockholders owned 25.8% of our issued share capital on an undiluted basis. In connection with the Merger, we also entered into certain agreements for the benefit of former OncoMed stockholders. See “Business—Material Agreements—CVR Agreement Between Us and Computershare.”</w:t>
      </w:r>
    </w:p>
    <w:p>
      <w:pPr>
        <w:spacing w:after="0" w:line="20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combination of our biopharmaceutical portfolio of four product candidates with OncoMed’s lead product candidate has created a diversified combined portfolio, resulting in an increased number of potential near-term catalysts while our core focus remains on our strategy to develop and commercialize product candidates for rare diseases. In addition, the cash position of the combined company provided us with extended operational possibilities, with the potential for additional opportunities to arise by way of partnering deals with respect to our non-orphan product candidates and OncoMed’s etigilimab product candidate. Finally our Nasdaq listing, obtained in connection with the Merger, in addition to our existing AIM trading, provides a diversified international shareholder base for us following the Merger.</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closing of the Merger on April 23, 2019 affects the comparability of our financial condition and results of operations as of and for the financial periods discussed in this prospectus. In particular, our consolidated statement of comprehensive loss for the six months ended June 30, 2019 includes the results of OncoMed for over two months on a fully consolidated basis (compared to no months in the six months ended June 30, 2018). In addition, unless otherwise noted, the discussion and analysis contained below on our operations as of and for the year ended December 31, 2018, exclude the impact of the acquisition of OncoMed. The unaudited pro forma condensed combined financial</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included elsewhere in this prospectus gives effect to the Merger as if it had occurred on January 1, 2018.</w:t>
      </w:r>
    </w:p>
    <w:p>
      <w:pPr>
        <w:spacing w:after="0" w:line="21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Merger qualified as a business combination (as defined in IFRS 3) in our unaudited interim consolidated financial statements for the six months ended June 30, 2019, included elsewhere in this prospectus. Accordingly, in this section we refer to the Merger as a merger and as an acquisition interchangeably.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discussion of the risks relating to the Merger, see “Risk Factors—Risks Related to the Merger.”</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99"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We do not currently have any approved product candidates. Accordingly, we have not generated any revenue and do not expect to do so unless we obtain regulatory approval and commercialize any of our product candidates or until we receive revenues from collaborations with third parties, neither of which may occur.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expenses include:</w:t>
      </w:r>
    </w:p>
    <w:p>
      <w:pPr>
        <w:spacing w:after="0" w:line="239" w:lineRule="exact"/>
        <w:rPr>
          <w:sz w:val="20"/>
          <w:szCs w:val="20"/>
          <w:color w:val="auto"/>
        </w:rPr>
      </w:pPr>
    </w:p>
    <w:p>
      <w:pPr>
        <w:ind w:left="980" w:right="980" w:hanging="432"/>
        <w:spacing w:after="0" w:line="218" w:lineRule="auto"/>
        <w:tabs>
          <w:tab w:leader="none" w:pos="9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employee-related expenses, such as salaries, share-based compensation, and other benefits, for our research and development personnel;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for production of drug substance and drug product and development of our manufacturing processes by CMOs;</w:t>
      </w:r>
    </w:p>
    <w:p>
      <w:pPr>
        <w:spacing w:after="0" w:line="26" w:lineRule="exact"/>
        <w:rPr>
          <w:rFonts w:ascii="MS PGothic" w:cs="MS PGothic" w:eastAsia="MS PGothic" w:hAnsi="MS PGothic"/>
          <w:sz w:val="25"/>
          <w:szCs w:val="25"/>
          <w:color w:val="auto"/>
          <w:vertAlign w:val="superscript"/>
        </w:rPr>
      </w:pPr>
    </w:p>
    <w:p>
      <w:pPr>
        <w:ind w:left="980" w:right="900" w:hanging="432"/>
        <w:spacing w:after="0" w:line="218" w:lineRule="auto"/>
        <w:tabs>
          <w:tab w:leader="none" w:pos="9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fees and other costs paid to CROs, consultants, and other suppliers to conduct our clinical trials and pre-clinical and non-clinical studies; and</w:t>
      </w:r>
    </w:p>
    <w:p>
      <w:pPr>
        <w:spacing w:after="0" w:line="27"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of facilities, materials, and equipment related to drug production and our clinical trials and pre-clinical and non-clinical studies.</w:t>
      </w:r>
    </w:p>
    <w:p>
      <w:pPr>
        <w:spacing w:after="0" w:line="203"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7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We expect that our research and development expense will increase substantially as we continue to advance the clinical development of our product candidates, including through our ongoing Phase 2b clinical trial of setrusumab in adults and our planned pivotal trial of setrusumab in children, and our ongoing Phase 2 proof-of-concept trial for alvelestat; hire additional clinical, scientific, and commercial personnel; and acquire or in-license future product candidates and technologies. As a result, we expect our research and development expenses will increase for the foreseeable future.</w:t>
      </w:r>
    </w:p>
    <w:p>
      <w:pPr>
        <w:spacing w:after="0" w:line="208"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Our future expenditure on developing our product candidates is therefore highly uncertain. This is due to numerous risks and uncertainties associated with developing our product candidates, including the uncertainty of:</w:t>
      </w:r>
    </w:p>
    <w:p>
      <w:pPr>
        <w:spacing w:after="0" w:line="188" w:lineRule="exact"/>
        <w:rPr>
          <w:sz w:val="20"/>
          <w:szCs w:val="20"/>
          <w:color w:val="auto"/>
        </w:rPr>
      </w:pPr>
    </w:p>
    <w:p>
      <w:pPr>
        <w:ind w:left="980" w:hanging="432"/>
        <w:spacing w:after="0"/>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rate of progress, and expense of our research and development activities;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progress and results of our clinical trials and our pre-clinical and non-clinical studies;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and timing of regulatory approvals, if any;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arrangements with our third-party manufacturers to obtain manufacturing supply;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protection of our rights in our intellectual property portfolio;</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of commercial sales of any of our product candidates, if approved, whether alone or in collaboration with others;</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 party strategic relationships for clinical development and/or commercialization of our non-rare product candidates and performance of our strategic partners under these arrangements;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 if any, of one or more of our non-rare disease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acceptance of any of our product candidates, if approved, by patients, the medical community and payors at our desired pricing levels;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competition with other therapies;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continued acceptable safety profile of any of our product candidates following approval.</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9"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Our general and administrative expenses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the Merger with OncoMed, our requirements of being a public company quoted on AIM and listed on Nasdaq and costs incurred relating to the issue of equity to the extent not capitalized, including the costs associated with the cancelled offering of our ADSs and ordinary shares in early 2018.</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expect that our general and administrative costs will increase in the future as our business expands and we increase our headcount to support the planned growth in our operating activities. These increases will likely include increased costs related to the hiring of additional personnel and fees to outside consultants, lawyers and accountants, among other expenses. In addition, we expect to continue to grant share-based compensation awards to existing and future key management personnel and other employees. Additionally, we anticipate increased costs associated with being a U.S. public company, including expenses related to services associated with maintaining compliance with Nasdaq rules and SEC requirements, director compensation, insurance, and investor relation costs. If any of our product candidates that we intend to directly commercialize or co-commercialize obtains regulatory approval, we expect that we will incur expenses associated with building a sales and marketing team.</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Finance income consists of interest earned on our short-term cash deposits.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Charge</w:t>
      </w:r>
    </w:p>
    <w:p>
      <w:pPr>
        <w:spacing w:after="0" w:line="85"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Finance charge consists of interest on the Novartis Notes (part of which were converted into ordinary shares in April 2017, and the remainder of which were converted into ordinary shares in June 2019), interest on our credit facility, losses on short-term cash deposits and finance charges on lease liabilities following the adoption of IFRS 16 (Leases) on January 1, 2019. For further information on the terms of the Novartis Notes and our credit facility see “—Liquidity and Capital Resources—Indebtedness.”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85"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Our functional currency is pound sterling. We initially record transactions in foreign currencies at the rate ruling on the date the transaction first qualifies for recognition. Net foreign exchange gain/(loss) consists of the difference arising on settlement or translation of our foreign currencies, which are primarily held in U.S. dollars.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formation. As at December 31, 2018 and 2017, we had cumulative carryforward tax losses of £50.6 million and £36.0 million, respectively. Our cumulative carryforward tax losses are expected to increase throughout 2019. Subject to any relevant restrictions, we expect these to be available to carry forward and offset against future operating profits. As a company that carries out extensive research and development (“R&amp;D”) activities, we benefit from the U.K. R&amp;D small or medium-sized enterprise tax credit regime and are able to surrender some of our trading losses that arise from our research and development activities for a cash rebate of up to 33.35% of eligible R&amp;D expenditure. Qualifying expenditures largely comprise employment costs for research staff, subcontracted CRO and CMO costs, consumables and certain internal overhead costs incurred as part of research projects. Certain subcontracted qualifying research expenditures are eligible for a cash rebate of up to 21.67%. We may not be able to continue to claim payable R&amp;D tax credits in the future because we may no longer qualify as a small or medium-sized company.</w:t>
      </w:r>
    </w:p>
    <w:p>
      <w:pPr>
        <w:spacing w:after="0" w:line="20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from April 1, 2013.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At December 31, 2018, OncoMed had federal net operating loss carryforwards related to the 2018 tax year, amounting to $39.1 million which carryforward indefinitely and $228.6 million, which relate to prior taxable years, that begin to expire in 2023. At December 31, 2018, OncoMed had state net operating loss carryforwards of $97.2 million, which begin to expire in 2028, if not utilized. At December 31, 2018, OncoMed also had federal and California research and development credit carryforwards aggregating approximately $25.4 million and $19.8 million, respectively. The federal credits will expire in 2025, if not utilized. California research and development credits have no expiration date. At December 31, 2018, OncoMed also had federal orphan drug credit and Alternative Minimum Tax (“AMT”) carryforwards of approximately $39.3 million and $1.5 million, respectively. The federal orphan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drug credits will begin to expire in 2034, if not utilized. A U.S. federal tax refund in respect of the AMT carryforward of approximately $1.3 million was subsequently received in August 2019, following closing of the Merger.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The following table sets forth our results of operations for the years ended December 31, 2018, 2017 and 2016 and for the six months ended June 30, 2019 and 2018.</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27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23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0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73"/>
              <w:spacing w:after="0" w:line="155"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60" w:type="dxa"/>
            <w:vAlign w:val="bottom"/>
            <w:gridSpan w:val="4"/>
          </w:tcPr>
          <w:p>
            <w:pPr>
              <w:jc w:val="right"/>
              <w:ind w:right="813"/>
              <w:spacing w:after="0" w:line="143" w:lineRule="exact"/>
              <w:rPr>
                <w:sz w:val="20"/>
                <w:szCs w:val="20"/>
                <w:color w:val="auto"/>
              </w:rPr>
            </w:pPr>
            <w:r>
              <w:rPr>
                <w:rFonts w:ascii="Arial" w:cs="Arial" w:eastAsia="Arial" w:hAnsi="Arial"/>
                <w:sz w:val="14"/>
                <w:szCs w:val="14"/>
                <w:b w:val="1"/>
                <w:bCs w:val="1"/>
                <w:color w:val="auto"/>
              </w:rPr>
              <w:t>(in thousands of pounds)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6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8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(24,563)</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(34,607)</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(22,704)</w:t>
            </w:r>
          </w:p>
        </w:tc>
        <w:tc>
          <w:tcPr>
            <w:tcW w:w="15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(10,864)</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(11,918)</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(11,617)</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(10,697)</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(12,505)</w:t>
            </w:r>
          </w:p>
        </w:tc>
        <w:tc>
          <w:tcPr>
            <w:tcW w:w="150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(7,102)</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(6,462)</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8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(36,180)</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(45,304)</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(35,209)</w:t>
            </w:r>
          </w:p>
        </w:tc>
        <w:tc>
          <w:tcPr>
            <w:tcW w:w="15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(17,966)</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(18,380)</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Net income recognized on acquisition of subsidiary</w:t>
            </w: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1,035</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375</w:t>
            </w:r>
          </w:p>
        </w:tc>
        <w:tc>
          <w:tcPr>
            <w:tcW w:w="9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827</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307</w:t>
            </w:r>
          </w:p>
        </w:tc>
        <w:tc>
          <w:tcPr>
            <w:tcW w:w="150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151</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(180)</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(1,090)</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(2,361)</w:t>
            </w:r>
          </w:p>
        </w:tc>
        <w:tc>
          <w:tcPr>
            <w:tcW w:w="150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(1,587)</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(1,454)</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2,263</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(1,384)</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w:t>
            </w:r>
          </w:p>
        </w:tc>
        <w:tc>
          <w:tcPr>
            <w:tcW w:w="150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Net loss before tax</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(33,722)</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(46,951)</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(37,307)</w:t>
            </w:r>
          </w:p>
        </w:tc>
        <w:tc>
          <w:tcPr>
            <w:tcW w:w="150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(19,353)</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(18,682)</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5,331</w:t>
            </w:r>
          </w:p>
        </w:tc>
        <w:tc>
          <w:tcPr>
            <w:tcW w:w="9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8,152</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5,278</w:t>
            </w:r>
          </w:p>
        </w:tc>
        <w:tc>
          <w:tcPr>
            <w:tcW w:w="150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2,365</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2,459</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Loss attributable to equity holders of Mereo</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(28,391)</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(38,799)</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(32,029)</w:t>
            </w:r>
          </w:p>
        </w:tc>
        <w:tc>
          <w:tcPr>
            <w:tcW w:w="150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(16,988)</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(16,223)</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changes on investments held at fair value through OCI</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Currency translation of foreign operations</w:t>
            </w: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711</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Mereo</w:t>
            </w:r>
          </w:p>
        </w:tc>
        <w:tc>
          <w:tcPr>
            <w:tcW w:w="8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(28,391)</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(38,799)</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(32,029)</w:t>
            </w:r>
          </w:p>
        </w:tc>
        <w:tc>
          <w:tcPr>
            <w:tcW w:w="15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(16,988)</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(15,424)</w:t>
            </w: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85"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As indicated above, the comparability of our results of operations for the six months ended June 30, 2019 and 2018 has been affected by the completion of the Merger on April 23, 2019.</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candidate development program for the six months ended June 30, 2019 and 2018.</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58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 of pounds)</w:t>
            </w:r>
          </w:p>
        </w:tc>
        <w:tc>
          <w:tcPr>
            <w:tcW w:w="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800" w:type="dxa"/>
            <w:vAlign w:val="bottom"/>
            <w:gridSpan w:val="3"/>
          </w:tcPr>
          <w:p>
            <w:pPr>
              <w:jc w:val="center"/>
              <w:ind w:left="656"/>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6,799</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1,725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3,515</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1,492</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Navi</w:t>
            </w:r>
          </w:p>
        </w:tc>
        <w:tc>
          <w:tcPr>
            <w:tcW w:w="1800" w:type="dxa"/>
            <w:vAlign w:val="bottom"/>
            <w:gridSpan w:val="3"/>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Etigilimab</w:t>
            </w:r>
          </w:p>
        </w:tc>
        <w:tc>
          <w:tcPr>
            <w:tcW w:w="1800" w:type="dxa"/>
            <w:vAlign w:val="bottom"/>
            <w:gridSpan w:val="3"/>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GITR-Fc(1)</w:t>
            </w:r>
          </w:p>
        </w:tc>
        <w:tc>
          <w:tcPr>
            <w:tcW w:w="1800" w:type="dxa"/>
            <w:vAlign w:val="bottom"/>
            <w:gridSpan w:val="3"/>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Unallocated costs</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1,586</w:t>
            </w: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1,397</w:t>
            </w: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research and development expenses</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10,864</w:t>
            </w:r>
          </w:p>
        </w:tc>
        <w:tc>
          <w:tcPr>
            <w:tcW w:w="6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11,918</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980" w:right="380" w:hanging="432"/>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research and development expenses incurred by OncoMed in connection with its Glucocorticoid-induced tumor necrosis factor receptor-related protein (GITR) ligand therapeutic candidate, GITRL-Fc. Development of this candidate was subsequently ceased.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total research and development expenses increased by £1.1 million, or 9.7%, from £10.9 million for the six months ended June 30, 2018 to £11.9 million for the six months ended June 30, 2019. This was due to the costs associated with the studies for setrusumab and alvelestat for a full period together with costs associated with the OncoMed programs in the period from the closing of the Merger in April 2019 to June 30, 2019. Total research and development expenses included payments we made to CROs and other suppliers for the ongoing clinical development of each of setrusumab and alvelestat and for the programs acquired from OncoMed.</w:t>
      </w:r>
    </w:p>
    <w:p>
      <w:pPr>
        <w:spacing w:after="0" w:line="202"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Direct research and development expenses related to setrusumab increased by £ 3.2 million, from £3.6 million for the six months ended June 30, 2018 to £ 6.8 million in the six months ended June 30, 2019, principally due to an increase in costs relating to the manufacture of additional clinical trial supplies in 2019.</w:t>
      </w:r>
    </w:p>
    <w:p>
      <w:pPr>
        <w:spacing w:after="0" w:line="203"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Direct research and development expenses for alvelestat increased by £1.1 million from £0.7 million for the six months ended June 30, 2018 to £1.7 million in the six months ended June 30, 2019, with 2019 reflecting a full period of costs relating to the Phase 2 study for alvelestat which commenced in 2018.</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Direct research and development expenses related to leflutrozole decreased by £ 2.8 million, from £3.5 million for the six months ended June 30, 2018 to £0.7 million in the six months ended June 30, 2019, principally due to the completion of the Phase 2 study in early 2019.</w:t>
      </w:r>
    </w:p>
    <w:p>
      <w:pPr>
        <w:spacing w:after="0" w:line="203" w:lineRule="exact"/>
        <w:rPr>
          <w:sz w:val="20"/>
          <w:szCs w:val="20"/>
          <w:color w:val="auto"/>
        </w:rPr>
      </w:pPr>
    </w:p>
    <w:p>
      <w:pPr>
        <w:ind w:left="120" w:right="220" w:firstLine="440"/>
        <w:spacing w:after="0" w:line="274" w:lineRule="auto"/>
        <w:rPr>
          <w:sz w:val="20"/>
          <w:szCs w:val="20"/>
          <w:color w:val="auto"/>
        </w:rPr>
      </w:pPr>
      <w:r>
        <w:rPr>
          <w:rFonts w:ascii="Arial" w:cs="Arial" w:eastAsia="Arial" w:hAnsi="Arial"/>
          <w:sz w:val="17"/>
          <w:szCs w:val="17"/>
          <w:color w:val="auto"/>
        </w:rPr>
        <w:t>Direct research and development expenses related to acumapimod decreased by £1.2 million, from £1.5 million for the six months ended June 30, 2018 to £0.3 million in the six months ended June 30, 2019, principally due to the completion of the study in 2018.</w:t>
      </w:r>
    </w:p>
    <w:p>
      <w:pPr>
        <w:spacing w:after="0" w:line="175"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Direct research and development expenses related to Navi were £0.5 million in the period from the closing of the Merger in April 2019 to June 30, 2019.</w:t>
      </w:r>
    </w:p>
    <w:p>
      <w:pPr>
        <w:spacing w:after="0" w:line="197"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Unallocated research and development expenses consisted primarily of costs related to employees and associated payroll costs, including costs related to external research and development contractors that are not specific to any of our product candidates. These costs decreased by £0.2 million, from £1.6 million for the six months ended June 30, 2018 to £1.4 million for the six months ended June 30, 2019.</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left="120" w:right="140" w:firstLine="440"/>
        <w:spacing w:after="0" w:line="274" w:lineRule="auto"/>
        <w:rPr>
          <w:sz w:val="20"/>
          <w:szCs w:val="20"/>
          <w:color w:val="auto"/>
        </w:rPr>
      </w:pPr>
      <w:r>
        <w:rPr>
          <w:rFonts w:ascii="Arial" w:cs="Arial" w:eastAsia="Arial" w:hAnsi="Arial"/>
          <w:sz w:val="17"/>
          <w:szCs w:val="17"/>
          <w:color w:val="auto"/>
        </w:rPr>
        <w:t>General and administrative expenses decreased by £0.6 million, or 9.0%, from £7.1 million for the six months ended June 30, 2018 to £6.5 million for the six months ended June 30, 2019. This decrease was primarily due to higher one-off professional fees in 2018.</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recognized on acquisition of subsidiary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OncoMed was acquired for an amount less than the fair market value of the net assets acquired on the date of acquisition, a gain</w:t>
      </w:r>
    </w:p>
    <w:p>
      <w:pPr>
        <w:ind w:left="120"/>
        <w:spacing w:after="0" w:line="234" w:lineRule="auto"/>
        <w:rPr>
          <w:sz w:val="20"/>
          <w:szCs w:val="20"/>
          <w:color w:val="auto"/>
        </w:rPr>
      </w:pPr>
      <w:r>
        <w:rPr>
          <w:rFonts w:ascii="Arial" w:cs="Arial" w:eastAsia="Arial" w:hAnsi="Arial"/>
          <w:sz w:val="18"/>
          <w:szCs w:val="18"/>
          <w:color w:val="auto"/>
        </w:rPr>
        <w:t>on bargain purchase of £3.7 million was realized (recognized net against the acquisition transaction costs within the consolidated</w:t>
      </w:r>
    </w:p>
    <w:p>
      <w:pPr>
        <w:ind w:left="120"/>
        <w:spacing w:after="0" w:line="235" w:lineRule="auto"/>
        <w:rPr>
          <w:sz w:val="20"/>
          <w:szCs w:val="20"/>
          <w:color w:val="auto"/>
        </w:rPr>
      </w:pPr>
      <w:r>
        <w:rPr>
          <w:rFonts w:ascii="Arial" w:cs="Arial" w:eastAsia="Arial" w:hAnsi="Arial"/>
          <w:sz w:val="18"/>
          <w:szCs w:val="18"/>
          <w:color w:val="auto"/>
        </w:rPr>
        <w:t>statement of comprehensive loss). See Note 4 to our unaudited interim consolidated financial statements for the six months ended</w:t>
      </w:r>
    </w:p>
    <w:p>
      <w:pPr>
        <w:ind w:left="120"/>
        <w:spacing w:after="0" w:line="235" w:lineRule="auto"/>
        <w:rPr>
          <w:sz w:val="20"/>
          <w:szCs w:val="20"/>
          <w:color w:val="auto"/>
        </w:rPr>
      </w:pPr>
      <w:r>
        <w:rPr>
          <w:rFonts w:ascii="Arial" w:cs="Arial" w:eastAsia="Arial" w:hAnsi="Arial"/>
          <w:sz w:val="18"/>
          <w:szCs w:val="18"/>
          <w:color w:val="auto"/>
        </w:rPr>
        <w:t>June 30, 2019, included elsewhere in this prospectus, for an explanation on the calculation of this gain. Further, £2.7 million of acquisition</w:t>
      </w:r>
    </w:p>
    <w:p>
      <w:pPr>
        <w:ind w:left="120"/>
        <w:spacing w:after="0" w:line="235" w:lineRule="auto"/>
        <w:rPr>
          <w:sz w:val="20"/>
          <w:szCs w:val="20"/>
          <w:color w:val="auto"/>
        </w:rPr>
      </w:pPr>
      <w:r>
        <w:rPr>
          <w:rFonts w:ascii="Arial" w:cs="Arial" w:eastAsia="Arial" w:hAnsi="Arial"/>
          <w:sz w:val="18"/>
          <w:szCs w:val="18"/>
          <w:color w:val="auto"/>
        </w:rPr>
        <w:t>related transaction costs were incurred in connection with the acquisition (recognized net against the gain on bargain purchase within the</w:t>
      </w:r>
    </w:p>
    <w:p>
      <w:pPr>
        <w:ind w:left="120"/>
        <w:spacing w:after="0" w:line="235" w:lineRule="auto"/>
        <w:rPr>
          <w:sz w:val="20"/>
          <w:szCs w:val="20"/>
          <w:color w:val="auto"/>
        </w:rPr>
      </w:pPr>
      <w:r>
        <w:rPr>
          <w:rFonts w:ascii="Arial" w:cs="Arial" w:eastAsia="Arial" w:hAnsi="Arial"/>
          <w:sz w:val="18"/>
          <w:szCs w:val="18"/>
          <w:color w:val="auto"/>
        </w:rPr>
        <w:t>consolidated statement of comprehensive income). Therefore, the net income recognized on acquisition of OncoMed amounted to £1.0</w:t>
      </w:r>
    </w:p>
    <w:p>
      <w:pPr>
        <w:ind w:left="120"/>
        <w:spacing w:after="0"/>
        <w:rPr>
          <w:sz w:val="20"/>
          <w:szCs w:val="20"/>
          <w:color w:val="auto"/>
        </w:rPr>
      </w:pPr>
      <w:r>
        <w:rPr>
          <w:rFonts w:ascii="Arial" w:cs="Arial" w:eastAsia="Arial" w:hAnsi="Arial"/>
          <w:sz w:val="18"/>
          <w:szCs w:val="18"/>
          <w:color w:val="auto"/>
        </w:rPr>
        <w:t>million.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Income</w:t>
      </w:r>
    </w:p>
    <w:p>
      <w:pPr>
        <w:spacing w:after="0" w:line="122"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Interest earned on our short-term cash deposits amounted to £0.1 million in the six months ended June 30, 2019 and decreased by approximately 9.0% from the interest earned in the six months ended June 30, 2018, reflecting lower balances held on deposit during the period.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Charge</w:t>
      </w:r>
    </w:p>
    <w:p>
      <w:pPr>
        <w:spacing w:after="0" w:line="122" w:lineRule="exact"/>
        <w:rPr>
          <w:sz w:val="20"/>
          <w:szCs w:val="20"/>
          <w:color w:val="auto"/>
        </w:rPr>
      </w:pPr>
    </w:p>
    <w:p>
      <w:pPr>
        <w:jc w:val="both"/>
        <w:ind w:left="120" w:right="140" w:firstLine="440"/>
        <w:spacing w:after="0" w:line="274" w:lineRule="auto"/>
        <w:rPr>
          <w:sz w:val="20"/>
          <w:szCs w:val="20"/>
          <w:color w:val="auto"/>
        </w:rPr>
      </w:pPr>
      <w:r>
        <w:rPr>
          <w:rFonts w:ascii="Arial" w:cs="Arial" w:eastAsia="Arial" w:hAnsi="Arial"/>
          <w:sz w:val="17"/>
          <w:szCs w:val="17"/>
          <w:color w:val="auto"/>
        </w:rPr>
        <w:t>Finance charge decreased by £0.1 million from £1.6 million in the six months ended June 30, 2018 to £1.5 million in the six months ended June 30, 2019, as a result of lower costs related to the Novartis Notes after their full conversion into ordinary shares in June 2019.</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9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candidate development program for the years ended December 31, 2018 and 2017.</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38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2017</w:t>
            </w:r>
          </w:p>
        </w:tc>
        <w:tc>
          <w:tcPr>
            <w:tcW w:w="15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2340" w:type="dxa"/>
            <w:vAlign w:val="bottom"/>
            <w:gridSpan w:val="3"/>
          </w:tcPr>
          <w:p>
            <w:pPr>
              <w:jc w:val="right"/>
              <w:ind w:right="230"/>
              <w:spacing w:after="0" w:line="155" w:lineRule="exact"/>
              <w:rPr>
                <w:sz w:val="20"/>
                <w:szCs w:val="20"/>
                <w:color w:val="auto"/>
              </w:rPr>
            </w:pPr>
            <w:r>
              <w:rPr>
                <w:rFonts w:ascii="Arial" w:cs="Arial" w:eastAsia="Arial" w:hAnsi="Arial"/>
                <w:sz w:val="14"/>
                <w:szCs w:val="14"/>
                <w:b w:val="1"/>
                <w:bCs w:val="1"/>
                <w:color w:val="auto"/>
              </w:rPr>
              <w:t>(in thousands of pounds)</w:t>
            </w:r>
          </w:p>
        </w:tc>
        <w:tc>
          <w:tcPr>
            <w:tcW w:w="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13,380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11,304</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3,722</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10,801</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5,091</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10,014</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7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40" w:type="dxa"/>
            <w:vAlign w:val="bottom"/>
            <w:shd w:val="clear" w:color="auto" w:fill="CCEEFF"/>
          </w:tcPr>
          <w:p>
            <w:pPr>
              <w:spacing w:after="0"/>
              <w:rPr>
                <w:sz w:val="17"/>
                <w:szCs w:val="17"/>
                <w:color w:val="auto"/>
              </w:rPr>
            </w:pPr>
          </w:p>
        </w:tc>
      </w:tr>
      <w:tr>
        <w:trPr>
          <w:trHeight w:val="209"/>
        </w:trPr>
        <w:tc>
          <w:tcPr>
            <w:tcW w:w="79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34,607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22,704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Our total research and development expenses decreased by £11.9 million, or 34.4%, from £34.6 million in 2017 to £22.7 million in 2018. This was a result of the focus in 2018 on our two orphan product candidate development programs and the completion of two Phase 2 clinical trials for two of our product candidates, acumapimod and leflutrozole.</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Total research and development expenses included payments we made to CROs and other suppliers for the ongoing clinical development of each of setrusumab and alvelestat and for completing the clinical trials of acumapimod and leflutrozole. Clinical trial costs decreased from £22.8 million in 2017 to £14.9 million in 2018. Additionally, our research and development employee-related costs decreased from £4.3 million in 2017 to £2.9 million in 2018, reflecting lower share-based payment charges in 2018 and partially offset by higher payroll expenses.</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Our payments to CMOs for the provision of drug substance and drug product and associated manufacturing development to support our clinical trials and further development and scale-up activities associated with our setrusumab monoclonal antibody manufacturing development decreased from £7.3 million in 2017 to £4.2 million in 2018, reflecting higher costs related to the manufacture of clinical trial supplies for our ongoing setrusumab adults study in 2017.</w:t>
      </w:r>
    </w:p>
    <w:p>
      <w:pPr>
        <w:spacing w:after="0" w:line="205"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Direct research and development expenses related to setrusumab decreased by £ 2.1 million, from £ 13.4 million in 2017 to £11.3 million in 2018, due to higher costs in 2017 related to the transfer of production of setrusumab from Novartis to our CMO, manufacture of clinical trial supplies in preparation for the start of the adult Phase 2b trial and a full year of clinical costs relating to this trial.</w:t>
      </w:r>
    </w:p>
    <w:p>
      <w:pPr>
        <w:spacing w:after="0" w:line="205"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Direct research and development expenses for alvelestat increased by £3.7 million, due to the commencement of the Phase 2 study during the year.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Direct research and development expenses related to leflutrozole decreased by £5.7 million, from £10.8 million in 2017 to £5.1 million in 2018, due to the completion of the main part of the Phase 2 trial during 2018.</w:t>
      </w:r>
    </w:p>
    <w:p>
      <w:pPr>
        <w:spacing w:after="0" w:line="197"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Direct research and development expenses related to acumapimod decreased by £7.7 million, from £10.0 million in 2017 to £2.3 million in 2018, due to the completion of the Phase 2 trial in the first half of 2018.</w:t>
      </w:r>
    </w:p>
    <w:p>
      <w:pPr>
        <w:spacing w:after="0" w:line="197" w:lineRule="exact"/>
        <w:rPr>
          <w:sz w:val="20"/>
          <w:szCs w:val="20"/>
          <w:color w:val="auto"/>
        </w:rPr>
      </w:pPr>
    </w:p>
    <w:p>
      <w:pPr>
        <w:jc w:val="both"/>
        <w:ind w:left="120" w:right="320" w:firstLine="440"/>
        <w:spacing w:after="0"/>
        <w:rPr>
          <w:sz w:val="20"/>
          <w:szCs w:val="20"/>
          <w:color w:val="auto"/>
        </w:rPr>
      </w:pPr>
      <w:r>
        <w:rPr>
          <w:rFonts w:ascii="Arial" w:cs="Arial" w:eastAsia="Arial" w:hAnsi="Arial"/>
          <w:sz w:val="18"/>
          <w:szCs w:val="18"/>
          <w:color w:val="auto"/>
        </w:rPr>
        <w:t>Unallocated research and development expenses consisted primarily of costs related to employees and associated payroll costs, including costs related to external research and development contractors that are not specific to any of our product candidates. These costs decreased by £0.1 million, from £0.4 million in 2017 to £0.3 million in 2018.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5"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General and administrative expenses increased by £1.8 million, or 16.8%, from £10.7 million in 2017 to £12.5 million in 2018. This increase was primarily due to an increase in our total professional fees, which was partially offset by a decrease in staff expenses.</w:t>
      </w:r>
    </w:p>
    <w:p>
      <w:pPr>
        <w:spacing w:after="0" w:line="197" w:lineRule="exact"/>
        <w:rPr>
          <w:sz w:val="20"/>
          <w:szCs w:val="20"/>
          <w:color w:val="auto"/>
        </w:rPr>
      </w:pPr>
    </w:p>
    <w:p>
      <w:pPr>
        <w:ind w:left="120" w:right="80" w:firstLine="440"/>
        <w:spacing w:after="0" w:line="234" w:lineRule="auto"/>
        <w:rPr>
          <w:sz w:val="20"/>
          <w:szCs w:val="20"/>
          <w:color w:val="auto"/>
        </w:rPr>
      </w:pPr>
      <w:r>
        <w:rPr>
          <w:rFonts w:ascii="Arial" w:cs="Arial" w:eastAsia="Arial" w:hAnsi="Arial"/>
          <w:sz w:val="18"/>
          <w:szCs w:val="18"/>
          <w:color w:val="auto"/>
        </w:rPr>
        <w:t>Our total professional fees increased from £1.9 million in 2017 to £ 6.3 million in 2018. This increase was due to expenses relating to our aborted initial public offering of equity securities on Nasdaq in 2018, of which £1.0 million was held on the balance sheet as prepayments as at December 31, 2017 and released during 2018, together with the expenses associated with the Merger with OncoMed and fees in respect of a bank loan renegotiation. Total general and administrative staff expenses decreased by £2.4 million from</w:t>
      </w:r>
    </w:p>
    <w:p>
      <w:pPr>
        <w:spacing w:after="0" w:line="3"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£6.9 million in 2017 to £4.5 million in 2018 after taking account of a reduction in share-based payment charges of £3.1 million and an increase in underlying staff costs of £0.7 million.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Income</w:t>
      </w:r>
    </w:p>
    <w:p>
      <w:pPr>
        <w:spacing w:after="0" w:line="81"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Interest earned on our short-term cash deposits decreased from £0.8 million in 2017 to £0.3 million in 2018, reflecting lower balances held on deposit during the year.</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Finance charge increased by £1.3 million from £1.1 million in 2017 to £2.4 million in 2018, primarily reflecting a full year of interest charges on the bank loan in the year.</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Foreign Exchange Gains/(Losses)</w:t>
      </w:r>
    </w:p>
    <w:p>
      <w:pPr>
        <w:spacing w:after="0" w:line="9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2017, net foreign exchange loss was £1.4 million, reflecting a weakening of the U.S. dollar against pound sterling during the year which negatively impacted the translation of our foreign deposits and investments at December 31, 2017. In 2018, the net foreign exchange loss was £44,000, representing the unrealized loss on translation of cash deposits held primarily in U.S. dollars at year-end, and reflecting lower exchange rate variance year-on-year on lower U.S. denominated cash balances held at the end of 2018.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Benefit</w:t>
      </w:r>
    </w:p>
    <w:p>
      <w:pPr>
        <w:spacing w:after="0" w:line="8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recorded a tax credit of £8.2 million in 2017 and £5.3 million in 2018. The tax credit represents the cash rebate from the U.K. tax authorities we qualified for in respect of eligible research and development activities undertaken in prior years. The reduction in the tax credit accrued is due to a reduction in qualifying research and development expenditure in 2018. The tax credit for 2017 was received in 2018 and we expect to receive the tax credit for 2018 in 2019.</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95"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candidate development program for the years ended December 31, 2017 and 2016.</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62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2016</w:t>
            </w:r>
          </w:p>
        </w:tc>
        <w:tc>
          <w:tcPr>
            <w:tcW w:w="1620" w:type="dxa"/>
            <w:vAlign w:val="bottom"/>
            <w:tcBorders>
              <w:top w:val="single" w:sz="8" w:color="auto"/>
              <w:bottom w:val="single" w:sz="8" w:color="auto"/>
            </w:tcBorders>
            <w:gridSpan w:val="2"/>
          </w:tcPr>
          <w:p>
            <w:pPr>
              <w:jc w:val="right"/>
              <w:ind w:right="250"/>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2580" w:type="dxa"/>
            <w:vAlign w:val="bottom"/>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(in thousands of pounds)</w:t>
            </w:r>
          </w:p>
        </w:tc>
        <w:tc>
          <w:tcPr>
            <w:tcW w:w="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4,804</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13,380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9,734</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10,014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9,432</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10,801</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6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40" w:type="dxa"/>
            <w:vAlign w:val="bottom"/>
            <w:shd w:val="clear" w:color="auto" w:fill="CCEEFF"/>
          </w:tcPr>
          <w:p>
            <w:pPr>
              <w:spacing w:after="0"/>
              <w:rPr>
                <w:sz w:val="17"/>
                <w:szCs w:val="17"/>
                <w:color w:val="auto"/>
              </w:rPr>
            </w:pPr>
          </w:p>
        </w:tc>
      </w:tr>
      <w:tr>
        <w:trPr>
          <w:trHeight w:val="209"/>
        </w:trPr>
        <w:tc>
          <w:tcPr>
            <w:tcW w:w="774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960" w:type="dxa"/>
            <w:vAlign w:val="bottom"/>
          </w:tcPr>
          <w:p>
            <w:pPr>
              <w:jc w:val="right"/>
              <w:spacing w:after="0"/>
              <w:rPr>
                <w:sz w:val="20"/>
                <w:szCs w:val="20"/>
                <w:color w:val="auto"/>
              </w:rPr>
            </w:pPr>
            <w:r>
              <w:rPr>
                <w:rFonts w:ascii="Arial" w:cs="Arial" w:eastAsia="Arial" w:hAnsi="Arial"/>
                <w:sz w:val="18"/>
                <w:szCs w:val="18"/>
                <w:color w:val="auto"/>
              </w:rPr>
              <w:t>24,563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34,607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total research and development expenses increased by £10.0 million, or 40.9%, from £24.6 million in 2016 to £34.6 million in 2017. This was a result of increased spending on clinical development as we continued the Phase 2 programs for acumapimod and leflutrozole and commenced the adult Phase 2b program for setrusumab. Total research and development expenses included payments we made to CROs and other suppliers for the ongoing clinical development of each of setrusumab, acumapimod, and leflutrozole, which increased from £17.9 million in 2016 to £22.8 million in 2017, reflecting the inclusion of expenses relating to the adult Phase 2b study for setrusumab. Additionally, our research and development employee related costs increased from £3.1 million in 2016 to £4.1 million in 2017, reflecting increased headcount, higher other employee-related expenses, including travel, and higher bonus amounts earned in 2017. Our payments to CMOs for the provision of drug substance and drug product and associated manufacturing development to support our clinical trials and the transfer of manufacturing of drug substance and drug product from Novartis to third-party manufacturers increased from £2.9 million in 2016 to £7.3 million in 2017, reflecting ongoing manufacturing activity primarily due to the manufacture of additional clinical trial materials in respect of setrusumab.</w:t>
      </w:r>
    </w:p>
    <w:p>
      <w:pPr>
        <w:spacing w:after="0" w:line="2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Direct research and development expenses related to setrusumab increased by £8.6 million, from £4.8 million in 2016 to</w:t>
      </w:r>
    </w:p>
    <w:p>
      <w:pPr>
        <w:ind w:left="120" w:right="560"/>
        <w:spacing w:after="0" w:line="246" w:lineRule="auto"/>
        <w:rPr>
          <w:sz w:val="20"/>
          <w:szCs w:val="20"/>
          <w:color w:val="auto"/>
        </w:rPr>
      </w:pPr>
      <w:r>
        <w:rPr>
          <w:rFonts w:ascii="Arial" w:cs="Arial" w:eastAsia="Arial" w:hAnsi="Arial"/>
          <w:sz w:val="18"/>
          <w:szCs w:val="18"/>
          <w:color w:val="auto"/>
        </w:rPr>
        <w:t>£13.4 million in 2017, due to the commencement of the adult Phase 2b study for setrusumab during 2017 and the completion of the manufacture of associated clinical trial materials.</w:t>
      </w:r>
    </w:p>
    <w:p>
      <w:pPr>
        <w:spacing w:after="0" w:line="197" w:lineRule="exact"/>
        <w:rPr>
          <w:sz w:val="20"/>
          <w:szCs w:val="20"/>
          <w:color w:val="auto"/>
        </w:rPr>
      </w:pPr>
    </w:p>
    <w:p>
      <w:pPr>
        <w:jc w:val="both"/>
        <w:ind w:left="120" w:right="860" w:firstLine="440"/>
        <w:spacing w:after="0"/>
        <w:rPr>
          <w:sz w:val="20"/>
          <w:szCs w:val="20"/>
          <w:color w:val="auto"/>
        </w:rPr>
      </w:pPr>
      <w:r>
        <w:rPr>
          <w:rFonts w:ascii="Arial" w:cs="Arial" w:eastAsia="Arial" w:hAnsi="Arial"/>
          <w:sz w:val="18"/>
          <w:szCs w:val="18"/>
          <w:color w:val="auto"/>
        </w:rPr>
        <w:t>Direct research and development expenses related to acumapimod increased by £0.3 million, from £9.7 million in 2016 to £10.0 million in 2017, due to the completion of the Phase 2 clinical trial for acumapimod in the fourth quarter of 2017, which trial commenced in the first half of 2016.</w:t>
      </w:r>
    </w:p>
    <w:p>
      <w:pPr>
        <w:spacing w:after="0" w:line="20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Direct research and development expenses related to leflutrozole increased by £1.4 million, from £9.4 million in 2016 to £10.8 million in 2017, due to the continuation of the Phase 2b study for leflutrozole and the commencement of the Phase 2b extension study.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8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General and administrative expenses decreased by £0.9 million, or 7.8%, from £11.6 million in 2016 to £10.7 million in 2017. This decrease was due to a decrease in share-based payment expenses of £2.8 million, reflecting the lower level of share option awards in 2017, partially offset by a rise in other general and administrative costs of £1.9 million, reflecting an increase in payroll-related costs due to a higher headcount and higher bonus amounts earned in 2017, together with additional legal and professional fees in connection with the equity financing in April 2017, the entering into a credit facility in August 2017, and the acquisition of alvelestat in October 2017.</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Income</w:t>
      </w:r>
    </w:p>
    <w:p>
      <w:pPr>
        <w:spacing w:after="0" w:line="9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Interest earned on our short-term cash deposits increased from £0.4 million in 2016 to £0.8 million in 2017, reflecting higher cash balances held in deposit in 2017.</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Finance charge increased from £0.2 million in 2016 to £1.1 million in 2017, reflecting interest costs on additional borrowings under our credit facility during 2017 and lower costs related to the Novartis Notes after the exercise of a portion of these notes in April 2017. Finance charge in 2017 also included £0.3 million of losses on short term deposits.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Foreign Exchange Gain/(Loss)</w:t>
      </w:r>
    </w:p>
    <w:p>
      <w:pPr>
        <w:spacing w:after="0" w:line="8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 2016, the net foreign exchange gain was £ 2.3 million, primarily as a result of the unrealized gain on translation of cash deposits held primarily in U.S. dollars at year end, reflecting a strengthening of the U.S. dollar against pounds sterling during the year. In 2017, net foreign exchange loss was £1.4 million, reflecting a weakening of the U.S. dollar against pounds sterling during the year which negatively impacted the translation of our foreign deposits and investments at December 31, 2017.</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Benefit</w:t>
      </w:r>
    </w:p>
    <w:p>
      <w:pPr>
        <w:spacing w:after="0" w:line="9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recorded a tax credit of £5.3 million in 2016 and £8.2 million in 2017. The tax credit represents the cash rebate from the U.K. tax authorities we qualified for in respect of eligible research and development activities during the years. Due to the increase in qualifying research and development expenditure in 2017, the 2017 tax credit increased by £2.9 million from the 2016 tax credit. The 2016 tax credit was received in May 2017. The 2017 tax credit of £8.2 million was received in August 2018.</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Under the current business plan and cash flow forecasts, with ongoing research and development efforts focused on our rare disease product candidates, setrusumab and alvelestat, we expect that our current on-hand cash resources will extend to the end of the first half of 2020. Therefore, we will need additional external funding by the end of the first half of 2020 to be able to continue as a going concern. We expect that net proceeds raised from this offering will provide us with the additional external funding required to extend our cash runway into the first quarter of 2021. For additional information relating to our intended use of the proceeds of the offering, see “Use of Proceeds”.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Principally, the additional external funding will be used to continue funding our current clinical trials, ongoing administrative costs, other general working capital and contractual financing requirements, and other general corporate purposes. Specifically, the funding is intended to support the ongoing Phase 2b clinical trial of setrusumab in adults and enable us to commence our potentially pivotal pediatric study of setrusumab in children, as well as support the ongoing Phase 2 proof-of-concept trial for alvelestat.</w:t>
      </w:r>
    </w:p>
    <w:p>
      <w:pPr>
        <w:spacing w:after="0" w:line="205"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We do not currently have any approved product candidates and have never generated any revenue from product sales or otherwise. As a result, to date, we have financed our operations primarily through the issuances of our equity securities and convertible debt and our credit facility, which we entered into in August 2017.</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Since our formation, we have raised a total of £102.9 million in gross proceeds from private and public placements of our ordinary shares to institutional investors, £0.3 million from a placement of our ordinary shares to retail investors and exercised share options, $50.8 million from cash and short-term</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investments acquired in the Merger and £3.5 million from the issuance of the Novartis Notes. In August 2017, we also entered into a credit facility in the amount of £20.0 million which was fully drawn down as at June 30, 2019 and December 31, 2018. As at June 30, 2019 our aggregate cash, short-term deposits and short-term investments were £36.1 million (£ 27.5 million as of December 31, 2018). In terms of potential further equity financings beyond the offering to which this prospectus relates and after taking into account the 12,252,715 ordinary shares issued to Boxer Capital in February 2020, our Board has been authorized to issue new shares on a non-preemptive basis up to a maximum aggregate nominal amount of £323,768.08.</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September 2018, we entered into a revised loan agreement which enabled us to extend the interest only period of the credit facility from September 30, 2018 to April 30, 2019. On April 23, 2019, we agreed a revision to the loan agreement which extended the interest only period of the credit facility through December 31, 2019. In connection with the credit facility, we have issued warrants in respect of an aggregate of 1,243,908 ordinary shares at a weighted average exercise price of £2.95 per ordinary share, which are capable of exercise until October 1, 2028. For additional information, see “—Indebtedness—Credit Facility”.</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October 8, 2018, we entered into a funding agreement with The Alpha-1 Project, Inc. (“TAP”), which provided for funding of up to $0.4 million as a contribution towards the development of our product candidate alvelestat. On November 1, 2018, the first tranche of $0.1 million was received and as a result we issued 41,286 warrants to subscribe for our ordinary shares at an exercise price of £0.003 per share.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cash flows for the six months ended June 30, 2019 and 2018.</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16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 of pounds)</w:t>
            </w:r>
          </w:p>
        </w:tc>
        <w:tc>
          <w:tcPr>
            <w:tcW w:w="1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operating activities</w:t>
            </w:r>
          </w:p>
        </w:tc>
        <w:tc>
          <w:tcPr>
            <w:tcW w:w="142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(15,031)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(27,633)</w:t>
            </w:r>
          </w:p>
        </w:tc>
      </w:tr>
      <w:tr>
        <w:trPr>
          <w:trHeight w:val="203"/>
        </w:trPr>
        <w:tc>
          <w:tcPr>
            <w:tcW w:w="20" w:type="dxa"/>
            <w:vAlign w:val="bottom"/>
          </w:tcPr>
          <w:p>
            <w:pPr>
              <w:spacing w:after="0"/>
              <w:rPr>
                <w:sz w:val="17"/>
                <w:szCs w:val="17"/>
                <w:color w:val="auto"/>
              </w:rPr>
            </w:pPr>
          </w:p>
        </w:tc>
        <w:tc>
          <w:tcPr>
            <w:tcW w:w="806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34,009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financing activities</w:t>
            </w:r>
          </w:p>
        </w:tc>
        <w:tc>
          <w:tcPr>
            <w:tcW w:w="142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(3,399)</w:t>
            </w:r>
          </w:p>
        </w:tc>
      </w:tr>
      <w:tr>
        <w:trPr>
          <w:trHeight w:val="20"/>
        </w:trPr>
        <w:tc>
          <w:tcPr>
            <w:tcW w:w="80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Net increase/(decrease) in cash and cash equivalents</w:t>
            </w:r>
          </w:p>
        </w:tc>
        <w:tc>
          <w:tcPr>
            <w:tcW w:w="1420" w:type="dxa"/>
            <w:vAlign w:val="bottom"/>
            <w:gridSpan w:val="2"/>
          </w:tcPr>
          <w:p>
            <w:pPr>
              <w:jc w:val="right"/>
              <w:ind w:right="608"/>
              <w:spacing w:after="0"/>
              <w:rPr>
                <w:sz w:val="20"/>
                <w:szCs w:val="20"/>
                <w:color w:val="auto"/>
              </w:rPr>
            </w:pPr>
            <w:r>
              <w:rPr>
                <w:rFonts w:ascii="Arial" w:cs="Arial" w:eastAsia="Arial" w:hAnsi="Arial"/>
                <w:sz w:val="18"/>
                <w:szCs w:val="18"/>
                <w:color w:val="auto"/>
              </w:rPr>
              <w:t>(15,681)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Net cash used in operating activities was £27.6 million for the six months ended June 30, 2019, an increase of £12.6 million from the net cash used in operating activities of £15.0 million for the six months ended June 30, 2018. The increase in net cash used in operating activities of £12.6 million was primarily due to £9.2 million of payables acquired with the acquisition of OncoMed which was partly realized through to June 30, 2019. In addition, there was an increase in trade and other receivables of £1.4 million which mostly related to advanced prepayments required as a result of the listing on Nasdaq.</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81"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Our net cash from investing activities was £34.0 million for the six months ended June 30, 2019, an increase of £33.9 million compared to net cash from investing activities of £0.1 million for the six months ended June 30, 2018. On April 23, 2019, we acquired £10.1 million of cash and cash equivalents and £29.0 million of short-term investments in the Merger. Through to June 30, 2019, £23.9 million of those short-term investments were realized as cash and cash equivalents.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Net cash used in financing activities was £3.4 million for the six months ended June 30, 2019, an increase of £2.6 million from the net cash used in financing activities of £0.8 million for the six months ended June 30, 2018. The increase in net cash used in financing activities was primarily due to the purchase of treasury shares for £1.0 million, interest paid on a bank loan of £0.9 million, payment of lease liabilities of £0.8 million and transaction costs relating to the issue of shares of £0.8 million.</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Prior to the adoption of IFRS 16 (Leases) as of January 1, 2019, payment of lease liabilities were presented within net cash flows from operating activities as a component of loss before tax.</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cash flows for the years ended December 31, 2018 and 2017.</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24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2280" w:type="dxa"/>
            <w:vAlign w:val="bottom"/>
            <w:gridSpan w:val="3"/>
          </w:tcPr>
          <w:p>
            <w:pPr>
              <w:jc w:val="right"/>
              <w:ind w:right="194"/>
              <w:spacing w:after="0" w:line="155" w:lineRule="exact"/>
              <w:rPr>
                <w:sz w:val="20"/>
                <w:szCs w:val="20"/>
                <w:color w:val="auto"/>
              </w:rPr>
            </w:pPr>
            <w:r>
              <w:rPr>
                <w:rFonts w:ascii="Arial" w:cs="Arial" w:eastAsia="Arial" w:hAnsi="Arial"/>
                <w:sz w:val="14"/>
                <w:szCs w:val="14"/>
                <w:b w:val="1"/>
                <w:bCs w:val="1"/>
                <w:color w:val="auto"/>
              </w:rPr>
              <w:t>(in thousands of pounds)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operating activities</w:t>
            </w: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(32,148)</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(23,137)</w:t>
            </w:r>
          </w:p>
        </w:tc>
      </w:tr>
      <w:tr>
        <w:trPr>
          <w:trHeight w:val="203"/>
        </w:trPr>
        <w:tc>
          <w:tcPr>
            <w:tcW w:w="20" w:type="dxa"/>
            <w:vAlign w:val="bottom"/>
          </w:tcPr>
          <w:p>
            <w:pPr>
              <w:spacing w:after="0"/>
              <w:rPr>
                <w:sz w:val="17"/>
                <w:szCs w:val="17"/>
                <w:color w:val="auto"/>
              </w:rPr>
            </w:pPr>
          </w:p>
        </w:tc>
        <w:tc>
          <w:tcPr>
            <w:tcW w:w="794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14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(3,744)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financing activities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33,743</w:t>
            </w:r>
          </w:p>
        </w:tc>
        <w:tc>
          <w:tcPr>
            <w:tcW w:w="7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(2,073)</w:t>
            </w:r>
          </w:p>
        </w:tc>
      </w:tr>
      <w:tr>
        <w:trPr>
          <w:trHeight w:val="20"/>
        </w:trPr>
        <w:tc>
          <w:tcPr>
            <w:tcW w:w="79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(2,148)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(24,959)</w:t>
            </w: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Net cash used in operating activities decreased £9.0 million, from £32.1 million in 2017 to £23.1 million in 2018. This was due to a reduction in the loss before taxation of £9.6 million, reflecting lower research and development activity. In addition, there was a decrease in payables over receivables of £0.6 million as the payables balance in 2017 unwound due to lower levels of activity in 2018 and due to timing differences on cash payments to suppliers, partially offset by an increase in research and development tax credits received of £2.8 million, reflecting higher research and development expenses in 2017 compared to 2016.</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95"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Our net cash from investing activities was £0.3 million in 2018, compared to net cash used in investing activities of £3.7 million in 2017. The change was primarily due to the investment in 2017 of £2.3 million in the acquisition of a license for alvelestat from AstraZeneca and a reduction in short term investments of £ 2.5 million, combined with the lower interest earned (£0.3 million in 2018 compared to £1.1 million in 2017), reflecting lower average cash balances held in 2018.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8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net cash from financing activities was £ 33.7 million in 2017, compared to net cash used in financing activities of £ 2.1 million in 2018. In April 2017, we raised gross proceeds of £15.0 million in a placement of ordinary shares with institutional investors, for which the cash expense associated with the financing amounted to £0.7 million. In August 2017, we borrowed the first £ 10.0 million tranche under our credit facility and in December 2017 we borrowed the second and final tranche under our credit facility for another £ 10.0 million. In addition, in 2017, we paid an aggregate of £0.3 million of interest on our outstanding borrowings under our credit facility compared to £1.6 million in 2018. Throughout 2018, we raised gross proceeds of £0.3 million from a placement of our ordinary shares with retail investors and exercised share options. In September 2018 our borrowing under our credit facility increased by £0.5 million with associated costs of £0.9 million, including a £0.7 million modification loss in respect of the revaluation of the loan under IFRS 9. In November 2018, we received the first tranche of £0.1 million under the agreement with TAP.</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cash flows for the periods presented.</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24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2280" w:type="dxa"/>
            <w:vAlign w:val="bottom"/>
            <w:gridSpan w:val="3"/>
          </w:tcPr>
          <w:p>
            <w:pPr>
              <w:jc w:val="right"/>
              <w:ind w:right="194"/>
              <w:spacing w:after="0" w:line="155" w:lineRule="exact"/>
              <w:rPr>
                <w:sz w:val="20"/>
                <w:szCs w:val="20"/>
                <w:color w:val="auto"/>
              </w:rPr>
            </w:pPr>
            <w:r>
              <w:rPr>
                <w:rFonts w:ascii="Arial" w:cs="Arial" w:eastAsia="Arial" w:hAnsi="Arial"/>
                <w:sz w:val="14"/>
                <w:szCs w:val="14"/>
                <w:b w:val="1"/>
                <w:bCs w:val="1"/>
                <w:color w:val="auto"/>
              </w:rPr>
              <w:t>(in thousands of pounds)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operating activities</w:t>
            </w: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(29,662)</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(32,148)</w:t>
            </w:r>
          </w:p>
        </w:tc>
      </w:tr>
      <w:tr>
        <w:trPr>
          <w:trHeight w:val="203"/>
        </w:trPr>
        <w:tc>
          <w:tcPr>
            <w:tcW w:w="20" w:type="dxa"/>
            <w:vAlign w:val="bottom"/>
          </w:tcPr>
          <w:p>
            <w:pPr>
              <w:spacing w:after="0"/>
              <w:rPr>
                <w:sz w:val="17"/>
                <w:szCs w:val="17"/>
                <w:color w:val="auto"/>
              </w:rPr>
            </w:pPr>
          </w:p>
        </w:tc>
        <w:tc>
          <w:tcPr>
            <w:tcW w:w="794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74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(3,745)</w:t>
            </w: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financing activities</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68,356</w:t>
            </w:r>
          </w:p>
        </w:tc>
        <w:tc>
          <w:tcPr>
            <w:tcW w:w="7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33,744</w:t>
            </w:r>
          </w:p>
        </w:tc>
        <w:tc>
          <w:tcPr>
            <w:tcW w:w="120" w:type="dxa"/>
            <w:vAlign w:val="bottom"/>
            <w:shd w:val="clear" w:color="auto" w:fill="CCEEFF"/>
          </w:tcPr>
          <w:p>
            <w:pPr>
              <w:spacing w:after="0"/>
              <w:rPr>
                <w:sz w:val="17"/>
                <w:szCs w:val="17"/>
                <w:color w:val="auto"/>
              </w:rPr>
            </w:pPr>
          </w:p>
        </w:tc>
      </w:tr>
      <w:tr>
        <w:trPr>
          <w:trHeight w:val="209"/>
        </w:trPr>
        <w:tc>
          <w:tcPr>
            <w:tcW w:w="79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tcPr>
          <w:p>
            <w:pPr>
              <w:jc w:val="right"/>
              <w:spacing w:after="0"/>
              <w:rPr>
                <w:sz w:val="20"/>
                <w:szCs w:val="20"/>
                <w:color w:val="auto"/>
              </w:rPr>
            </w:pPr>
            <w:r>
              <w:rPr>
                <w:rFonts w:ascii="Arial" w:cs="Arial" w:eastAsia="Arial" w:hAnsi="Arial"/>
                <w:sz w:val="18"/>
                <w:szCs w:val="18"/>
                <w:color w:val="auto"/>
              </w:rPr>
              <w:t>39,067</w:t>
            </w:r>
          </w:p>
        </w:tc>
        <w:tc>
          <w:tcPr>
            <w:tcW w:w="7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(2,149)</w:t>
            </w: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increase in net cash used in operating activities was £2.4 million, from £29.7 million in 2016 to £32.1 million in 2017. This was largely due to the increased loss before taxation due to higher levels of research and development activity in 2017, offset in part by the increase in cash tax credit received from £0.9 million in 2016 to £5.3 million in 2017. In addition there were changes in the add-backs for non-cash expenses as follows: (i) share based payment add-backs were reduced from £6.5 million to £3.7 million, reflecting lower share based payments charge in 2017, (ii) foreign exchange add-backs increased by £3.6 million in 2017, reflecting the movement from a foreign exchange gain of £2.3 million in 2016 to a loss of £ 1.4 million in 2017, (iii) interest earned increased by £0.5 million in 2017 as a result of higher cash held in deposits throughout 2017 and increased interest rates, (iv) £0.3 million on interest expense on the credit facility entered into in August 2017, (v) £0.3 million of loss on short-term deposits in 2017 and (vi) working capital increased by £5.0 million in 2017, reflecting higher creditor and accrual balances at December 31, 2017 compared to 2016.</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81"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Our net cash from investing activities reduced from £0.4 million in 2016 to net cash used in investing activities of £3.7 million in 2017, largely due to the £2.3 million cash cost of purchasing a license for alvelestat from AstraZeneca in October 2017 and £2.5 million of cash transferred into short-term investments held on deposit, partially offset by £1.1 million of interests received on our short-term deposits.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net cash from financing activities reduced from £68.4 million in 2016 to £33.7 million in 2017. In June 2016, we raised gross proceeds of £56.5 million in the second tranche of a private placement entered into in 2015. In June 2016, in connection with our ordinary shares being admitted to trading on the AIM, we raised gross proceeds of £ 11.4 million in private placements of our ordinary shares with institutional investors. In addition, and as part of that transaction, we raised £3.5 million gross proceeds in the form of the Novartis Notes (part of which were converted into ordinary shares in April 2017, and the remainder of which were converted into ordinary shares in June 2019). Our total costs in respect of the foregoing transactions were £3.0 million. In April 2017, we raised gross proceeds of £15.0 million in a placement of our ordinary shares with institutional investors, for which the cash cost amounted to £0.7 million. In August 2017, we borrowed the first £10.0 million tranche under our credit facility and in December 2017 we borrowed the second and final tranche under our credit facility for another £10.0 million. In addition, in 2017, we paid an aggregate of £0.3 million of interest on our outstanding borrowings under our credit facility.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8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As of June 30, 2019 we had an accumulated loss of £127.4 million. We expect to continue to incur significant operating losses for the foreseeable future as we continue our research and development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efforts and seek to obtain regulatory approval of our product candidates and any future product we develop. See also “Risk Factors— Risks Related to Our Business and Industry—If we do not obtain adequate and timely funding, we may not be able to continue as a going concern”.</w:t>
      </w:r>
    </w:p>
    <w:p>
      <w:pPr>
        <w:spacing w:after="0" w:line="20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our product candidates. In addition, as a result of the Merger, we expect to incur additional costs associated with operating as a U.S. public company listed on Nasdaq in addition to operating as a U.K. public company traded on AIM.</w:t>
      </w:r>
    </w:p>
    <w:p>
      <w:pPr>
        <w:spacing w:after="0" w:line="20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We anticipate that our expenses will increase substantially due to the costs associated with our current and planned clinical trials, our outsourced manufacturing activities and other associated costs including the management of our intellectual property portfolio. These costs will increase further if we:</w:t>
      </w:r>
    </w:p>
    <w:p>
      <w:pPr>
        <w:spacing w:after="0" w:line="193" w:lineRule="exact"/>
        <w:rPr>
          <w:sz w:val="20"/>
          <w:szCs w:val="20"/>
          <w:color w:val="auto"/>
        </w:rPr>
      </w:pPr>
    </w:p>
    <w:p>
      <w:pPr>
        <w:ind w:left="980" w:hanging="432"/>
        <w:spacing w:after="0"/>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develop additional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any of our product candidates that successfully completes clinical trials;</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intellectual property portfolio;</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29" w:lineRule="auto"/>
        <w:tabs>
          <w:tab w:leader="none" w:pos="980" w:val="left"/>
        </w:tabs>
        <w:numPr>
          <w:ilvl w:val="0"/>
          <w:numId w:val="64"/>
        </w:numPr>
        <w:rPr>
          <w:rFonts w:ascii="MS PGothic" w:cs="MS PGothic" w:eastAsia="MS PGothic" w:hAnsi="MS PGothic"/>
          <w:sz w:val="24"/>
          <w:szCs w:val="24"/>
          <w:color w:val="auto"/>
          <w:vertAlign w:val="superscript"/>
        </w:rPr>
      </w:pPr>
      <w:r>
        <w:rPr>
          <w:rFonts w:ascii="Arial" w:cs="Arial" w:eastAsia="Arial" w:hAnsi="Arial"/>
          <w:sz w:val="17"/>
          <w:szCs w:val="17"/>
          <w:color w:val="auto"/>
        </w:rPr>
        <w:t>add further central clinical, scientific, operational, financial and management information systems, and personnel, including personnel to support our development and to support our operations as a U.S. public company listed on Nasdaq; and</w:t>
      </w:r>
    </w:p>
    <w:p>
      <w:pPr>
        <w:spacing w:after="0" w:line="27" w:lineRule="exact"/>
        <w:rPr>
          <w:rFonts w:ascii="MS PGothic" w:cs="MS PGothic" w:eastAsia="MS PGothic" w:hAnsi="MS PGothic"/>
          <w:sz w:val="24"/>
          <w:szCs w:val="24"/>
          <w:color w:val="auto"/>
          <w:vertAlign w:val="superscript"/>
        </w:rPr>
      </w:pPr>
    </w:p>
    <w:p>
      <w:pPr>
        <w:ind w:left="980" w:right="520" w:hanging="432"/>
        <w:spacing w:after="0" w:line="218" w:lineRule="auto"/>
        <w:tabs>
          <w:tab w:leader="none" w:pos="98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expect that our existing cash, short-term deposits and short-term investments (before the offering to which this prospectus relates) will enable us to fund our currently committed clinical trials and operating expenses and capital expenditure requirements until the end of the first half of 2020.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235" w:lineRule="exact"/>
        <w:rPr>
          <w:sz w:val="20"/>
          <w:szCs w:val="20"/>
          <w:color w:val="auto"/>
        </w:rPr>
      </w:pPr>
    </w:p>
    <w:p>
      <w:pPr>
        <w:ind w:left="980" w:right="160" w:hanging="432"/>
        <w:spacing w:after="0" w:line="218"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 and our planned pivotal pediatric study for setrusumab and our ongoing Phase 2 proof-of-concept clinical trial for alvelestat;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80" w:right="240" w:hanging="432"/>
        <w:spacing w:after="0" w:line="218"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380"/>
        <w:spacing w:after="0" w:line="244" w:lineRule="auto"/>
        <w:rPr>
          <w:sz w:val="20"/>
          <w:szCs w:val="20"/>
          <w:color w:val="auto"/>
        </w:rPr>
      </w:pPr>
      <w:r>
        <w:rPr>
          <w:rFonts w:ascii="Arial" w:cs="Arial" w:eastAsia="Arial" w:hAnsi="Arial"/>
          <w:sz w:val="18"/>
          <w:szCs w:val="18"/>
          <w:color w:val="auto"/>
        </w:rPr>
        <w:t>including any claims by third parties that we are infringing, misappropriating or otherwise violating their intellectual property rights;</w:t>
      </w:r>
    </w:p>
    <w:p>
      <w:pPr>
        <w:ind w:left="980" w:hanging="432"/>
        <w:spacing w:after="0" w:line="229" w:lineRule="auto"/>
        <w:tabs>
          <w:tab w:leader="none" w:pos="9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our license and option agreement with AstraZeneca.</w:t>
      </w:r>
    </w:p>
    <w:p>
      <w:pPr>
        <w:spacing w:after="0" w:line="20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Our revenues, if any, will be derived from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203" w:lineRule="exact"/>
        <w:rPr>
          <w:sz w:val="20"/>
          <w:szCs w:val="20"/>
          <w:color w:val="auto"/>
        </w:rPr>
      </w:pPr>
    </w:p>
    <w:p>
      <w:pPr>
        <w:ind w:left="120" w:right="360" w:firstLine="440"/>
        <w:spacing w:after="0" w:line="237" w:lineRule="auto"/>
        <w:rPr>
          <w:sz w:val="20"/>
          <w:szCs w:val="20"/>
          <w:color w:val="auto"/>
        </w:rPr>
      </w:pPr>
      <w:r>
        <w:rPr>
          <w:rFonts w:ascii="Arial" w:cs="Arial" w:eastAsia="Arial" w:hAnsi="Arial"/>
          <w:sz w:val="18"/>
          <w:szCs w:val="18"/>
          <w:color w:val="auto"/>
        </w:rPr>
        <w:t>Adequate additional funds may not be available to us on acceptable terms, or at all. To the extent that we raise additional capital through the sale of equity or convertible debt securities, your ownership interest may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Indebtedness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August 7, 2017, we entered into a loan agreement (the “Original Loan Agreement”), with Silicon Valley Bank and Kreos Capital V (UK) Limited, which provided for total borrowings of £20.0 million. Under the Original Loan Agreement, we borrowed £10.0 million on each of August 21, 2017 and December 29, 2017 for general working capital purposes. We were obligated to make interest-only payments on the loan amount until September 30, 2018, and thereafter we were obligated to pay interest and principal in 30 equal monthly installments until March 31, 2021. The loan bore interest at an annual fixed rate equal to 9.0%.</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connection with the borrowings under the Original Loan Agreement, in 2017, we issued to the lenders warrants to subscribe for an aggregate of 363,156 of our ordinary shares at an exercise price of £3.029 per ordinary share and warrants to subscribe for an aggregate of 333,334 of our ordinary shares at an exercise price of £3.30 per ordinary share pursuant to a warrant instrument dated August 21, 2017.</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September 28, 2018, we, Silicon Valley Bank and Kreos Capital V (UK) Limited entered into a new loan agreement (the “New</w:t>
      </w:r>
    </w:p>
    <w:p>
      <w:pPr>
        <w:ind w:left="120"/>
        <w:spacing w:after="0" w:line="234" w:lineRule="auto"/>
        <w:rPr>
          <w:sz w:val="20"/>
          <w:szCs w:val="20"/>
          <w:color w:val="auto"/>
        </w:rPr>
      </w:pPr>
      <w:r>
        <w:rPr>
          <w:rFonts w:ascii="Arial" w:cs="Arial" w:eastAsia="Arial" w:hAnsi="Arial"/>
          <w:sz w:val="18"/>
          <w:szCs w:val="18"/>
          <w:color w:val="auto"/>
        </w:rPr>
        <w:t>Loan Agreement”), which replaced the Original Loan Agreement in its entirety and (i) increased the total commitments of the lenders to</w:t>
      </w:r>
    </w:p>
    <w:p>
      <w:pPr>
        <w:ind w:left="120"/>
        <w:spacing w:after="0" w:line="235" w:lineRule="auto"/>
        <w:rPr>
          <w:sz w:val="20"/>
          <w:szCs w:val="20"/>
          <w:color w:val="auto"/>
        </w:rPr>
      </w:pPr>
      <w:r>
        <w:rPr>
          <w:rFonts w:ascii="Arial" w:cs="Arial" w:eastAsia="Arial" w:hAnsi="Arial"/>
          <w:sz w:val="18"/>
          <w:szCs w:val="18"/>
          <w:color w:val="auto"/>
        </w:rPr>
        <w:t>£20,455,000, (ii) extended the interest-only period from September 30, 2018 to April 30, 2019, and (iii) reduced the interest rate from 9.0%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8.5%. Under the New Loan Agreement, both the interest-only period and the maturity date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may be further extended subject to the achievement by us of certain conditions set forth in the New Loan Agreement. The New Loan Agreement is secured by substantially all of our assets, including intellectual property rights owned or controlled by us and the shares of our subsidiaries, with all dividends and all other rights deriving from them. It is also secured by all policies and contracts of insurance issued or entered into for our benefit, and all rights, claims and interests which we may have from time to time in any such policy or contract.</w:t>
      </w:r>
    </w:p>
    <w:p>
      <w:pPr>
        <w:spacing w:after="0" w:line="20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In connection with the New Loan Agreement, in 2018 we issued warrants giving the lenders the right to subscribe for 225,974 ordinary shares at an exercise price of £ 2.31 per ordinary share pursuant to a warrant instrument dated October 1, 2018. These warrants will be capable of exercise until October 1, 2028.</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addition, the New Loan Agreement requires us to seek consent from Kreos if the Company intends to undertake any (i) dispositions, (ii) changes in business, ownership, management or business locations; (iii) mergers or acquisitions; (iv) creation of indebtedness; (v) commitment of guarantees; (vi) creation of a lien on the amount borrowed under the loan or on certain of our intellectual property, or assignment thereof; (vii) distributions or payment of cash dividends; or (viii) transactions with our affiliates, subject to certain exceptions. In all cases, failure to seek such consent would result in default under the New Loan Agreement.</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April 23, 2019, we agreed on a revision to the New Loan Agreement, which extended the interest-only period to December 31, 2019. Thereafter, we will have to pay interest and principal monthly installments until March 31, 2021. In connection with the revised New Loan Agreement and following the closing of the Merger, on May 3, 2019, we issued warrants giving the lenders the right to subscribe for 321,444 shares at an exercise price of £2.95 per share. These warrants will be capable of exercise until October 1, 2028.</w:t>
      </w:r>
    </w:p>
    <w:p>
      <w:pPr>
        <w:spacing w:after="0" w:line="20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warrants include an adjustment provision to prevent the dilution of the ordinary shares issuable to Silicon Valley Bank and Kreos under certain circumstances.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Notes</w:t>
      </w:r>
    </w:p>
    <w:p>
      <w:pPr>
        <w:spacing w:after="0" w:line="99"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On June 3, 2016, as part of the fundraising for our product development programs and for general corporate purposes and in connection with our ordinary shares being admitted to trading on AIM, we issued 3,463,563 unsecured convertible loan notes to Novartis (the “Novartis Notes”), for aggregate proceeds of £3,463,563. The Novartis Notes bore interest at 4% per annum payable annually and accruing daily and ranked senior to any other unsecured obligations. Novartis had the right to convert all or some of the Novartis Notes, together with accrued interest, at any time into our ordinary shares at a conversion price of £2.21 per ordinary share as long as, following such conversion, Novartis held no more than 19.5% of the aggregate voting rights of our company. In addition, upon conversion, Novartis was entitled to receive an additional number of our ordinary shares equal to the number of shares into which such Novartis Notes and accrued interest were converted multiplied by 0.93 (the “Bonus Shares”). At December 31, 2016, Novartis was entitled to receive up to 1,453,520 Bonus Shares.</w:t>
      </w:r>
    </w:p>
    <w:p>
      <w:pPr>
        <w:spacing w:after="0" w:line="207"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 At December 31, 2018, Novartis was entitled to receive up to 864,998 Bonus Shares.</w:t>
      </w:r>
    </w:p>
    <w:p>
      <w:pPr>
        <w:spacing w:after="0" w:line="205"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into 1,071,042 fully paid ordinary shares at the fixed conversion price of £2.21 per share. Additionally, in connection with such conversion, we issued 864,988 Bonus Shares to Novartis. At June 30, 2019 there was no further liability under the Novartis Notes which were converted in full as at that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contractual obligations at December 31, 2018.</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center"/>
              <w:ind w:right="790"/>
              <w:spacing w:after="0"/>
              <w:rPr>
                <w:sz w:val="20"/>
                <w:szCs w:val="20"/>
                <w:color w:val="auto"/>
              </w:rPr>
            </w:pPr>
            <w:r>
              <w:rPr>
                <w:rFonts w:ascii="Arial" w:cs="Arial" w:eastAsia="Arial" w:hAnsi="Arial"/>
                <w:sz w:val="14"/>
                <w:szCs w:val="14"/>
                <w:b w:val="1"/>
                <w:bCs w:val="1"/>
                <w:color w:val="auto"/>
              </w:rPr>
              <w:t>Payments Due by Period</w:t>
            </w:r>
          </w:p>
        </w:tc>
        <w:tc>
          <w:tcPr>
            <w:tcW w:w="5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Up to 1 year</w:t>
            </w:r>
          </w:p>
        </w:tc>
        <w:tc>
          <w:tcPr>
            <w:tcW w:w="11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1-3 Years</w:t>
            </w:r>
          </w:p>
        </w:tc>
        <w:tc>
          <w:tcPr>
            <w:tcW w:w="1460" w:type="dxa"/>
            <w:vAlign w:val="bottom"/>
            <w:tcBorders>
              <w:bottom w:val="single" w:sz="8" w:color="auto"/>
            </w:tcBorders>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3-5 Years</w:t>
            </w:r>
          </w:p>
        </w:tc>
        <w:tc>
          <w:tcPr>
            <w:tcW w:w="1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Over 5 Years</w:t>
            </w:r>
          </w:p>
        </w:tc>
        <w:tc>
          <w:tcPr>
            <w:tcW w:w="5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0" w:type="dxa"/>
            <w:vAlign w:val="bottom"/>
            <w:gridSpan w:val="6"/>
          </w:tcPr>
          <w:p>
            <w:pPr>
              <w:jc w:val="center"/>
              <w:ind w:right="150"/>
              <w:spacing w:after="0" w:line="143" w:lineRule="exact"/>
              <w:rPr>
                <w:sz w:val="20"/>
                <w:szCs w:val="20"/>
                <w:color w:val="auto"/>
              </w:rPr>
            </w:pPr>
            <w:r>
              <w:rPr>
                <w:rFonts w:ascii="Arial" w:cs="Arial" w:eastAsia="Arial" w:hAnsi="Arial"/>
                <w:sz w:val="14"/>
                <w:szCs w:val="14"/>
                <w:b w:val="1"/>
                <w:bCs w:val="1"/>
                <w:color w:val="auto"/>
              </w:rPr>
              <w:t>(in thousands of pounds)</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Notes(1)</w:t>
            </w:r>
          </w:p>
        </w:tc>
        <w:tc>
          <w:tcPr>
            <w:tcW w:w="2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2,162</w:t>
            </w:r>
          </w:p>
        </w:tc>
        <w:tc>
          <w:tcPr>
            <w:tcW w:w="5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2,327</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line="202" w:lineRule="exact"/>
              <w:rPr>
                <w:sz w:val="20"/>
                <w:szCs w:val="20"/>
                <w:color w:val="auto"/>
              </w:rPr>
            </w:pPr>
            <w:r>
              <w:rPr>
                <w:rFonts w:ascii="Arial" w:cs="Arial" w:eastAsia="Arial" w:hAnsi="Arial"/>
                <w:sz w:val="18"/>
                <w:szCs w:val="18"/>
                <w:color w:val="auto"/>
              </w:rPr>
              <w:t>Bank loan(2)</w:t>
            </w:r>
          </w:p>
        </w:tc>
        <w:tc>
          <w:tcPr>
            <w:tcW w:w="2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8,260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15,589</w:t>
            </w:r>
          </w:p>
        </w:tc>
        <w:tc>
          <w:tcPr>
            <w:tcW w:w="52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23,849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lease(3)</w:t>
            </w:r>
          </w:p>
        </w:tc>
        <w:tc>
          <w:tcPr>
            <w:tcW w:w="15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5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Total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8,674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17,955</w:t>
            </w:r>
          </w:p>
        </w:tc>
        <w:tc>
          <w:tcPr>
            <w:tcW w:w="5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26,712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interest. See “—Liquidity and Capital Resources—Indebtedness—Novartis Notes.”</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interest. See “—Liquidity and Capital Resources—Indebtedness—Credit Facility.”</w:t>
      </w:r>
    </w:p>
    <w:p>
      <w:pPr>
        <w:spacing w:after="0" w:line="117" w:lineRule="exact"/>
        <w:rPr>
          <w:rFonts w:ascii="Arial" w:cs="Arial" w:eastAsia="Arial" w:hAnsi="Arial"/>
          <w:sz w:val="18"/>
          <w:szCs w:val="18"/>
          <w:color w:val="auto"/>
        </w:rPr>
      </w:pPr>
    </w:p>
    <w:p>
      <w:pPr>
        <w:ind w:left="540" w:right="60" w:hanging="424"/>
        <w:spacing w:after="0" w:line="246"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Reflects payments due for our office lease under a lease agreement that expires in August 2025. We may terminate this agreement in August 2020 and, as such, no amounts due under the agreement after August 2020 are reflected.</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As further described above under “—Asset Purchase Agreements with Novartis” and “—License Agreement with AstraZeneca,” under various agreements with Novartis and AstraZeneca, we have agreed to make milestone payments and pay royalties. We have not included any deferred payment obligations, such as milestones or royalties, in the table above, as the amount, timing, and likelihood of such payments are not known and will remain uncertain for the foreseeable future.</w:t>
      </w:r>
    </w:p>
    <w:p>
      <w:pPr>
        <w:spacing w:after="0" w:line="205"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In addition, we enter into contracts in the ordinary course of business with CROs, CMOs, and other vendors to assist in the performance of our research and development activities and other services and product candidates for operating purposes. These contracts generally provide for termination on notice, and therefore are cancelable contracts and not included in the table of contractual obligations and commitments.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5"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9"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9"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manage interest rate risk by monitoring short and medium-term interest rates and placing cash on deposit for periods that optimize the amount of interest earned while maintaining access to sufficient funds to meet day-to-day cash requirements. We have a committed borrowing facility in an amount of £20.5 million which was fully drawn as of the date of this prospectus. Loans under the credit facility bear interest at a fixed rate of 9.0% per annum. Consequently, there is no material exposure to interest rate risk in respect of interest payable.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major counterparties to be low. We are, however, dependent on a number of third parties for the delivery of our programs and, in addition, where appropriate we pay upfront deposits and fees in advance of the delivery of services where required. We continue to assess credit risk as part of our management of these third-party relationships.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85"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We manage our liquidity risk by maintaining adequate cash reserves at banking facilities and invested in short term money market accounts, and by continuously monitoring our cash forecasts, our actual cash flows and by matching the maturity profiles of financial assets and liabilities.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The majority of our operating costs are denominated in pounds sterling, euros, and U.S. dollars. Our financial position, as expressed in pounds sterling, is exposed to movements in foreign exchange rates against the U.S. dollar and the euro. Our main trading currencies are pounds sterling and U.S. dollars. We are exposed to foreign currency risk as a result of operating transactions and the translation of foreign currency bank accounts and short-term deposits. We monitor our exposure to foreign exchange risk. We have not entered into foreign exchange contracts to hedge against foreign exchange fluctuations but maintain cash and investments in U.S. dollars to cover anticipated forward commitments. For the six months ended June 30, 2019, we recorded a net foreign exchange loss of £ 20,127, compared to a gain of £49,305 for the six months ended June 30, 2018, primarily as a result of operating expenses payable in U.S. dollars.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8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financial statements have been prepared in accordance with IFRS as issued by the IASB. In the application of our accounting policies, we are required to make judgments, estimates, and assumptions about the value of assets and liabilities for which there is no definitive third-party reference. The estimates and associated assumptions are based on historical experience and other factors that we considered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205"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The following are our critical judgments and estimates that we have made in the process of applying our accounting policies and that have the most significant effect on the amounts recognized in our consolidated financial statements included elsewhere in this prospectus.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85"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Through June 30, 2019, we granted share options and awards under the following six equity award plans: (i) the Mereo BioPharma Group Limited Share Option Scheme (the “2015 Plan”); (ii) the Mereo</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BioPharma Group plc Share Option Scheme (the “Share Option Plan”); (iii) the Mereo BioPharma Group plc Long Term Incentive Plan (“LTIP”); (iv) the DBSP; (v) the Mereo 2019 Equity Incentive Plan (the “2019 EIP”) and (vi) the Mereo 2019 NED Equity Incentive Plan (the “2019 NED EIP”).</w:t>
      </w:r>
    </w:p>
    <w:p>
      <w:pPr>
        <w:spacing w:after="0" w:line="20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measure share options at fair value at their grant date in accordance with IFRS 2, “Share- based Payment.” We calculate the fair value of the share options using either the Black-Scholes model, or for options with performance conditions, a simulation model. We charge the fair value to the statement of comprehensive income over the expected vesting period.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2015 Plan</w:t>
      </w:r>
    </w:p>
    <w:p>
      <w:pPr>
        <w:spacing w:after="0" w:line="9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Under the 2015 Plan, we granted share options to our employees, including our senior executives, and our non-executive directors. For all employees, share options vest over four years with 25% vesting 12 months after the vesting start date and the balance vesting equally over the next 36 months. For non-executive directors, share options vest over three years in three equal annual installments. There have been no performance conditions attached to the share options granted under the 2015 Plan. Certain rules apply for accelerated vesting and exercise of share options in the event of an offer for the company.</w:t>
      </w:r>
    </w:p>
    <w:p>
      <w:pPr>
        <w:spacing w:after="0" w:line="20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measure the share options under the 2015 Plan at fair value at their grant date in accordance with IFRS 2, “Share-based Payment,” using the Black-Scholes model. The exercise price of the share options under the 2015 Plan is in the range of £1.29 to £2.21 per ordinary share and the share options were granted between September 2015 and May 2016 with an exercise period of 10 years from the date of grant.</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Other inputs to determine the fair value included:</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Volatility(1)</w:t>
            </w:r>
          </w:p>
        </w:tc>
        <w:tc>
          <w:tcPr>
            <w:tcW w:w="3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3760" w:type="dxa"/>
            <w:vAlign w:val="bottom"/>
          </w:tcPr>
          <w:p>
            <w:pPr>
              <w:jc w:val="right"/>
              <w:spacing w:after="0" w:line="202" w:lineRule="exact"/>
              <w:rPr>
                <w:sz w:val="20"/>
                <w:szCs w:val="20"/>
                <w:color w:val="auto"/>
              </w:rPr>
            </w:pPr>
            <w:r>
              <w:rPr>
                <w:rFonts w:ascii="Arial" w:cs="Arial" w:eastAsia="Arial" w:hAnsi="Arial"/>
                <w:sz w:val="18"/>
                <w:szCs w:val="18"/>
                <w:color w:val="auto"/>
              </w:rPr>
              <w:t>1.48 to 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37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Measured by reference to a basket of similar companies trading on AIM.</w:t>
      </w:r>
    </w:p>
    <w:p>
      <w:pPr>
        <w:spacing w:after="0" w:line="21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Option Plan</w:t>
      </w:r>
    </w:p>
    <w:p>
      <w:pPr>
        <w:spacing w:after="0" w:line="9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Share Option Plan, we have granted 1,981,188 share options to executive officers and other employees and 99,633 options had lapsed as of December 31, 2018. The weighted-average remaining contractual life for the share options outstanding as of December 31, 2018 and December 31, 2017 was 8.6 years and 9.4 years, respectively. The weighted-average fair value of options granted during the year ended December 31, 2018 and the year ended December 31, 2017 was £2.29 and £1.85 per share, respectively. Share options outstanding as of December 31, 2018 had an exercise price of between £2.76 and £3.23 per share and as of December 31, 2017, between £3.03 and £3.23 per share.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weighted-average inputs to the models used for the fair value of share options were as follows:</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3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70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65-67</w:t>
            </w: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rPr>
              <w:t>1.06-1.33</w:t>
            </w:r>
          </w:p>
        </w:tc>
        <w:tc>
          <w:tcPr>
            <w:tcW w:w="2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1.39-1.53</w:t>
            </w: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rPr>
              <w:t>3.03-3.23</w:t>
            </w:r>
          </w:p>
        </w:tc>
        <w:tc>
          <w:tcPr>
            <w:tcW w:w="2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2.76-3.25</w:t>
            </w: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7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Black Scholes</w:t>
            </w:r>
          </w:p>
        </w:tc>
        <w:tc>
          <w:tcPr>
            <w:tcW w:w="1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Long-Term Incentive Plan</w:t>
      </w:r>
    </w:p>
    <w:p>
      <w:pPr>
        <w:spacing w:after="0" w:line="9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LTIP, share options were granted to executive officers on June 9, 2016 and April 4, 2017. 75% of these share options have specific performance conditions and vest up to 33.3% on June 9, 2019 (Tranche 1), 33.3% on June 9, 2020 (Tranche 2) and 33.3% on June 9, 2021 (Tranche 3) depending on achieving share price increases relative to the share price at January 1, 2019, January 1, 2020 and January 1, 2021 relative to the share price at admission to AIM. The share options were granted at a weighted-average fair value of £1.34 per ordinary share and have an exercise price of £nil. Other inputs used to determine the fair value of the strategic element of the LTIP share options were:</w:t>
      </w:r>
    </w:p>
    <w:p>
      <w:pPr>
        <w:spacing w:after="0" w:line="219"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Tranche 1</w:t>
            </w:r>
          </w:p>
        </w:tc>
        <w:tc>
          <w:tcPr>
            <w:tcW w:w="14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Tranche 2</w:t>
            </w: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Tranche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2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vMerge w:val="continue"/>
            <w:shd w:val="clear" w:color="auto" w:fill="CCEEFF"/>
          </w:tcPr>
          <w:p>
            <w:pPr>
              <w:spacing w:after="0"/>
              <w:rPr>
                <w:sz w:val="17"/>
                <w:szCs w:val="17"/>
                <w:color w:val="auto"/>
              </w:rPr>
            </w:pPr>
          </w:p>
        </w:tc>
        <w:tc>
          <w:tcPr>
            <w:tcW w:w="254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48.9%</w:t>
            </w:r>
          </w:p>
        </w:tc>
        <w:tc>
          <w:tcPr>
            <w:tcW w:w="30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48.9%</w:t>
            </w:r>
          </w:p>
        </w:tc>
        <w:tc>
          <w:tcPr>
            <w:tcW w:w="30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36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0.48%</w:t>
            </w:r>
          </w:p>
        </w:tc>
        <w:tc>
          <w:tcPr>
            <w:tcW w:w="14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0.61%</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£nil</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£nil</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380" w:firstLine="440"/>
        <w:spacing w:after="0" w:line="274" w:lineRule="auto"/>
        <w:rPr>
          <w:sz w:val="20"/>
          <w:szCs w:val="20"/>
          <w:color w:val="auto"/>
        </w:rPr>
      </w:pPr>
      <w:r>
        <w:rPr>
          <w:rFonts w:ascii="Arial" w:cs="Arial" w:eastAsia="Arial" w:hAnsi="Arial"/>
          <w:sz w:val="17"/>
          <w:szCs w:val="17"/>
          <w:color w:val="auto"/>
        </w:rPr>
        <w:t>We measure the fair value of the share price element of the LTIP share options at their grant date in accordance with IFRS 2, “Share-based Payment,” using a Monte Carlo simulation model. Share options have an exercise period of one year from vesting date.</w:t>
      </w:r>
    </w:p>
    <w:p>
      <w:pPr>
        <w:spacing w:after="0" w:line="175"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25% of the LTIP share options are subject to strategic targets and share options vest three years from the date of grant. As stated above, LTIP share options were granted at a weighted-average fair value of £1.34 per ordinary share and have an exercise price of £nil. We measure the fair value of the strategic element of the LTIP share options using the Black-Scholes model.</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820" w:type="dxa"/>
            <w:vAlign w:val="bottom"/>
          </w:tcPr>
          <w:p>
            <w:pPr>
              <w:ind w:left="100"/>
              <w:spacing w:after="0"/>
              <w:rPr>
                <w:sz w:val="20"/>
                <w:szCs w:val="20"/>
                <w:color w:val="auto"/>
              </w:rPr>
            </w:pPr>
            <w:r>
              <w:rPr>
                <w:rFonts w:ascii="Arial" w:cs="Arial" w:eastAsia="Arial" w:hAnsi="Arial"/>
                <w:sz w:val="18"/>
                <w:szCs w:val="18"/>
                <w:color w:val="auto"/>
              </w:rPr>
              <w:t>Other inputs used to determine the fair value of LTIP share options were:</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2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fair value of the total share-based compensation is recognized as an expense over the respective vesting period. Share-based compensation expense under the LTIP was £0.3 million in 2018 and £0.3 million in 2017.</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Deferred Bonus Share Plan</w:t>
      </w:r>
    </w:p>
    <w:p>
      <w:pPr>
        <w:spacing w:after="0" w:line="81"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Under the previous terms of our DBSP, 100,817 share options were granted to executive officers on April 26, 2018 in respect of the year ended December 31, 2017. Share options have no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performance conditions, an exercise price of £nil, a normal vesting date of 3 years from grant and are exercisable within one year of vesting.</w:t>
      </w:r>
    </w:p>
    <w:p>
      <w:pPr>
        <w:spacing w:after="0" w:line="197"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Since the DBSP awards are equity-settled, they are valued using the grant date model based on the fair value at the date of issue. Given there are no market conditions nor any non-vesting conditions, the value of the awards will be the monetary value of the shares issued at the date of issue.</w:t>
      </w:r>
    </w:p>
    <w:p>
      <w:pPr>
        <w:spacing w:after="0" w:line="203"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The fair value of such share-based compensation is recognized as an expense over the respective vesting period. Share-based compensation expense under the DBSP for the years ended December 31, 2018 and 2017 were £nil million and £0.3 million, respectively.</w:t>
      </w:r>
    </w:p>
    <w:p>
      <w:pPr>
        <w:spacing w:after="0" w:line="175" w:lineRule="exact"/>
        <w:rPr>
          <w:sz w:val="20"/>
          <w:szCs w:val="20"/>
          <w:color w:val="auto"/>
        </w:rPr>
      </w:pPr>
    </w:p>
    <w:p>
      <w:pPr>
        <w:ind w:left="120" w:right="440" w:firstLine="440"/>
        <w:spacing w:after="0"/>
        <w:rPr>
          <w:sz w:val="20"/>
          <w:szCs w:val="20"/>
          <w:color w:val="auto"/>
        </w:rPr>
      </w:pPr>
      <w:r>
        <w:rPr>
          <w:rFonts w:ascii="Arial" w:cs="Arial" w:eastAsia="Arial" w:hAnsi="Arial"/>
          <w:sz w:val="18"/>
          <w:szCs w:val="18"/>
          <w:color w:val="auto"/>
        </w:rPr>
        <w:t>We account for related social security contributions on all share options as cash-settled share-based payment transactions. We recognize a liability over the vesting period in respect of share options to be exercised. As at June 30, 2019, the provision for social security contributions on share options was £0.1 million (£0.8 million as at December 31, 2018).</w:t>
      </w:r>
    </w:p>
    <w:p>
      <w:pPr>
        <w:spacing w:after="0" w:line="203"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On January 18, 2019 the Board approved an amendment to the terms of the DBSP and the terms were amended such that in any year, 30% of any cash bonus award to executive officers (after deduction of payroll taxes) must be used to purchase ordinary shares in Mereo within 12 months. Therefore we do not expect any further share option awards under the DBSP.</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Mereo 2019 Equity Incentive Plan</w:t>
      </w:r>
    </w:p>
    <w:p>
      <w:pPr>
        <w:spacing w:after="0" w:line="9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April 4, 2019 we established the Mereo 2019 EIP. On May 20, 2019 the Remuneration Committee of the Board agreed to grant awards in respect of market value options over 255,500 ADSs to executives, at an exercise price of $5.40 per ADS. On July 23, 2019 the Remuneration Committee of the Board agreed to grant awards in respect of market value options over an additional 215,500 ADSs to executives, at an exercise price of $3.00 per ADS.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Mereo 2019 NED Equity Incentive Plan</w:t>
      </w:r>
    </w:p>
    <w:p>
      <w:pPr>
        <w:spacing w:after="0" w:line="81"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On April 4, 2019 we established the Mereo 2019 NED EIP. On May 20, 2019 the Remuneration Committee of the Board agreed to grant awards in respect of market value options over 38,500 ADSs to non-executive directors, at an exercise price of $5.40 per ADS. On July 23, 2019 the Remuneration Committee of the Board agreed to grant awards in respect of market value options over an additional 38,500 ADSs to non-executive directors, at an exercise price of $3.00 per ADS.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Measuring the Fair Value of Our Intangible Assets</w:t>
      </w:r>
    </w:p>
    <w:p>
      <w:pPr>
        <w:spacing w:after="0" w:line="8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At each year-end reporting date, we review the carrying value of our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205"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We consider the future development costs, the probability of successfully progressing each program to product approval and likely commercial returns after product approval, among other factors, when reviewing for indicators of impairment. The results of this testing did not indicate any impairment of the acquired product candidates’ rights in the years ended December 31, 2018 and December 31, 2017.</w:t>
      </w:r>
    </w:p>
    <w:p>
      <w:pPr>
        <w:spacing w:after="0" w:line="186"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The acquired development programs are assets which are not used in launched product candidates. These assets have not yet begun to be amortized but have been tested for impairment by assessing their value in use. Value-in-use calculations for each program are utilized to calculate the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57" w:lineRule="auto"/>
        <w:rPr>
          <w:sz w:val="20"/>
          <w:szCs w:val="20"/>
          <w:color w:val="auto"/>
        </w:rPr>
      </w:pPr>
      <w:r>
        <w:rPr>
          <w:rFonts w:ascii="Arial" w:cs="Arial" w:eastAsia="Arial" w:hAnsi="Arial"/>
          <w:sz w:val="17"/>
          <w:szCs w:val="17"/>
          <w:color w:val="auto"/>
        </w:rPr>
        <w:t>recoverable amount. The calculations use pre-tax cash flow projections covering the period through product development to commercial sales up to the later of loss of patent protection or market exclusivity, which extend beyond five years from the balance sheet date; no cash flows are included after this date. Approved product candidates are assumed to be out-licensed such that we receive upfront fees, milestone payments, and royalties on sales; therefore, we do not incur any costs of commercialization after out- licensing.</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assumptions we have used for the value-in-use calculations are described as follows:</w:t>
      </w:r>
    </w:p>
    <w:p>
      <w:pPr>
        <w:spacing w:after="0" w:line="239" w:lineRule="exact"/>
        <w:rPr>
          <w:sz w:val="20"/>
          <w:szCs w:val="20"/>
          <w:color w:val="auto"/>
        </w:rPr>
      </w:pPr>
    </w:p>
    <w:p>
      <w:pPr>
        <w:ind w:left="980" w:right="380" w:hanging="432"/>
        <w:spacing w:after="0" w:line="223"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 costs to obtain regulatory approval—costs are estimated net of any contributions expected from collaborative arrangements with future partners. Our directors have developed cost estimates based on our previous experience and in conjunction with the expertise of our clinical development partners;</w:t>
      </w:r>
    </w:p>
    <w:p>
      <w:pPr>
        <w:spacing w:after="0" w:line="28" w:lineRule="exact"/>
        <w:rPr>
          <w:rFonts w:ascii="MS PGothic" w:cs="MS PGothic" w:eastAsia="MS PGothic" w:hAnsi="MS PGothic"/>
          <w:sz w:val="25"/>
          <w:szCs w:val="25"/>
          <w:color w:val="auto"/>
          <w:vertAlign w:val="superscript"/>
        </w:rPr>
      </w:pPr>
    </w:p>
    <w:p>
      <w:pPr>
        <w:ind w:left="980" w:right="100" w:hanging="432"/>
        <w:spacing w:after="0" w:line="223"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dates of product candidates—these reflect our expected date of launch for product candidates based on the timeline of development programs required to obtain regulatory approval. The assumptions are based on our directors’ prior experience together with the outcome of discussions with regulators;</w:t>
      </w:r>
    </w:p>
    <w:p>
      <w:pPr>
        <w:spacing w:after="0" w:line="28"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probability of successful development—we estimate probabilities of success for each phase of development based on industry averages and knowledge of specific programs;</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29" w:lineRule="auto"/>
        <w:tabs>
          <w:tab w:leader="none" w:pos="980" w:val="left"/>
        </w:tabs>
        <w:numPr>
          <w:ilvl w:val="0"/>
          <w:numId w:val="69"/>
        </w:numPr>
        <w:rPr>
          <w:rFonts w:ascii="MS PGothic" w:cs="MS PGothic" w:eastAsia="MS PGothic" w:hAnsi="MS PGothic"/>
          <w:sz w:val="24"/>
          <w:szCs w:val="24"/>
          <w:color w:val="auto"/>
          <w:vertAlign w:val="superscript"/>
        </w:rPr>
      </w:pPr>
      <w:r>
        <w:rPr>
          <w:rFonts w:ascii="Arial" w:cs="Arial" w:eastAsia="Arial" w:hAnsi="Arial"/>
          <w:sz w:val="17"/>
          <w:szCs w:val="17"/>
          <w:color w:val="auto"/>
        </w:rPr>
        <w:t>out-licensing upfront fees, milestones, and royalty rates on sales—we estimate these amounts based on prior experience and access to values from similar transactions in the industry, which are collated and accessible from specialist third-party sources;</w:t>
      </w:r>
    </w:p>
    <w:p>
      <w:pPr>
        <w:spacing w:after="0" w:line="27" w:lineRule="exact"/>
        <w:rPr>
          <w:rFonts w:ascii="MS PGothic" w:cs="MS PGothic" w:eastAsia="MS PGothic" w:hAnsi="MS PGothic"/>
          <w:sz w:val="24"/>
          <w:szCs w:val="24"/>
          <w:color w:val="auto"/>
          <w:vertAlign w:val="superscript"/>
        </w:rPr>
      </w:pPr>
    </w:p>
    <w:p>
      <w:pPr>
        <w:ind w:left="980" w:right="120" w:hanging="432"/>
        <w:spacing w:after="0" w:line="218"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projections—these are based on our internal projections using external market data and market research commissioned by us;</w:t>
      </w:r>
    </w:p>
    <w:p>
      <w:pPr>
        <w:spacing w:after="0" w:line="27"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profit margins and other operational expenses—these are based on our internal projections of current product manufacturing costings, with input from manufacturing partners where applicable, and estimates of operating costs based on our prior industry experience;</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cash flow projections—for all assets, cash flows are assessed over industry-standard asset life of 20 years; and</w:t>
      </w:r>
    </w:p>
    <w:p>
      <w:pPr>
        <w:spacing w:after="0" w:line="26"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 rates—the discount rate is estimated on a pre-tax basis reflecting our estimated cost of capital and is applied consistently across each of the operating segments. The cost of capital in each of 2018 and 2017 was 15.3%.</w:t>
      </w:r>
    </w:p>
    <w:p>
      <w:pPr>
        <w:spacing w:after="0" w:line="20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At this stage of product development, we believe the key sensitivity for all three development programs is the probability of successful completion of clinical trials in order to obtain regulatory approval for sale. Therefore, full impairment of a development program is expected should such related trials be unsuccessful and development halted.</w:t>
      </w:r>
    </w:p>
    <w:p>
      <w:pPr>
        <w:spacing w:after="0" w:line="203"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Warrants</w:t>
      </w:r>
    </w:p>
    <w:p>
      <w:pPr>
        <w:spacing w:after="0" w:line="9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connection with the borrowings under the Original Loan Agreement, in 2017, we issued to the lenders warrants to subscribe for an aggregate of 363,156 of our ordinary shares at an exercise price of £3.029 per ordinary share and warrants to subscribe for an aggregate of 333,334 of our ordinary shares at an exercise price of £3.30 per ordinary share pursuant to a warrant instrument dated August 21, 2017.</w:t>
      </w:r>
    </w:p>
    <w:p>
      <w:pPr>
        <w:spacing w:after="0" w:line="205"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Furthermore, in connection with the New Loan Agreement entered into on September 28, 2018, we issued 225,974 additional warrants for £nil consideration to the lenders pursuant to a warrant</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instrument dated October 1, 2018, thereunder with the same key terms as the warrants issued under the Original Loan Agreement. The fair value of the additional warrants as of their grant date on September 30, 2018 was £375,343.</w:t>
      </w:r>
    </w:p>
    <w:p>
      <w:pPr>
        <w:spacing w:after="0" w:line="197"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The New Loan Agreement has an aggregate principal amount of £20.5 million and will mature on March 1, 2021, unless extended on reaching certain milestones. A modification loss of £0.7 million was recognized in the profit and loss as of the date of entering into the New Loan Agreement.</w:t>
      </w:r>
    </w:p>
    <w:p>
      <w:pPr>
        <w:spacing w:after="0" w:line="203"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On April 23, 2019, we agreed on a further revision to the New Loan Agreement, which extended the interest-only period to December 31, 2019. In connection with the revised New Loan Agreement and following the closing of the Merger, on May 3, 2019, we issued warrants giving the lenders the right to subscribe for 321,444 shares at an exercise price of £2.95 per share.</w:t>
      </w:r>
    </w:p>
    <w:p>
      <w:pPr>
        <w:spacing w:after="0" w:line="203"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We measure the fair value of our warrants using the Black-Scholes model and taking into account any appropriate amendments to inputs in respect of volatility and remaining expected life of the warrants.</w:t>
      </w:r>
    </w:p>
    <w:p>
      <w:pPr>
        <w:spacing w:after="0" w:line="197"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The weighted-average inputs to the models used for the fair value of warrants granted during the year ended December 31, 2018 and the six months ended June 30, 2019 were as follows: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Ended June 30,</w:t>
            </w:r>
          </w:p>
        </w:tc>
      </w:tr>
      <w:tr>
        <w:trPr>
          <w:trHeight w:val="175"/>
        </w:trPr>
        <w:tc>
          <w:tcPr>
            <w:tcW w:w="20" w:type="dxa"/>
            <w:vAlign w:val="bottom"/>
          </w:tcPr>
          <w:p>
            <w:pPr>
              <w:spacing w:after="0"/>
              <w:rPr>
                <w:sz w:val="15"/>
                <w:szCs w:val="15"/>
                <w:color w:val="auto"/>
              </w:rPr>
            </w:pPr>
          </w:p>
        </w:tc>
        <w:tc>
          <w:tcPr>
            <w:tcW w:w="70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4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65</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66</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1.56</w:t>
            </w:r>
          </w:p>
        </w:tc>
        <w:tc>
          <w:tcPr>
            <w:tcW w:w="26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rPr>
              <w:t>1.26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 .</w:t>
            </w:r>
          </w:p>
        </w:tc>
        <w:tc>
          <w:tcPr>
            <w:tcW w:w="14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9.5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2.31</w:t>
            </w:r>
          </w:p>
        </w:tc>
        <w:tc>
          <w:tcPr>
            <w:tcW w:w="26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rPr>
              <w:t>0.83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7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Black Scholes</w:t>
            </w:r>
          </w:p>
        </w:tc>
        <w:tc>
          <w:tcPr>
            <w:tcW w:w="15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the warrants at June 30, 2019 was £0.2 million. The carrying value of the loan at June 30, 2019 was £19.7 million.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Provision for Deferred Cash Consideration</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Provision for deferred cash consideration represents the potential future cash payments in respect of the alvelestat acquisition. As this is in respect of a product which is not yet approved, this provision for deferred cash consideration includes all contingent payments up to the point of exercise of the right to acquire the intellectual property and excludes potential downstream milestones, royalties or other payments because they are unquantifiable. The provision is recognized as a liability at each balance sheet date with the amounts calculated as the risk adjusted net present value of certain future payments we may make. The payments are dependent on reaching specific milestones based on the commencement and outcome of clinical trials.</w:t>
      </w:r>
    </w:p>
    <w:p>
      <w:pPr>
        <w:spacing w:after="0" w:line="205" w:lineRule="exact"/>
        <w:rPr>
          <w:sz w:val="20"/>
          <w:szCs w:val="20"/>
          <w:color w:val="auto"/>
        </w:rPr>
      </w:pPr>
    </w:p>
    <w:p>
      <w:pPr>
        <w:ind w:left="120" w:right="880" w:firstLine="440"/>
        <w:spacing w:after="0" w:line="246" w:lineRule="auto"/>
        <w:rPr>
          <w:sz w:val="20"/>
          <w:szCs w:val="20"/>
          <w:color w:val="auto"/>
        </w:rPr>
      </w:pPr>
      <w:r>
        <w:rPr>
          <w:rFonts w:ascii="Arial" w:cs="Arial" w:eastAsia="Arial" w:hAnsi="Arial"/>
          <w:sz w:val="18"/>
          <w:szCs w:val="18"/>
          <w:color w:val="auto"/>
        </w:rPr>
        <w:t>The total amount of provision for deferred cash consideration at June 30, 2019 was £2.1 million and at June 30, 2018 was £2.0 million.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inputs used to determine the value of the provision for deferred consideration include:</w:t>
      </w:r>
    </w:p>
    <w:p>
      <w:pPr>
        <w:sectPr>
          <w:pgSz w:w="11900" w:h="16838" w:orient="portrait"/>
          <w:cols w:equalWidth="0" w:num="1">
            <w:col w:w="11120"/>
          </w:cols>
          <w:pgMar w:left="320" w:top="459" w:right="459" w:bottom="1440" w:gutter="0" w:footer="0" w:header="0"/>
        </w:sectPr>
      </w:pP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15.3%</w:t>
      </w:r>
    </w:p>
    <w:p>
      <w:pPr>
        <w:spacing w:after="0" w:line="104" w:lineRule="exact"/>
        <w:rPr>
          <w:sz w:val="20"/>
          <w:szCs w:val="20"/>
          <w:color w:val="auto"/>
        </w:rPr>
      </w:pPr>
    </w:p>
    <w:p>
      <w:pPr>
        <w:sectPr>
          <w:pgSz w:w="11900" w:h="16838" w:orient="portrait"/>
          <w:cols w:equalWidth="0" w:num="2">
            <w:col w:w="2220" w:space="720"/>
            <w:col w:w="8180"/>
          </w:cols>
          <w:pgMar w:left="320" w:top="459" w:right="45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Likely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Based on the expected timing of the ongoing Phase 2 study for alvelestat</w:t>
      </w:r>
    </w:p>
    <w:p>
      <w:pPr>
        <w:spacing w:after="0" w:line="115" w:lineRule="exact"/>
        <w:rPr>
          <w:sz w:val="20"/>
          <w:szCs w:val="20"/>
          <w:color w:val="auto"/>
        </w:rPr>
      </w:pPr>
    </w:p>
    <w:p>
      <w:pPr>
        <w:sectPr>
          <w:pgSz w:w="11900" w:h="16838" w:orient="portrait"/>
          <w:cols w:equalWidth="0" w:num="2">
            <w:col w:w="2220" w:space="720"/>
            <w:col w:w="8180"/>
          </w:cols>
          <w:pgMar w:left="320" w:top="459" w:right="45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Risk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Standard risk adjustments for orphan asset development programs</w:t>
      </w:r>
    </w:p>
    <w:p>
      <w:pPr>
        <w:spacing w:after="0" w:line="155" w:lineRule="exact"/>
        <w:rPr>
          <w:sz w:val="20"/>
          <w:szCs w:val="20"/>
          <w:color w:val="auto"/>
        </w:rPr>
      </w:pPr>
    </w:p>
    <w:p>
      <w:pPr>
        <w:sectPr>
          <w:pgSz w:w="11900" w:h="16838" w:orient="portrait"/>
          <w:cols w:equalWidth="0" w:num="2">
            <w:col w:w="2220" w:space="720"/>
            <w:col w:w="818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120"/>
          </w:cols>
          <w:pgMar w:left="320" w:top="459" w:right="4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Deferred Equity Consideration</w:t>
      </w:r>
    </w:p>
    <w:p>
      <w:pPr>
        <w:spacing w:after="0" w:line="99"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Deferred equity consideration is accounted for as equity-settled share-based payment transactions in accordance with IFRS 2. Fair value is determined by the share price at the date of purchase.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 and Current Tax Credits</w:t>
      </w:r>
    </w:p>
    <w:p>
      <w:pPr>
        <w:spacing w:after="0" w:line="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Tax on the profit or loss for the year comprises current and deferred tax. Tax is recognized in the statement of operations, except to the extent that it relates to items recognized directly in equity, in which case it is recognized in equity. Current tax is the expected tax payable on the taxable income or loss for the year, using tax rates enacted or substantively enacted at the balance sheet date, and any adjustment to tax payable in respect of previous years. Tax credits are accrued for the year based on calculations that conform to the U.K. research and development tax credit regime applicable to small and medium-sized companies.</w:t>
      </w:r>
    </w:p>
    <w:p>
      <w:pPr>
        <w:spacing w:after="0" w:line="202"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We may not be able to continue to claim research and development tax credits in the future under the current research and development tax credit scheme, when we become a U.S. public company because we may no longer qualify as a small or medium-sized company. However, we may be able to file under a large-company scheme. Deferred tax is recognized on temporary differences between the carrying amounts of assets and liabilities for financial reporting purposes and the amounts used for taxation purposes. The amount of deferred tax is based on the expected manner of realization or settlement of the carrying amount of assets and liabilities, using tax rates enacted or substantively enacted at the balance sheet date. A deferred tax asset is recognized only to the extent that it is probable that future taxable profits will be available against which the asset can be utilized. No deferred tax assets are recognized on our losses carried forward because there is currently no indication that we will make sufficient profits to utilize these tax losses.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8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We refer to Note 3 within our unaudited interim consolidated financial statements for the six months ended June 30, 2019, included elsewhere in this prospectus for a discussion of new standards and interpretations not yet adopted by us.</w:t>
      </w:r>
    </w:p>
    <w:p>
      <w:pPr>
        <w:spacing w:after="0" w:line="1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During the year ended December 31, 2018, we adopted IFRS 9 Financial Instruments (as revised in July 2014) (“IFRS 9”), and the related consequential amendments to other IFRSs. IFRS 9 introduces new requirements for (i) the classification and measurement of financial assets and financial liabilities, (ii) impairment for financial assets, (iii) general hedge accounting and (iv) new accounting for certain modifications and exchanges of financial liabilities measured at amortized cost. The only impact on us is in relation to the non-substantial modification of the convertible loan notes, as detailed below. We have applied IFRS 9 in full without restating comparatives with an initial date of application of January 1, 2018.</w:t>
      </w:r>
    </w:p>
    <w:p>
      <w:pPr>
        <w:spacing w:after="0" w:line="20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in our consolidated financial statements for the year ended December 31, 2018 included elsewhere in this prospectus, was adjusted to recognize the modification gain in the retained earnings as of the date of initial application of IFRS 9 (January 1, 2018).</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bearing loans and borrowings—Convertible loan notes</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9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At January 1,</w:t>
            </w:r>
          </w:p>
        </w:tc>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2018 calculated under IAS 39</w:t>
            </w:r>
          </w:p>
        </w:tc>
        <w:tc>
          <w:tcPr>
            <w:tcW w:w="49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tcPr>
          <w:p>
            <w:pPr>
              <w:spacing w:after="0" w:line="202" w:lineRule="exact"/>
              <w:rPr>
                <w:sz w:val="20"/>
                <w:szCs w:val="20"/>
                <w:color w:val="auto"/>
              </w:rPr>
            </w:pPr>
            <w:r>
              <w:rPr>
                <w:rFonts w:ascii="Arial" w:cs="Arial" w:eastAsia="Arial" w:hAnsi="Arial"/>
                <w:sz w:val="18"/>
                <w:szCs w:val="18"/>
                <w:color w:val="auto"/>
              </w:rPr>
              <w:t>Amounts restated through retained earnings</w:t>
            </w:r>
          </w:p>
        </w:tc>
        <w:tc>
          <w:tcPr>
            <w:tcW w:w="6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(123,865)</w:t>
            </w: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At January 1,</w:t>
            </w:r>
          </w:p>
        </w:tc>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2018 under IFRS 9</w:t>
            </w:r>
          </w:p>
        </w:tc>
        <w:tc>
          <w:tcPr>
            <w:tcW w:w="5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1,853,528</w:t>
            </w:r>
          </w:p>
        </w:tc>
        <w:tc>
          <w:tcPr>
            <w:tcW w:w="140" w:type="dxa"/>
            <w:vAlign w:val="bottom"/>
            <w:shd w:val="clear" w:color="auto" w:fill="CCEEFF"/>
          </w:tcPr>
          <w:p>
            <w:pPr>
              <w:spacing w:after="0"/>
              <w:rPr>
                <w:sz w:val="17"/>
                <w:szCs w:val="17"/>
                <w:color w:val="auto"/>
              </w:rPr>
            </w:pPr>
          </w:p>
        </w:tc>
      </w:tr>
      <w:tr>
        <w:trPr>
          <w:trHeight w:val="36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20" w:type="dxa"/>
            <w:vAlign w:val="bottom"/>
          </w:tcPr>
          <w:p>
            <w:pPr>
              <w:jc w:val="right"/>
              <w:ind w:right="3775"/>
              <w:spacing w:after="0"/>
              <w:rPr>
                <w:sz w:val="20"/>
                <w:szCs w:val="20"/>
                <w:color w:val="auto"/>
              </w:rPr>
            </w:pPr>
            <w:r>
              <w:rPr>
                <w:rFonts w:ascii="Arial" w:cs="Arial" w:eastAsia="Arial" w:hAnsi="Arial"/>
                <w:sz w:val="18"/>
                <w:szCs w:val="18"/>
                <w:color w:val="auto"/>
              </w:rPr>
              <w:t>124</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On January 1, 2019, we adopted IFRS 16 (Leases) (“IFRS 16”), which requires lessees to recognize a right-of-use asset and a lease liability at the commencement of all arrangements identified as containing a lease, except for short-term and leases of low value assets. In contrast to lessee accounting, the requirements for lessor accounting have remained largely unchanged. Under the new guidance, the recognition, measurement, and presentation of expenses and cash flows arising from a lease by a lessee will depend on its classification as a finance or operating leases. IFRS 16 is effective for annual and interim periods beginning on or after January 1, 2019 and early adoption is permitted if IFRS 15 Revenue from Contracts with Customers has also been applied.</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Our unaudited interim consolidated financial statements for the six month period ended June 30, 2019, included elsewhere in this prospectus, applied IFRS 16 for the first time. We applied certain practical expedients afforded under IFRS 16, notably:</w:t>
      </w:r>
    </w:p>
    <w:p>
      <w:pPr>
        <w:spacing w:after="0" w:line="224" w:lineRule="exact"/>
        <w:rPr>
          <w:sz w:val="20"/>
          <w:szCs w:val="20"/>
          <w:color w:val="auto"/>
        </w:rPr>
      </w:pPr>
    </w:p>
    <w:p>
      <w:pPr>
        <w:ind w:left="980" w:right="120" w:hanging="432"/>
        <w:spacing w:after="0" w:line="238"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decision not to reassess, upon transition, whether an existing contract contains a lease (grandfather the previous assessment of whether a transaction was a lease under IAS 17 or International Financial Reporting Interpretations Committee (“IFRIC”)). The definition of a lease under IFRS 16 has been applied only to contracts entered into of changed on or after January 1, 2019;</w:t>
      </w:r>
    </w:p>
    <w:p>
      <w:pPr>
        <w:spacing w:after="0" w:line="29" w:lineRule="exact"/>
        <w:rPr>
          <w:rFonts w:ascii="Arial" w:cs="Arial" w:eastAsia="Arial" w:hAnsi="Arial"/>
          <w:sz w:val="18"/>
          <w:szCs w:val="18"/>
          <w:color w:val="auto"/>
        </w:rPr>
      </w:pPr>
    </w:p>
    <w:p>
      <w:pPr>
        <w:ind w:left="980" w:hanging="43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decision to apply a recognition exemption for short-term leases and leases of low-value assets;</w:t>
      </w:r>
    </w:p>
    <w:p>
      <w:pPr>
        <w:spacing w:after="0" w:line="36" w:lineRule="exact"/>
        <w:rPr>
          <w:rFonts w:ascii="Arial" w:cs="Arial" w:eastAsia="Arial" w:hAnsi="Arial"/>
          <w:sz w:val="18"/>
          <w:szCs w:val="18"/>
          <w:color w:val="auto"/>
        </w:rPr>
      </w:pPr>
    </w:p>
    <w:p>
      <w:pPr>
        <w:ind w:left="980" w:hanging="43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decision to use hindsight when determining the lease term if the contract contains options to extend or terminate the lease.</w:t>
      </w:r>
    </w:p>
    <w:p>
      <w:pPr>
        <w:spacing w:after="0" w:line="212" w:lineRule="exact"/>
        <w:rPr>
          <w:sz w:val="20"/>
          <w:szCs w:val="20"/>
          <w:color w:val="auto"/>
        </w:rPr>
      </w:pPr>
    </w:p>
    <w:p>
      <w:pPr>
        <w:jc w:val="both"/>
        <w:ind w:left="120" w:right="100" w:firstLine="440"/>
        <w:spacing w:after="0" w:line="246" w:lineRule="auto"/>
        <w:rPr>
          <w:sz w:val="20"/>
          <w:szCs w:val="20"/>
          <w:color w:val="auto"/>
        </w:rPr>
      </w:pPr>
      <w:r>
        <w:rPr>
          <w:rFonts w:ascii="Arial" w:cs="Arial" w:eastAsia="Arial" w:hAnsi="Arial"/>
          <w:sz w:val="18"/>
          <w:szCs w:val="18"/>
          <w:color w:val="auto"/>
        </w:rPr>
        <w:t>As at January 1, 2019, the adoption of the standard resulted in the recognition of right-of-use (“ROU”) assets and lease liabilities for operating leases of approximately £2.6 million and £2.5 million, respectively.</w:t>
      </w:r>
    </w:p>
    <w:p>
      <w:pPr>
        <w:spacing w:after="0" w:line="197"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The acquisition of OncoMed on April 23, 2019, resulted in the recognition of an ROU asset and lease liability of £10.8 million and £10.7 million, respectively. The ROU asset relates to a single property lease in the United States.</w:t>
      </w:r>
    </w:p>
    <w:p>
      <w:pPr>
        <w:spacing w:after="0" w:line="197"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As at June 30, 2019, the Company’s total ROU assets and lease liabilities were approximately £13 million and £13.1 million, respectively.</w:t>
      </w:r>
    </w:p>
    <w:p>
      <w:pPr>
        <w:spacing w:after="0" w:line="197"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The difference between the operating lease commitments applying IAS 17 as at December 31, 2018 and lease liabilities recognized in the consolidated statement of financial position as at January 1, 2019, the date of initial application of IFRS 16 by us, is due principally to a reassessment of the lease term upon date. The lease liabilities were discounted at a discount rate of 15.0%.</w:t>
      </w:r>
    </w:p>
    <w:p>
      <w:pPr>
        <w:spacing w:after="0" w:line="203"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Further information related to the adoption of IFRS 16 can be found in the notes to the unaudited interim consolidated financial statements for the six month period ended June 30, 2019.</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99"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In April 2012, the U.S. Jumpstart Our Business Startups Act of 2012 (the “JOBS Act”), was enacted. We are an “emerging growth company” as defined in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6" w:lineRule="exact"/>
        <w:rPr>
          <w:sz w:val="20"/>
          <w:szCs w:val="20"/>
          <w:color w:val="auto"/>
        </w:rPr>
      </w:pPr>
    </w:p>
    <w:p>
      <w:pPr>
        <w:ind w:left="980" w:hanging="432"/>
        <w:spacing w:after="0"/>
        <w:tabs>
          <w:tab w:leader="none" w:pos="98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18" w:lineRule="auto"/>
        <w:tabs>
          <w:tab w:leader="none" w:pos="98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80"/>
        <w:spacing w:after="0" w:line="244" w:lineRule="auto"/>
        <w:rPr>
          <w:sz w:val="20"/>
          <w:szCs w:val="20"/>
          <w:color w:val="auto"/>
        </w:rPr>
      </w:pPr>
      <w:r>
        <w:rPr>
          <w:rFonts w:ascii="Arial" w:cs="Arial" w:eastAsia="Arial" w:hAnsi="Arial"/>
          <w:sz w:val="18"/>
          <w:szCs w:val="18"/>
          <w:color w:val="auto"/>
        </w:rPr>
        <w:t>to the auditor’s report providing additional information about the audit and the financial statements (i.e., an auditor discussion and analysis);</w:t>
      </w:r>
    </w:p>
    <w:p>
      <w:pPr>
        <w:spacing w:after="0" w:line="25" w:lineRule="exact"/>
        <w:rPr>
          <w:sz w:val="20"/>
          <w:szCs w:val="20"/>
          <w:color w:val="auto"/>
        </w:rPr>
      </w:pPr>
    </w:p>
    <w:p>
      <w:pPr>
        <w:ind w:left="980" w:right="460" w:hanging="432"/>
        <w:spacing w:after="0" w:line="218" w:lineRule="auto"/>
        <w:tabs>
          <w:tab w:leader="none" w:pos="98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980" w:right="700" w:hanging="432"/>
        <w:spacing w:after="0" w:line="223" w:lineRule="auto"/>
        <w:tabs>
          <w:tab w:leader="none" w:pos="98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December 31, 2024; (iii) the date that we become a “large accelerated filer” as defined in Rule 12b-2 under the Exchange Act, which would occur if the market value of our common equity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202"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than shares in entities that are not emerging growth companies. The result may be a less active trading market for our ADSs, and the price of our ADSs may become more volatile.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7"/>
          <w:szCs w:val="17"/>
          <w:color w:val="auto"/>
        </w:rPr>
        <w:t>We are a biopharmaceutical company focused on the development and commercialization of innovative therapeutics that aim to improve outcomes for patients with rare diseases. Our strategy is to build a portfolio of rare disease product candidates acquired from pharmaceutical and large biotechnology companies and to develop these through regulatory approval and subsequent commercialization.</w:t>
      </w:r>
    </w:p>
    <w:p>
      <w:pPr>
        <w:spacing w:after="0" w:line="18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existing portfolio consists of five clinical-stage product candidates. Our rare and orphan disease product candidates, setrusumab for the treatment of OI and alvelestat for the treatment of severe AATD, represent an attractive development and commercialization opportunity for us. Each of our rare disease product candidates has generated positive clinical data for its target indication or for a related indication.</w:t>
      </w:r>
    </w:p>
    <w:p>
      <w:pPr>
        <w:spacing w:after="0" w:line="205"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We plan to partner or sell our existing non-rare disease product candidates, which include acumapimod for the treatment of AECOPD, leflutrozole for the treatment of HH in obese men and etigilimab for the treatment of solid tumors, recognizing the need for a larger sales infrastructure and greater resources to take these product candidates to market.</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strategy is to selectively acquire product candidates for rare diseases that have already received significant investment from pharmaceutical and large biotechnology companies and that have substantial pre-clinical, clinical, and manufacturing data packages, with a focus on rare bone, endocrine, and respiratory diseases. Since our formation in March 2015, we have successfully executed on this strategy by acquiring our five clinical-stage product candidates, four of which were acquired from large pharmaceutical companies and one of which we recently acquired in the Merger. We also acquired a second clinical-stage product candidate in the Merger, which we have out-licensed to a third party. We aim to efficiently develop our product candidates through clinical development, and have commenced or completed large, randomized Phase 2 clinical trials for four of our product candidates.</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Rare (and orphan) diseases represent an attractive development and commercialization opportunity for us, since they typically have high unmet medical need and can often utilize regulatory pathways that facilitate acceleration to the potential market. Development of rare disease products generally involves close coordination with patient organizations and key opinion leaders and investigators. Patients are typically treated at a limited number of specialized sites, which helps identification of the patient population and enables a small targeted sales infrastructure to commercialize the products in key markets.</w:t>
      </w:r>
    </w:p>
    <w:p>
      <w:pPr>
        <w:spacing w:after="0" w:line="202"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99"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following table summarizes our pipeline for our rare disease product candidates and non-rare disease product candidates. We have global commercial rights to setrusumab, alvelestat, acumapimod, leflutrozole and etigilimab.</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Rare Disease Product candidates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5023485" cy="2194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2348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Non-Rare Disease Product candidates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5023485" cy="2348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2348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Rare Disease Product candidates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consists of the following rare disease product candidates:</w:t>
      </w:r>
    </w:p>
    <w:p>
      <w:pPr>
        <w:spacing w:after="0" w:line="217" w:lineRule="exact"/>
        <w:rPr>
          <w:sz w:val="20"/>
          <w:szCs w:val="20"/>
          <w:color w:val="auto"/>
        </w:rPr>
      </w:pPr>
    </w:p>
    <w:p>
      <w:pPr>
        <w:ind w:left="980" w:hanging="432"/>
        <w:spacing w:after="0" w:line="253"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Setrusumab (BPS-804)</w:t>
      </w:r>
      <w:r>
        <w:rPr>
          <w:rFonts w:ascii="Arial" w:cs="Arial" w:eastAsia="Arial" w:hAnsi="Arial"/>
          <w:sz w:val="18"/>
          <w:szCs w:val="18"/>
          <w:color w:val="auto"/>
        </w:rPr>
        <w:t>: Setrusumab is a novel antibody we are developing as a treatment for OI, a rare genetic disease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in bones that can break easily and is commonly known as brittle bone disease. OI is a debilitating orphan disease for which there are no treatments approved by the FDA or EMA. It is estimated that OI affects a minimum of 20,000</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60"/>
        <w:spacing w:after="0" w:line="238" w:lineRule="auto"/>
        <w:rPr>
          <w:sz w:val="20"/>
          <w:szCs w:val="20"/>
          <w:color w:val="auto"/>
        </w:rPr>
      </w:pPr>
      <w:r>
        <w:rPr>
          <w:rFonts w:ascii="Arial" w:cs="Arial" w:eastAsia="Arial" w:hAnsi="Arial"/>
          <w:sz w:val="18"/>
          <w:szCs w:val="18"/>
          <w:color w:val="auto"/>
        </w:rPr>
        <w:t>people in the United States and approximately 32,000 people in Germany, Spain, France, Italy, and the United Kingdom. Setrusumab is designed to inhibit sclerostin, a protein that inhibits the activity of bone-forming cells. We believe setrusumab’s mechanism of action is well suited for the treatment of OI and has the potential to become a novel treatment option for patients that could reduce fractures and improve patient quality of life.</w:t>
      </w:r>
    </w:p>
    <w:p>
      <w:pPr>
        <w:spacing w:after="0" w:line="29" w:lineRule="exact"/>
        <w:rPr>
          <w:sz w:val="20"/>
          <w:szCs w:val="20"/>
          <w:color w:val="auto"/>
        </w:rPr>
      </w:pPr>
    </w:p>
    <w:p>
      <w:pPr>
        <w:ind w:left="1000"/>
        <w:spacing w:after="0" w:line="235" w:lineRule="auto"/>
        <w:rPr>
          <w:sz w:val="20"/>
          <w:szCs w:val="20"/>
          <w:color w:val="auto"/>
        </w:rPr>
      </w:pPr>
      <w:r>
        <w:rPr>
          <w:rFonts w:ascii="Arial" w:cs="Arial" w:eastAsia="Arial" w:hAnsi="Arial"/>
          <w:sz w:val="18"/>
          <w:szCs w:val="18"/>
          <w:color w:val="auto"/>
        </w:rPr>
        <w:t>In 2016, we obtained orphan drug designation in OI for setrusumab in the United States and the EU, in February 2017, setrusumab was accepted into the adaptive pathways program in the EU and, in November 2017, it was accepted into the Priority Medicines scheme (“PRIME”) of the EMA. Prior to our acquisition of setrusumab, Novartis conducted four clinical trials in 106 patients and healthy volunteers. A Phase 2 clinical trial of setrusumab showed statistically significant improvements in bone formation biomarkers and bone mineral density. In May 2017, we initiated a Phase 2b clinical trial for setrusumab in adults in the United States, Europe and Canada. The trial is randomized with three blinded arms at high, medium and low doses to establish the dose response curve and an open label arm at the top dose. We reported top-line data on the three blinded dose ranging arms in November 2019 with the results supporting progression of setrusumab into a pediatric pivotal study in OI. See “Prospectus Summary—Recent Developments—12-month top-line data from the setrusumab Phase 2b dose-ranging study in adult patients.” Following the completion of the dosing part of the study, patients will continue to be followed for a further twelve months to examine the off-effects of setrusumab. We have also agreed on a PIP for setrusumab with the EMA and intend to prepare for a pivotal trial of setrusumab in Europe and Canada in children with severe OI in 2020, with fracture rate as the primary endpoint. We believe that the results from this trial, if favorable, will be sufficient to support the submission of an MAA to the EMA for setrusumab for the treatment of children with severe OI and a CMA for the treatment of OI in adults in the EU.</w:t>
      </w:r>
    </w:p>
    <w:p>
      <w:pPr>
        <w:spacing w:after="0" w:line="38" w:lineRule="exact"/>
        <w:rPr>
          <w:sz w:val="20"/>
          <w:szCs w:val="20"/>
          <w:color w:val="auto"/>
        </w:rPr>
      </w:pPr>
    </w:p>
    <w:p>
      <w:pPr>
        <w:ind w:left="1000" w:right="20"/>
        <w:spacing w:after="0" w:line="236" w:lineRule="auto"/>
        <w:rPr>
          <w:sz w:val="20"/>
          <w:szCs w:val="20"/>
          <w:color w:val="auto"/>
        </w:rPr>
      </w:pPr>
      <w:r>
        <w:rPr>
          <w:rFonts w:ascii="Arial" w:cs="Arial" w:eastAsia="Arial" w:hAnsi="Arial"/>
          <w:sz w:val="18"/>
          <w:szCs w:val="18"/>
          <w:color w:val="auto"/>
        </w:rPr>
        <w:t>The FDA approved the first sclerostin inhibitor for treatment of osteoporosis, romosozumab (Evenity), in April 2019 following an 18-1 favorable advisory committee vote. This was over a year after the FDA rejected our request for a Type C meeting to discuss the initiation of a pediatric Phase 3 study for setrusumab for the treatment of patients with severe OI. Based on these events and with our setrusumab Phase 2b efficacy and safety data in adult OI patients, we re-engaged with the FDA at the end of 2019 to discuss the expansion of the pivotal trial of setrusumab for the treatment of patients with severe OI to include sites in the United States. In February 2020, we announced the successful completion of a Type B End-of-Phase 2 meeting with the FDA to discuss the development of setrusumab for the treatment of children and adolescents with OI in the United States. See “Prospectus Summary—Recent Developments—Positive Feedback from Type B End-of-Phase 2 Meeting with the FDA.” In June 2019, the EMA’s CHMP adopted a negative opinion recommending the refusal of a marketing authorization for the same sclerostin inhibitor. However, in October 2019, following a re-examination procedure, the CHMP adopted a positive opinion recommending marketing authorization for the sclerostin inhibitor. In December 2019, the European Commission approved the MAA for romosozumab (Evenity).</w:t>
      </w:r>
    </w:p>
    <w:p>
      <w:pPr>
        <w:spacing w:after="0" w:line="6" w:lineRule="exact"/>
        <w:rPr>
          <w:sz w:val="20"/>
          <w:szCs w:val="20"/>
          <w:color w:val="auto"/>
        </w:rPr>
      </w:pPr>
    </w:p>
    <w:p>
      <w:pPr>
        <w:ind w:left="980" w:right="280" w:hanging="432"/>
        <w:spacing w:after="0" w:line="233" w:lineRule="auto"/>
        <w:tabs>
          <w:tab w:leader="none" w:pos="98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Alvelestat (MPH-966): </w:t>
      </w:r>
      <w:r>
        <w:rPr>
          <w:rFonts w:ascii="Arial" w:cs="Arial" w:eastAsia="Arial" w:hAnsi="Arial"/>
          <w:sz w:val="18"/>
          <w:szCs w:val="18"/>
          <w:color w:val="auto"/>
        </w:rPr>
        <w:t>Alvelestat is a novel, oral small molecule we are developing for the treatment of severe AATD, a</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life-threatening, rare, genetic condition caused by a lack of effective alpha-1 antitrypsin (“AAT”), a protein that protects the lungs from enzymatic degradation. This degradation leads to severe debilitating diseases, including early-onset pulmonary emphysema, a disease that irreversibly destroys the tissues that support lung function. There are an estimated 50,000 patients in North America and 60,000 patients in Europe with severe AATD. Alvelestat is designed to inhibit NE, a neutrophil protease, which is a key enzyme involved in the destruction of lung tissue. We believe the inhibition of NE has the potential to protect AATD patients from further lung damage.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40"/>
        <w:spacing w:after="0" w:line="237" w:lineRule="auto"/>
        <w:rPr>
          <w:sz w:val="20"/>
          <w:szCs w:val="20"/>
          <w:color w:val="auto"/>
        </w:rPr>
      </w:pPr>
      <w:r>
        <w:rPr>
          <w:rFonts w:ascii="Arial" w:cs="Arial" w:eastAsia="Arial" w:hAnsi="Arial"/>
          <w:sz w:val="18"/>
          <w:szCs w:val="18"/>
          <w:color w:val="auto"/>
        </w:rPr>
        <w:t>Prior to our license of alvelestat, AstraZeneca conducted 12 clinical trials involving 1,776 subjects, including trials in bronchiectasis and CF. Although these trials were conducted in diseases other than AATD, we believe the data demonstrated potential clinical benefit and biomarker evidence of treatment effect for AATD patients. We have initiated a Phase 2 proof-of-concept clinical trial in patients with severe AATD in the United States and the EU and expect to report top-line data from this trial in mid-2020. We are also planning to evaluate the use of alvelestat to treat patients with BOS as a result of lung transplant. BOS is an orphan disease and the primary cause of death in adult lung transplant patients from one year following transplant.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Non-Rare Disease Product candidates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consists of the following non-rare disease product candidates:</w:t>
      </w:r>
    </w:p>
    <w:p>
      <w:pPr>
        <w:spacing w:after="0" w:line="217" w:lineRule="exact"/>
        <w:rPr>
          <w:sz w:val="20"/>
          <w:szCs w:val="20"/>
          <w:color w:val="auto"/>
        </w:rPr>
      </w:pPr>
    </w:p>
    <w:p>
      <w:pPr>
        <w:ind w:left="980" w:hanging="432"/>
        <w:spacing w:after="0" w:line="232" w:lineRule="auto"/>
        <w:tabs>
          <w:tab w:leader="none" w:pos="98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Acumapimod (BCT-197): </w:t>
      </w:r>
      <w:r>
        <w:rPr>
          <w:rFonts w:ascii="Arial" w:cs="Arial" w:eastAsia="Arial" w:hAnsi="Arial"/>
          <w:sz w:val="18"/>
          <w:szCs w:val="18"/>
          <w:color w:val="auto"/>
        </w:rPr>
        <w:t>Acumapimod is a p38 MAP kinase inhibitor we are developing as an oral first-line acute therapy for</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AECOPD. COPD is a non-fully-reversible, progressive lung disease in which inflammation plays a central role. There are an estimated 16 million people in the United States diagnosed with COPD. Of all hospital admissions in the United States related to COPD, approximately 63% are for AECOPD patients. We believe acumapimod offers a potential new treatment for controlling inflammation by targeting pathways that drive the pathological mechanism behind AECOPD.</w:t>
      </w:r>
    </w:p>
    <w:p>
      <w:pPr>
        <w:spacing w:after="0" w:line="16" w:lineRule="exact"/>
        <w:rPr>
          <w:rFonts w:ascii="MS PGothic" w:cs="MS PGothic" w:eastAsia="MS PGothic" w:hAnsi="MS PGothic"/>
          <w:sz w:val="25"/>
          <w:szCs w:val="25"/>
          <w:color w:val="auto"/>
          <w:vertAlign w:val="superscript"/>
        </w:rPr>
      </w:pPr>
    </w:p>
    <w:p>
      <w:pPr>
        <w:ind w:left="1000" w:right="200"/>
        <w:spacing w:after="0" w:line="238"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Since there are currently no approved therapies in the United States or the EU to treat AECOPD, we believe that there is significant medical need for a drug which is disease-modifying. We believe acumapimod could potentially prevent AECOPD instead of just treating the symptoms and has the potential to improve quality of life, slow the progression of the disease, and significantly reduce direct healthcare costs.</w:t>
      </w:r>
    </w:p>
    <w:p>
      <w:pPr>
        <w:spacing w:after="0" w:line="29" w:lineRule="exact"/>
        <w:rPr>
          <w:rFonts w:ascii="MS PGothic" w:cs="MS PGothic" w:eastAsia="MS PGothic" w:hAnsi="MS PGothic"/>
          <w:sz w:val="25"/>
          <w:szCs w:val="25"/>
          <w:color w:val="auto"/>
          <w:vertAlign w:val="superscript"/>
        </w:rPr>
      </w:pPr>
    </w:p>
    <w:p>
      <w:pPr>
        <w:ind w:left="100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acumapimod,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w:t>
      </w:r>
    </w:p>
    <w:p>
      <w:pPr>
        <w:spacing w:after="0" w:line="27" w:lineRule="exact"/>
        <w:rPr>
          <w:rFonts w:ascii="MS PGothic" w:cs="MS PGothic" w:eastAsia="MS PGothic" w:hAnsi="MS PGothic"/>
          <w:sz w:val="25"/>
          <w:szCs w:val="25"/>
          <w:color w:val="auto"/>
          <w:vertAlign w:val="superscript"/>
        </w:rPr>
      </w:pPr>
    </w:p>
    <w:p>
      <w:pPr>
        <w:ind w:left="1000" w:right="6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We conducted a Phase 2 dose-ranging clinical trial for acumapimod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In addition, dose-dependent, statistically significant reductions in hsCRP and fibrinogen were shown with treatment with acumapimod, with hsCRP remaining suppressed through the 26-week observation period. Treatment with acumapimod also showed a statistically significant reduction in the number of COPD exacerbations that required hospitalization. Consistent with these results, there was a significant reduction in the use of corticosteroid and antibiotics in the follow-up portion of the study. In addition, acumapimod was reported to be safe and well tolerated. Based on these results, we intend to explore strategic options with third parties for the further development of acumapimod.</w:t>
      </w:r>
    </w:p>
    <w:p>
      <w:pPr>
        <w:spacing w:after="0" w:line="17" w:lineRule="exact"/>
        <w:rPr>
          <w:rFonts w:ascii="MS PGothic" w:cs="MS PGothic" w:eastAsia="MS PGothic" w:hAnsi="MS PGothic"/>
          <w:sz w:val="25"/>
          <w:szCs w:val="25"/>
          <w:color w:val="auto"/>
          <w:vertAlign w:val="superscript"/>
        </w:rPr>
      </w:pPr>
    </w:p>
    <w:p>
      <w:pPr>
        <w:ind w:left="1000" w:right="40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In addition, in April 2019, we announced a successful end of Phase 2 meeting with the FDA regarding acumapimod. In the meeting, we and the FDA agreed on a development plan for acumapimod. In September 2019, we had a positive SAWP meeting with the EMA.</w:t>
      </w:r>
    </w:p>
    <w:p>
      <w:pPr>
        <w:spacing w:after="0" w:line="5" w:lineRule="exact"/>
        <w:rPr>
          <w:rFonts w:ascii="MS PGothic" w:cs="MS PGothic" w:eastAsia="MS PGothic" w:hAnsi="MS PGothic"/>
          <w:sz w:val="25"/>
          <w:szCs w:val="25"/>
          <w:color w:val="auto"/>
          <w:vertAlign w:val="superscript"/>
        </w:rPr>
      </w:pPr>
    </w:p>
    <w:p>
      <w:pPr>
        <w:ind w:left="980" w:right="40" w:hanging="432"/>
        <w:spacing w:after="0" w:line="233" w:lineRule="auto"/>
        <w:tabs>
          <w:tab w:leader="none" w:pos="98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 xml:space="preserve">Leflutrozole (BGS-649): </w:t>
      </w:r>
      <w:r>
        <w:rPr>
          <w:rFonts w:ascii="Arial" w:cs="Arial" w:eastAsia="Arial" w:hAnsi="Arial"/>
          <w:sz w:val="18"/>
          <w:szCs w:val="18"/>
          <w:color w:val="auto"/>
        </w:rPr>
        <w:t>Leflutrozole is a once-weekly oral therapy we are developing for the treatment of HH in obese men.</w:t>
      </w:r>
      <w:r>
        <w:rPr>
          <w:rFonts w:ascii="Arial" w:cs="Arial" w:eastAsia="Arial" w:hAnsi="Arial"/>
          <w:sz w:val="18"/>
          <w:szCs w:val="18"/>
          <w:b w:val="1"/>
          <w:bCs w:val="1"/>
          <w:color w:val="auto"/>
        </w:rPr>
        <w:t xml:space="preserve"> </w:t>
      </w:r>
      <w:r>
        <w:rPr>
          <w:rFonts w:ascii="Arial" w:cs="Arial" w:eastAsia="Arial" w:hAnsi="Arial"/>
          <w:sz w:val="18"/>
          <w:szCs w:val="18"/>
          <w:color w:val="auto"/>
        </w:rPr>
        <w:t>HH is a clinical syndrome that results from inadequate levels of testosterone. Based on WHO estimates and scientific data, we estimate there are approximately seven million cases of HH in obese men in the United States. In these men, a decline in testosterone is exacerbated by high levels of the aromatase enzyme, which is present in fat tissue and leads to a reduction in testosterone. Leflutrozole is designed to inhibit the aromatase enzyme and is being developed to restore normal levels of testosterone without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00"/>
        <w:spacing w:after="0" w:line="238" w:lineRule="auto"/>
        <w:rPr>
          <w:sz w:val="20"/>
          <w:szCs w:val="20"/>
          <w:color w:val="auto"/>
        </w:rPr>
      </w:pPr>
      <w:r>
        <w:rPr>
          <w:rFonts w:ascii="Arial" w:cs="Arial" w:eastAsia="Arial" w:hAnsi="Arial"/>
          <w:sz w:val="18"/>
          <w:szCs w:val="18"/>
          <w:color w:val="auto"/>
        </w:rPr>
        <w:t>causing excessively high testosterone levels or reducing the levels of LH or FSH. Both LH and FSH play key roles in sperm formation and LH plays a key role in endogenous testosterone formation. In contrast to current therapies for HH, which involve the exogenous administration of testosterone and lead to further down regulation of LH and FSH, we believe that leflutrozole, by preserving sperm formation through LH and FSH production, may present a benefit to patients.</w:t>
      </w:r>
    </w:p>
    <w:p>
      <w:pPr>
        <w:spacing w:after="0" w:line="29" w:lineRule="exact"/>
        <w:rPr>
          <w:sz w:val="20"/>
          <w:szCs w:val="20"/>
          <w:color w:val="auto"/>
        </w:rPr>
      </w:pPr>
    </w:p>
    <w:p>
      <w:pPr>
        <w:ind w:left="1000" w:right="140"/>
        <w:spacing w:after="0"/>
        <w:rPr>
          <w:sz w:val="20"/>
          <w:szCs w:val="20"/>
          <w:color w:val="auto"/>
        </w:rPr>
      </w:pPr>
      <w:r>
        <w:rPr>
          <w:rFonts w:ascii="Arial" w:cs="Arial" w:eastAsia="Arial" w:hAnsi="Arial"/>
          <w:sz w:val="18"/>
          <w:szCs w:val="18"/>
          <w:color w:val="auto"/>
        </w:rPr>
        <w:t>Prior to our acquisition of leflutrozole, Novartis conducted seven clinical trials in 131 patients and healthy volunteers, including a Phase 2 proof-of-concept trial for HH in obese men in which leflutrozole normalized testosterone levels in all patients and demonstrated an increase in LH and FSH levels.</w:t>
      </w:r>
    </w:p>
    <w:p>
      <w:pPr>
        <w:spacing w:after="0" w:line="27" w:lineRule="exact"/>
        <w:rPr>
          <w:sz w:val="20"/>
          <w:szCs w:val="20"/>
          <w:color w:val="auto"/>
        </w:rPr>
      </w:pPr>
    </w:p>
    <w:p>
      <w:pPr>
        <w:ind w:left="1000" w:right="60"/>
        <w:spacing w:after="0" w:line="235" w:lineRule="auto"/>
        <w:rPr>
          <w:sz w:val="20"/>
          <w:szCs w:val="20"/>
          <w:color w:val="auto"/>
        </w:rPr>
      </w:pPr>
      <w:r>
        <w:rPr>
          <w:rFonts w:ascii="Arial" w:cs="Arial" w:eastAsia="Arial" w:hAnsi="Arial"/>
          <w:sz w:val="18"/>
          <w:szCs w:val="18"/>
          <w:color w:val="auto"/>
        </w:rPr>
        <w:t>In March 2018, we reported top-line data from our completed Phase 2b dose-ranging clinical trial of leflutrozole for the treatment of HH in obese men. The trial enrolled 271 patients who were administered placebo or one of three doses of leflutrozole. The trial met our primary endpoint of normalizing testosterone levels in at least 75% of subjects after 24 weeks of treatment and all of the secondary endpoints, including normalizing testosterone in at least 90% of patients after 24 weeks of treatment at the two highest doses and improvement in LH and FSH levels at all three doses. Leflutrozole was reported to be well-tolerated in the trial. A subset of 143 patients entered into a six-month safety extension study, with 88 patients completing the additional six months of treatment. The safety extension study was designed to examine if leflutrozole resulted in a pre-specified reduction in bone mineral density at 48 weeks following the initial 24 weeks treatment. In December 2018, we reported positive results from the safety extension study for leflutrozole. The study was successful in demonstrating that none of the doses of leflutrozole met the lower bound (95% confidence interval) of the pre-specified safety criterion of a greater than 3% reduction in lumbar spine bone mineral density after 48 weeks of treatment. In addition, there was no shift into clinical categories of osteopenia or osteoporosis, with no evidence of development of new osteopenia. The efficacy end points of testosterone, LH and FSH also showed improvements consistent with the main Phase 2b study. Following the positive result of the safety extension study for leflutrozole, we convened an advisory board meeting and concluded that the future development of leflutrozole should focus on male infertility. We intend to explore strategic options with third parties for the further development of leflutrozole.</w:t>
      </w:r>
    </w:p>
    <w:p>
      <w:pPr>
        <w:spacing w:after="0" w:line="16" w:lineRule="exact"/>
        <w:rPr>
          <w:sz w:val="20"/>
          <w:szCs w:val="20"/>
          <w:color w:val="auto"/>
        </w:rPr>
      </w:pPr>
    </w:p>
    <w:p>
      <w:pPr>
        <w:ind w:left="980" w:hanging="432"/>
        <w:spacing w:after="0" w:line="234" w:lineRule="auto"/>
        <w:tabs>
          <w:tab w:leader="none" w:pos="98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Etigilimab (OMP-313M32)</w:t>
      </w:r>
      <w:r>
        <w:rPr>
          <w:rFonts w:ascii="Arial" w:cs="Arial" w:eastAsia="Arial" w:hAnsi="Arial"/>
          <w:sz w:val="18"/>
          <w:szCs w:val="18"/>
          <w:color w:val="auto"/>
        </w:rPr>
        <w:t>: Etigilimab is an anti-TIGIT therapeutic candidate intended to activate the immune system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mechanisms and enable anti-tumor activity. TIGIT (T-cell immunoreceptor with Ig and ITIM domains) is an inhibitory receptor that is thought to stop T-cells from attacking tumor cells. We acquired this therapeutic product candidate in the Merger. A Phase 1a/b clinical trial enrolled patients with advanced solid tumors into either a Phase 1a single-agent portion (dose escalation in all patients and expansion in selected tumor types) or Phase 1b combination portion in selected tumor types with nivolumab (dose escalation). 23 patients were treated in the Phase 1a dose escalation portion of the study with doses up to 20mg/kg every two weeks and 10 patients were treated in the Phase 1b combination portion of the study at doses up to 20 mg/kg every two weeks in combination with nivolumab. Tumor types in the Phase 1a portion of the study were colorectal cancer (6 patients), endometrial cancer (4 patients), head &amp; neck cancer (4 patients), pancreatic cancer (2 patients), triple negative breast cancer (2 patients) and five other tumor types and those included in the Phase 1b portion of the study included gastric cancer (3 patients) and seven other tumor types. No dose limiting toxicities were observed in the Phase 1a or 1b portions of the study and the recommended Phase 2 dose was the top dose of 20mg/kg biweekly. The only treatment-related adverse event in the Phase 1a portion of the study with an incidence rate greater than 20% was rash (39%), and the most common treatment-related adverse events in the Phase 1b portion of the study were rash (40%), fatigue (30%) and pruritus (20%). There was only one treatment-related serious adverse event in the</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40"/>
        <w:spacing w:after="0" w:line="238" w:lineRule="auto"/>
        <w:rPr>
          <w:sz w:val="20"/>
          <w:szCs w:val="20"/>
          <w:color w:val="auto"/>
        </w:rPr>
      </w:pPr>
      <w:r>
        <w:rPr>
          <w:rFonts w:ascii="Arial" w:cs="Arial" w:eastAsia="Arial" w:hAnsi="Arial"/>
          <w:sz w:val="18"/>
          <w:szCs w:val="18"/>
          <w:color w:val="auto"/>
        </w:rPr>
        <w:t>Phase 1a portion (autoimmune hepatitis) and there were no treatment-related serious adverse events in the Phase 1b portion of the study. None of the patients in the Phase 1a portion had a response and 30% had stable disease. Ten percent of the patients in the Phase 1b portion had a response and 10% had stable disease. The study has now completed enrollment and a CSR is being drafted.</w:t>
      </w:r>
    </w:p>
    <w:p>
      <w:pPr>
        <w:spacing w:after="0" w:line="29" w:lineRule="exact"/>
        <w:rPr>
          <w:sz w:val="20"/>
          <w:szCs w:val="20"/>
          <w:color w:val="auto"/>
        </w:rPr>
      </w:pPr>
    </w:p>
    <w:p>
      <w:pPr>
        <w:ind w:left="1000" w:right="80"/>
        <w:spacing w:after="0" w:line="237" w:lineRule="auto"/>
        <w:rPr>
          <w:sz w:val="20"/>
          <w:szCs w:val="20"/>
          <w:color w:val="auto"/>
        </w:rPr>
      </w:pPr>
      <w:r>
        <w:rPr>
          <w:rFonts w:ascii="Arial" w:cs="Arial" w:eastAsia="Arial" w:hAnsi="Arial"/>
          <w:sz w:val="18"/>
          <w:szCs w:val="18"/>
          <w:color w:val="auto"/>
        </w:rPr>
        <w:t>The TIGIT program was previously subject to an exclusive license option with Celgene as part of the Collaboration Agreement. See “—Material Agreements—Collaboration Agreement with Celgene.” 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 See “—Material Agreements—Novartis Agreements” and “—Material Agreements—AstraZeneca Agreement” for important information regarding our license agreements with Novartis and AstraZeneca.</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85"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We intend to become a leading biopharmaceutical company developing innovative therapeutics that aim to improve outcomes for patients with rare bone, respiratory and endocrine diseases. The key elements of our strategy to achieve this goal include:</w:t>
      </w:r>
    </w:p>
    <w:p>
      <w:pPr>
        <w:spacing w:after="0" w:line="202" w:lineRule="exact"/>
        <w:rPr>
          <w:sz w:val="20"/>
          <w:szCs w:val="20"/>
          <w:color w:val="auto"/>
        </w:rPr>
      </w:pPr>
    </w:p>
    <w:p>
      <w:pPr>
        <w:ind w:left="980" w:hanging="432"/>
        <w:spacing w:after="0" w:line="233" w:lineRule="auto"/>
        <w:tabs>
          <w:tab w:leader="none" w:pos="98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Rapidly develop and directly commercialize our rare disease product candidates</w:t>
      </w:r>
      <w:r>
        <w:rPr>
          <w:rFonts w:ascii="Arial" w:cs="Arial" w:eastAsia="Arial" w:hAnsi="Arial"/>
          <w:sz w:val="18"/>
          <w:szCs w:val="18"/>
          <w:color w:val="auto"/>
        </w:rPr>
        <w:t>. We have completed and announced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top-line data on a Phase 2b clinical trial of setrusumab for the treatment of OI in adults in the United States, Europe and Canada. We reported top-line data on the three blinded dose ranging arms in November 2019 with the results supporting progression of setrusumab into a pediatric pivotal study in OI. Following the completion of the dosing part of the study, patients will continue to be followed for a further twelve months to examine the off-effects of setrusumab. We have agreed on a PIP for setrusumab with the EMA and following our post Phase 2 meeting with the FDA in February 2020 (see “Prospectus Summary— Recent Developments—Positive Feedback from Type B End-of-Phase 2 Meeting with the FDA”), we intend to prepare for a pivotal trial in the United States, EU and Canada in children with severe OI in 2020, with fracture as the primary end point. We believe the results from this trial, if favorable, will be sufficient to support the submission of a BLA in the United States and MAA in the EU for setrusumab for the treatment of children with severe OI and a CMA for the treatment of adults with OI.</w:t>
      </w:r>
    </w:p>
    <w:p>
      <w:pPr>
        <w:spacing w:after="0" w:line="33" w:lineRule="exact"/>
        <w:rPr>
          <w:rFonts w:ascii="MS PGothic" w:cs="MS PGothic" w:eastAsia="MS PGothic" w:hAnsi="MS PGothic"/>
          <w:sz w:val="25"/>
          <w:szCs w:val="25"/>
          <w:color w:val="auto"/>
          <w:vertAlign w:val="superscript"/>
        </w:rPr>
      </w:pPr>
    </w:p>
    <w:p>
      <w:pPr>
        <w:ind w:left="1000" w:right="100"/>
        <w:spacing w:after="0" w:line="237"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We have commenced a Phase 2 proof-of-concept clinical trial of alvelestat for the treatment of severe AATD and expect to report top-line data from this trial in mid-2020. If the results are favorable and pending regulatory feedback, we intend to continue to develop alvelestat toward approval and commercialization. For setrusumab and alvelestat, if approved, and for any future product candidates for rare diseases, we intend either to establish a sales and marketing organization with technical expertise and supporting distribution capabilities to commercialize, or co-commercialize, these product candidates in major markets or potentially to outsource aspects of these functions to third parties or partners.</w:t>
      </w:r>
    </w:p>
    <w:p>
      <w:pPr>
        <w:spacing w:after="0" w:line="7" w:lineRule="exact"/>
        <w:rPr>
          <w:rFonts w:ascii="MS PGothic" w:cs="MS PGothic" w:eastAsia="MS PGothic" w:hAnsi="MS PGothic"/>
          <w:sz w:val="25"/>
          <w:szCs w:val="25"/>
          <w:color w:val="auto"/>
          <w:vertAlign w:val="superscript"/>
        </w:rPr>
      </w:pPr>
    </w:p>
    <w:p>
      <w:pPr>
        <w:ind w:left="980" w:hanging="432"/>
        <w:spacing w:after="0" w:line="233" w:lineRule="auto"/>
        <w:tabs>
          <w:tab w:leader="none" w:pos="98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Efficiently advance our non-rare disease product candidates and explore strategic relationships with third parties for further clinical development and/or commercialization or strategic sales or out-licensing</w:t>
      </w:r>
      <w:r>
        <w:rPr>
          <w:rFonts w:ascii="Arial" w:cs="Arial" w:eastAsia="Arial" w:hAnsi="Arial"/>
          <w:sz w:val="18"/>
          <w:szCs w:val="18"/>
          <w:color w:val="auto"/>
        </w:rPr>
        <w:t>. Based on the results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Phase 2 clinical trial of acumapimod, we plan to enter into one or more strategic relationships with third parties for acumapimod to undertake the next phase of clinical development and, if approved, commercialization. In March 2018, we reported top-line Phase 2b data for leflutrozole for the treatment of HH and in December 2018, we reported positive results from the safety extension study for leflutrozole. We intend to explore strategic relationships with third parties for the further development and commercialization of leflutrozole. In addition, we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280"/>
        <w:spacing w:after="0" w:line="244" w:lineRule="auto"/>
        <w:rPr>
          <w:sz w:val="20"/>
          <w:szCs w:val="20"/>
          <w:color w:val="auto"/>
        </w:rPr>
      </w:pPr>
      <w:r>
        <w:rPr>
          <w:rFonts w:ascii="Arial" w:cs="Arial" w:eastAsia="Arial" w:hAnsi="Arial"/>
          <w:sz w:val="18"/>
          <w:szCs w:val="18"/>
          <w:color w:val="auto"/>
        </w:rPr>
        <w:t>plan to enter into strategic relationships with third parties for the further development of etigilimab, which we acquired in the Merger. Alternatively, we may seek to sell or out-license one or more of our non-rare disease product candidates.</w:t>
      </w:r>
    </w:p>
    <w:p>
      <w:pPr>
        <w:spacing w:after="0" w:line="3" w:lineRule="exact"/>
        <w:rPr>
          <w:sz w:val="20"/>
          <w:szCs w:val="20"/>
          <w:color w:val="auto"/>
        </w:rPr>
      </w:pPr>
    </w:p>
    <w:p>
      <w:pPr>
        <w:ind w:left="980" w:hanging="432"/>
        <w:spacing w:after="0" w:line="233" w:lineRule="auto"/>
        <w:tabs>
          <w:tab w:leader="none" w:pos="98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Leverage our expertise in business development to expand our pipeline of product candidates</w:t>
      </w:r>
      <w:r>
        <w:rPr>
          <w:rFonts w:ascii="Arial" w:cs="Arial" w:eastAsia="Arial" w:hAnsi="Arial"/>
          <w:sz w:val="18"/>
          <w:szCs w:val="18"/>
          <w:color w:val="auto"/>
        </w:rPr>
        <w:t>.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We intend to leverage these relationships to grow our pipeline with a focus on rare bone, endocrine, and respiratory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disease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9" w:lineRule="exact"/>
        <w:rPr>
          <w:rFonts w:ascii="MS PGothic" w:cs="MS PGothic" w:eastAsia="MS PGothic" w:hAnsi="MS PGothic"/>
          <w:sz w:val="25"/>
          <w:szCs w:val="25"/>
          <w:color w:val="auto"/>
          <w:vertAlign w:val="superscript"/>
        </w:rPr>
      </w:pPr>
    </w:p>
    <w:p>
      <w:pPr>
        <w:ind w:left="980" w:right="80" w:hanging="432"/>
        <w:spacing w:after="0" w:line="233" w:lineRule="auto"/>
        <w:tabs>
          <w:tab w:leader="none" w:pos="98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Continue to be a partner of choice for large pharmaceutical and biotechnology companies</w:t>
      </w:r>
      <w:r>
        <w:rPr>
          <w:rFonts w:ascii="Arial" w:cs="Arial" w:eastAsia="Arial" w:hAnsi="Arial"/>
          <w:sz w:val="18"/>
          <w:szCs w:val="18"/>
          <w:color w:val="auto"/>
        </w:rPr>
        <w:t>. 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as well as by the Merger, and a track record of structuring transactions that enable us to leverage our core capabilities while creating value for all stakeholders. We intend to continue to enter into strategic relationships that align our interests with those of pharmaceutical and large biotechnology companies and that we believe to be mutually beneficial.</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Setrusumab (BPS-804) for the Treatment of Osteogenesis Imperfecta</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developing setrusumab for the treatment of OI.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increasing overall bone mass and thereby reducing fractures in OI patients.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8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20,000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 OI occurs across the globe without any currently described discernable higher prevalence in one population specifically.</w:t>
      </w:r>
    </w:p>
    <w:p>
      <w:pPr>
        <w:spacing w:after="0" w:line="208"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7"/>
          <w:szCs w:val="17"/>
          <w:color w:val="auto"/>
        </w:rPr>
        <w:t>There are eight recognized forms of OI, designated type I through type VIII. Type I is the least severe form, although it still has a significant impact on patients’ lives, including fractures and other physical manifestations, while type II is the most severe and frequently causes death at or shortly after birth. The most prevalent form of OI is type I, which is estimated to occur in approximately 50% to 60%</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9"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of OI patients. The less severe forms of OI, such as type I and type IV, are still serious conditions and are characterized by broken bones, often as a result of minor trauma. Patients typically have a blue or gray tint to the sclera, the part of the eye that is usually white, and there is a risk of early hearing loss in adults.</w:t>
      </w:r>
    </w:p>
    <w:p>
      <w:pPr>
        <w:spacing w:after="0" w:line="203"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color w:val="auto"/>
        </w:rPr>
        <w:t>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99"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There are no therapies approved by the FDA or EMA for the treatment of OI. The only treatments available to OI patients are the acute management of fractures as they occur and drugs such as bisphosphonates, which are not approved for this indication but are commonly used off-label in children.</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205"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Some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Our product for treating OI is setrusumab,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Setrusumab</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historical, current and planned clinical trials of setrusumab:</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40" w:type="dxa"/>
            <w:vAlign w:val="bottom"/>
            <w:gridSpan w:val="2"/>
          </w:tcPr>
          <w:p>
            <w:pPr>
              <w:ind w:left="940"/>
              <w:spacing w:after="0"/>
              <w:rPr>
                <w:sz w:val="20"/>
                <w:szCs w:val="20"/>
                <w:color w:val="auto"/>
              </w:rPr>
            </w:pPr>
            <w:r>
              <w:rPr>
                <w:rFonts w:ascii="Arial" w:cs="Arial" w:eastAsia="Arial" w:hAnsi="Arial"/>
                <w:sz w:val="14"/>
                <w:szCs w:val="14"/>
                <w:b w:val="1"/>
                <w:bCs w:val="1"/>
                <w:color w:val="auto"/>
              </w:rPr>
              <w:t>Historical Trials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4"/>
          </w:tcPr>
          <w:p>
            <w:pPr>
              <w:ind w:left="80"/>
              <w:spacing w:after="0"/>
              <w:rPr>
                <w:sz w:val="20"/>
                <w:szCs w:val="20"/>
                <w:color w:val="auto"/>
              </w:rPr>
            </w:pPr>
            <w:r>
              <w:rPr>
                <w:rFonts w:ascii="Arial" w:cs="Arial" w:eastAsia="Arial" w:hAnsi="Arial"/>
                <w:sz w:val="14"/>
                <w:szCs w:val="14"/>
                <w:b w:val="1"/>
                <w:bCs w:val="1"/>
                <w:color w:val="auto"/>
              </w:rPr>
              <w:t>Current Trials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4"/>
          </w:tcPr>
          <w:p>
            <w:pPr>
              <w:ind w:left="340"/>
              <w:spacing w:after="0"/>
              <w:rPr>
                <w:sz w:val="20"/>
                <w:szCs w:val="20"/>
                <w:color w:val="auto"/>
              </w:rPr>
            </w:pPr>
            <w:r>
              <w:rPr>
                <w:rFonts w:ascii="Arial" w:cs="Arial" w:eastAsia="Arial" w:hAnsi="Arial"/>
                <w:sz w:val="14"/>
                <w:szCs w:val="14"/>
                <w:b w:val="1"/>
                <w:bCs w:val="1"/>
                <w:color w:val="auto"/>
              </w:rPr>
              <w:t>Planned Trials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Treated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Phase</w:t>
            </w:r>
          </w:p>
        </w:tc>
        <w:tc>
          <w:tcPr>
            <w:tcW w:w="700" w:type="dxa"/>
            <w:vAlign w:val="bottom"/>
            <w:vMerge w:val="restart"/>
          </w:tcPr>
          <w:p>
            <w:pPr>
              <w:spacing w:after="0"/>
              <w:rPr>
                <w:sz w:val="14"/>
                <w:szCs w:val="14"/>
                <w:color w:val="auto"/>
              </w:rPr>
            </w:pPr>
          </w:p>
        </w:tc>
        <w:tc>
          <w:tcPr>
            <w:tcW w:w="3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Population</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with</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Planned</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67"/>
        </w:trPr>
        <w:tc>
          <w:tcPr>
            <w:tcW w:w="420" w:type="dxa"/>
            <w:vAlign w:val="bottom"/>
            <w:tcBorders>
              <w:bottom w:val="single" w:sz="8" w:color="auto"/>
            </w:tcBorders>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Setrusumab</w:t>
            </w: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Phase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Population</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Enrollment</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Phase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Population</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Enrollment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20"/>
        </w:trPr>
        <w:tc>
          <w:tcPr>
            <w:tcW w:w="1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Phase 1</w:t>
            </w:r>
          </w:p>
        </w:tc>
        <w:tc>
          <w:tcPr>
            <w:tcW w:w="3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20" w:type="dxa"/>
            <w:vAlign w:val="bottom"/>
            <w:gridSpan w:val="2"/>
            <w:vMerge w:val="continue"/>
            <w:shd w:val="clear" w:color="auto" w:fill="CCEEFF"/>
          </w:tcPr>
          <w:p>
            <w:pPr>
              <w:spacing w:after="0"/>
              <w:rPr>
                <w:sz w:val="13"/>
                <w:szCs w:val="13"/>
                <w:color w:val="auto"/>
              </w:rPr>
            </w:pPr>
          </w:p>
        </w:tc>
        <w:tc>
          <w:tcPr>
            <w:tcW w:w="306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Healthy Volunteers (postmenopausal women)</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Phase</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OI</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88"/>
              <w:spacing w:after="0" w:line="154" w:lineRule="exact"/>
              <w:rPr>
                <w:sz w:val="20"/>
                <w:szCs w:val="20"/>
                <w:color w:val="auto"/>
              </w:rPr>
            </w:pPr>
            <w:r>
              <w:rPr>
                <w:rFonts w:ascii="Arial" w:cs="Arial" w:eastAsia="Arial" w:hAnsi="Arial"/>
                <w:sz w:val="14"/>
                <w:szCs w:val="14"/>
                <w:color w:val="auto"/>
              </w:rPr>
              <w:t>112</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80"/>
              <w:spacing w:after="0" w:line="154" w:lineRule="exact"/>
              <w:rPr>
                <w:sz w:val="20"/>
                <w:szCs w:val="20"/>
                <w:color w:val="auto"/>
              </w:rPr>
            </w:pPr>
            <w:r>
              <w:rPr>
                <w:rFonts w:ascii="Arial" w:cs="Arial" w:eastAsia="Arial" w:hAnsi="Arial"/>
                <w:sz w:val="14"/>
                <w:szCs w:val="14"/>
                <w:color w:val="auto"/>
              </w:rPr>
              <w:t>Phase 3</w:t>
            </w:r>
          </w:p>
        </w:tc>
        <w:tc>
          <w:tcPr>
            <w:tcW w:w="940" w:type="dxa"/>
            <w:vAlign w:val="bottom"/>
            <w:gridSpan w:val="2"/>
            <w:shd w:val="clear" w:color="auto" w:fill="CCEEFF"/>
          </w:tcPr>
          <w:p>
            <w:pPr>
              <w:jc w:val="center"/>
              <w:ind w:right="180"/>
              <w:spacing w:after="0" w:line="154" w:lineRule="exact"/>
              <w:rPr>
                <w:sz w:val="20"/>
                <w:szCs w:val="20"/>
                <w:color w:val="auto"/>
              </w:rPr>
            </w:pPr>
            <w:r>
              <w:rPr>
                <w:rFonts w:ascii="Arial" w:cs="Arial" w:eastAsia="Arial" w:hAnsi="Arial"/>
                <w:sz w:val="14"/>
                <w:szCs w:val="14"/>
                <w:color w:val="auto"/>
              </w:rPr>
              <w:t>OI</w:t>
            </w:r>
          </w:p>
        </w:tc>
        <w:tc>
          <w:tcPr>
            <w:tcW w:w="76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Phase</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2b</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(adult)</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rPr>
              <w:t>(pediatrics)</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ready</w:t>
            </w:r>
          </w:p>
        </w:tc>
        <w:tc>
          <w:tcPr>
            <w:tcW w:w="0" w:type="dxa"/>
            <w:vAlign w:val="bottom"/>
          </w:tcPr>
          <w:p>
            <w:pPr>
              <w:spacing w:after="0"/>
              <w:rPr>
                <w:sz w:val="1"/>
                <w:szCs w:val="1"/>
                <w:color w:val="auto"/>
              </w:rPr>
            </w:pPr>
          </w:p>
        </w:tc>
      </w:tr>
      <w:tr>
        <w:trPr>
          <w:trHeight w:val="157"/>
        </w:trPr>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in EU</w:t>
            </w:r>
          </w:p>
        </w:tc>
        <w:tc>
          <w:tcPr>
            <w:tcW w:w="0" w:type="dxa"/>
            <w:vAlign w:val="bottom"/>
          </w:tcPr>
          <w:p>
            <w:pPr>
              <w:spacing w:after="0"/>
              <w:rPr>
                <w:sz w:val="1"/>
                <w:szCs w:val="1"/>
                <w:color w:val="auto"/>
              </w:rPr>
            </w:pPr>
          </w:p>
        </w:tc>
      </w:t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3240" w:type="dxa"/>
            <w:vAlign w:val="bottom"/>
            <w:gridSpan w:val="2"/>
          </w:tcPr>
          <w:p>
            <w:pPr>
              <w:jc w:val="center"/>
              <w:ind w:right="160"/>
              <w:spacing w:after="0"/>
              <w:rPr>
                <w:sz w:val="20"/>
                <w:szCs w:val="20"/>
                <w:color w:val="auto"/>
              </w:rPr>
            </w:pPr>
            <w:r>
              <w:rPr>
                <w:rFonts w:ascii="Arial" w:cs="Arial" w:eastAsia="Arial" w:hAnsi="Arial"/>
                <w:sz w:val="14"/>
                <w:szCs w:val="14"/>
                <w:color w:val="auto"/>
              </w:rPr>
              <w:t>Hypophosphatasia</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32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rPr>
              <w:t>Women with Low Bone Mineral Density</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2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3240" w:type="dxa"/>
            <w:vAlign w:val="bottom"/>
            <w:gridSpan w:val="2"/>
          </w:tcPr>
          <w:p>
            <w:pPr>
              <w:jc w:val="center"/>
              <w:ind w:right="160"/>
              <w:spacing w:after="0"/>
              <w:rPr>
                <w:sz w:val="20"/>
                <w:szCs w:val="20"/>
                <w:color w:val="auto"/>
              </w:rPr>
            </w:pPr>
            <w:r>
              <w:rPr>
                <w:rFonts w:ascii="Arial" w:cs="Arial" w:eastAsia="Arial" w:hAnsi="Arial"/>
                <w:sz w:val="14"/>
                <w:szCs w:val="14"/>
                <w:color w:val="auto"/>
              </w:rPr>
              <w:t>OI</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1 and Phase 2 Clinical Trials in Other Indications</w:t>
      </w:r>
    </w:p>
    <w:p>
      <w:pPr>
        <w:spacing w:after="0" w:line="95"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Novartis performed a Phase 1 single ascending dose trial in 30 healthy female volunteers. A range of doses of setrusumab were administered and were shown to be well tolerated. A Phase 2 ascending dose trial was also performed in eight adult patients with hypophosphatasia, a rare disorder characterized by abnormal development of bones and teeth. Three different setrusumab doses were administered and a positive effect on bone formation biomarkers was observed.</w:t>
      </w:r>
    </w:p>
    <w:p>
      <w:pPr>
        <w:spacing w:after="0" w:line="56"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Additionally, Novartis performed a Phase 2 clinical trial in a total of 44 postmenopausal women with low bone mineral density, in which 36 subjects were treated with setrusumab. The trial had four arms, with patients dosed weekly for three weeks (4 doses), monthly for three months (4 doses) and quarterly for one quarter (2 doses), and a placebo group. In this trial, setrusumab increased bone mineral density up to 7.8%, 7.3% and 4.3% in the weekly, monthly and quarterly groups,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 in Osteogenesis Imperfecta</w:t>
      </w:r>
    </w:p>
    <w:p>
      <w:pPr>
        <w:spacing w:after="0" w:line="81"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Novartis conducted a Phase 2 randomized, open-label, intra-patient dose-escalating proof-of-concept trial in the United States, Canada and Europe in adults with OI. The objectives were:</w:t>
      </w:r>
    </w:p>
    <w:p>
      <w:pPr>
        <w:spacing w:after="0" w:line="188" w:lineRule="exact"/>
        <w:rPr>
          <w:sz w:val="20"/>
          <w:szCs w:val="20"/>
          <w:color w:val="auto"/>
        </w:rPr>
      </w:pPr>
    </w:p>
    <w:p>
      <w:pPr>
        <w:ind w:left="980" w:hanging="432"/>
        <w:spacing w:after="0"/>
        <w:tabs>
          <w:tab w:leader="none" w:pos="9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of setrusumab;</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the effect of setrusumab on lumbar spine bone mineral density measured by DXA scan; and</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determine the pharmacodynamic effect of setrusumab when administered as multiple dose escalating intravenous infusions on:</w:t>
      </w:r>
    </w:p>
    <w:p>
      <w:pPr>
        <w:spacing w:after="0" w:line="68" w:lineRule="exact"/>
        <w:rPr>
          <w:rFonts w:ascii="MS PGothic" w:cs="MS PGothic" w:eastAsia="MS PGothic" w:hAnsi="MS PGothic"/>
          <w:sz w:val="25"/>
          <w:szCs w:val="25"/>
          <w:color w:val="auto"/>
          <w:vertAlign w:val="superscript"/>
        </w:rPr>
      </w:pPr>
    </w:p>
    <w:p>
      <w:pPr>
        <w:ind w:left="1420" w:right="740" w:hanging="427"/>
        <w:spacing w:after="0" w:line="218" w:lineRule="auto"/>
        <w:tabs>
          <w:tab w:leader="none" w:pos="1420" w:val="left"/>
        </w:tabs>
        <w:numPr>
          <w:ilvl w:val="1"/>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formation markers, including procollagen 1 N-terminal propeptide (“P1NP”), procollagen 1 C terminal propeptide (“P1CP”), osteocalcin (“OC”) and bone-specific alkaline phosphatase (“BSAP”); and</w:t>
      </w:r>
    </w:p>
    <w:p>
      <w:pPr>
        <w:spacing w:after="0" w:line="68" w:lineRule="exact"/>
        <w:rPr>
          <w:rFonts w:ascii="MS PGothic" w:cs="MS PGothic" w:eastAsia="MS PGothic" w:hAnsi="MS PGothic"/>
          <w:sz w:val="25"/>
          <w:szCs w:val="25"/>
          <w:color w:val="auto"/>
          <w:vertAlign w:val="superscript"/>
        </w:rPr>
      </w:pPr>
    </w:p>
    <w:p>
      <w:pPr>
        <w:ind w:left="1420" w:right="320" w:hanging="427"/>
        <w:spacing w:after="0" w:line="218" w:lineRule="auto"/>
        <w:tabs>
          <w:tab w:leader="none" w:pos="1420" w:val="left"/>
        </w:tabs>
        <w:numPr>
          <w:ilvl w:val="1"/>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resorption markers, including C-telopeptides of type I collagen cross-links (“CTX-1”) and N-telopeptides of type I collagen cross-links.</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trial included 14 patients with types I, III and IV OI, nine of which were treated and five of which were observed as a reference group in parallel during the trial to provide comparative data. The reference patients did not receive drug or placebo. The patients were treated with a low, medium and high dose of setrusumab two weeks apart, over four weeks, and were followed for a total of 21 weeks after the last dose. DXA studies were performed at day 141 and bone biomarkers were measured on days eight, 15, 29, 36, 43, 57, 85, 113 and 141, for both groups.</w:t>
      </w:r>
    </w:p>
    <w:p>
      <w:pPr>
        <w:spacing w:after="0" w:line="202"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Treatment with setrusumab showed a statistically significant increase in lumbar spine bone mineral density from baseline, which was sustained at day 141 of the trial, 16 weeks after the last dose of setrusumab, with a mean increase in lumbar spine bone mineral density in treated patients of 4%, as shown in the table 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Setrusumab</w:t>
            </w:r>
          </w:p>
        </w:tc>
        <w:tc>
          <w:tcPr>
            <w:tcW w:w="5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Reference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Ratio of</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Ratio of</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geometric</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geometric</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Parameter</w:t>
            </w:r>
          </w:p>
        </w:tc>
        <w:tc>
          <w:tcPr>
            <w:tcW w:w="3940" w:type="dxa"/>
            <w:vAlign w:val="bottom"/>
            <w:vMerge w:val="restart"/>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mean to</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mean to</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20" w:type="dxa"/>
            <w:vAlign w:val="bottom"/>
            <w:tcBorders>
              <w:bottom w:val="single" w:sz="8" w:color="auto"/>
            </w:tcBorders>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patients</w:t>
            </w:r>
          </w:p>
        </w:tc>
        <w:tc>
          <w:tcPr>
            <w:tcW w:w="3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baseline</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p-value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patients</w:t>
            </w:r>
          </w:p>
        </w:tc>
        <w:tc>
          <w:tcPr>
            <w:tcW w:w="3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baseline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Bone Mineral Density</w:t>
            </w: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gridSpan w:val="2"/>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w:t>
            </w:r>
          </w:p>
        </w:tc>
        <w:tc>
          <w:tcPr>
            <w:tcW w:w="1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w:t>
            </w:r>
          </w:p>
        </w:tc>
        <w:tc>
          <w:tcPr>
            <w:tcW w:w="420" w:type="dxa"/>
            <w:vAlign w:val="bottom"/>
            <w:vMerge w:val="continue"/>
            <w:shd w:val="clear" w:color="auto" w:fill="CCEEFF"/>
          </w:tcPr>
          <w:p>
            <w:pPr>
              <w:spacing w:after="0"/>
              <w:rPr>
                <w:sz w:val="16"/>
                <w:szCs w:val="16"/>
                <w:color w:val="auto"/>
              </w:rPr>
            </w:pPr>
          </w:p>
        </w:tc>
        <w:tc>
          <w:tcPr>
            <w:tcW w:w="11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0.038(1)</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4(2)</w:t>
            </w:r>
          </w:p>
        </w:tc>
        <w:tc>
          <w:tcPr>
            <w:tcW w:w="30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w:t>
            </w:r>
          </w:p>
        </w:tc>
        <w:tc>
          <w:tcPr>
            <w:tcW w:w="400" w:type="dxa"/>
            <w:vAlign w:val="bottom"/>
            <w:vMerge w:val="continue"/>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8" w:lineRule="exact"/>
        <w:rPr>
          <w:sz w:val="20"/>
          <w:szCs w:val="20"/>
          <w:color w:val="auto"/>
        </w:rPr>
      </w:pPr>
    </w:p>
    <w:p>
      <w:pPr>
        <w:ind w:left="540" w:right="420" w:hanging="424"/>
        <w:spacing w:after="0" w:line="234"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Statistically significant, meaning a less than 5% chance (or p-value less than 0.05) that the observed results occurred by chance alone.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One patient in the reference group did not complete the study and is not included in the results.</w:t>
      </w:r>
    </w:p>
    <w:p>
      <w:pPr>
        <w:spacing w:after="0" w:line="212"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Bone turnover comprises two processes: the removal of bone and the laying down of new bone. Markers in blood can be used to assess the formation and resorption of bone. P1NP and CTX-1 are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the markers of bone formation and resorption, respectively, that are recommended for clinical use and are considered the two reference markers by the International Osteoporosis Foundation and International Federation of Clinical Chemistry.</w:t>
      </w:r>
    </w:p>
    <w:p>
      <w:pPr>
        <w:spacing w:after="0" w:line="197"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Treatment with setrusumab also showed a statistically significant improvement in all measured bone formation biomarkers at day 43 of the trial, as shown in the table below, as well as a trend of reduction in the CTX-1 biomarker of bone resorption:</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Setrusumab</w:t>
            </w:r>
          </w:p>
        </w:tc>
        <w:tc>
          <w:tcPr>
            <w:tcW w:w="5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Reference</w:t>
            </w:r>
          </w:p>
        </w:tc>
        <w:tc>
          <w:tcPr>
            <w:tcW w:w="5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Ratio of</w:t>
            </w: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geometric</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geometric</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geometric means</w:t>
            </w:r>
          </w:p>
        </w:tc>
        <w:tc>
          <w:tcPr>
            <w:tcW w:w="0" w:type="dxa"/>
            <w:vAlign w:val="bottom"/>
          </w:tcPr>
          <w:p>
            <w:pPr>
              <w:spacing w:after="0"/>
              <w:rPr>
                <w:sz w:val="1"/>
                <w:szCs w:val="1"/>
                <w:color w:val="auto"/>
              </w:rPr>
            </w:pPr>
          </w:p>
        </w:tc>
      </w:tr>
      <w:tr>
        <w:trPr>
          <w:trHeight w:val="162"/>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Bone formation biomarker</w:t>
            </w:r>
          </w:p>
        </w:tc>
        <w:tc>
          <w:tcPr>
            <w:tcW w:w="14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mean to</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mean to</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90% confidence</w:t>
            </w:r>
          </w:p>
        </w:tc>
        <w:tc>
          <w:tcPr>
            <w:tcW w:w="0" w:type="dxa"/>
            <w:vAlign w:val="bottom"/>
          </w:tcPr>
          <w:p>
            <w:pPr>
              <w:spacing w:after="0"/>
              <w:rPr>
                <w:sz w:val="1"/>
                <w:szCs w:val="1"/>
                <w:color w:val="auto"/>
              </w:rPr>
            </w:pPr>
          </w:p>
        </w:tc>
      </w:tr>
      <w:tr>
        <w:trPr>
          <w:trHeight w:val="167"/>
        </w:trPr>
        <w:tc>
          <w:tcPr>
            <w:tcW w:w="1800" w:type="dxa"/>
            <w:vAlign w:val="bottom"/>
            <w:tcBorders>
              <w:bottom w:val="single" w:sz="8" w:color="auto"/>
            </w:tcBorders>
            <w:vMerge w:val="continue"/>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patients</w:t>
            </w:r>
          </w:p>
        </w:tc>
        <w:tc>
          <w:tcPr>
            <w:tcW w:w="3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baseline</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p-value</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patients</w:t>
            </w:r>
          </w:p>
        </w:tc>
        <w:tc>
          <w:tcPr>
            <w:tcW w:w="2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baseline</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p-value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interval</w:t>
            </w:r>
          </w:p>
        </w:tc>
        <w:tc>
          <w:tcPr>
            <w:tcW w:w="0" w:type="dxa"/>
            <w:vAlign w:val="bottom"/>
          </w:tcPr>
          <w:p>
            <w:pPr>
              <w:spacing w:after="0"/>
              <w:rPr>
                <w:sz w:val="1"/>
                <w:szCs w:val="1"/>
                <w:color w:val="auto"/>
              </w:rPr>
            </w:pPr>
          </w:p>
        </w:tc>
      </w:tr>
      <w:tr>
        <w:trPr>
          <w:trHeight w:val="20"/>
        </w:trPr>
        <w:tc>
          <w:tcPr>
            <w:tcW w:w="1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P1NP</w:t>
            </w:r>
          </w:p>
        </w:tc>
        <w:tc>
          <w:tcPr>
            <w:tcW w:w="14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vMerge w:val="continue"/>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w:t>
            </w:r>
          </w:p>
        </w:tc>
        <w:tc>
          <w:tcPr>
            <w:tcW w:w="1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1.84</w:t>
            </w:r>
          </w:p>
        </w:tc>
        <w:tc>
          <w:tcPr>
            <w:tcW w:w="420" w:type="dxa"/>
            <w:vAlign w:val="bottom"/>
            <w:vMerge w:val="continue"/>
            <w:shd w:val="clear" w:color="auto" w:fill="CCEEFF"/>
          </w:tcPr>
          <w:p>
            <w:pPr>
              <w:spacing w:after="0"/>
              <w:rPr>
                <w:sz w:val="16"/>
                <w:szCs w:val="16"/>
                <w:color w:val="auto"/>
              </w:rPr>
            </w:pPr>
          </w:p>
        </w:tc>
        <w:tc>
          <w:tcPr>
            <w:tcW w:w="11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0.001(1)</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4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1.06</w:t>
            </w:r>
          </w:p>
        </w:tc>
        <w:tc>
          <w:tcPr>
            <w:tcW w:w="40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0.651</w:t>
            </w:r>
          </w:p>
        </w:tc>
        <w:tc>
          <w:tcPr>
            <w:tcW w:w="400" w:type="dxa"/>
            <w:vAlign w:val="bottom"/>
            <w:vMerge w:val="continue"/>
            <w:shd w:val="clear" w:color="auto" w:fill="CCEEFF"/>
          </w:tcPr>
          <w:p>
            <w:pPr>
              <w:spacing w:after="0"/>
              <w:rPr>
                <w:sz w:val="16"/>
                <w:szCs w:val="16"/>
                <w:color w:val="auto"/>
              </w:rPr>
            </w:pPr>
          </w:p>
        </w:tc>
        <w:tc>
          <w:tcPr>
            <w:tcW w:w="12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P1CP</w:t>
            </w:r>
          </w:p>
        </w:tc>
        <w:tc>
          <w:tcPr>
            <w:tcW w:w="23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1.53</w:t>
            </w: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0.003(1)</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1.05</w:t>
            </w: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0.600</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BSAP</w:t>
            </w:r>
          </w:p>
        </w:tc>
        <w:tc>
          <w:tcPr>
            <w:tcW w:w="23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1.59</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0.001(1)</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0.87</w:t>
            </w: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0.582</w:t>
            </w:r>
          </w:p>
        </w:tc>
        <w:tc>
          <w:tcPr>
            <w:tcW w:w="12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OC</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1.44</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0.012(1)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0.81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0.436</w:t>
            </w: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Statistically significant.</w:t>
      </w:r>
    </w:p>
    <w:p>
      <w:pPr>
        <w:spacing w:after="0" w:line="21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These results showed a statistically significant upregulation in the activity of P1NP, P1CP, BSAP, and increased OC levels, while the corresponding biomarkers remained unchanged or declined moderately in the reference group.</w:t>
      </w:r>
    </w:p>
    <w:p>
      <w:pPr>
        <w:spacing w:after="0" w:line="197"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We believe that the observed increase in lumbar spine bone mineral density in patients treated with setrusumab, along with the bone biomarker data, support the bone anabolic effects of setrusumab in adult patients with moderate OI and support the potential for setrusumab to stimulate bone formation and reduce bone resorption after a low, medium and high dose.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 the trials conducted by Novartis, setrusumab was generally well tolerated. In the Phase 2 OI clinical trial, there was one non-drug related significant adverse event in the reference group. The most common adverse events were headaches, influenza, arthralgia and fatigue both in patients who received setrusumab and in the reference group.</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Current and Planned Clinical Trials in Osteogenesis Imperfecta</w:t>
      </w:r>
    </w:p>
    <w:p>
      <w:pPr>
        <w:spacing w:after="0" w:line="95" w:lineRule="exact"/>
        <w:rPr>
          <w:sz w:val="20"/>
          <w:szCs w:val="20"/>
          <w:color w:val="auto"/>
        </w:rPr>
      </w:pPr>
    </w:p>
    <w:p>
      <w:pPr>
        <w:jc w:val="both"/>
        <w:ind w:left="120" w:right="60" w:firstLine="440"/>
        <w:spacing w:after="0" w:line="255" w:lineRule="auto"/>
        <w:rPr>
          <w:sz w:val="20"/>
          <w:szCs w:val="20"/>
          <w:color w:val="auto"/>
        </w:rPr>
      </w:pPr>
      <w:r>
        <w:rPr>
          <w:rFonts w:ascii="Arial" w:cs="Arial" w:eastAsia="Arial" w:hAnsi="Arial"/>
          <w:sz w:val="17"/>
          <w:szCs w:val="17"/>
          <w:color w:val="auto"/>
        </w:rPr>
        <w:t>In May 2017, we commenced a Phase 2b clinical trial of setrusumab in adults in the United States, Europe and Canada. The Phase 2b clinical trial is a multi-center, randomized trial with three blinded arms at a high, medium and low doses to establish the dose response curve and an open label arm at the top dose. The trial completed enrollment of 112 patients and we reported 12-month top-line data from the trial in November 2019. Following the 12-month dosing part of the trial, patients will be followed for a further twelve months to examine the off-effects of setrusumab. Similar to the Phase 2 clinical trial conducted by Novartis, we enrolled patients with type I, III and IV OI.</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12 month Top-line Data From Setrusumab Phase 2b Dose-ranging Study in Adult Patients</w:t>
      </w:r>
    </w:p>
    <w:p>
      <w:pPr>
        <w:spacing w:after="0" w:line="81"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On November 11, 2019 we reported 12-month top-line data from our Phase 2b dose-ranging clinical trial for setrusumab in adults with Type I, III or IV OI.</w:t>
      </w:r>
    </w:p>
    <w:p>
      <w:pPr>
        <w:spacing w:after="0" w:line="197" w:lineRule="exact"/>
        <w:rPr>
          <w:sz w:val="20"/>
          <w:szCs w:val="20"/>
          <w:color w:val="auto"/>
        </w:rPr>
      </w:pPr>
    </w:p>
    <w:p>
      <w:pPr>
        <w:jc w:val="both"/>
        <w:ind w:left="120" w:right="440" w:firstLine="440"/>
        <w:spacing w:after="0" w:line="261" w:lineRule="auto"/>
        <w:rPr>
          <w:sz w:val="20"/>
          <w:szCs w:val="20"/>
          <w:color w:val="auto"/>
        </w:rPr>
      </w:pPr>
      <w:r>
        <w:rPr>
          <w:rFonts w:ascii="Arial" w:cs="Arial" w:eastAsia="Arial" w:hAnsi="Arial"/>
          <w:sz w:val="17"/>
          <w:szCs w:val="17"/>
          <w:color w:val="auto"/>
        </w:rPr>
        <w:t>The primary endpoint of the trial was change in trabecular volumetric bone mineral density (“Tr vBMD”) of the radius (wrist) over baseline after 12 months of treatment as measured by high resolution peripheral quantitative computerized tomography (“HRpQCT”). Cortical bone, or compact bone, is denser and is primarily found in the shaft of long bones and forms the outer shell around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trabecular bone, or cancellous or spongy bone, at the end of joints and the vertebrae. As a result of the unexpected high heterogeneity of the trial patients’ trabecular bone baseline values at the wrist (including both very low and very high trabecular bone at baseline as compared to the literature available),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volumetric BMD separately. Importantly, an increase in total BMD at the wrist as measured by HRpQCT (measuring cortical and trabecular together), a secondary endpoint of the study, was observed and reached statistical significance in the medium and high dose cohorts. Mean increases in total volumetric BMD were 4.11% (p=0.004), 4.85% (p=0.028), and -0.18% (p=0.97) in the high, medium, and low dose cohorts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respectively. This suggests total volumetric BMD increases were driven by the ability of setrusumab to increase cortical</w:t>
      </w:r>
      <w:r>
        <w:rPr>
          <w:rFonts w:ascii="Arial" w:cs="Arial" w:eastAsia="Arial" w:hAnsi="Arial"/>
          <w:sz w:val="18"/>
          <w:szCs w:val="18"/>
          <w:i w:val="1"/>
          <w:iCs w:val="1"/>
          <w:color w:val="auto"/>
        </w:rPr>
        <w:t xml:space="preserve"> </w:t>
      </w:r>
      <w:r>
        <w:rPr>
          <w:rFonts w:ascii="Arial" w:cs="Arial" w:eastAsia="Arial" w:hAnsi="Arial"/>
          <w:sz w:val="18"/>
          <w:szCs w:val="18"/>
          <w:color w:val="auto"/>
        </w:rPr>
        <w:t>volumetric BMD.</w:t>
      </w:r>
    </w:p>
    <w:p>
      <w:pPr>
        <w:spacing w:after="0" w:line="20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study achieved its important secondary endpoint of increase in areal BMD at the lumbar spine at six and 12 months over baseline using two-dimensional dual energy x-ray absorptiometry (“DXA”), a well-established measurement tool of BMD (cortical and trabecular bone), reaching statistical significance in the high and medium doses cohorts at both six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and IV) represented in the study and improved with duration of treatment. Statistically significant changes in areal BMD were also observed by DXA at the femoral neck and total hip with mean increases of 3.1% (p=0.022) and 2.2% (P=0.011), respectively, at 12 months in the high dose cohort.</w:t>
      </w:r>
    </w:p>
    <w:p>
      <w:pPr>
        <w:spacing w:after="0" w:line="208"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Although the Phase 2b trial was not powered to show a difference in fracture rates, a trend of reduction in fractures was observed in the high-dose cohort. Setrusumab was safe and well-tolerated in the study. There were no cardiac-related safety concerns observed in the study.</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study enrolled 112 adults (69 with type I, 28 with type IV and 15 with type III OI) at 27 clinical sites across the U.S.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Six-month results from this open-label arm were reported in May 2019 and presented at the American Society of Bone Mineral Research (ASBMR) Annual Meeting in September 2019. Patients in the open-label arm of the study have not yet completed 12 months of treatment with setrusumab, therefore the top-line 12-month results reported on November 11, 2019 are from the three-arm blinded portion of the study. Set forth below is additional information on the Phase 2b dose-ranging clinical trial for setrusumab in adults with Type I, III or IV OI.</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2b (ASTEROID) Study Design</w:t>
      </w:r>
    </w:p>
    <w:p>
      <w:pPr>
        <w:spacing w:after="0" w:line="9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Phase 2b dose-ranging (ASTEROID) study was a 12-month, randomized, double-blind, Phase 2b dose-finding study in 112 adults diagnosed with type I, III or IV OI and a confirmed COL1A1/COL1A2 mutation who have fractured over the previous five years. The primary endpoint of the study was the change over baseline in Tr vBMD of the wrist at 12 months, assessed using HRpQCT. Change from baseline at six and 12 months for areal BMD at the lumbar spine, as measured by DXA, was an important secondary endpoint. Additional secondary endpoints included HRpQCT parameters (such as total volumetric BMD), bone biomarkers, patient reported outcomes (PRO) and quality of life measures. Fracture data were also collected throughout the duration of the study, although the trial was not statistically powered for fractures.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Patient Baseline Demographics</w:t>
      </w:r>
    </w:p>
    <w:p>
      <w:pPr>
        <w:spacing w:after="0" w:line="95"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study enrolled 112 adults (69 with type I, 28 with type IV and 15 with type III OI) at 27 clinical sites across the U.S.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Six-month results from this open-label arm were reported in May 2019 and presented at the ASBMR annual meeting in September 2019. Patients in the open-label arm of the study have not yet completed 12 months of treatment with setrusumab, therefore the top-line 12-month results reported in November 2019 are from the three-arm blinded portion of the study.</w:t>
      </w:r>
    </w:p>
    <w:p>
      <w:pPr>
        <w:spacing w:after="0" w:line="205"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Patients in the trial had not been treated with bisphosphonates in the previous three months or other anabolic or anti-resorptive medications in the previous six months. Ten patients discontinued treatment with setrusumab in the blinded portion of the study.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Efficacy Endpoint Results</w:t>
      </w:r>
    </w:p>
    <w:p>
      <w:pPr>
        <w:spacing w:after="0" w:line="81"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Patient baseline Tr vBMD HRpQCT values ranged widely from 18.2 to 279 and changes did not show a dose response. As such, the study demonstrated mean changes in Tr vBMD of the wrist over baseline of 0.7% (±5.1), -0.8% (±4.2), and 0.61% (±2.8) in the high (n=27), medium (n=20), and low dose (n=22) cohorts, respectively. When combined with the change in cortical volumetric BMD of the wrist, a dose-dependent percentage increase in total volumetric BMD was observed (a secondary endpoint of the study), reaching statistical significance in the medium and high dose cohorts. Mean increases in total volumetric BMD were 4.11% (p=0.004), 4.85% (p=0.028), and -0.18% (p=0.97) in the high, medium, and low dose cohorts, respectively, suggesting total BMD increases may be driven by the ability of setrusumab to increase cortical volumetric BMD. The total volumetric BMD increase in the high dose cohort was in line with the open-label data reported in May 2019 and presented at ASBMR in September 2019, where an increase of 3.0% was observed at six months at the high dose.</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study achieved its important secondary endpoint of increase in areal BMD at the lumbar spine at six and 12 months over baseline using two-dimensional DXA measurement, reaching statistical significance in the high and medium doses cohorts at both six and 12 months, with a clear dose-dependent response. The magnitude of areal BMD changes over baseline at the lumbar spine at six months in the blinded high-dose cohort was consistent with the previously reported six-month data from the open-label arm of the study.</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1: Increase in areal BMD at the lumbar spine as measured by DXA by dose cohort</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Mean %</w:t>
            </w:r>
          </w:p>
        </w:tc>
        <w:tc>
          <w:tcPr>
            <w:tcW w:w="1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r>
      <w:tr>
        <w:trPr>
          <w:trHeight w:val="162"/>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Mean % Change in</w:t>
            </w:r>
          </w:p>
        </w:tc>
        <w:tc>
          <w:tcPr>
            <w:tcW w:w="198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Areal BMD at</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 Value at Six</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Areal BMD at 12</w:t>
            </w:r>
          </w:p>
        </w:tc>
        <w:tc>
          <w:tcPr>
            <w:tcW w:w="1980" w:type="dxa"/>
            <w:vAlign w:val="bottom"/>
          </w:tcPr>
          <w:p>
            <w:pPr>
              <w:spacing w:after="0"/>
              <w:rPr>
                <w:sz w:val="14"/>
                <w:szCs w:val="14"/>
                <w:color w:val="auto"/>
              </w:rPr>
            </w:pPr>
          </w:p>
        </w:tc>
      </w:tr>
      <w:tr>
        <w:trPr>
          <w:trHeight w:val="175"/>
        </w:trPr>
        <w:tc>
          <w:tcPr>
            <w:tcW w:w="780" w:type="dxa"/>
            <w:vAlign w:val="bottom"/>
          </w:tcPr>
          <w:p>
            <w:pPr>
              <w:spacing w:after="0"/>
              <w:rPr>
                <w:sz w:val="15"/>
                <w:szCs w:val="15"/>
                <w:color w:val="auto"/>
              </w:rPr>
            </w:pPr>
          </w:p>
        </w:tc>
        <w:tc>
          <w:tcPr>
            <w:tcW w:w="18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Dose Cohort</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Six Months</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Months</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Months</w:t>
            </w:r>
          </w:p>
        </w:tc>
        <w:tc>
          <w:tcPr>
            <w:tcW w:w="1980" w:type="dxa"/>
            <w:vAlign w:val="bottom"/>
          </w:tcPr>
          <w:p>
            <w:pPr>
              <w:ind w:left="280"/>
              <w:spacing w:after="0"/>
              <w:rPr>
                <w:sz w:val="20"/>
                <w:szCs w:val="20"/>
                <w:color w:val="auto"/>
              </w:rPr>
            </w:pPr>
            <w:r>
              <w:rPr>
                <w:rFonts w:ascii="Arial" w:cs="Arial" w:eastAsia="Arial" w:hAnsi="Arial"/>
                <w:sz w:val="14"/>
                <w:szCs w:val="14"/>
                <w:b w:val="1"/>
                <w:bCs w:val="1"/>
                <w:color w:val="auto"/>
              </w:rPr>
              <w:t>P Value at 12 Months</w:t>
            </w:r>
          </w:p>
        </w:tc>
      </w:tr>
      <w:tr>
        <w:trPr>
          <w:trHeight w:val="20"/>
        </w:trPr>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2660" w:type="dxa"/>
            <w:vAlign w:val="bottom"/>
            <w:gridSpan w:val="3"/>
          </w:tcPr>
          <w:p>
            <w:pPr>
              <w:jc w:val="center"/>
              <w:ind w:right="240"/>
              <w:spacing w:after="0" w:line="189" w:lineRule="exact"/>
              <w:rPr>
                <w:sz w:val="20"/>
                <w:szCs w:val="20"/>
                <w:color w:val="auto"/>
              </w:rPr>
            </w:pPr>
            <w:r>
              <w:rPr>
                <w:rFonts w:ascii="Arial" w:cs="Arial" w:eastAsia="Arial" w:hAnsi="Arial"/>
                <w:sz w:val="18"/>
                <w:szCs w:val="18"/>
                <w:color w:val="auto"/>
                <w:w w:val="99"/>
              </w:rPr>
              <w:t>High (n=23)</w:t>
            </w:r>
          </w:p>
        </w:tc>
        <w:tc>
          <w:tcPr>
            <w:tcW w:w="2100" w:type="dxa"/>
            <w:vAlign w:val="bottom"/>
          </w:tcPr>
          <w:p>
            <w:pPr>
              <w:jc w:val="center"/>
              <w:spacing w:after="0" w:line="189" w:lineRule="exact"/>
              <w:rPr>
                <w:sz w:val="20"/>
                <w:szCs w:val="20"/>
                <w:color w:val="auto"/>
              </w:rPr>
            </w:pPr>
            <w:r>
              <w:rPr>
                <w:rFonts w:ascii="Arial" w:cs="Arial" w:eastAsia="Arial" w:hAnsi="Arial"/>
                <w:sz w:val="18"/>
                <w:szCs w:val="18"/>
                <w:color w:val="auto"/>
                <w:w w:val="96"/>
              </w:rPr>
              <w:t>+4.2%</w:t>
            </w:r>
          </w:p>
        </w:tc>
        <w:tc>
          <w:tcPr>
            <w:tcW w:w="12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color w:val="auto"/>
              </w:rPr>
              <w:t>p&lt;0.001</w:t>
            </w: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color w:val="auto"/>
                <w:w w:val="96"/>
              </w:rPr>
              <w:t>+8.8%</w:t>
            </w: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color w:val="auto"/>
              </w:rPr>
              <w:t>p&lt;0.001</w:t>
            </w:r>
          </w:p>
        </w:tc>
      </w:tr>
      <w:tr>
        <w:trPr>
          <w:trHeight w:val="203"/>
        </w:trPr>
        <w:tc>
          <w:tcPr>
            <w:tcW w:w="2660" w:type="dxa"/>
            <w:vAlign w:val="bottom"/>
            <w:gridSpan w:val="3"/>
          </w:tcPr>
          <w:p>
            <w:pPr>
              <w:jc w:val="center"/>
              <w:ind w:right="240"/>
              <w:spacing w:after="0" w:line="202" w:lineRule="exact"/>
              <w:rPr>
                <w:sz w:val="20"/>
                <w:szCs w:val="20"/>
                <w:color w:val="auto"/>
              </w:rPr>
            </w:pPr>
            <w:r>
              <w:rPr>
                <w:rFonts w:ascii="Arial" w:cs="Arial" w:eastAsia="Arial" w:hAnsi="Arial"/>
                <w:sz w:val="18"/>
                <w:szCs w:val="18"/>
                <w:color w:val="auto"/>
              </w:rPr>
              <w:t>Medium (n=17)</w:t>
            </w:r>
          </w:p>
        </w:tc>
        <w:tc>
          <w:tcPr>
            <w:tcW w:w="2100" w:type="dxa"/>
            <w:vAlign w:val="bottom"/>
          </w:tcPr>
          <w:p>
            <w:pPr>
              <w:jc w:val="center"/>
              <w:spacing w:after="0" w:line="202" w:lineRule="exact"/>
              <w:rPr>
                <w:sz w:val="20"/>
                <w:szCs w:val="20"/>
                <w:color w:val="auto"/>
              </w:rPr>
            </w:pPr>
            <w:r>
              <w:rPr>
                <w:rFonts w:ascii="Arial" w:cs="Arial" w:eastAsia="Arial" w:hAnsi="Arial"/>
                <w:sz w:val="18"/>
                <w:szCs w:val="18"/>
                <w:color w:val="auto"/>
              </w:rPr>
              <w:t>+3.61%</w:t>
            </w:r>
          </w:p>
        </w:tc>
        <w:tc>
          <w:tcPr>
            <w:tcW w:w="120" w:type="dxa"/>
            <w:vAlign w:val="bottom"/>
          </w:tcPr>
          <w:p>
            <w:pPr>
              <w:spacing w:after="0"/>
              <w:rPr>
                <w:sz w:val="17"/>
                <w:szCs w:val="17"/>
                <w:color w:val="auto"/>
              </w:rPr>
            </w:pPr>
          </w:p>
        </w:tc>
        <w:tc>
          <w:tcPr>
            <w:tcW w:w="20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p=0.003</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6"/>
              </w:rPr>
              <w:t>+6.8%</w:t>
            </w: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p&lt;0.001</w:t>
            </w:r>
          </w:p>
        </w:tc>
      </w:tr>
      <w:tr>
        <w:trPr>
          <w:trHeight w:val="217"/>
        </w:trPr>
        <w:tc>
          <w:tcPr>
            <w:tcW w:w="266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Low (n=21)</w:t>
            </w:r>
          </w:p>
        </w:tc>
        <w:tc>
          <w:tcPr>
            <w:tcW w:w="2100" w:type="dxa"/>
            <w:vAlign w:val="bottom"/>
          </w:tcPr>
          <w:p>
            <w:pPr>
              <w:jc w:val="center"/>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rPr>
              <w:t>p=0.153</w:t>
            </w:r>
          </w:p>
        </w:tc>
        <w:tc>
          <w:tcPr>
            <w:tcW w:w="1980" w:type="dxa"/>
            <w:vAlign w:val="bottom"/>
          </w:tcPr>
          <w:p>
            <w:pPr>
              <w:jc w:val="center"/>
              <w:spacing w:after="0"/>
              <w:rPr>
                <w:sz w:val="20"/>
                <w:szCs w:val="20"/>
                <w:color w:val="auto"/>
              </w:rPr>
            </w:pPr>
            <w:r>
              <w:rPr>
                <w:rFonts w:ascii="Arial" w:cs="Arial" w:eastAsia="Arial" w:hAnsi="Arial"/>
                <w:sz w:val="18"/>
                <w:szCs w:val="18"/>
                <w:color w:val="auto"/>
                <w:w w:val="96"/>
              </w:rPr>
              <w:t>+2.6%</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P=0.057</w:t>
            </w:r>
          </w:p>
        </w:tc>
      </w:tr>
    </w:tbl>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Increases in areal BMD as measured by DXA were also consistent across all OI subtypes represented in the study (types I, III and</w:t>
      </w:r>
    </w:p>
    <w:p>
      <w:pPr>
        <w:ind w:left="120"/>
        <w:spacing w:after="0"/>
        <w:rPr>
          <w:sz w:val="20"/>
          <w:szCs w:val="20"/>
          <w:color w:val="auto"/>
        </w:rPr>
      </w:pPr>
      <w:r>
        <w:rPr>
          <w:rFonts w:ascii="Arial" w:cs="Arial" w:eastAsia="Arial" w:hAnsi="Arial"/>
          <w:sz w:val="18"/>
          <w:szCs w:val="18"/>
          <w:color w:val="auto"/>
        </w:rPr>
        <w:t>IV).</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2: Increase in areal BMD at the lumbar spine as measured by DXA by OI subtype in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high dose group</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9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Mean % Change in Areal</w:t>
            </w:r>
          </w:p>
        </w:tc>
        <w:tc>
          <w:tcPr>
            <w:tcW w:w="34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Mean % Change in Areal</w:t>
            </w:r>
          </w:p>
        </w:tc>
      </w:tr>
      <w:tr>
        <w:trPr>
          <w:trHeight w:val="195"/>
        </w:trPr>
        <w:tc>
          <w:tcPr>
            <w:tcW w:w="286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OI Type in High Dose Cohort</w:t>
            </w:r>
          </w:p>
        </w:tc>
        <w:tc>
          <w:tcPr>
            <w:tcW w:w="1120" w:type="dxa"/>
            <w:vAlign w:val="bottom"/>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BMD at Six Months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BMD at 12 months</w:t>
            </w:r>
          </w:p>
        </w:tc>
      </w:tr>
      <w:tr>
        <w:trPr>
          <w:trHeight w:val="189"/>
        </w:trPr>
        <w:tc>
          <w:tcPr>
            <w:tcW w:w="900" w:type="dxa"/>
            <w:vAlign w:val="bottom"/>
          </w:tcPr>
          <w:p>
            <w:pPr>
              <w:spacing w:after="0"/>
              <w:rPr>
                <w:sz w:val="16"/>
                <w:szCs w:val="16"/>
                <w:color w:val="auto"/>
              </w:rPr>
            </w:pPr>
          </w:p>
        </w:tc>
        <w:tc>
          <w:tcPr>
            <w:tcW w:w="19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8"/>
              </w:rPr>
              <w:t>Type I (n=17)</w:t>
            </w:r>
          </w:p>
        </w:tc>
        <w:tc>
          <w:tcPr>
            <w:tcW w:w="1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+8.6%</w:t>
            </w:r>
          </w:p>
        </w:tc>
      </w:tr>
      <w:tr>
        <w:trPr>
          <w:trHeight w:val="217"/>
        </w:trPr>
        <w:tc>
          <w:tcPr>
            <w:tcW w:w="9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Type III &amp; IV (n=6)</w:t>
            </w:r>
          </w:p>
        </w:tc>
        <w:tc>
          <w:tcPr>
            <w:tcW w:w="4640" w:type="dxa"/>
            <w:vAlign w:val="bottom"/>
            <w:gridSpan w:val="2"/>
          </w:tcPr>
          <w:p>
            <w:pPr>
              <w:jc w:val="center"/>
              <w:ind w:left="10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+9.8%</w:t>
            </w:r>
          </w:p>
        </w:tc>
      </w:tr>
      <w:tr>
        <w:trPr>
          <w:trHeight w:val="351"/>
        </w:trPr>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40" w:type="dxa"/>
            <w:vAlign w:val="bottom"/>
            <w:gridSpan w:val="2"/>
          </w:tcPr>
          <w:p>
            <w:pPr>
              <w:jc w:val="right"/>
              <w:ind w:right="176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Statistically significant changes in areal BMD were also observed by DXA at the femoral neck and total hip with mean increases of 3.2% (p=0.022) and 2.3% (P=0.009), respectively, at 12 months in the high dose cohort.</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Although the study was not statistically powered to show a difference in fracture rates, a trend of reduction in fractures was observed in the high dose cohort. Fractures in the study included both X-ray confirmed as well as those confirmed by a local radiologist dependent on the nature of the fracture.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3: Percentage of patients with at least one fracture and occurrence rate per patient year</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4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2"/>
          </w:tcPr>
          <w:p>
            <w:pPr>
              <w:jc w:val="right"/>
              <w:ind w:right="1080"/>
              <w:spacing w:after="0" w:line="143" w:lineRule="exact"/>
              <w:rPr>
                <w:sz w:val="20"/>
                <w:szCs w:val="20"/>
                <w:color w:val="auto"/>
              </w:rPr>
            </w:pPr>
            <w:r>
              <w:rPr>
                <w:rFonts w:ascii="Arial" w:cs="Arial" w:eastAsia="Arial" w:hAnsi="Arial"/>
                <w:sz w:val="14"/>
                <w:szCs w:val="14"/>
                <w:b w:val="1"/>
                <w:bCs w:val="1"/>
                <w:color w:val="auto"/>
              </w:rPr>
              <w:t>Percentage of Patients</w:t>
            </w:r>
          </w:p>
        </w:tc>
        <w:tc>
          <w:tcPr>
            <w:tcW w:w="3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3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Dose Cohort</w:t>
            </w:r>
          </w:p>
        </w:tc>
        <w:tc>
          <w:tcPr>
            <w:tcW w:w="3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 xml:space="preserve">Experience </w:t>
            </w:r>
            <w:r>
              <w:rPr>
                <w:rFonts w:ascii="Arial" w:cs="Arial" w:eastAsia="Arial" w:hAnsi="Arial"/>
                <w:sz w:val="14"/>
                <w:szCs w:val="14"/>
                <w:color w:val="auto"/>
              </w:rPr>
              <w:t>³</w:t>
            </w:r>
            <w:r>
              <w:rPr>
                <w:rFonts w:ascii="Arial" w:cs="Arial" w:eastAsia="Arial" w:hAnsi="Arial"/>
                <w:sz w:val="14"/>
                <w:szCs w:val="14"/>
                <w:b w:val="1"/>
                <w:bCs w:val="1"/>
                <w:color w:val="auto"/>
              </w:rPr>
              <w:t xml:space="preserve"> 1 New Fracture</w:t>
            </w:r>
          </w:p>
        </w:tc>
        <w:tc>
          <w:tcPr>
            <w:tcW w:w="3560" w:type="dxa"/>
            <w:vAlign w:val="bottom"/>
            <w:gridSpan w:val="2"/>
          </w:tcPr>
          <w:p>
            <w:pPr>
              <w:ind w:left="860"/>
              <w:spacing w:after="0"/>
              <w:rPr>
                <w:sz w:val="20"/>
                <w:szCs w:val="20"/>
                <w:color w:val="auto"/>
              </w:rPr>
            </w:pPr>
            <w:r>
              <w:rPr>
                <w:rFonts w:ascii="Arial" w:cs="Arial" w:eastAsia="Arial" w:hAnsi="Arial"/>
                <w:sz w:val="14"/>
                <w:szCs w:val="14"/>
                <w:b w:val="1"/>
                <w:bCs w:val="1"/>
                <w:color w:val="auto"/>
              </w:rPr>
              <w:t>Fractures per Subject Year</w:t>
            </w: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Pr>
          <w:p>
            <w:pPr>
              <w:spacing w:after="0"/>
              <w:rPr>
                <w:sz w:val="16"/>
                <w:szCs w:val="16"/>
                <w:color w:val="auto"/>
              </w:rPr>
            </w:pPr>
          </w:p>
        </w:tc>
        <w:tc>
          <w:tcPr>
            <w:tcW w:w="24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High (n=27)</w:t>
            </w:r>
          </w:p>
        </w:tc>
        <w:tc>
          <w:tcPr>
            <w:tcW w:w="352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6"/>
                <w:szCs w:val="16"/>
                <w:color w:val="auto"/>
              </w:rPr>
            </w:pPr>
          </w:p>
        </w:tc>
        <w:tc>
          <w:tcPr>
            <w:tcW w:w="3540" w:type="dxa"/>
            <w:vAlign w:val="bottom"/>
          </w:tcPr>
          <w:p>
            <w:pPr>
              <w:jc w:val="right"/>
              <w:spacing w:after="0" w:line="189" w:lineRule="exact"/>
              <w:rPr>
                <w:sz w:val="20"/>
                <w:szCs w:val="20"/>
                <w:color w:val="auto"/>
              </w:rPr>
            </w:pPr>
            <w:r>
              <w:rPr>
                <w:rFonts w:ascii="Arial" w:cs="Arial" w:eastAsia="Arial" w:hAnsi="Arial"/>
                <w:sz w:val="18"/>
                <w:szCs w:val="18"/>
                <w:color w:val="auto"/>
              </w:rPr>
              <w:t>0.16</w:t>
            </w:r>
          </w:p>
        </w:tc>
        <w:tc>
          <w:tcPr>
            <w:tcW w:w="20" w:type="dxa"/>
            <w:vAlign w:val="bottom"/>
          </w:tcPr>
          <w:p>
            <w:pPr>
              <w:spacing w:after="0"/>
              <w:rPr>
                <w:sz w:val="16"/>
                <w:szCs w:val="16"/>
                <w:color w:val="auto"/>
              </w:rPr>
            </w:pPr>
          </w:p>
        </w:tc>
      </w:tr>
      <w:tr>
        <w:trPr>
          <w:trHeight w:val="203"/>
        </w:trPr>
        <w:tc>
          <w:tcPr>
            <w:tcW w:w="386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rPr>
              <w:t>Medium (n=20)</w:t>
            </w:r>
          </w:p>
        </w:tc>
        <w:tc>
          <w:tcPr>
            <w:tcW w:w="3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3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0.49</w:t>
            </w:r>
          </w:p>
        </w:tc>
      </w:tr>
      <w:tr>
        <w:trPr>
          <w:trHeight w:val="217"/>
        </w:trPr>
        <w:tc>
          <w:tcPr>
            <w:tcW w:w="144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Low (n=22)</w:t>
            </w:r>
          </w:p>
        </w:tc>
        <w:tc>
          <w:tcPr>
            <w:tcW w:w="36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r>
    </w:tbl>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Top-line Safety Results</w:t>
      </w:r>
    </w:p>
    <w:p>
      <w:pPr>
        <w:spacing w:after="0" w:line="9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Top-line 12-month safety results suggest setrusumab was safe and well tolerated in the study. The adverse event profile was balanced across the arms. There were five, eight and four serious treatment emergent adverse events in the high, medium and low dose groups, three of which were initially recorded as treatment related. Two events occurred in one patient, these were headache and hydrocephalus. The patient had a history of basilar invagination, subdural haematoma and subdural haemorrhage; the Neurologist and Data Monitoring Committee (“DMC”) concluded that the events were unlikely related to the study drug. There was a temporary interruption to the study drug but the patient restarted treatment and continued the study with no complications. The other serious adverse event that was initially recorded as related was of anaphylactic reaction, which occurred two days following setrusumab infusion. This was the patient’s sixth infusion. As the reaction was two days following the infusion and the patient previously had five doses, it was determined that it was unlikely to be a drug reaction and the patient continued therapy, without symptoms or signs with repeat infusions. All of the nine adverse events that were reported as potentially cardiac related were discussed at the DMC (including cardiology review), and none were concluded to represent a cardiovascular safety concern.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Next Steps</w:t>
      </w:r>
    </w:p>
    <w:p>
      <w:pPr>
        <w:spacing w:after="0" w:line="122"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Patients who have completed 12-months of treatment in the ASTEROID study continue into a 12-month extension “off therapy” portion to examine the off effect of setrusumab. Patients who continue in the extension portion have the option to receive 12 months of treatment with the bisphosphonate zoledronic acid (given at months six and/or 12). Such patients will receive both DXA and HRpQCT scans at six and 12 months after entering the extension portion.</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addition, we have agreed on a PIP for setrusumab with the EMA and intend to prepare for a pivotal trial of setrusumab in the United States, Europe and Canada in children with severe OI in 2020, with fracture rate as the primary endpoint. We intend to enroll approximately 165 children aged 5 to &lt;18 years old in this trial. Based on our interactions with the EMA, we believe that the results from this trial, if favorable, will be sufficient to support the submission of a MAA for setrusumab for the treatment of children with severe OI and a CMA for the treatment of OI in adults in the EU.</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FDA approved the first sclerostin inhibitor for treatment of osteoporosis, romosozumab (Evenity), in April 2019 following an 18-1 favorable advisory committee vote. This was over a year after the FDA rejected our request for a Type C meeting to discuss the initiation of a pediatric Phase 3 study for setrusumab for the treatment of patients with severe OI. Based on these events and with our setrusumab Phase 2b efficacy and safety data in adult OI patients, we re-engaged with the FDA at the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end of 2019 to discuss the expansion of the pivotal trial of setrusumab for the treatment of patients with severe OI to include sites in the United States. In February 2020, we announced the successful completion of a Type B End -of-Phase 2 meeting with the FDA to discuss the development of setrusumab for the treatment of children and adolescents with OI in the United States. See “Prospectus Summary— Recent Developments—Positive Feedback from Type B End-of-Phase 2 Meeting with the FDA.”</w:t>
      </w:r>
    </w:p>
    <w:p>
      <w:pPr>
        <w:spacing w:after="0" w:line="205"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In Europe, the EMA has an adaptive pathways program which allows for early and progressive patient access to medicine. In July 2016, the EMA launched the PRIME scheme, a voluntary scheme aimed at enhancing the EMA’s support for the development of medicines that target unmet medical needs. In February 2017 setrusumab was accepted into the adaptive pathways program and in November 2017, the EMA granted PRIME designation for setrusumab for the treatment of OI. See “—Government Regulation—Foreign Government Regulation.”</w:t>
      </w:r>
    </w:p>
    <w:p>
      <w:pPr>
        <w:spacing w:after="0" w:line="202" w:lineRule="exact"/>
        <w:rPr>
          <w:sz w:val="20"/>
          <w:szCs w:val="20"/>
          <w:color w:val="auto"/>
        </w:rPr>
      </w:pPr>
    </w:p>
    <w:p>
      <w:pPr>
        <w:ind w:left="120" w:right="520" w:firstLine="440"/>
        <w:spacing w:after="0"/>
        <w:rPr>
          <w:sz w:val="20"/>
          <w:szCs w:val="20"/>
          <w:color w:val="auto"/>
        </w:rPr>
      </w:pPr>
      <w:r>
        <w:rPr>
          <w:rFonts w:ascii="Arial" w:cs="Arial" w:eastAsia="Arial" w:hAnsi="Arial"/>
          <w:sz w:val="18"/>
          <w:szCs w:val="18"/>
          <w:color w:val="auto"/>
        </w:rPr>
        <w:t>In February 2020, we announced the successful completion of a Type B End-of-Phase 2 meeting with the FDA to discuss the development of setrusumab for the treatment of children and adolescents with OI in the United States. See “Prospectus Summary— Recent Developments—Positive Feedback from Type B End-of-Phase 2 Meeting with the FDA.”</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Alvelestat (MPH-966) for the Treatment of Severe Alpha-1-Antitrypsin Deficiency (“AATD”)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are developing alvelestat for the treatment of severe AATD, a potentially life-threatening rare, genetic condition that results in severe debilitating diseases, including early-onset pulmonary emphysema. Alvelestat is a novel, oral small molecule designed to inhibit NE. Scientific data indicate that the increased risk of lung tissue injury in AATD patients may be due to inadequately controlled NE caused by insufficient AAT. We believe that by inhibiting NE, alvelestat has the potential to reduce the destruction of lung tissue and stabilize clinical deterioration in severe AATD patients.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AATD is a genetic disease. There are estimated to be 50,000 people in North America and 60,000 in Europe with severe AATD, which we define as AATD in patients with either a PiZZ genotype or Null/Null genotype. The major function of AAT in the lungs is to protect the connective tissue from NE released from triggered neutrophils. In the majority of people, the lungs are defended from NE attack by AAT, which is a highly effective inhibitor of NE. Severe AATD patients produce ineffective or no AAT and are, therefore, unable to defend against NE attack. As a result, severe AATD patients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FEV1, a standard measure of exhalation. The annual mortality rate in this genotype estimated to be 4%. Given that individuals with the Null/Null genotype do not produce any AAT, we believe that they are likely to experience an even greater annual decline in FEV1.</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9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Further, AAT augmentation therapy is not reimbursed and thus is not currently available to patients in several jurisdictions, including some key European markets. In addition, AAT augmentation therapy requires potentially inconvenient weekly intravenous infusions.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Our product candidate for treating severe AATD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surgery or weekly intravenous AAT augmentation therapy. In our clinical development programs, we intend to generate data to allow healthcare authorities to take evidence-based decisions.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Alvelestat</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historical and planned clinical trials of alvelestat: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Historical Trials</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Current Trials</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Phase</w:t>
            </w:r>
          </w:p>
        </w:tc>
        <w:tc>
          <w:tcPr>
            <w:tcW w:w="840" w:type="dxa"/>
            <w:vAlign w:val="bottom"/>
            <w:vMerge w:val="restart"/>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w:t>
            </w:r>
          </w:p>
        </w:tc>
        <w:tc>
          <w:tcPr>
            <w:tcW w:w="42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Population</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Treated with</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0" w:type="dxa"/>
            <w:vAlign w:val="bottom"/>
            <w:tcBorders>
              <w:bottom w:val="single" w:sz="8" w:color="auto"/>
            </w:tcBorders>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Studies</w:t>
            </w:r>
          </w:p>
        </w:tc>
        <w:tc>
          <w:tcPr>
            <w:tcW w:w="4280" w:type="dxa"/>
            <w:vAlign w:val="bottom"/>
            <w:gridSpan w:val="2"/>
            <w:vMerge w:val="continue"/>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Alvelestat</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Population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Enrollment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Trial Started</w:t>
            </w:r>
          </w:p>
        </w:tc>
        <w:tc>
          <w:tcPr>
            <w:tcW w:w="0" w:type="dxa"/>
            <w:vAlign w:val="bottom"/>
          </w:tcPr>
          <w:p>
            <w:pPr>
              <w:spacing w:after="0"/>
              <w:rPr>
                <w:sz w:val="1"/>
                <w:szCs w:val="1"/>
                <w:color w:val="auto"/>
              </w:rPr>
            </w:pPr>
          </w:p>
        </w:tc>
      </w:tr>
      <w:tr>
        <w:trPr>
          <w:trHeight w:val="20"/>
        </w:trPr>
        <w:tc>
          <w:tcPr>
            <w:tcW w:w="12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Phase 1</w:t>
            </w: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gridSpan w:val="2"/>
            <w:vMerge w:val="continue"/>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4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Healthy Volunteers / COPD</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143</w:t>
            </w:r>
          </w:p>
        </w:tc>
        <w:tc>
          <w:tcPr>
            <w:tcW w:w="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Phase 2</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AATD</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165</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Q4 2018</w:t>
            </w: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3</w:t>
            </w:r>
          </w:p>
        </w:tc>
        <w:tc>
          <w:tcPr>
            <w:tcW w:w="4280" w:type="dxa"/>
            <w:vAlign w:val="bottom"/>
            <w:gridSpan w:val="2"/>
          </w:tcPr>
          <w:p>
            <w:pPr>
              <w:jc w:val="center"/>
              <w:ind w:right="180"/>
              <w:spacing w:after="0"/>
              <w:rPr>
                <w:sz w:val="20"/>
                <w:szCs w:val="20"/>
                <w:color w:val="auto"/>
              </w:rPr>
            </w:pPr>
            <w:r>
              <w:rPr>
                <w:rFonts w:ascii="Arial" w:cs="Arial" w:eastAsia="Arial" w:hAnsi="Arial"/>
                <w:sz w:val="14"/>
                <w:szCs w:val="14"/>
                <w:color w:val="auto"/>
              </w:rPr>
              <w:t>COPD</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958</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42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6"/>
              </w:rPr>
              <w:t>CF</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w:t>
            </w: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6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4280" w:type="dxa"/>
            <w:vAlign w:val="bottom"/>
            <w:gridSpan w:val="2"/>
          </w:tcPr>
          <w:p>
            <w:pPr>
              <w:jc w:val="center"/>
              <w:ind w:right="180"/>
              <w:spacing w:after="0"/>
              <w:rPr>
                <w:sz w:val="20"/>
                <w:szCs w:val="20"/>
                <w:color w:val="auto"/>
              </w:rPr>
            </w:pPr>
            <w:r>
              <w:rPr>
                <w:rFonts w:ascii="Arial" w:cs="Arial" w:eastAsia="Arial" w:hAnsi="Arial"/>
                <w:sz w:val="14"/>
                <w:szCs w:val="14"/>
                <w:color w:val="auto"/>
              </w:rPr>
              <w:t>Bronchiectasis</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22</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Trials</w:t>
      </w:r>
    </w:p>
    <w:p>
      <w:pPr>
        <w:spacing w:after="0" w:line="9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Although prior clinical trials of alvelestat were in indications other than AATD, we believe that the clinical benefit observed in these trials and the biomarker evidence of treatment effect make alvelestat a promising potential product candidate for treating severe AATD. In particular, we believe the results from the Phase 2 clinical trials in bronchiectasis and CF are most relevant in assessing alvelestat’s potential to treat severe AATD.</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Phase 2 Clinical Trial in Bronchiectasis</w:t>
      </w:r>
    </w:p>
    <w:p>
      <w:pPr>
        <w:spacing w:after="0" w:line="63"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AstraZeneca conducted a double-blind, placebo-controlled Phase 2 clinical trial in bronchiectasis in a total of 38 patients, 22 of whom were treated with alvelestat, using a 60 mg dose of alvelestat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20"/>
        <w:spacing w:after="0" w:line="238" w:lineRule="auto"/>
        <w:rPr>
          <w:sz w:val="20"/>
          <w:szCs w:val="20"/>
          <w:color w:val="auto"/>
        </w:rPr>
      </w:pPr>
      <w:r>
        <w:rPr>
          <w:rFonts w:ascii="Arial" w:cs="Arial" w:eastAsia="Arial" w:hAnsi="Arial"/>
          <w:sz w:val="18"/>
          <w:szCs w:val="18"/>
          <w:color w:val="auto"/>
        </w:rPr>
        <w:t>administered twice daily for four weeks. Bronchiectasis is a disease characterized by localized, irreversible dilatation of parts of the bronchial tree, caused by destruction of the structural components of the bronchial wall that result from a vicious cycle of transmural infection and inflammation. Neutrophils play a key role in inflammation in bronchiectasis with airway neutrophilia resulting in high concentrations of neutrophil proteases, such as NE, which may be inadequately neutralized by anti-proteases.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results of this four-week trial showed a statistically significant improvement at day 28 versus placebo in mean FEV1 of 100 ml (p=0.006) and a clinically meaningful improvement of 130 ml (p=0.079) in mean slow vital capacity, which measures the volume of air on a slow full expiration of air in the patient’s lungs. The effect on the St. George’s Respiratory Questionnaire, a questionnaire that measures quality of life in patients with diseases of airways obstruction, favored alvelestat overall and in each measured domain, with a more than four-unit difference in the overall score, demonstrating clinical relevance. In addition, although the data did not show statistical significance in desmosine levels in urine, the treatment group showed a reduction in desmosine levels while the placebo group showed an increase in desmosine levels.</w:t>
      </w:r>
    </w:p>
    <w:p>
      <w:pPr>
        <w:spacing w:after="0" w:line="20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believe that bronchiectasis and AATD share common pathological features such as damage to structural parts of the bronchial tree caused by neutrophil proteases that support the potential for alvelestat to treat severe AATD, a disease driven primarily by insufficient inhibition of NE.</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Phase 2 Clinical Trial in Cystic Fibrosis</w:t>
      </w:r>
    </w:p>
    <w:p>
      <w:pPr>
        <w:spacing w:after="0" w:line="77"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CF in a total of 56 patients, 26 of whom were treated with alvelestat, using a 60 mg dose of alvelestat administered twice daily for four weeks. CF is a disease that results in thickened secretions and endobronchial infections. These chronic infections are associated with an exaggerated inflammatory response in the airways and neutrophil infiltration of the lungs. The presence of neutrophils in the airways, and the resulting high concentrations of neutrophil proteases, such as NE, suggest that neutrophils are contributors in the pathogenesis of the proteolytic lung destruction associated with CF.</w:t>
      </w:r>
    </w:p>
    <w:p>
      <w:pPr>
        <w:spacing w:after="0" w:line="20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The trial was designed to examine the safety and efficacy of alvelestat and its effect on the biomarkers of lung damage. The trial did not demonstrate a statistically significant benefit in lung function, which we believe was due to the anti-proteolytic mechanism of action of alvelestat only addressing one component of the pathology of CF. However, there was a statistically significant reduction in free desmosine in urine corrected for creatinine (p=0.002), and a reduction in plasma desmosine of 16%. Desmosine and isodesmosine are unique cross linking amino acids in elastin. Elastin is a protein that makes up the structure of the alveoli in the lungs and provides the pressure that allows for easy breathing, but is vulnerable to breakdown by NE. The reduction in desmosine in this trial indicates a reduction in the breakdown of elastin. As the proposed mechanism of action of alvelestat is to inhibit the NE activity in severe AATD patients, we believe this supports the utility of desmosine as a clinical biomarker in our Phase 2 proof-of-concept study.</w:t>
      </w:r>
    </w:p>
    <w:p>
      <w:pPr>
        <w:spacing w:after="0" w:line="208"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We believe that the data from this trial provide proof of concept for mechanistic effect and the use of desmosine as a biomarker of lung degradation in diseases of high or unopposed NE, such as severe AATD.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In the clinical trials conducted by AstraZeneca, no treatment-related serious adverse events were identified. A dose of up to 120 mg twice daily was well tolerated in Phase 1 clinical trials and a dose of 60 mg twice daily was well tolerated in the CF, bronchiectasis and COPD Phase 2 trials. Across the 1,149 patients and healthy volunteers treated with alvelestat, 16 patients had an elevation of liver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enzymes with alanine transaminase or aspartate transaminase enzyme concentrations elevated to greater than three times the upper limit of normal, but no patient met the criteria of Hy’s law of drug-induced liver injury and no dose dependency was observed. Headache was the most frequently reported adverse event among eight out of the 12 studies completed to date. It was seen in up to 39% of those who received multiple doses and was seen on both active and placebo. Across all the studies, two of the headaches were reported as severe but most of the headaches were mild in intensity. Independent safety review committees evaluated this data and recommended that the trials continue.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 in Severe AATD</w:t>
      </w:r>
    </w:p>
    <w:p>
      <w:pPr>
        <w:spacing w:after="0" w:line="9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We are conducting a Phase 2 proof-of-concept clinical trial of alvelestat in 165 patients with severe AATD in the United States and the EU and expect to report top-line data from this trial in mid-2020. The trial is a 12-week, double-blind, placebo-controlled clinical trial examining two doses of alvelestat compared to placebo with primary endpoints of elastin breakdown as measured by the biomarker desmosine. We believe that by inhibiting NE, alvelestat will reduce the breakdown of elastin and therefore the amount of desmosine. Planned secondary endpoints are plasma Aa-Val(360), a biomarker of NE activity, NE activity in sputum, and lung function tests, including FEV1.</w:t>
      </w:r>
    </w:p>
    <w:p>
      <w:pPr>
        <w:spacing w:after="0" w:line="203" w:lineRule="exact"/>
        <w:rPr>
          <w:sz w:val="20"/>
          <w:szCs w:val="20"/>
          <w:color w:val="auto"/>
        </w:rPr>
      </w:pPr>
    </w:p>
    <w:p>
      <w:pPr>
        <w:ind w:left="120" w:right="1000" w:firstLine="440"/>
        <w:spacing w:after="0" w:line="246" w:lineRule="auto"/>
        <w:rPr>
          <w:sz w:val="20"/>
          <w:szCs w:val="20"/>
          <w:color w:val="auto"/>
        </w:rPr>
      </w:pPr>
      <w:r>
        <w:rPr>
          <w:rFonts w:ascii="Arial" w:cs="Arial" w:eastAsia="Arial" w:hAnsi="Arial"/>
          <w:sz w:val="18"/>
          <w:szCs w:val="18"/>
          <w:color w:val="auto"/>
        </w:rPr>
        <w:t>We plan to enroll only patients with PiZZ or Null/Null genotypes with confirmed emphysema, who have not received AAT augmentation therapy or have undergone a wash-out period following AAT augmentation therapy.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results from this trial are favorable, we intend to seek regulatory advice on the design of, and commence, a pivotal trial.</w:t>
      </w:r>
    </w:p>
    <w:p>
      <w:pPr>
        <w:spacing w:after="0" w:line="212" w:lineRule="exact"/>
        <w:rPr>
          <w:sz w:val="20"/>
          <w:szCs w:val="20"/>
          <w:color w:val="auto"/>
        </w:rPr>
      </w:pPr>
    </w:p>
    <w:p>
      <w:pPr>
        <w:ind w:left="120" w:right="340" w:firstLine="440"/>
        <w:spacing w:after="0" w:line="237" w:lineRule="auto"/>
        <w:rPr>
          <w:sz w:val="20"/>
          <w:szCs w:val="20"/>
          <w:color w:val="auto"/>
        </w:rPr>
      </w:pPr>
      <w:r>
        <w:rPr>
          <w:rFonts w:ascii="Arial" w:cs="Arial" w:eastAsia="Arial" w:hAnsi="Arial"/>
          <w:sz w:val="18"/>
          <w:szCs w:val="18"/>
          <w:color w:val="auto"/>
        </w:rPr>
        <w:t>We received an investment from, and are collaborating with, the venture philanthropy arm of the Alpha-1 Foundation, TAP, with respect to our alvelestat development program. TAP is investing in the program subject to our meeting agreed-upon development milestones. We also agreed to issue warrants to TAP to subscribe for shares in us, at certain future dates and subject to TAP making agreed-upon investments in the alvelestat development program. On October 8, 2018, we entered into a funding agreement with TAP, which provided for funding of up to $ 0.4 million. On November 1, 2018 the first tranche of $0.1 million was received and as a result we issued 41,286 warrants to subscribe for our ordinary shares at an exercise price of £0.003 per share.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Acumapimod (BCT-197) for the Treatment of AECOPD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are developing acumapimod as a first-line acute therapy in patients with a severe AECOPD to reduce further acute exacerbations of COPD. Acumapimod is a novel, orally active p38 MAP kinase inhibitor designed to inhibit the pathological mechanism behind inflammation, which is a key feature of AECOPD. Currently available treatments only manage the symptoms of severe AECOPD and are comprised primarily of oxygen therapy, corticosteroids, antibiotics, and bronchodilators. We believe acumapimod offers a potential new treatment by targeting the underlying disease and delivering tangible benefits for patients and payors by potentially preventing severe AECOPD, or reducing the frequency of exacerbations and reducing readmissions.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with the disease and the same number likely suffer from the disease without being aware of it. In 2015, according to the WHO, there were over three million deaths from the disease worldwide.</w:t>
      </w:r>
    </w:p>
    <w:p>
      <w:pPr>
        <w:spacing w:after="0" w:line="197"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7"/>
          <w:szCs w:val="17"/>
          <w:color w:val="auto"/>
        </w:rPr>
        <w:t>An AECOPD is defined as an acute event characterized by a worsening of the patient’s symptoms beyond normal day-to-day variations that requires a change in medication and a severe AECOPD is where a patient requires hospitalization or visits the emergency room.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19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 Moderate to severe cases of AECOPD can also result in greatly diminished quality of life, disability, and serious co-morbidities, including heart disease. After an AECOPD many patients do not return to their pre-AECOPD baseline respiratory function. Furthermore, a patient who has several AECOPDs a year is typically exposed to large quantities of systemic corticosteroids, which can lead to osteoporosis and diabetes.</w:t>
      </w:r>
    </w:p>
    <w:p>
      <w:pPr>
        <w:spacing w:after="0" w:line="20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 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99"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are not aware of any approved therapies for the treatment of AECOPD in the United States or the EU. The management of AECOPD is directed at relieving symptoms and restoring functional capacity of the airways. In its milder forms, an AECOPD can be controlled with inhaled steroids, 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20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current recommended management for AECOPD includes beta2 agonists, the addition of anticholinergics or an increase in its dosage, the systemic administration of corticosteroids and antibiotics,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We believe that there is a significant medical need for a drug which is disease-modifying and could potentially prevent severe AECOPDs instead of just treating the symptoms. In addition, we believe that a drug that could prevent or reduce severe AECOPDs and also has anti-inflammatory effects would significantly improve the quality of life of COPD patients due to improved lung function, fewer infections and possibly reduced risk of rehospitalization and mortality.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Our product candidate for treating AECOPD is acumapimod, an orally administered small molecule that inhibits p38 MAP kinase. p38 MAP kinase is an enzyme that plays a key role in the cellular response to external stress signals. p38 MAP kinase is activated in COPD and AECOPD.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 necrosis factor alpha (“TNFa”) and interleukin-8, which are released in the blood stream, and interleukin-6, which is released from bronchial epithelial cells, all of which are blocked by inhibiting p38 MAP kinase.</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acumapimod has the following key advantages over current therapies:</w:t>
      </w:r>
    </w:p>
    <w:p>
      <w:pPr>
        <w:spacing w:after="0" w:line="202" w:lineRule="exact"/>
        <w:rPr>
          <w:sz w:val="20"/>
          <w:szCs w:val="20"/>
          <w:color w:val="auto"/>
        </w:rPr>
      </w:pPr>
    </w:p>
    <w:p>
      <w:pPr>
        <w:ind w:left="980" w:hanging="432"/>
        <w:spacing w:after="0"/>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to be a rapid-onset treatment targeting inflammatory drivers of AECOPD;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anti-inflammatory response systemically and locally with easier oral administration than inhaled treatments;</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simple oral regimen of three doses over five days that can be conveniently administered in either the hospital or an outpatient setting;</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pathophysiology of acute exacerbations without generalized immune suppression;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for efficacy in steroid-resistant population;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short course treatment that can reduce further acute exacerbations of COPD.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Acumapimod</w:t>
      </w:r>
    </w:p>
    <w:p>
      <w:pPr>
        <w:spacing w:after="0" w:line="85"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The following table summarizes the historical clinical trials of acumapimod. We intend to explore strategic options with third parties for the further development of acumapimod.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Historical Trials</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4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6"/>
              </w:rPr>
              <w:t>Phase</w:t>
            </w:r>
          </w:p>
        </w:tc>
        <w:tc>
          <w:tcPr>
            <w:tcW w:w="4960" w:type="dxa"/>
            <w:vAlign w:val="bottom"/>
            <w:tcBorders>
              <w:top w:val="single" w:sz="8" w:color="auto"/>
            </w:tcBorders>
            <w:vMerge w:val="restart"/>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Subjects Treated with</w:t>
            </w:r>
          </w:p>
        </w:tc>
        <w:tc>
          <w:tcPr>
            <w:tcW w:w="0" w:type="dxa"/>
            <w:vAlign w:val="bottom"/>
          </w:tcPr>
          <w:p>
            <w:pPr>
              <w:spacing w:after="0"/>
              <w:rPr>
                <w:sz w:val="1"/>
                <w:szCs w:val="1"/>
                <w:color w:val="auto"/>
              </w:rPr>
            </w:pPr>
          </w:p>
        </w:tc>
      </w:tr>
      <w:tr>
        <w:trPr>
          <w:trHeight w:val="167"/>
        </w:trPr>
        <w:tc>
          <w:tcPr>
            <w:tcW w:w="420" w:type="dxa"/>
            <w:vAlign w:val="bottom"/>
            <w:tcBorders>
              <w:bottom w:val="single" w:sz="8" w:color="auto"/>
            </w:tcBorders>
            <w:vMerge w:val="continue"/>
          </w:tcPr>
          <w:p>
            <w:pPr>
              <w:spacing w:after="0"/>
              <w:rPr>
                <w:sz w:val="14"/>
                <w:szCs w:val="14"/>
                <w:color w:val="auto"/>
              </w:rPr>
            </w:pPr>
          </w:p>
        </w:tc>
        <w:tc>
          <w:tcPr>
            <w:tcW w:w="4960" w:type="dxa"/>
            <w:vAlign w:val="bottom"/>
            <w:vMerge w:val="continue"/>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 of Studies</w:t>
            </w:r>
          </w:p>
        </w:tc>
        <w:tc>
          <w:tcPr>
            <w:tcW w:w="2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Population</w:t>
            </w:r>
          </w:p>
        </w:tc>
        <w:tc>
          <w:tcPr>
            <w:tcW w:w="1540" w:type="dxa"/>
            <w:vAlign w:val="bottom"/>
          </w:tcPr>
          <w:p>
            <w:pPr>
              <w:jc w:val="right"/>
              <w:ind w:right="256"/>
              <w:spacing w:after="0"/>
              <w:rPr>
                <w:sz w:val="20"/>
                <w:szCs w:val="20"/>
                <w:color w:val="auto"/>
              </w:rPr>
            </w:pPr>
            <w:r>
              <w:rPr>
                <w:rFonts w:ascii="Arial" w:cs="Arial" w:eastAsia="Arial" w:hAnsi="Arial"/>
                <w:sz w:val="14"/>
                <w:szCs w:val="14"/>
                <w:b w:val="1"/>
                <w:bCs w:val="1"/>
                <w:color w:val="auto"/>
              </w:rPr>
              <w:t>Acumapimod</w:t>
            </w:r>
          </w:p>
        </w:tc>
        <w:tc>
          <w:tcPr>
            <w:tcW w:w="0" w:type="dxa"/>
            <w:vAlign w:val="bottom"/>
          </w:tcPr>
          <w:p>
            <w:pPr>
              <w:spacing w:after="0"/>
              <w:rPr>
                <w:sz w:val="1"/>
                <w:szCs w:val="1"/>
                <w:color w:val="auto"/>
              </w:rPr>
            </w:pPr>
          </w:p>
        </w:tc>
      </w:tr>
      <w:tr>
        <w:trPr>
          <w:trHeight w:val="20"/>
        </w:trPr>
        <w:tc>
          <w:tcPr>
            <w:tcW w:w="5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Phase 1</w:t>
            </w:r>
          </w:p>
        </w:tc>
        <w:tc>
          <w:tcPr>
            <w:tcW w:w="82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720"/>
              <w:spacing w:after="0" w:line="189" w:lineRule="exact"/>
              <w:rPr>
                <w:sz w:val="20"/>
                <w:szCs w:val="20"/>
                <w:color w:val="auto"/>
              </w:rPr>
            </w:pPr>
            <w:r>
              <w:rPr>
                <w:rFonts w:ascii="Arial" w:cs="Arial" w:eastAsia="Arial" w:hAnsi="Arial"/>
                <w:sz w:val="18"/>
                <w:szCs w:val="18"/>
                <w:color w:val="auto"/>
              </w:rPr>
              <w:t>5(1)</w:t>
            </w: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Healthy Volunteers</w:t>
            </w:r>
          </w:p>
        </w:tc>
        <w:tc>
          <w:tcPr>
            <w:tcW w:w="740" w:type="dxa"/>
            <w:vAlign w:val="bottom"/>
            <w:vMerge w:val="continue"/>
            <w:shd w:val="clear" w:color="auto" w:fill="CCEEFF"/>
          </w:tcPr>
          <w:p>
            <w:pPr>
              <w:spacing w:after="0"/>
              <w:rPr>
                <w:sz w:val="16"/>
                <w:szCs w:val="16"/>
                <w:color w:val="auto"/>
              </w:rPr>
            </w:pPr>
          </w:p>
        </w:tc>
        <w:tc>
          <w:tcPr>
            <w:tcW w:w="15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Phase 2</w:t>
            </w:r>
          </w:p>
        </w:tc>
        <w:tc>
          <w:tcPr>
            <w:tcW w:w="182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1</w:t>
            </w:r>
          </w:p>
        </w:tc>
        <w:tc>
          <w:tcPr>
            <w:tcW w:w="228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9"/>
              </w:rPr>
              <w:t>AECOPD</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Phase 2</w:t>
            </w:r>
          </w:p>
        </w:tc>
        <w:tc>
          <w:tcPr>
            <w:tcW w:w="1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1</w:t>
            </w:r>
          </w:p>
        </w:tc>
        <w:tc>
          <w:tcPr>
            <w:tcW w:w="2280" w:type="dxa"/>
            <w:vAlign w:val="bottom"/>
            <w:gridSpan w:val="2"/>
            <w:shd w:val="clear" w:color="auto" w:fill="CCEEFF"/>
          </w:tcPr>
          <w:p>
            <w:pPr>
              <w:jc w:val="center"/>
              <w:ind w:right="740"/>
              <w:spacing w:after="0" w:line="202" w:lineRule="exact"/>
              <w:rPr>
                <w:sz w:val="20"/>
                <w:szCs w:val="20"/>
                <w:color w:val="auto"/>
              </w:rPr>
            </w:pPr>
            <w:r>
              <w:rPr>
                <w:rFonts w:ascii="Arial" w:cs="Arial" w:eastAsia="Arial" w:hAnsi="Arial"/>
                <w:sz w:val="18"/>
                <w:szCs w:val="18"/>
                <w:color w:val="auto"/>
                <w:w w:val="99"/>
              </w:rPr>
              <w:t>Acute Kidney Injury</w:t>
            </w:r>
          </w:p>
        </w:tc>
        <w:tc>
          <w:tcPr>
            <w:tcW w:w="15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538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1</w:t>
            </w:r>
          </w:p>
        </w:tc>
        <w:tc>
          <w:tcPr>
            <w:tcW w:w="228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AECOPD</w:t>
            </w:r>
          </w:p>
        </w:tc>
        <w:tc>
          <w:tcPr>
            <w:tcW w:w="154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4" w:lineRule="exact"/>
        <w:rPr>
          <w:sz w:val="20"/>
          <w:szCs w:val="20"/>
          <w:color w:val="auto"/>
        </w:rPr>
      </w:pPr>
    </w:p>
    <w:p>
      <w:pPr>
        <w:ind w:left="560" w:right="4900" w:hanging="444"/>
        <w:spacing w:after="0" w:line="399" w:lineRule="auto"/>
        <w:tabs>
          <w:tab w:leader="none" w:pos="5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Includes two company-initiated 16-patient drug-drug interaction studies. </w:t>
      </w:r>
      <w:r>
        <w:rPr>
          <w:rFonts w:ascii="Arial" w:cs="Arial" w:eastAsia="Arial" w:hAnsi="Arial"/>
          <w:sz w:val="18"/>
          <w:szCs w:val="18"/>
          <w:i w:val="1"/>
          <w:iCs w:val="1"/>
          <w:color w:val="auto"/>
        </w:rPr>
        <w:t>Phase 1 Clinical Trials</w:t>
      </w:r>
    </w:p>
    <w:p>
      <w:pPr>
        <w:ind w:left="120" w:right="80" w:firstLine="440"/>
        <w:spacing w:after="0" w:line="241" w:lineRule="auto"/>
        <w:rPr>
          <w:sz w:val="20"/>
          <w:szCs w:val="20"/>
          <w:color w:val="auto"/>
        </w:rPr>
      </w:pPr>
      <w:r>
        <w:rPr>
          <w:rFonts w:ascii="Arial" w:cs="Arial" w:eastAsia="Arial" w:hAnsi="Arial"/>
          <w:sz w:val="18"/>
          <w:szCs w:val="18"/>
          <w:color w:val="auto"/>
        </w:rPr>
        <w:t>Prior to our acquisition of acumapimod, Novartis performed three Phase 1 clinical trials. One of these trials was a three-part Phase 1 clinical trial in a total of 141 healthy volunteers designed to evaluate the safety and anti-inflammatory properties of acumapimod following lipopolysaccharide (“LPS”) challenge, a method of inducing an inflammatory response. Parts 1 and 2 of this trial assessed the ability of acumapimod to inhibit TNFa, a pro-inflammatory cytokine, ex vivo following LPS challenge and Part 3 assessed the same in vivo. In Part 1, which was a single ascending dose trial, TNFa was</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inhibited by a mean of 50% by doses of at least 30 mg, and in Part 2, which was a multi-ascending dose trial, TNFa was inhibited by a mean of 70%.</w:t>
      </w:r>
    </w:p>
    <w:p>
      <w:pPr>
        <w:spacing w:after="0" w:line="170" w:lineRule="exact"/>
        <w:rPr>
          <w:sz w:val="20"/>
          <w:szCs w:val="20"/>
          <w:color w:val="auto"/>
        </w:rPr>
      </w:pPr>
    </w:p>
    <w:p>
      <w:pPr>
        <w:ind w:left="120" w:right="140" w:firstLine="440"/>
        <w:spacing w:after="0" w:line="249" w:lineRule="auto"/>
        <w:rPr>
          <w:sz w:val="20"/>
          <w:szCs w:val="20"/>
          <w:color w:val="auto"/>
        </w:rPr>
      </w:pPr>
      <w:r>
        <w:rPr>
          <w:rFonts w:ascii="Arial" w:cs="Arial" w:eastAsia="Arial" w:hAnsi="Arial"/>
          <w:sz w:val="18"/>
          <w:szCs w:val="18"/>
          <w:color w:val="auto"/>
        </w:rPr>
        <w:t>In Part 3, a three-arm trial, 24 subjects were randomized to receive placebo, 20 mg of acumapimod, or 75 mg of acumapimod. Subjects were exposed to LPS three hours following dosing of acumapimod or placebo and the concentration of TNFa was measured. In this trial, acumapimod produced a statistically significant reduction in the levels of TNFa in the treated subjects versus placebo. The following graph shows that the TNFa response was seen in both doses of acumapimod.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TNF</w:t>
      </w:r>
      <w:r>
        <w:rPr>
          <w:rFonts w:ascii="Arial" w:cs="Arial" w:eastAsia="Arial" w:hAnsi="Arial"/>
          <w:sz w:val="18"/>
          <w:szCs w:val="18"/>
          <w:color w:val="auto"/>
        </w:rPr>
        <w:t>a</w:t>
      </w:r>
      <w:r>
        <w:rPr>
          <w:rFonts w:ascii="Arial" w:cs="Arial" w:eastAsia="Arial" w:hAnsi="Arial"/>
          <w:sz w:val="18"/>
          <w:szCs w:val="18"/>
          <w:b w:val="1"/>
          <w:bCs w:val="1"/>
          <w:color w:val="auto"/>
        </w:rPr>
        <w:t xml:space="preserve"> Concentration over Time following LPS Challenge 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174625</wp:posOffset>
            </wp:positionV>
            <wp:extent cx="4843145" cy="2674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431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In addition, a radiolabeled pharmacology trial was performed in four healthy volunteers. We believe that the results of this trial suggest that acumapimod has pharmacology appropriate for an oral drug taken either once a day or on alternate days.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 in AECOPD</w:t>
      </w:r>
    </w:p>
    <w:p>
      <w:pPr>
        <w:spacing w:after="0" w:line="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Novartis conducted a double-blind, Phase 2 clinical trial in Europe comparing acumapimod to the steroid prednisolone and a placebo control. The trial was designed to assess the effect of single and repeated dose of acumapimod in AECOPD patients. The primary endpoint was to demonstrate an improvement in FEV1 relative to placebo. Secondary and exploratory endpoints included the assessment of safety and tolerability, measurement of the time to recovery, and the determination of the pharmacokinetic properties of acumapimod.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trial was split into four parts and included a total of 183 patients:</w:t>
      </w:r>
    </w:p>
    <w:p>
      <w:pPr>
        <w:spacing w:after="0" w:line="239" w:lineRule="exact"/>
        <w:rPr>
          <w:sz w:val="20"/>
          <w:szCs w:val="20"/>
          <w:color w:val="auto"/>
        </w:rPr>
      </w:pPr>
    </w:p>
    <w:p>
      <w:pPr>
        <w:ind w:left="980" w:right="620" w:hanging="432"/>
        <w:spacing w:after="0" w:line="218" w:lineRule="auto"/>
        <w:tabs>
          <w:tab w:leader="none" w:pos="98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1: 91 patients were randomized to receive either: 75 mg of acumapimod on day one plus placebo daily for 10 days, prednisolone on day one plus placebo daily for 10 days, or placebo on day one and for 10 days daily;</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2: 30 patients were randomized to receive 20 mg of acumapimod or placebo on day one of the trial. The ratio of patients receiving acumapimod to patients receiving placebo was five to one;</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20" w:hanging="432"/>
        <w:spacing w:after="0" w:line="218" w:lineRule="auto"/>
        <w:tabs>
          <w:tab w:leader="none" w:pos="9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3: 32 patients were randomized to receive 20 mg of acumapimod or placebo on days one and six of the trial. The ratio of patients receiving acumapimod to patients receiving placebo was five to one; and</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4: 30 patients were randomized to receive 75 mg of acumapimod or placebo on days one and six of the trial. The ratio of patients receiving acumapimod to patients receiving placebo was five to one.</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data on FEV1 were recorded on days three, five, eight, 10, 14 and 30 and showed a clinically meaningful increase in FEV1 (of greater than 100 milliliters) on measuring dates in patients receiving two doses of acumapimod, during a 14-day period, consistent with the duration of most AECOPDs. The following graph summarizes the mean change from baseline in FEV1 values for each dose arm. The change was greatest in the group that received two doses of 75 mg of acumapimod, reaching statistical significance in this group at day 8 (p=0.022). On analysis of the area under the curve to Day 14, two doses of 75 mg of acumapimod demonstrated a statistically significant improvement in FEV1 versus placebo and prednisolone (p=0.0198 and 0.0102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Mean Change in FEV1 from Baseline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163195</wp:posOffset>
            </wp:positionV>
            <wp:extent cx="4517390" cy="2837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1739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In trials conducted by Novartis, acumapimod was well tolerated in the target patient population. In the Phase 2a clinical trial, 54% of patients out of 183 experienced one or more adverse events. There were six deaths, none of which were deemed to be attributable to BCT197. Over the six-month follow-up period, 13 patients experienced 15 significant adverse events, excluding deaths: 10 cases of COPD worsening or re-exacerbation, three of pneumonia, one of sinusitis and one of bladder cancer. Six of the COPD adverse events were in the placebo and prednisolone arms, two in the 20 mg repeat dose and two in the 75 mg repeat dose. None of these adverse events were considered by the investigators to be related to acumapimod. There were also two cases of rash in the 75 mg repeat dose arm. Two cases of mild and transient transaminase elevations were reported as adverse events, one in the 20 mg dose group and the other in the 75 mg repeat dose group. Other events were mild to moderate.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Dose-Ranging Clinical Trial in Severe AECOPD</w:t>
      </w:r>
    </w:p>
    <w:p>
      <w:pPr>
        <w:spacing w:after="0" w:line="95"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We conducted a dose-ranging Phase 2 clinical trial in the United States and Europe to identify the most effective dosing regimen for severe AECOPD patients. The primary endpoint of the trial was to demonstrate a change in FEV1 from baseline to Day 7. A total of 282 patients enrolled in the trial.</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This dose-ranging trial assessed two dosing regimens of acumapimod and placebo, each in combination with standard of care, which included steroids, antibiotics, and bronchodilators. Patients were followed for 26 weeks to explore recurrence rates of AECOPD and number of re-hospitalizations. Secondary and exploratory endpoints included biomarkers hsCRP and fibrinogen, clinical failure rate, number of moderate/severe AECOPDs during the trial, the area under the curve of FEV1 over time and time to normalization of FEV1.</w:t>
      </w:r>
    </w:p>
    <w:p>
      <w:pPr>
        <w:spacing w:after="0" w:line="205"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reduction in clinical failure rate was also observed. Clinical treatment failure is defined as a composite endpoint in which any patient fulfils one of more of the following criteria:</w:t>
      </w:r>
    </w:p>
    <w:p>
      <w:pPr>
        <w:spacing w:after="0" w:line="188" w:lineRule="exact"/>
        <w:rPr>
          <w:sz w:val="20"/>
          <w:szCs w:val="20"/>
          <w:color w:val="auto"/>
        </w:rPr>
      </w:pPr>
    </w:p>
    <w:p>
      <w:pPr>
        <w:ind w:left="980" w:hanging="432"/>
        <w:spacing w:after="0"/>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hospitalization or re-hospitalization due to worsening respiratory symptoms;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the addition of another antibiotic or substitution of a new antibiotic;</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increase in dose of oral corticosteroids or initiation of new corticosteroids;</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additional treatment regimen of systemic corticosteroids and/or antibiotics, after completion of the first regimen;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COPD-related death;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new moderate or severe exacerbation after a period of seven days of resolution from the index AECOPD.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Both dosing regimens of acumapimod showed a statistically significant change in FEV1 from baseline to Day 7 (p=0.012 and p £</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0.001), meeting the trial’s primary endpoint on an intent-to-treat patient population basis. The standard of care plus placebo group did not</w:t>
      </w:r>
    </w:p>
    <w:p>
      <w:pPr>
        <w:ind w:left="120"/>
        <w:spacing w:after="0" w:line="234" w:lineRule="auto"/>
        <w:rPr>
          <w:sz w:val="20"/>
          <w:szCs w:val="20"/>
          <w:color w:val="auto"/>
        </w:rPr>
      </w:pPr>
      <w:r>
        <w:rPr>
          <w:rFonts w:ascii="Arial" w:cs="Arial" w:eastAsia="Arial" w:hAnsi="Arial"/>
          <w:sz w:val="18"/>
          <w:szCs w:val="18"/>
          <w:color w:val="auto"/>
        </w:rPr>
        <w:t>show a significant change from baseline (p=0.102). The high- and low-dosage acumapimod groups showed a mean improvement in FEV1</w:t>
      </w:r>
    </w:p>
    <w:p>
      <w:pPr>
        <w:ind w:left="120"/>
        <w:spacing w:after="0" w:line="235" w:lineRule="auto"/>
        <w:rPr>
          <w:sz w:val="20"/>
          <w:szCs w:val="20"/>
          <w:color w:val="auto"/>
        </w:rPr>
      </w:pPr>
      <w:r>
        <w:rPr>
          <w:rFonts w:ascii="Arial" w:cs="Arial" w:eastAsia="Arial" w:hAnsi="Arial"/>
          <w:sz w:val="18"/>
          <w:szCs w:val="18"/>
          <w:color w:val="auto"/>
        </w:rPr>
        <w:t>of 84 ml and 115 ml, respectively, compared to 57 ml for the standard of care plus placebo group. While the acumapimod groups showed</w:t>
      </w:r>
    </w:p>
    <w:p>
      <w:pPr>
        <w:ind w:left="120"/>
        <w:spacing w:after="0" w:line="235" w:lineRule="auto"/>
        <w:rPr>
          <w:sz w:val="20"/>
          <w:szCs w:val="20"/>
          <w:color w:val="auto"/>
        </w:rPr>
      </w:pPr>
      <w:r>
        <w:rPr>
          <w:rFonts w:ascii="Arial" w:cs="Arial" w:eastAsia="Arial" w:hAnsi="Arial"/>
          <w:sz w:val="18"/>
          <w:szCs w:val="18"/>
          <w:color w:val="auto"/>
        </w:rPr>
        <w:t>greater improvement when compared to the standard of care plus placebo group, the difference in improvement was not statistically</w:t>
      </w:r>
    </w:p>
    <w:p>
      <w:pPr>
        <w:ind w:left="120"/>
        <w:spacing w:after="0"/>
        <w:rPr>
          <w:sz w:val="20"/>
          <w:szCs w:val="20"/>
          <w:color w:val="auto"/>
        </w:rPr>
      </w:pPr>
      <w:r>
        <w:rPr>
          <w:rFonts w:ascii="Arial" w:cs="Arial" w:eastAsia="Arial" w:hAnsi="Arial"/>
          <w:sz w:val="18"/>
          <w:szCs w:val="18"/>
          <w:color w:val="auto"/>
        </w:rPr>
        <w:t>significant.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Dose-dependent, statistically significant reductions in both hsCRP and fibrinogen were shown with treatment with acumapimod, with hsCRP remaining suppressed through the 26-week observation period. The graphs below show these reductions during the period when patients were experiencing their first occurrence of AECOPD, or their index AECOPD.</w:t>
      </w:r>
    </w:p>
    <w:p>
      <w:pPr>
        <w:spacing w:after="0" w:line="181" w:lineRule="exact"/>
        <w:rPr>
          <w:sz w:val="20"/>
          <w:szCs w:val="20"/>
          <w:color w:val="auto"/>
        </w:rPr>
      </w:pPr>
    </w:p>
    <w:p>
      <w:pPr>
        <w:jc w:val="center"/>
        <w:ind w:left="500" w:right="120"/>
        <w:spacing w:after="0" w:line="271" w:lineRule="auto"/>
        <w:rPr>
          <w:sz w:val="20"/>
          <w:szCs w:val="20"/>
          <w:color w:val="auto"/>
        </w:rPr>
      </w:pPr>
      <w:r>
        <w:rPr>
          <w:rFonts w:ascii="Arial" w:cs="Arial" w:eastAsia="Arial" w:hAnsi="Arial"/>
          <w:sz w:val="18"/>
          <w:szCs w:val="18"/>
          <w:b w:val="1"/>
          <w:bCs w:val="1"/>
          <w:color w:val="auto"/>
        </w:rPr>
        <w:t>Absolute Change from Baseline in hsCRP During the First 14 days of the Study While Patients Were Experiencing their Index AECOPD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480" w:right="120"/>
        <w:spacing w:after="0" w:line="271" w:lineRule="auto"/>
        <w:rPr>
          <w:sz w:val="20"/>
          <w:szCs w:val="20"/>
          <w:color w:val="auto"/>
        </w:rPr>
      </w:pPr>
      <w:r>
        <w:rPr>
          <w:rFonts w:ascii="Arial" w:cs="Arial" w:eastAsia="Arial" w:hAnsi="Arial"/>
          <w:sz w:val="18"/>
          <w:szCs w:val="18"/>
          <w:b w:val="1"/>
          <w:bCs w:val="1"/>
          <w:color w:val="auto"/>
        </w:rPr>
        <w:t>Absolute Change from Baseline in Fibrinogen During First 14 Days of the Study While Patients were 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128905</wp:posOffset>
            </wp:positionV>
            <wp:extent cx="4208780" cy="2057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087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0" w:firstLine="440"/>
        <w:spacing w:after="0" w:line="262" w:lineRule="auto"/>
        <w:rPr>
          <w:sz w:val="20"/>
          <w:szCs w:val="20"/>
          <w:color w:val="auto"/>
        </w:rPr>
      </w:pPr>
      <w:r>
        <w:rPr>
          <w:rFonts w:ascii="Arial" w:cs="Arial" w:eastAsia="Arial" w:hAnsi="Arial"/>
          <w:sz w:val="17"/>
          <w:szCs w:val="17"/>
          <w:color w:val="auto"/>
        </w:rPr>
        <w:t>As shown in the chart below, the high-dose acumapimod group showed a statistically significant reduction in clinical treatment failure of more than 50% (p £ 0.027 to 0.05) compared to the standard of care plus placebo group, measured by the number of rehospitalizations for the treatment of COPD at Days 90 through 150, with a trend observed as early as Day 30. A trend showing reduced composite clinical treatment failures of 56% to 28% from Day 30 through Day 150 was also observed in the high-dose acumapimod group.</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Percentage of Patients Rehospitalized for the Treatment of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165735</wp:posOffset>
            </wp:positionV>
            <wp:extent cx="5194935" cy="2828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9493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Further analysis of the most severe patients, defined as patients who experienced two or more exacerbations in the previous year, showed a 46% reduction in the number of patients who suffered a subsequent moderate or severe re-exacerbation. The results from the analysis of these patients with the highest unmet need are shown in the graph below.</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Re-Exacerbations of Severe COPD Patients During the Follow-up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165735</wp:posOffset>
            </wp:positionV>
            <wp:extent cx="2871470" cy="2297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7147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Consistent with the results from this trial, there was a reduction in the number of patients receiving antibiotic and systemic steroids in the high-dose group versus placebo of 46% observed in the long-term follow-up portion of the trial.</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this trial, acumapimod was observed to be well tolerated. Adverse events included two cases of acneiform rash, which were resolved. No induced liver injuries were observed. In addition, in April 2019, we announced a successful end of Phase 2 meeting with the FDA regarding acumapimod. In the meeting, we and the FDA agreed on a development plan for acumapimod. In September 2019, we had a positive SAWP meeting with the EMA.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Leflutrozole (BGS-649) for the Treatment of Hypogonadotropic Hypogonadism</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are developing leflutrozole for the treatment of HH in obese men. In obese men, a decline in testosterone is exacerbated by high levels of the aromatase enzyme in the fat tissue. The aromatase enzyme converts testosterone to estradiol, thereby reducing testosterone levels. Leflutrozole is a novel once-weekly oral aromatase inhibitor designed to normalize testosterone levels and improve HH without causing the excessively high testosterone levels and impaired fertility that may result from TRT, the primary treatment for HH. Following the positive result of a safety extension study for leflutrozole, we convened an advisory board meeting and concluded that the future development of leflutrozole should focus on male infertility. We intend to develop a clinical and regulatory path accordingly. We intend to explore strategic options with third parties for the further development of leflutrozole.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85" w:lineRule="exact"/>
        <w:rPr>
          <w:sz w:val="20"/>
          <w:szCs w:val="20"/>
          <w:color w:val="auto"/>
        </w:rPr>
      </w:pPr>
    </w:p>
    <w:p>
      <w:pPr>
        <w:ind w:left="120" w:right="80" w:firstLine="436"/>
        <w:spacing w:after="0" w:line="236" w:lineRule="auto"/>
        <w:tabs>
          <w:tab w:leader="none" w:pos="8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a clinical syndrome that results from the failure of the testes to produce adequate levels of testosterone. Low testosterone or male hypogonadism is classified in two different types: primary hypogonadism and HH. Primary hypogonadism generally results from the failure of the testes to produce sufficient levels of testosterone, due to testicular trauma, disease (such as mumps), or genetic defects. HH also results from the failure of the testes to produce sufficient levels of testosterone, in this case due to the disruption of the hypothalamic-pituitary-testicular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largest group affected by HH is comprised of men over the age of 40 who suffer from chronic diseases, such as obesity or type 2 diabetes. Based on WHO estimates and scientific data, we believe that there are approximately seven million cases of HH in obese men, generally defined as men with a body mass index (“BMI”) of 30 kilograms per meter squared or more, in the United States. Over 85% of 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85"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205"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The leading testosterone replacement product candidates on the market are AbbVie’s AndroGel and Lilly’s Axiron, both of which carry a black box warning. Both product candidates are administered transdermally by applying a gel formulation. Allergan, Inc.’s Androderm is the leading transdermal patch on the market. The most frequently prescribed intramuscular injections are Bayer AG’s Nebido and Endo Pharmaceutical Inc.’s (“Endo”) Aveed. The leading implant on the market is Endo’s Testopel.</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120" w:right="360" w:firstLine="440"/>
        <w:spacing w:after="0" w:line="237" w:lineRule="auto"/>
        <w:rPr>
          <w:sz w:val="20"/>
          <w:szCs w:val="20"/>
          <w:color w:val="auto"/>
        </w:rPr>
      </w:pPr>
      <w:r>
        <w:rPr>
          <w:rFonts w:ascii="Arial" w:cs="Arial" w:eastAsia="Arial" w:hAnsi="Arial"/>
          <w:sz w:val="18"/>
          <w:szCs w:val="18"/>
          <w:color w:val="auto"/>
        </w:rPr>
        <w:t>Our product candidate for treating HH in obese men is leflutrozole,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Leflutrozole is intended to restore normal levels of testosterone without causing the excessively high testosterone levels that may result from TRT. In addition, we believe that the long half-life of leflutrozole of 22 days may allow for convenient weekly dosing.</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Testosterone is a hormone that is regulated by three organs in the body, the hypothalamus, anterior pituitary glands and testes, which comprise the HPT axis. The initial stimulus for hormone formation begins in the hypothalamus with the formation of hormones, such as gonadotropin-releasing hormone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administration of exogenous testosterone, such as with TRT, which is not controlled by the HPT feedback loop, rapidly leads to suppression of LH and FSH. Furthermore, as exogenous testosterone is not controlled by the HPT feedback loop, supraphysiological, or excessively high, levels of testosterone can be reached, which have been associated with cardiovascular disease. In contrast to exogenous TRT, leflutrozole is designed to inhibit aromatase and restore testosterone without disturbing the physiological feedback in the HPT axis, thereby maintaining or increasing LH and FSH with minimal risk of reaching supraphysiological levels of testosterone.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151765</wp:posOffset>
            </wp:positionV>
            <wp:extent cx="3943350" cy="32918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4335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Leflutrozole</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table of the historical and planned clinical trials of leflutrozole: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020" w:type="dxa"/>
            <w:vAlign w:val="bottom"/>
            <w:gridSpan w:val="5"/>
          </w:tcPr>
          <w:p>
            <w:pPr>
              <w:ind w:left="1220"/>
              <w:spacing w:after="0"/>
              <w:rPr>
                <w:sz w:val="20"/>
                <w:szCs w:val="20"/>
                <w:color w:val="auto"/>
              </w:rPr>
            </w:pPr>
            <w:r>
              <w:rPr>
                <w:rFonts w:ascii="Arial" w:cs="Arial" w:eastAsia="Arial" w:hAnsi="Arial"/>
                <w:sz w:val="14"/>
                <w:szCs w:val="14"/>
                <w:b w:val="1"/>
                <w:bCs w:val="1"/>
                <w:color w:val="auto"/>
              </w:rPr>
              <w:t>Historical Trials</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ind w:left="72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Treated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Phase</w:t>
            </w:r>
          </w:p>
        </w:tc>
        <w:tc>
          <w:tcPr>
            <w:tcW w:w="196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w:t>
            </w: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Studies</w:t>
            </w: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Population</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Leflutrozole</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Phase</w:t>
            </w: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190"/>
        </w:trPr>
        <w:tc>
          <w:tcPr>
            <w:tcW w:w="2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Phase 1</w:t>
            </w:r>
          </w:p>
        </w:tc>
        <w:tc>
          <w:tcPr>
            <w:tcW w:w="1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26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Healthy Women / Endometriosis</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w w:val="96"/>
              </w:rPr>
              <w:t>Phase 3</w:t>
            </w:r>
          </w:p>
        </w:tc>
        <w:tc>
          <w:tcPr>
            <w:tcW w:w="2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8"/>
                <w:szCs w:val="18"/>
                <w:color w:val="auto"/>
                <w:w w:val="98"/>
              </w:rPr>
              <w:t>HH obese men</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color w:val="auto"/>
              </w:rPr>
              <w:t>Phase 2</w:t>
            </w:r>
          </w:p>
        </w:tc>
        <w:tc>
          <w:tcPr>
            <w:tcW w:w="20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9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HH obese men</w:t>
            </w: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Phase 2b</w:t>
            </w:r>
          </w:p>
        </w:tc>
        <w:tc>
          <w:tcPr>
            <w:tcW w:w="20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9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HH obese men</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200</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Phase 2b (ext)</w:t>
            </w:r>
          </w:p>
        </w:tc>
        <w:tc>
          <w:tcPr>
            <w:tcW w:w="20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HH obese men</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Proof-of-Concept Clinical Trial in Hypogonadotropic Hypogonadism</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Novartis conducted a two-part Phase 2 proof-of-concept trial for HH in obese men in North America.</w:t>
      </w:r>
    </w:p>
    <w:p>
      <w:pPr>
        <w:spacing w:after="0" w:line="21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Part 1 was an open-label trial to evaluate the pharmacokinetics and pharmacodynamics of leflutrozole in obese men. Fourteen patients were enrolled in this 12-week trial with a three-month follow-up phase. Patients received a first dose of leflutrozole, and testosterone was measured on days five through seven to allow the physicians to choose subsequent doses with the goal of achieving and maintaining normal testosterone levels. Following the first dose, a range of doses were administered. The average BMI of participants was 34 kilograms per meter squared.</w:t>
      </w:r>
    </w:p>
    <w:p>
      <w:pPr>
        <w:spacing w:after="0" w:line="20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Consistent with the goal of the trial, leflutrozole treatment increased testosterone into the normal range of 300 to 1,000 nanograms per deciliter (“ng/dl”) in all patients exposed in Part 1. Mean baseline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00"/>
        <w:spacing w:after="0" w:line="246" w:lineRule="auto"/>
        <w:rPr>
          <w:sz w:val="20"/>
          <w:szCs w:val="20"/>
          <w:color w:val="auto"/>
        </w:rPr>
      </w:pPr>
      <w:r>
        <w:rPr>
          <w:rFonts w:ascii="Arial" w:cs="Arial" w:eastAsia="Arial" w:hAnsi="Arial"/>
          <w:sz w:val="18"/>
          <w:szCs w:val="18"/>
          <w:color w:val="auto"/>
        </w:rPr>
        <w:t>testosterone was 239 ng/dl, and rose to a mean of 514 ng/dl at week 12 of the trial. Both FSH and LH levels also increased in the leflutrozole group.</w:t>
      </w:r>
    </w:p>
    <w:p>
      <w:pPr>
        <w:spacing w:after="0" w:line="197" w:lineRule="exact"/>
        <w:rPr>
          <w:sz w:val="20"/>
          <w:szCs w:val="20"/>
          <w:color w:val="auto"/>
        </w:rPr>
      </w:pPr>
    </w:p>
    <w:p>
      <w:pPr>
        <w:jc w:val="both"/>
        <w:ind w:left="120" w:right="300" w:firstLine="440"/>
        <w:spacing w:after="0" w:line="261" w:lineRule="auto"/>
        <w:rPr>
          <w:sz w:val="20"/>
          <w:szCs w:val="20"/>
          <w:color w:val="auto"/>
        </w:rPr>
      </w:pPr>
      <w:r>
        <w:rPr>
          <w:rFonts w:ascii="Arial" w:cs="Arial" w:eastAsia="Arial" w:hAnsi="Arial"/>
          <w:sz w:val="17"/>
          <w:szCs w:val="17"/>
          <w:color w:val="auto"/>
        </w:rPr>
        <w:t>Part 2 was a two-arm, randomized, placebo-controlled, double-blind 12-week trial, with a three-month follow-up trial. The primary objectives were to evaluate the ability of leflutrozole to normalize testosterone and examine if normalized testosterone benefits insulin sensitivity. The secondary endpoints were safety, tolerability, pharmacodynamic effects on glucose, insulin and lipid metabolism.</w:t>
      </w:r>
    </w:p>
    <w:p>
      <w:pPr>
        <w:spacing w:after="0" w:line="18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Fifteen patients were enrolled in Part 2 of the trial, eight in the placebo group and seven in the treatment arm. Originally, 30 patients were to be enrolled. Enrollment was terminated early due to a dosing error at a trial site, which resulted in three placebo patients receiving an active dose of leflutrozole. The error was identified after testosterone levels in these three patients normalized, and was confirmed by the presence of leflutrozole in these patients’ plasma. The patients who were inadvertently given an initial dose of leflutrozole continued to the end of the trial on placebo. Their results were included in the safety database, but were not included in the efficacy analysis. Therefore, there were five placebo patients. Due to the early termination of the trial, among the placebo patients, one completed the full 12-week protocol, two completed week 10, one completed week seven and one completed week six.</w:t>
      </w:r>
    </w:p>
    <w:p>
      <w:pPr>
        <w:spacing w:after="0" w:line="203" w:lineRule="exact"/>
        <w:rPr>
          <w:sz w:val="20"/>
          <w:szCs w:val="20"/>
          <w:color w:val="auto"/>
        </w:rPr>
      </w:pPr>
    </w:p>
    <w:p>
      <w:pPr>
        <w:jc w:val="both"/>
        <w:ind w:left="120" w:right="120" w:firstLine="440"/>
        <w:spacing w:after="0" w:line="238" w:lineRule="auto"/>
        <w:rPr>
          <w:sz w:val="20"/>
          <w:szCs w:val="20"/>
          <w:color w:val="auto"/>
        </w:rPr>
      </w:pPr>
      <w:r>
        <w:rPr>
          <w:rFonts w:ascii="Arial" w:cs="Arial" w:eastAsia="Arial" w:hAnsi="Arial"/>
          <w:sz w:val="18"/>
          <w:szCs w:val="18"/>
          <w:color w:val="auto"/>
        </w:rPr>
        <w:t>Of the seven patients treated with leflutrozole, five completed all 11 doses, one completed week eight and one completed week six prior to termination of the trial. Their subsequent testosterone levels were recorded and included in efficacy analyses, though one patient missed the end-of-trial blood test as he withdrew consent. Despite the early termination, leflutrozole normalized testosterone levels in all patients treated.</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treated patients received a loading dose of leflutrozole on day one, followed by a lower weekly dose of leflutrozole. The testosterone levels of all patients treated with leflutrozole normalized after one dose and remained in the normal range throughout the treatment period, with the exception of one patient on day 21, whose level dropped to 279 ng/dl but recovered to a level of 480 ng/dl on day 27. Testosterone levels in the placebo patients occasionally reached the normal range, but this effect was not consistent or sustained. In the leflutrozole arm, the mean testosterone level increased from 273 ng/dl at baseline to 423 ng/dl at week 12. Both FSH and LH levels also increased in the leflutrozole group.</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following graph illustrates the percentage increase in testosterone level relative to baseline in patients receiving a weekly dose of leflutrozole or placebo. The testosterone increase was statistically significant in the leflutrozole group from day 4 (p=0.012), with a trend towards return to baseline by the end of the trial, with no evidence of increased total testosterone levels beyond the upper limit of the normal range in any patient exposed to leflutrozole.</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Percentage Change in Testosterone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6094730" cy="26320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9473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540" w:right="100" w:hanging="424"/>
        <w:spacing w:after="0" w:line="234"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(“rn”) is provided in this graph.</w:t>
      </w:r>
    </w:p>
    <w:p>
      <w:pPr>
        <w:spacing w:after="0" w:line="2" w:lineRule="exact"/>
        <w:rPr>
          <w:rFonts w:ascii="Arial" w:cs="Arial" w:eastAsia="Arial" w:hAnsi="Arial"/>
          <w:sz w:val="18"/>
          <w:szCs w:val="18"/>
          <w:color w:val="auto"/>
        </w:rPr>
      </w:pPr>
    </w:p>
    <w:p>
      <w:pPr>
        <w:ind w:left="540" w:right="540" w:hanging="424"/>
        <w:spacing w:after="0" w:line="234"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w:t>
      </w:r>
    </w:p>
    <w:p>
      <w:pPr>
        <w:spacing w:after="0" w:line="1" w:lineRule="exact"/>
        <w:rPr>
          <w:rFonts w:ascii="Arial" w:cs="Arial" w:eastAsia="Arial" w:hAnsi="Arial"/>
          <w:sz w:val="18"/>
          <w:szCs w:val="18"/>
          <w:color w:val="auto"/>
        </w:rPr>
      </w:pPr>
    </w:p>
    <w:p>
      <w:pPr>
        <w:ind w:left="540" w:right="12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w:t>
      </w:r>
    </w:p>
    <w:p>
      <w:pPr>
        <w:spacing w:after="0" w:line="203"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In addition, patients receiving a weekly dose of leflutrozole showed a trend towards an increase in LH and FSH levels in the treated group with a return to baseline by end of trial. These results in the treated group, suggest that the negative feedback loop controlling the gonadotropin levels in the HPT axis was not disrupted.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In the clinical trials conducted by Novartis, leflutrozole was well tolerated in the 131 treated patients, with no treatment-related serious adverse events. In the Phase 2 proof-of-concept trial in HH, there were 41 adverse events, 16 in the leflutrozole group and 25 in the placebo group. In the leflutrozole group, six of the adverse events were moderate and 10 were mild.</w:t>
      </w:r>
    </w:p>
    <w:p>
      <w:pPr>
        <w:spacing w:after="0" w:line="20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In Part 1 of the trial there were 59 adverse events, 16 of which were moderate and 43 of which were mild. These adverse events were transient and resolved spontaneously. Four patients reported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spontaneous penile erection, three patients reported an episode of a headache and two patients reported abnormal hair growth, which were suspected of being related to leflutrozole. Other common adverse events were oropharyngeal pain, nasal congestion, diarrhea, arthralgia, cough, dizziness and frequent bowel movements. There were no drug-related significant adverse events.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Part 2 of the trial, the most common adverse events were lack of energy, headache, nasal congestion, somnolence, and spontaneous penile erection, which were distributed broadly across the leflutrozole and placebo groups. None of these adverse events occurred in more than three patients. Special safety parameters, including prostate specific antigen, haematocrit, hemoglobin, high-density lipoprotein, and bone turnover markers, showed no significant effect of leflutrozole. We are monitoring these parameters in the current trial.</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reproductive toxicology trial was also performed in rats to evaluate the risk of potential transference of leflutrozole in the semen, and no reproductive toxicology risk was identified. The maximum dosage would equate to a maximum of 4,700 times the human exposure, which should provide a significant safety margin.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2b Clinical Trial in Hypogonadotropic Hypogonadism</w:t>
      </w:r>
    </w:p>
    <w:p>
      <w:pPr>
        <w:spacing w:after="0" w:line="9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March 2018, we announced top-line data from our Phase 2b clinical trial of leflutrozole for the treatment of HH in obese men. We enrolled 271 patients in the trial in the United States and Europe. The trial was a multi-center, randomized double-blind, dose-ranging, placebo-controlled trial of leflutrozole in obese males with HH with a BMI of over 30. Subjects were divided into four groups, with 71 receiving placebo and 67, 66 and 67, receiving the low, intermediate or high dose, respectively, of leflutrozole.</w:t>
      </w:r>
    </w:p>
    <w:p>
      <w:pPr>
        <w:spacing w:after="0" w:line="20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primary endpoint of the trial was to measure the percentage of patients whose testosterone levels normalized. The trial was designed to detect whether at least 75% of patients had normalized testosterone levels at week 24.</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secondary endpoints were:</w:t>
      </w:r>
    </w:p>
    <w:p>
      <w:pPr>
        <w:spacing w:after="0" w:line="202" w:lineRule="exact"/>
        <w:rPr>
          <w:sz w:val="20"/>
          <w:szCs w:val="20"/>
          <w:color w:val="auto"/>
        </w:rPr>
      </w:pPr>
    </w:p>
    <w:p>
      <w:pPr>
        <w:ind w:left="980" w:hanging="432"/>
        <w:spacing w:after="0"/>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leflutrozole to normalize testosterone in at least 90% of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effects of leflutrozole on LH and FSH;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overshoot testosterone levels at 24 weeks.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addition, the trial was designed:</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23"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investigate the benefit on patient-reported outcomes (“PROs”), including the Patient-Reported Outcomes Measurement Information System (“PROMIS”), Brief Fatigue Inventory, PROMIS SexSF and International Index of Erectile Function, which examine the most common complaints HH patients present to a doctor, fatigue and sexual dysfunction;</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assess the effects of leflutrozole on semen analysis (sperm count and motility), in a subset of patients; and</w:t>
      </w:r>
    </w:p>
    <w:p>
      <w:pPr>
        <w:spacing w:after="0" w:line="26" w:lineRule="exact"/>
        <w:rPr>
          <w:rFonts w:ascii="MS PGothic" w:cs="MS PGothic" w:eastAsia="MS PGothic" w:hAnsi="MS PGothic"/>
          <w:sz w:val="25"/>
          <w:szCs w:val="25"/>
          <w:color w:val="auto"/>
          <w:vertAlign w:val="superscript"/>
        </w:rPr>
      </w:pPr>
    </w:p>
    <w:p>
      <w:pPr>
        <w:ind w:left="980" w:right="600" w:hanging="432"/>
        <w:spacing w:after="0" w:line="218" w:lineRule="auto"/>
        <w:tabs>
          <w:tab w:leader="none" w:pos="98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which included analysis of lipid profiles, haematocrit bone turnover markers, and bone mineral density measured by DXA score.</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trial involved a four-week screening phase followed by a 24-week treatment phase and a 12-week follow-up period. All doses of leflutrozole met the primary endpoint, normalizing total testosterone levels in over 75% of subjects after 24 weeks of treatment (p&lt;0.001 versus placebo). Normalization of testosterone was observed at the first measurement following the initial dosing of leflutrozole at day 8 in more than 80% of subjects at all three doses. A dose response was also observed in absolute total testosterone levels and over the dosing period, with mean testosterone reaching 458.0 ng/dl (low dose), 512.5 ng/dl (intermediate dose) and 586.5 ng/dl (high dose).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following graph illustrates the increase in mean total testosterone levels from baseline in patients in each of the three dosing arms of leflutrozole and receiving placebo.</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 from Baseline in Mean Total Testosterone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1342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860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two highest doses also met the secondary endpoint of normalizing testosterone in 90% of patients at week 24 with the lowest dose normalizing testosterone in 88% of patients at week 24. All three doses of leflutrozole met the remaining secondary endpoints, including the improvement of LH and FSH levels. A statistically significant increase in LH and FSH at all doses at week 24 (p&lt;0.001 for each dose versus placebo) was observed, with an increase following initial dosing at day 8 and an observed dose response. The following graphs illustrate the increase in total LH and total FSH from baseline in patients in each of the three dosing arms of leflutrozole and receiving placebo.</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 from Baseline in Mean Total Luteinising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1170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Change from Baseline in Mean Total Follicle Stimulating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125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860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trial also showed an improvement in total motile sperm count across all three doses versus placebo with mean changes at week 20 of 70 million, 14 million and 58 million for the high, intermediate and low doses of leflutrozole, respectively, compared with a decrease of 23 million for placebo. Although the trial was not designed to detect statistical significance for this exploratory endpoint, a statistically significant improvement was shown at the highest dose of leflutrozole (p=0.03). No subjects on leflutrozole had testosterone levels greater than 1500 ng/dl at any time during the study.</w:t>
      </w:r>
    </w:p>
    <w:p>
      <w:pPr>
        <w:spacing w:after="0" w:line="202"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In addition, a positive trend of treatment effect was observed at eight to 12 weeks for reduction of fatigue as measured by the PROMIS Brief Fatigue Inventory. The trial was not designed to detect statistical significance for this endpoint.</w:t>
      </w:r>
    </w:p>
    <w:p>
      <w:pPr>
        <w:spacing w:after="0" w:line="197"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Leflutrozole was observed to be well tolerated during the trial. An increased incidence of elevated haematocrit levels was observed in each of the treatment arms of the trial, which is consistent with increasing testosterone levels.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 Extension Study to the Phase 2b Clinical Trial in Hypogonadotropic Hypogonadism</w:t>
      </w:r>
    </w:p>
    <w:p>
      <w:pPr>
        <w:spacing w:after="0" w:line="9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 subset of 143 patients entered into a six-month extension study to the Phase 2b Clinical Trial for leflutrozole, to gain long-term data on both efficacy and safety. 88 patients completed the additional six months of treatment.</w:t>
      </w:r>
    </w:p>
    <w:p>
      <w:pPr>
        <w:spacing w:after="0" w:line="19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The safety extension study was designed to examine if leflutrozole resulted in a pre-specified reduction in bone mineral density (BMD) at 48 weeks following the initial 24 weeks treatment. The primary end point of this safety extension study was decrease in bone mineral density. In December 2018, we reported positive results from the safety extension study for leflutrozole. The study was successful in demonstrating that none of the doses of leflutrozole met the lower bound (95% confidence interval) of the pre-specified safety criterion of a greater than 3% reduction in lumbar spine bone mineral density after 48 weeks of treatment. Consistent with this finding, none of the doses of leflutrozole met the secondary safety endpoint criterion of a greater than 3% reduction in bone mineral density in the hip (total or femoral neck). In addition, there was no shift into clinical categories of osteopenia or osteoporosis, with no evidence of development of new osteopenia.</w:t>
      </w:r>
    </w:p>
    <w:p>
      <w:pPr>
        <w:spacing w:after="0" w:line="208"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Consistent with the top-line data announced by us in March 2018, treatment with leflutrozole resulted in normalization of total testosterone levels in over 75% of subjects at all three doses tested at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the end of the six months extension study period (this measure was the primary endpoint in the placebo-controlled portion of the trial). Similarly, normalization of testosterone in at least 90% of patients (a key secondary endpoint of the placebo-controlled portion of the trial) occurred at all three doses (versus at the two highest doses in the initial 6 months). All three doses also continued to meet all other secondary endpoints, including the improvement of testosterone LH and FSH levels. The extension study continued to demonstrate a clear dose-response in both the primary and secondary endpoints. There was an increased incidence of raised haematocrit levels in patients receiving leflutrozole and small increases in blood pressure at the two highest doses consistent with increasing testosterone.</w:t>
      </w:r>
    </w:p>
    <w:p>
      <w:pPr>
        <w:spacing w:after="0" w:line="205"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Following the positive result of a safety extension study for leflutrozole, we convened an advisory board meeting and concluded that the future development of leflutrozole should focus on male infertility. We intend to develop a clinical and regulatory path accordingly. We intend to explore strategic options with third parties for the further development of leflutrozole.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Therapeutic Candidates Acquired in the Merger with OncoMed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Etigilimab (OMP-313M32) for the Treatment of Solid Tumors and Anti-PD1</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acquired etigilimab in the Merger with OncoMed. TIGIT (T-cell immunoreceptor with Ig and ITIM domains) is an inhibitory receptor and via interactions with its ligands may block T-cells from attacking tumor cells. The anti-TIGIT therapeutic candidate, etigilimab, is intended to activate the immune system, through multiple mechanisms, and enable anti-tumor activity. Etigilimab completed the single-agent Phase 1a portion of a Phase 1a/b clinical trial, which enrolled patients with advanced or metastatic solid tumors, and also completed enrollment of the Phase 1b portion of the clinical trial, which combined etigilimab with anti-PD1 (nivolumab).</w:t>
      </w:r>
    </w:p>
    <w:p>
      <w:pPr>
        <w:spacing w:after="0" w:line="202" w:lineRule="exact"/>
        <w:rPr>
          <w:sz w:val="20"/>
          <w:szCs w:val="20"/>
          <w:color w:val="auto"/>
        </w:rPr>
      </w:pPr>
    </w:p>
    <w:p>
      <w:pPr>
        <w:ind w:left="120" w:right="80" w:firstLine="440"/>
        <w:spacing w:after="0" w:line="235" w:lineRule="auto"/>
        <w:rPr>
          <w:sz w:val="20"/>
          <w:szCs w:val="20"/>
          <w:color w:val="auto"/>
        </w:rPr>
      </w:pPr>
      <w:r>
        <w:rPr>
          <w:rFonts w:ascii="Arial" w:cs="Arial" w:eastAsia="Arial" w:hAnsi="Arial"/>
          <w:sz w:val="18"/>
          <w:szCs w:val="18"/>
          <w:color w:val="auto"/>
        </w:rPr>
        <w:t>The Phase 1a/b clinical trial enrolled patients with advanced solid tumors into either a Phase 1a single-agent portion (dose escalation in all patients and expansion in selected tumor types) or Phase 1b combination portion in selected tumor types with nivolumab (dose escalation). 23 patients were treated in the Phase 1a dose escalation portion of the study with doses up to 20mg/kg every two weeks and 10 patients were treated in the Phase 1b combination portion of the study at doses up to 20 mg/kg every two weeks in combination with nivolumab. Tumor types in the Phase 1a portion of the study were colorectal cancer (6 patients), endometrial cancer (4 patients), head &amp; neck cancer (4 patients), pancreatic cancer (2 patients), triple negative breast cancer (2 patients) and five other tumor types and those included in the Phase 1b portion of the study included gastric cancer (3 patients) and seven other tumor types. No dose limiting toxicities were observed in the Phase 1a or 1b portions of the study and the recommended Phase 2 dose was the top dose of 20mg/kg biweekly. The only treatment-related adverse event with an incidence rate greater than 20% in the Phase 1a portion of the study was rash (39%), and the most common treatment-related adverse events in the Phase 1b portion of the study were rash (40%), fatigue (30%) and pruritus (20%). There was only one treatment-related serious adverse event in the Phase 1a portion (autoimmune hepatitis) and there were no treatment-related serious adverse events in the Phase 1b portion of the study. None of the patients in the Phase 1a portion had a response and 30% had stable disease. Ten percent of the patients in the Phase 1b portion had a response and 10% had stable disease. The study has now completed enrollment and a CSR is being drafted.</w:t>
      </w:r>
    </w:p>
    <w:p>
      <w:pPr>
        <w:spacing w:after="0" w:line="21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preclinical studies with anti-TIGIT antibodies, immune activation and robust anti-tumor activity have been observed—both as a single agent and in combination with other cancer immunotherapeutics including anti-PD1. At the 2017 American Association of Cancer Research (“AACR”) meeting, preclinical data demonstrating the capacity of an anti-TIGIT antibody to induce long-term immune memory and durable anti-tumor response was presented. Also, at the 2018 AACR meeting data that showed that anti-TIGIT treatment reduced the abundance of regulatory T-cells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(Tregs) within tumors in animal models, and mechanistic studies demonstrated an important contribution of effector function for anti-tumor efficacy in animal models was presented.</w:t>
      </w:r>
    </w:p>
    <w:p>
      <w:pPr>
        <w:spacing w:after="0" w:line="19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TIGIT program was previously subject to an exclusive license option with Celgene as part of the Collaboration Agreement. See “Business—Material Agreements—Collaboration Agreement with Celgene.” 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See “—Material Agreements— Collaboration Agreement with Celgene.” As a result, we have worldwide rights to the etigilimab program.</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Navicixizumab (OMP-305B83) for Treatment of Ovarian Cancer and Taxol</w:t>
      </w:r>
    </w:p>
    <w:p>
      <w:pPr>
        <w:spacing w:after="0" w:line="99"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acquired Navi in the Merger with OncoMed. Subsequently in January 2020, we out-licensed Navi to Oncologie. See “—Material Agreements—Licensing Agreement for Navicixizumab.” In addition, Navi is the subject of the CVR Agreement which sets forth certain rights and obligations of us with respect to Navi. See “—Material Agreements—CVR Agreement Between Us and Computershare—The NAVI Milestones.”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Agreements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connection with the acquisition of the Novartis Assets, we issued 3,849,000 ordinary shares to Novartis pursuant to a subscription agreement. See “Related Party Transactions—Subscription Agreement” for more information. In addition, we paid Novartis $1.5 million for a payment made by Novartis to a third party in full satisfaction of all monetary obligations of Novartis to such third party with respect to acumapimod. 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granted Novartis an irrevocable, transferable, royalty-free, worldwide and non-exclusive license to use know-how included within the Novartis Assets for Novartis’ activities unrelated to any Acquired Novartis Product Candidates. We have agreed to use commercially reasonable efforts to develop at least one Acquired Novartis Product. In addition, Novartis agreed to a three-year non-competition restriction in relation to clinical trial activities for the therapeutic treatment of HH in obese men in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respect of the leflutrozole Compound and sclerostin in respect of the BGS-804 Compound, subject to exceptions, including where Novartis does not have the ability to control such clinical trial activity and for any of Novartis’ existing contracts or relationships.</w:t>
      </w:r>
    </w:p>
    <w:p>
      <w:pPr>
        <w:spacing w:after="0" w:line="19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 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October 2017, our wholly-owned subsidiary Mereo BioPharma 4 Limited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w:t>
      </w:r>
    </w:p>
    <w:p>
      <w:pPr>
        <w:spacing w:after="0" w:line="202"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Upon entering into the License Agreement, we made a payment of $ 3.0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 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 In addition, we are generally responsible for costs related to the development and commercialization of the licensed products under the License Agreement.</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 candidates.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Agreement with Celgene</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December 2013, OncoMed entered into the Collaboration Agreement with Celgene pursuant to which OncoMed and Celgene were to collaborate on research and development programs directed to the discovery and development of novel biologic therapeutics, and, if Celgene exercised its option to do so, the discovery, development and commercialization of novel small molecule therapeutics. We acquired OncoMed in the Merger.</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OncoMed’s etigilimab program was the last remaining biologic therapeutic program that was active under the Collaboration Agreement. Pursuant to the Collaboration Agreement, Celgene had an option to obtain an exclusive license to develop further and commercialize biologic therapeutics in the etigilimab program, which could be exercised during time periods specified in the Collaboration Agreement through the earlier of completion of a certain clinical trial or the twelfth anniversary of the date of the Collaboration Agreement. In turn, OncoMed agreed to lead the development of etigilimab prior to Celgene’s exercise of the option for the program and was also responsible for funding all research and development activities for therapeutics in the etigilimab program prior to such exercise. OncoMed was eligible to receive a $35.0 million opt-in payment upon Celgene’s exercise of the option for the etigilimab program. In addition, the Collaboration Agreement also included milestone payments for achievement of specified development, regulatory and commercial milestones which could have totaled up to $437.5 million (net of past milestone payments) for product candidates in the etigilimab program, including the $35.0 million opt-in payment. In addition, if the program had been successfully commercialized by Celgene, OncoMed would have been eligible to receive tiered royalties equal to a percentage of net product sales worldwide in the high-single digits to the mid-teens, subject to certain reductions.</w:t>
      </w:r>
    </w:p>
    <w:p>
      <w:pPr>
        <w:spacing w:after="0" w:line="204"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w:t>
      </w:r>
    </w:p>
    <w:p>
      <w:pPr>
        <w:spacing w:after="0" w:line="203"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Navi was previously a part of the Collaboration Agreement, but the Collaboration Agreement was terminated with respect to Navi effective on January 23, 2019. As a result of this termination, we received worldwide rights to the Navi program, which we subsequently out-licensed to Oncologie. See “—Licensing Agreement for Navicixizumab.”</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Agreement for Navicixizumab</w:t>
      </w:r>
    </w:p>
    <w:p>
      <w:pPr>
        <w:spacing w:after="0" w:line="85" w:lineRule="exact"/>
        <w:rPr>
          <w:sz w:val="20"/>
          <w:szCs w:val="20"/>
          <w:color w:val="auto"/>
        </w:rPr>
      </w:pPr>
    </w:p>
    <w:p>
      <w:pPr>
        <w:jc w:val="both"/>
        <w:ind w:left="120" w:right="400" w:firstLine="440"/>
        <w:spacing w:after="0" w:line="238" w:lineRule="auto"/>
        <w:rPr>
          <w:sz w:val="20"/>
          <w:szCs w:val="20"/>
          <w:color w:val="auto"/>
        </w:rPr>
      </w:pPr>
      <w:r>
        <w:rPr>
          <w:rFonts w:ascii="Arial" w:cs="Arial" w:eastAsia="Arial" w:hAnsi="Arial"/>
          <w:sz w:val="18"/>
          <w:szCs w:val="18"/>
          <w:color w:val="auto"/>
        </w:rPr>
        <w:t>On January 13, 2020, we entered into a global license agreement with Oncologie for the development and commercialization of Navi,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through the Merger. In October 2019, the FDA granted Fast Track designation to Navi and has agreed in principle on the design of a study that could potentially support accelerated approval for Navi in a heavily pretreated, platinum-resistant ovarian cancer patient population.</w:t>
      </w:r>
    </w:p>
    <w:p>
      <w:pPr>
        <w:spacing w:after="0" w:line="17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terms of the license agreement, Oncologie will receive an exclusive worldwide license to develop and commercialize Navi. We received an upfront payment of $4.0 million and will receive an additional payment of $2.0 million conditional on a CMC (Chemistry, Manufacturing and Controls) milestone. Oncologie will be responsible for all future research, development and commercialization of Navi. Additionally, we will be eligible to receive up to $300 million in future clinical, regulatory and commercial milestones, tiered royalties ranging from the mid-single-digit to sub-teen percentages on global annual net sales of Navi, as well as a negotiated percentage of sublicensing revenues from certain sublicensees.</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As a consequence of the license agreement with Oncologie, and in accordance with the terms and conditions of the CVR Agreement, holders of CVRs pursuant to the CVR Agreement will be entitled to receive certain eligible cash milestone payments made to us under the license agreement relating to the development and commercialization of Navi. See “—CVR Agreement Between Us and Computershare.”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CVR Agreement Between Us and Computershare</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Following the closing of the Merger, OncoMed’s stockholders received, in exchange for each outstanding share of OncoMed common stock owned immediately prior to the closing of the Merger (except for any dissenting shares): (1) a number of our ADSs determined by reference to an exchange ratio, and (2) one contingent value right (a “CVR”), representing the right to receive contingent payments if specified milestones are achieved within agreed time periods, subject to and in accordance with the terms and conditions of the Contingent Value Rights Agreement (the “CVR Agreement”), dated April 23, 2019 by and among Computershare, as rights agent, and us.</w:t>
      </w:r>
    </w:p>
    <w:p>
      <w:pPr>
        <w:spacing w:after="0" w:line="205"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Except in limited circumstances, the CVRs may not be transferred, pledged, hypothecated, encumbered, assigned or otherwise disposed of.</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Milestone Events and Payments</w:t>
      </w:r>
    </w:p>
    <w:p>
      <w:pPr>
        <w:spacing w:after="0" w:line="81"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CVR milestones relate to OncoMed’s etigilimab and Navi therapeutic candidates, though the milestone relevant to etigilimab can no longer be achieved. The contingent payments would become payable to the rights agent, for subsequent distribution to the holders of the CVRs, upon the achievement of a milestone as follows: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The TIGIT Milestone</w:t>
      </w:r>
    </w:p>
    <w:p>
      <w:pPr>
        <w:spacing w:after="0" w:line="63"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A payment, in the form of our ADSs, would have been made to CVR holders if, following April 23, 2019 but prior to December 31, 2019, Celgene had exercised its exclusive option granted by OncoMed to Celgene in relation to reaching a milestore of OncoMed’s etigilimab product candidate pursuant to the Collaboration Agreement (the “TIGIT Milestore”), and OncoMed had actually received the cash payment payable by Celgene pursuant to such Celgene option exercise.</w:t>
      </w:r>
    </w:p>
    <w:p>
      <w:pPr>
        <w:spacing w:after="0" w:line="205"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See “—Collaboration Agreement with Celgene” above. As a result, no payments are expected to become due or payable to CVR holders pursuant to the TIGIT Milestone.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The NAVI Milestones</w:t>
      </w:r>
    </w:p>
    <w:p>
      <w:pPr>
        <w:spacing w:after="0" w:line="7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 cash payment will be made to CVR holders if, (1) within eighteen months following the closing of the Merger, we or any of our subsidiaries enters into a definitive partnership agreement, collaboration agreement, joint venture agreement, profit sharing agreement, license or sublicense agreement, asset sale agreement, stock sale agreement, investment agreement or similar agreement duly approved by our Board with one or more third parties regarding Navi, and (2) within five years of the closing of the Merger, we or any of our subsidiaries actually receives certain eligible cash milestone payments.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NAVI Subsidiary, Inc. (“NAVI Sub”), a wholly-owned subsidiary of OncoMed and an indirect wholly-owned subsidiary of our Company, has been established to hold all of our right, title and interest in and to Navi. For a period of 18 months following the closing of the Merger, we will permit certain individuals associated with NAVI Sub and identified on a confidential schedule to the CVR Agreement (the “NAVI Team”) to (i) solicit third party interest with respect to a NAVI Agreement (as defined in the CVR Agreement), such that the NAVI Sub or a third party, as applicable, will advance Navi, and (ii) recommend, by written notice to the chief executive officer of our Company, that we enter into discussions with one or more such third parties that have expressed interest with respect to a NAVI Agreement; provided that, notwithstanding anything to the contrary in the CVR Agreement, we will have no obligation or liability to fund or otherwise support or incur any cost or expense relating to NAVI Sub or Navi in excess of the commitments provided for on a confidential schedule to the CVR Agreement (except in respect of clinical trials commenced prior to the date thereof).</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entry into a NAVI Agreement by us or any of our subsidiaries (including NAVI Sub) shall be subject to, and contingent upon, a determination by our Board, having consulted with outside counsel, that the NAVI Agreement is fair to, advisable and in the best interests of our Company and our shareholders. Without limiting the foregoing, neither us nor any of our subsidiaries (including NAVI Sub) shall be compelled to enter into any investment agreement, stock sale agreement, or similar agreement with respect to NAVI Sub or Navi if, immediately following the execution of such agreement, our Company or one or more of our subsidiaries (other than NAVI Sub) would hold less than 19.5% of the issued and outstanding equity interests of NAVI Sub on a fully-diluted basis.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Eligible cash milestone payments will include each cash milestone payment payable to our Company or one or more of our subsidiaries pursuant to a NAVI Agreement (or any agreement contemplated by such NAVI Agreement), except for any (i) royalty or similar sales-based payment that is measured, in whole or in part, by reference to the quantity of Navi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Agreement.</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a NAVI Milestone is achieved, holders of CVRs would be entitled to receive an amount in cash equal to 70% of the aggregate principal amount actually received by us or one or more of our subsidiaries (other than NAVI Sub), net of (A) any tax (including any applicable value added or sales taxes and including any tax which would be payable but for the utilization of a relief), (B) 50% of any expenditure by us or our subsidiaries pursuant to the budget set forth on a confidential schedule to the CVR Agreement, and (C) any other reasonable cost or expense attributable to the receipt of such payment (which, for the avoidance of doubt, shall include (x) any costs, reasonable out-of-pocket fees, expenses or charges incurred by us or our subsidiaries in excess of the commitments provided for in the budget set forth on a confidential schedule to the CVR Agreement, (y) any costs, reasonable out-of-pocket fees, expenses or charges incurred by us or our subsidiaries under the NAVI Agreement,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and (z) any costs, reasonable out-of-pocket fees, expenses or charges incurred by us or our subsidiaries, or for which our Company or one or more of our subsidiaries is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NAVI milestone payments are subject to a cash consideration cap, pursuant to which the aggregate principal amount of all cash payments made to holders of CVRs by us shall in no case exceed $79.7 million. If the aggregate principal amount to be paid to holders of CVRs by us pursuant to the CVR Agreement would, together with the aggregate principal amount of any prior such cash payments, otherwise exceed $79.7 million, then the applicable NAVI Milestone payment will be appropriately reduced.</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a NAVI Milestone occurs at any time prior to the fifth anniversary of the closing of the Merger, and on each such occurrence, then, thirty days following the achievement thereof, our Company, or a person nominated by us (with written notice thereof from us to the rights agent), as the case may be, will deliver to the rights agent (i) a certificate certifying the date of satisfaction of the applicable NAVI Milestone and that the holders of CVRs are entitled to receive a NAVI Milestone payment, and (ii) the applicable NAVI Milestone payment, by wire transfer of immediately available funds to an account designated by the rights agent. Upon receipt of the wire transfer referred to in the foregoing sentence,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the product determined by multiplying (A) the quotient determined by dividing (x) the applicable NAVI Milestone payment by (y) the total number of CVRs registered in the CVR Register at such time, by (B) the number of CVRs registered to such holder in the CVR Register at such time.</w:t>
      </w:r>
    </w:p>
    <w:p>
      <w:pPr>
        <w:spacing w:after="0" w:line="206"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receipt of the upfront milestone payment of $4.0 million by us under the Navi License Agreement with Oncologie in January 2020 will result in a payment to CVR holders of approximately 1.2 cents per CVR, a total of approximately $462,748 (after deductions of costs, charges and expenditures). It is expected this distribution will be made to CVR holders by March 17,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CVR Agreement Between OncoMed and Computershare</w:t>
      </w:r>
    </w:p>
    <w:p>
      <w:pPr>
        <w:spacing w:after="0" w:line="99" w:lineRule="exact"/>
        <w:rPr>
          <w:sz w:val="20"/>
          <w:szCs w:val="20"/>
          <w:color w:val="auto"/>
        </w:rPr>
      </w:pPr>
    </w:p>
    <w:p>
      <w:pPr>
        <w:ind w:left="120" w:right="240" w:firstLine="440"/>
        <w:spacing w:after="0" w:line="274" w:lineRule="auto"/>
        <w:rPr>
          <w:sz w:val="20"/>
          <w:szCs w:val="20"/>
          <w:color w:val="auto"/>
        </w:rPr>
      </w:pPr>
      <w:r>
        <w:rPr>
          <w:rFonts w:ascii="Arial" w:cs="Arial" w:eastAsia="Arial" w:hAnsi="Arial"/>
          <w:sz w:val="17"/>
          <w:szCs w:val="17"/>
          <w:color w:val="auto"/>
        </w:rPr>
        <w:t>On March 14, 2019, OncoMed entered into a Contingent Value Rights Agreement, by and between OncoMed and Computershare (the “OncoMed CVR Agreement”). As a result of the Merger, OncoMed became a wholly-owned indirect subsidiary of our Company.</w:t>
      </w:r>
    </w:p>
    <w:p>
      <w:pPr>
        <w:spacing w:after="0" w:line="17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Pursuant to the OncoMed CVR Agreement, each holder of OncoMed common stock as of the close of business on April 5, 2019, received one contingent value right (each, an “OncoMed CVR”) for each share of OncoMed common stock held by such stockholder as of such date. The OncoMed CVRs each represented the non-transferable contractual right to receive cash payments from OncoMed upon the actual receipt by OncoMed or its affiliates of certain contingent cash payments from Celgene in respect of the achievement of specified approval and sales milestones or the payment of royalties pursuant to the Collaboration Agreement in connection with OncoMed’s etigilimab therapeutic candidate. As stated above, in June 2019, Celgene notified OncoMed, pursuant to the Collaboration Agreement, of Celgene’s decision not to exercise its option to license etigilimab. See “—Collaboration Agreement with Celgene.” As a result, no payments are expected to become due or payable to OncoMed CVR holders pursuant to the TIGIT Milestone.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Aspire Capital Transaction</w:t>
      </w:r>
    </w:p>
    <w:p>
      <w:pPr>
        <w:spacing w:after="0" w:line="85"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On February 10, 2020, we entered into a Purchase Agreement with Aspire Capital, which provides that, upon the terms and subject to the conditions and limitations set forth therein, Aspire Capital is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committed to purchase up to an aggregate of $25.0 million worth of our ordinary shares that are exchangeable for ADSs over the approximately 30-month term of the Purchase Agreement. In addition, pursuant to the Purchase Agreement, Aspire Capital purchased 11,432,925 ordinary shares that are exchangeable for 2,286,585 ADSs for $ 3.0 million. In consideration for entering into the Purchase Agreement, concurrently with the execution of the Purchase Agreement, we paid Aspire Capital a commission fee of $300,000, which was wholly satisfied by the issuance to Aspire Capital of 2,862,595 ordinary shares that are exchangeable for 572,519 ADSs. See “The Aspire Capital Transaction.”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Boxer Capital Private Placement</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On February 19, 2020, we entered into a securities purchase agreement with Boxer Capital. Under the terms of the agreement, Boxer Capital agreed to make an investment of $3.0 million to purchase 12,252,715 ordinary shares (equivalent to 2,450,543 ADSs) at a price equivalent to 18.8 pence per ordinary share, which represented a 20% discount to our closing share price of 23.5 pence on AIM on February 18, 2020. We intend to use the net proceeds from this private placement for general corporate purposes, including clinical trial activity and working capital. There are no warrants, derivatives, or other share classes associated with this transaction. Further, there are no restrictions on future financings and there are no financial covenants, participation rights, rights of first refusal, or penalties in the purchase agreement entered into in connection with this transaction.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setrusumab, acumapimod, leflutrozole, and etigilimab and we intend to enter into additional manufacturing agreements as necessary. Following our license of alvelestat, we acquired certain clinical trial materials and we plan to outsource production of further clinical supplies to our own manufacturing suppliers. We also intend to outsource certain product formulation trials. We expect that drug product pre-validation and validation batches will be manufactured to satisfy regulatory requirements where we progress product candidates to late stage trials.</w:t>
      </w:r>
    </w:p>
    <w:p>
      <w:pPr>
        <w:spacing w:after="0" w:line="203"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7"/>
          <w:szCs w:val="17"/>
          <w:color w:val="auto"/>
        </w:rPr>
        <w:t>We intend to enter into contractual relationships for the manufacture of commercial supplies for setrusumab and alvelestat.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8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do not have our own marketing, sales, or distribution capabilities. In order to commercialize our rare disease product candidates, if approved for commercial sale, we must either develop a sales and marketing infrastructure or collaborate with third parties that have sales and marketing experience. For setrusumab and alvelestat, if approved, and for any future product candidates for rare diseases, we intend either to establish a sales and marketing organization with technical expertise and supporting distribution capabilities to commercialize or co-commercialize these product candidates in major markets or potentially to outsource aspects of these functions to third parties or partners. We intend to seek to enter into one or more strategic relationships with third parties for our non-rare disease product candidates, acumapimod, leflutrozole and etigilimab to undertake the next phase of clinical development and, if approved, for commercialization.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We compete directly with other biopharmaceutical and pharmaceutical companies that focus on the treatment of OI, AATD, AECOPD or HH, as well as those that address solid tumor cancers and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hematologic cancers. We may also face competition from academic research institutions, governmental agencies and other various public and private research institutions. We expect to face increasingly intense competition as new technologies become available. Any product candidates, including setrusumab, alvelestat, acumapimod, leflutrozole and etigilimab that we successfully develop and commercialize will compete with existing therapies and new therapies that may become available in the future.</w:t>
      </w:r>
    </w:p>
    <w:p>
      <w:pPr>
        <w:spacing w:after="0" w:line="205" w:lineRule="exact"/>
        <w:rPr>
          <w:sz w:val="20"/>
          <w:szCs w:val="20"/>
          <w:color w:val="auto"/>
        </w:rPr>
      </w:pPr>
    </w:p>
    <w:p>
      <w:pPr>
        <w:ind w:left="120" w:right="60" w:firstLine="440"/>
        <w:spacing w:after="0" w:line="235" w:lineRule="auto"/>
        <w:rPr>
          <w:sz w:val="20"/>
          <w:szCs w:val="20"/>
          <w:color w:val="auto"/>
        </w:rPr>
      </w:pPr>
      <w:r>
        <w:rPr>
          <w:rFonts w:ascii="Arial" w:cs="Arial" w:eastAsia="Arial" w:hAnsi="Arial"/>
          <w:sz w:val="18"/>
          <w:szCs w:val="18"/>
          <w:color w:val="auto"/>
        </w:rPr>
        <w:t>We consider setrusumab’s current closest potential competitors in development for the treatment of OI to be Amgen’s denosumab (Prolia) an anti-resorptive agent, and Amgen and UCB’s anti-sclerostin antibody, romosozumab (Evenity), which was approved in the United States in April 2019 for osteoporosis. The FDA, however, required a Black Box warning that there may be an increase in risk of MI, stroke or cardiovascular death and that Evenity should not be initiated in patients who have had an MI or stroke in the last year. We believe that there is no increased risk of MI or stroke for patients with severe OI and the patient population we are studying is younger, with a mean age in the MBPS205 study of 44 years in the adult study and a maximum age of 17 will be allowed in the pediatric study. In the adult study there have been no events of MI or stroke, or other ischaemic pathology.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The CHMP’s recommendation will now be reviewed by the European Commission and a decision is expected by year-end 2019. In addition, Jiangsu Hengrui has commenced Phase 1 development of an anti-sclerostin antibody for osteoporosis, and Transcenta Holding has licensed the anti-sclerostin antibody blosozumab from Lilly and plans to develop it for osteoporosis. Additionally, Bone Therapeutics is developing osteoblastic cell therapy product candidates. Baylor College of Medicine is also conducting a Phase 1 open label trial of fresolimumab, a TGF-B inhibitor, in adult OI patients.</w:t>
      </w:r>
    </w:p>
    <w:p>
      <w:pPr>
        <w:spacing w:after="0" w:line="21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We consider alvelestat’s current closest potential competitors for the treatment of severe AATD to be alpha1-proteinase inhibitors that are administered intravenously in AAT augmentation therapy.</w:t>
      </w:r>
    </w:p>
    <w:p>
      <w:pPr>
        <w:spacing w:after="0" w:line="19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Currently, there are four inhibitors on the market in the United States and the EU: Grifols’ Prolastin-C, Shire’s Aralast, CSL’s Zemaira and Kamada’s Glassia. Kamada is also investigating an inhaled version of augmentation therapy, InhibRx is in Phase 1 development of INBRX-101, a recombinant human alpha-1 antitrypsin Fc fusion protein (rhAAT-Fc) for replacement therapy and Apic Bio is in the early stages of developing gene-therapy approaches for AATD. Vertex has a small molecule corrector program for AATD with VX-814 and VX-864 in Phase 1 development. Santhera has in-licensed an inhaled NE inhibitor and is planning a multiple ascending dose study, with the initial indication targeted being CF; and CHF-6333 is an inhaled human NE inhibitor in Phase 1 development by Chiesi for the treatment of non-cystic fibrosis bronchiectasis and CF.</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current standard of care for AECOPD involves steroids, antibiotics and bronchodilators; however, we are not aware of any drugs specifically approved for the treatment of AECOPD to reduce recurrent AECOPDs. There are a number of product candidates currently in development, with Verona Pharma, GlaxoSmithKline, and AstraZeneca each conducting Phase 2 clinical trials of drugs for the treatment of COPD. In addition, Pulmatrix has PUR1800, a NSKI expected to begin a Phase 1b for AECOPD in 2020. We consider acumapimod’s current closest potential competitor in development for the treatment of AECOPD to be Verona Pharma’s RPL554, a PDE3 / PDE4 dual inhibitor that is currently being developed as a bronchodilator and anti-inflammatory agent for COPD and asthma patients.</w:t>
      </w:r>
    </w:p>
    <w:p>
      <w:pPr>
        <w:spacing w:after="0" w:line="205"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We consider leflutrozole’s current closest potential competitors for the treatment of HH to be TRT. These include Androgel from AbbVie, and Lilly’s Axiron, both administered transdermally by applying 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gel formulation, which are approved in the United States and Europe, Andriol from Merck, an oral testosterone therapy, which is approved in Europe but not in the United States and Jatenzo from Clarus approved in the United States in March 2019. There are also other approved TRT product candidates that are administered via injection and other oral TRTs that are still in the development or registration stages, such as Tlando from Lipocine. The FDA held advisory committee meetings in January 2018 for Tlando. On May 9, 2018, Lipocine announced that it had received a complete response letter from the FDA and on May 14, 2019, Lipocine announced the acceptance of the NDA for Tlando. Lipocine has also announced an injunction against Clarus for its product Jatenzo.</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consider etigilimab’s competitors to be existing cancer treatments such as the commercially available immuno-oncology agents (e.g., Yervoy, Keytruda, and Opdivo), chemotherapeutic agents, and antibody based therapeutics such as Avastin and Erbitux. In addition, other potential competitors include several other etigilimab agents (e.g., those currently being developed by Genentech (Roche), Merck, Bristol-Myers Squibb or BMS, and Arcus Biosciences) and investigational immuno-oncologic agents against other targets. There are established pharmaceutical and biotechnology companies that are known to be involved in oncology research.</w:t>
      </w:r>
    </w:p>
    <w:p>
      <w:pPr>
        <w:spacing w:after="0" w:line="202"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w:t>
      </w:r>
    </w:p>
    <w:p>
      <w:pPr>
        <w:spacing w:after="0" w:line="208" w:lineRule="exact"/>
        <w:rPr>
          <w:sz w:val="20"/>
          <w:szCs w:val="20"/>
          <w:color w:val="auto"/>
        </w:rPr>
      </w:pPr>
    </w:p>
    <w:p>
      <w:pPr>
        <w:jc w:val="both"/>
        <w:ind w:left="120" w:right="220" w:firstLine="440"/>
        <w:spacing w:after="0" w:line="261" w:lineRule="auto"/>
        <w:rPr>
          <w:sz w:val="20"/>
          <w:szCs w:val="20"/>
          <w:color w:val="auto"/>
        </w:rPr>
      </w:pPr>
      <w:r>
        <w:rPr>
          <w:rFonts w:ascii="Arial" w:cs="Arial" w:eastAsia="Arial" w:hAnsi="Arial"/>
          <w:sz w:val="17"/>
          <w:szCs w:val="17"/>
          <w:color w:val="auto"/>
        </w:rPr>
        <w:t>The key competitive factors affecting the success of setrusumab, alvelestat, acumapimod, leflutrozole and etigilimab,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8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 candidates that are safer, more effective, less expensive, more convenient or easier to administer, or have fewer or less severe side effects than any product candidates that we may develop.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Even if setrusumab, alvelestat, acumapimod, leflutrozole or etigilimab achieve marketing approval, they may be priced at a significant premium over competing product candidates if any have been approved by then.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acquired or exclusively licensed our intellectual property portfolio from Novartis, OncoMed and AstraZeneca.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proprietary technology, inventions, improvements, platforms and our product candidates that are important to the development and implementation of our business.</w:t>
      </w:r>
    </w:p>
    <w:p>
      <w:pPr>
        <w:spacing w:after="0" w:line="197"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Our intellectual property is held by Mereo BioPharma 1 Limited, Mereo BioPharma 2 Limited, Mereo BioPharma 3 Limited, Mereo BioPharma 4 Limited and OncoMed, each of which is a wholly-owned subsidiary of our Company and holds the intellectual property for our product candidates acumapimod, leflutrozole, setrusumab, alvelestat and etigilimab respectively. As of March 1, 2020 and following the Merger, our patent portfolio comprises approximately 553 issued patents and approximately 184 pending patent applications on a global basis.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Setrusumab (BPS-804)</w:t>
      </w:r>
    </w:p>
    <w:p>
      <w:pPr>
        <w:spacing w:after="0" w:line="99"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As of March 1, 2020, our patent portfolio relating to our product setrusumab consisted of three issued U.S. patents, three pending U.S. patent applications, 86 issued foreign patents, 26 pending foreign patent applications and one pending international patent application filed under the Patent Cooperation Treaty (“PCT”). These issued patents and patent applications, if issued, include claims directed to the setrusumab antibody as well as nucleic acids encoding the antibody and the antibody’s use as a medicament; the use of anti-sclerostin antibodies in the treatment of OI; the use of the setrusumab antibody in the treatment of OI with a specific dosing regimen; and use of a sclerostin antagonist in the treatment of a myopathy with expected expiry dates between 2028 and 2039.</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setrusumab includes three patent families:</w:t>
      </w:r>
    </w:p>
    <w:p>
      <w:pPr>
        <w:spacing w:after="0" w:line="239" w:lineRule="exact"/>
        <w:rPr>
          <w:sz w:val="20"/>
          <w:szCs w:val="20"/>
          <w:color w:val="auto"/>
        </w:rPr>
      </w:pPr>
    </w:p>
    <w:p>
      <w:pPr>
        <w:ind w:left="980" w:right="40" w:hanging="432"/>
        <w:spacing w:after="0" w:line="243" w:lineRule="auto"/>
        <w:tabs>
          <w:tab w:leader="none" w:pos="980" w:val="left"/>
        </w:tabs>
        <w:numPr>
          <w:ilvl w:val="0"/>
          <w:numId w:val="93"/>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first of these patent families relates to the setrusumab antibody as well as nucleic acids encoding the antibody and the antibody’s use as a medicament. As of March 1, 2020, this patent family included issued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the Gulf Cooperation Council countries, Hong Kong, India, Indonesia, Israel, Japan, Macau, Mexico, New Zealand, Russia, Singapore, South Africa, South Korea and the United States. We expect issued patents in this family to expire in 2028.</w:t>
      </w:r>
    </w:p>
    <w:p>
      <w:pPr>
        <w:spacing w:after="0" w:line="25" w:lineRule="exact"/>
        <w:rPr>
          <w:rFonts w:ascii="MS PGothic" w:cs="MS PGothic" w:eastAsia="MS PGothic" w:hAnsi="MS PGothic"/>
          <w:sz w:val="24"/>
          <w:szCs w:val="24"/>
          <w:color w:val="auto"/>
          <w:vertAlign w:val="superscript"/>
        </w:rPr>
      </w:pPr>
    </w:p>
    <w:p>
      <w:pPr>
        <w:ind w:left="980" w:right="60" w:hanging="432"/>
        <w:spacing w:after="0" w:line="226" w:lineRule="auto"/>
        <w:tabs>
          <w:tab w:leader="none" w:pos="98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anti-sclerostin antibodies in the treatment of OI and the use of the setrusumab antibody in the treatment of OI at a specific dosing regimen. As of March 1, 2020, this patent family included three pending U.S. patent applications and 22 pending foreign patent applications. We expect patents in this family, if issued, to expire in 2036.</w:t>
      </w:r>
    </w:p>
    <w:p>
      <w:pPr>
        <w:spacing w:after="0" w:line="27" w:lineRule="exact"/>
        <w:rPr>
          <w:rFonts w:ascii="MS PGothic" w:cs="MS PGothic" w:eastAsia="MS PGothic" w:hAnsi="MS PGothic"/>
          <w:sz w:val="25"/>
          <w:szCs w:val="25"/>
          <w:color w:val="auto"/>
          <w:vertAlign w:val="superscript"/>
        </w:rPr>
      </w:pPr>
    </w:p>
    <w:p>
      <w:pPr>
        <w:ind w:left="980" w:right="40" w:hanging="432"/>
        <w:spacing w:after="0" w:line="223" w:lineRule="auto"/>
        <w:tabs>
          <w:tab w:leader="none" w:pos="98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the use of an anti-sclerostin antagonist in the treatment of a myopathy. As of March 1, 2020, this patent family included one pending international patent application filed under the PCT. We expect patents in this family, if issued, to expire in 2039.</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Alvelestat (MPH-966)</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As of March 1, 2020, our patent portfolio relating to our product candidate alvelestat consisted of three issued U.S. patents, no pending U.S. patent applications, 35 issued or allowed foreign patents and three pending foreign patent applications. These patents have all been licensed under our agreement with AstraZeneca. See “Business—Material Agreements—AstraZeneca Agreement.” These issued patents and patent applications, if issued, include claims directed to 2-pyridone derivatives as NE inhibitors and their uses as well as claims to polymorphs of the tosylate salt of a 5-pyrazolyl-2-pyridone derivative, with expected expiry dates between 2024 and 2030. Our patent portfolio relating to our product candidate alvelestat also includes two pending foreign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applications which have been filed subsequent to the license agreement with AstraZeneca. These patent applications, if issued, include claims directed to dosage regimens of alvelestat with expected expiry dates in 2040.</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Finally, our patent portfolio relating to our product candidate alvelestat includes one pending U.S. patent application which has been filed subsequent to the license agreement with AstraZeneca. This patent application, if issued, includes claims directed to methods of treatment using alvelestat with expected expiry date of 2040.</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candidate alvelestat includes four patent families:</w:t>
      </w:r>
    </w:p>
    <w:p>
      <w:pPr>
        <w:spacing w:after="0" w:line="239" w:lineRule="exact"/>
        <w:rPr>
          <w:sz w:val="20"/>
          <w:szCs w:val="20"/>
          <w:color w:val="auto"/>
        </w:rPr>
      </w:pPr>
    </w:p>
    <w:p>
      <w:pPr>
        <w:ind w:left="980" w:right="80" w:hanging="432"/>
        <w:spacing w:after="0" w:line="226" w:lineRule="auto"/>
        <w:tabs>
          <w:tab w:leader="none" w:pos="9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2-pyridone derivatives as NE inhibitors and their use. As of March 1, 2020, this patent family included issued patents in Australia, Brazil, Canada, China, Europe (France, Germany, Italy, Netherlands, Spain, Sweden, Switzerland, Turkey and United Kingdom), Hong Kong, India, Japan, Mexico, Russia, South Korea and the United States. We expect issued patents in this family to expire in 2024.</w:t>
      </w:r>
    </w:p>
    <w:p>
      <w:pPr>
        <w:spacing w:after="0" w:line="27" w:lineRule="exact"/>
        <w:rPr>
          <w:rFonts w:ascii="MS PGothic" w:cs="MS PGothic" w:eastAsia="MS PGothic" w:hAnsi="MS PGothic"/>
          <w:sz w:val="25"/>
          <w:szCs w:val="25"/>
          <w:color w:val="auto"/>
          <w:vertAlign w:val="superscript"/>
        </w:rPr>
      </w:pPr>
    </w:p>
    <w:p>
      <w:pPr>
        <w:ind w:left="980" w:right="280" w:hanging="432"/>
        <w:spacing w:after="0" w:line="226" w:lineRule="auto"/>
        <w:tabs>
          <w:tab w:leader="none" w:pos="9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polymorphs of the tosylate salt of a 5-pyrazolyl-2-pyridone derivative. As of March 1, 2020, this patent family included issued patents in Australia, Canada, China, Europe (France, Germany, Italy, Netherlands, Spain, Sweden, Switzerland, Turkey and United Kingdom), Hong Kong, Japan, Mexico, Russia and the United States. We expect issued patents in this family to expire in 2030.</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regiments of alvelestat. As of March 1, 2020, this patent family included two pending U.K. patent applications. We expect patents in this family, if issued, to expire in 2040.</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methods of treatment using alvelestat. As of March 1, 2020, this family included one pending U.S. patent application. We expect patents in this family, if issued, to expire in 2040.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Acumapimod (BCT-197)</w:t>
      </w:r>
    </w:p>
    <w:p>
      <w:pPr>
        <w:spacing w:after="0" w:line="9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As of March 1, 2020, our patent portfolio relating to our product acumapimod consisted of 6 issued U.S. patents, 5 pending U.S. patent applications, 136 issued and allowed foreign patents, 44 pending foreign applications, and five pending international patent applications filed under the PCT. These issued patents and patent applications, if issued, include claims directed to 5-membered heterocycle-based p38 kinase inhibitors, the use of a pyrazole derivative in the treatment of AECOPD, dosage regimens of acumapimod, the use of acumapimod in the treatment of specific patient subpopulations, methods of producing specific polymorphs of acumapimod and synthetic methods of production of acumapimod with expected expiry dates between 2024 and 2038.</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acumapimod includes six patent families:</w:t>
      </w:r>
    </w:p>
    <w:p>
      <w:pPr>
        <w:spacing w:after="0" w:line="239" w:lineRule="exact"/>
        <w:rPr>
          <w:sz w:val="20"/>
          <w:szCs w:val="20"/>
          <w:color w:val="auto"/>
        </w:rPr>
      </w:pPr>
    </w:p>
    <w:p>
      <w:pPr>
        <w:ind w:left="980" w:right="20" w:hanging="432"/>
        <w:spacing w:after="0" w:line="229" w:lineRule="auto"/>
        <w:tabs>
          <w:tab w:leader="none" w:pos="98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key composition per se and other 5-membered heterocycle-based p38 kinase inhibitors. As of March 1, 2020, this patent family included issued patents in Algeria, Australia, Brazil,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We expect issued patents in this family to expire in 2024.</w:t>
      </w:r>
    </w:p>
    <w:p>
      <w:pPr>
        <w:spacing w:after="0" w:line="31" w:lineRule="exact"/>
        <w:rPr>
          <w:rFonts w:ascii="MS PGothic" w:cs="MS PGothic" w:eastAsia="MS PGothic" w:hAnsi="MS PGothic"/>
          <w:sz w:val="25"/>
          <w:szCs w:val="25"/>
          <w:color w:val="auto"/>
          <w:vertAlign w:val="superscript"/>
        </w:rPr>
      </w:pPr>
    </w:p>
    <w:p>
      <w:pPr>
        <w:ind w:left="980" w:right="420" w:hanging="432"/>
        <w:spacing w:after="0" w:line="218" w:lineRule="auto"/>
        <w:tabs>
          <w:tab w:leader="none" w:pos="98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pyrazole derivatives in the treatment of AECOPD. As of March 1, 2020, this patent family included issued patents in Algeria,</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20"/>
        <w:spacing w:after="0" w:line="252" w:lineRule="auto"/>
        <w:rPr>
          <w:sz w:val="20"/>
          <w:szCs w:val="20"/>
          <w:color w:val="auto"/>
        </w:rPr>
      </w:pPr>
      <w:r>
        <w:rPr>
          <w:rFonts w:ascii="Arial" w:cs="Arial" w:eastAsia="Arial" w:hAnsi="Arial"/>
          <w:sz w:val="17"/>
          <w:szCs w:val="17"/>
          <w:color w:val="auto"/>
        </w:rPr>
        <w:t>Australia, Canada, China, Europe (Austria, Belgium, Bulgaria, Croatia, Cyprus, Czech Republic, Denmark, Estonia, Germany, Finland, France, Greece, Hungary, Iceland, Ireland, Italy, Latvia, Liechtenstein, Lithuania, Luxembourg, Malta, Monaco, Netherlands, Poland, Portugal, Romania, Slovakia, Slovenia, Spain, Sweden, Switzerland, Turkey, Norway and United Kingdom,), Hong Kong, Indonesia, Israel, Japan, Mexico, New Zealand, Philippines, Russia, Singapore, South Africa, South Korea, Taiwan, the United Arab Emirates and the United States. We expect issued patents in this family to expire in 2033.</w:t>
      </w:r>
    </w:p>
    <w:p>
      <w:pPr>
        <w:spacing w:after="0" w:line="27" w:lineRule="exact"/>
        <w:rPr>
          <w:sz w:val="20"/>
          <w:szCs w:val="20"/>
          <w:color w:val="auto"/>
        </w:rPr>
      </w:pPr>
    </w:p>
    <w:p>
      <w:pPr>
        <w:ind w:left="980" w:right="120" w:hanging="432"/>
        <w:spacing w:after="0" w:line="223" w:lineRule="auto"/>
        <w:tabs>
          <w:tab w:leader="none" w:pos="98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regimens of acumapimod. As of March 1, 2020, this patent family included one granted U.S. patent application, two granted foreign patent applications and 14 pending foreign patent applications. We expect patents in this family, if issued, to expire in 2036.</w:t>
      </w:r>
    </w:p>
    <w:p>
      <w:pPr>
        <w:spacing w:after="0" w:line="28" w:lineRule="exact"/>
        <w:rPr>
          <w:rFonts w:ascii="MS PGothic" w:cs="MS PGothic" w:eastAsia="MS PGothic" w:hAnsi="MS PGothic"/>
          <w:sz w:val="25"/>
          <w:szCs w:val="25"/>
          <w:color w:val="auto"/>
          <w:vertAlign w:val="superscript"/>
        </w:rPr>
      </w:pPr>
    </w:p>
    <w:p>
      <w:pPr>
        <w:ind w:left="980" w:right="240" w:hanging="432"/>
        <w:spacing w:after="0" w:line="223" w:lineRule="auto"/>
        <w:tabs>
          <w:tab w:leader="none" w:pos="98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specific polymorphs of acumapimod. As of March 1, 2020, this patent family included two pending U.S. patent applications and 26 pending foreign patent applications. We expect patents in this family, if issued, to expire in 2037.</w:t>
      </w:r>
    </w:p>
    <w:p>
      <w:pPr>
        <w:spacing w:after="0" w:line="28"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fifth of these patent families relates to novel regimes for the prevention of AECOPD and the use of acumapimod in a specific patient subpopulation. As of March 1, 2020, this patent family included two PCT patent applications. We expect patents in this family, if issued, to expire in 2038.</w:t>
      </w:r>
    </w:p>
    <w:p>
      <w:pPr>
        <w:spacing w:after="0" w:line="28"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sixth of these patent families relates to synthetic methods for the production of acumapimod. As of March 1, 2020, this patent family included three PCT patent applications. We expect patents in this family, if issued, to expire in 2039.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Leflutrozole (BGS-649)</w:t>
      </w:r>
    </w:p>
    <w:p>
      <w:pPr>
        <w:spacing w:after="0" w:line="99" w:lineRule="exact"/>
        <w:rPr>
          <w:sz w:val="20"/>
          <w:szCs w:val="20"/>
          <w:color w:val="auto"/>
        </w:rPr>
      </w:pPr>
    </w:p>
    <w:p>
      <w:pPr>
        <w:jc w:val="both"/>
        <w:ind w:left="120" w:right="80" w:firstLine="440"/>
        <w:spacing w:after="0" w:line="238" w:lineRule="auto"/>
        <w:rPr>
          <w:sz w:val="20"/>
          <w:szCs w:val="20"/>
          <w:color w:val="auto"/>
        </w:rPr>
      </w:pPr>
      <w:r>
        <w:rPr>
          <w:rFonts w:ascii="Arial" w:cs="Arial" w:eastAsia="Arial" w:hAnsi="Arial"/>
          <w:sz w:val="18"/>
          <w:szCs w:val="18"/>
          <w:color w:val="auto"/>
        </w:rPr>
        <w:t>As of March 1, 2020, our patent portfolio relating to our product leflutrozole consisted of four issued U.S. patents, one pending U.S. patent application, 90 issued foreign patents, and 11 pending foreign patent applications. These issued patents and patent applications, if issued, include claims directed to leflutrozole formulations the use of leflutrozole in treating hypogonadism according to a specific dosing regimen and combination drug regimens of leflutrozole, with expected expiry dates between 2032 and 2040.</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leflutrozole includes three patent families:</w:t>
      </w:r>
    </w:p>
    <w:p>
      <w:pPr>
        <w:spacing w:after="0" w:line="239" w:lineRule="exact"/>
        <w:rPr>
          <w:sz w:val="20"/>
          <w:szCs w:val="20"/>
          <w:color w:val="auto"/>
        </w:rPr>
      </w:pPr>
    </w:p>
    <w:p>
      <w:pPr>
        <w:ind w:left="980" w:right="260" w:hanging="432"/>
        <w:spacing w:after="0" w:line="229" w:lineRule="auto"/>
        <w:tabs>
          <w:tab w:leader="none" w:pos="98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leflutrozole formulations and to the use of leflutrozole in treating hypogonadism according to a specific dosing regimen. As of March 1, 2020, this patent family included issued patents in Algeria, Australia, Brazil, Canada, China, Europe (Austria, Belgium, 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GCC, Hong Kong, Indonesia, Israel, Japan, Mexico, New Zealand, Russia, Singapore, South Africa, South Korea and the United States. We expect issued patents in this family to expire in 2032.</w:t>
      </w:r>
    </w:p>
    <w:p>
      <w:pPr>
        <w:spacing w:after="0" w:line="31" w:lineRule="exact"/>
        <w:rPr>
          <w:rFonts w:ascii="MS PGothic" w:cs="MS PGothic" w:eastAsia="MS PGothic" w:hAnsi="MS PGothic"/>
          <w:sz w:val="25"/>
          <w:szCs w:val="25"/>
          <w:color w:val="auto"/>
          <w:vertAlign w:val="superscript"/>
        </w:rPr>
      </w:pPr>
    </w:p>
    <w:p>
      <w:pPr>
        <w:ind w:left="980" w:right="40" w:hanging="432"/>
        <w:spacing w:after="0" w:line="223" w:lineRule="auto"/>
        <w:tabs>
          <w:tab w:leader="none" w:pos="98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leflutrozole in treating endometriosis according to a specific dosing regimen. As of March 1, 2020, this patent family included one pending U.S. patent application and three pending foreign patent applications. We expect patents in this family, if issued, to expire in 2037.</w:t>
      </w:r>
    </w:p>
    <w:p>
      <w:pPr>
        <w:spacing w:after="0" w:line="28"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combination drug regimens of leflutrozole. As of March 1, 2020, this patent family included two pending U.K. national patent applications. We expect patents in this family, if issued, to expire in 2040.</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Etigilimab (OMP-313M32)</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1, 2020, following the Merger, our patent portfolio relating to our therapeutic candidate etigilimab consisted of two</w:t>
      </w:r>
    </w:p>
    <w:p>
      <w:pPr>
        <w:ind w:left="120"/>
        <w:spacing w:after="0"/>
        <w:rPr>
          <w:sz w:val="20"/>
          <w:szCs w:val="20"/>
          <w:color w:val="auto"/>
        </w:rPr>
      </w:pPr>
      <w:r>
        <w:rPr>
          <w:rFonts w:ascii="Arial" w:cs="Arial" w:eastAsia="Arial" w:hAnsi="Arial"/>
          <w:sz w:val="18"/>
          <w:szCs w:val="18"/>
          <w:color w:val="auto"/>
        </w:rPr>
        <w:t>granted U.S. patents and one pending U.S. patent application, as well as corresponding patent applications in major foreign jurisdictions.</w:t>
      </w:r>
    </w:p>
    <w:p>
      <w:pPr>
        <w:spacing w:after="0" w:line="21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The patent portfolio relating to our therapeutic candidate etigilimab contains one core patent family that covers the product per se as well as medical uses thereof. Patents that issue from this core family are generally expected to expire in 2036.</w:t>
      </w:r>
    </w:p>
    <w:p>
      <w:pPr>
        <w:spacing w:after="0" w:line="197"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portfolio also includes a second patent family that relates to specific methods of treatment using etigilimab. This patent family currently consists of one pending U.S. application, one granted foreign patent application and 12 pending foreign patent applications. Any patents that issue from this family are generally expected to expire in 2037.</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Navicixizumab (OMP-305B83)</w:t>
      </w:r>
    </w:p>
    <w:p>
      <w:pPr>
        <w:spacing w:after="0" w:line="8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As of March 1, 2020, following the Merger, our patent portfolio relating to Navi consisted of 16 issued U.S. patents and six pending U.S. patent applications, as well as corresponding patents or patent applications in major foreign jurisdictions.</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patent portfolio relating to Navi contains two core patent families, both of which cover the product per se as well as medical uses thereof. Patents and patent applications, if issued, in these core families are expected to expire between 2030 and 2032.</w:t>
      </w:r>
    </w:p>
    <w:p>
      <w:pPr>
        <w:spacing w:after="0" w:line="197" w:lineRule="exact"/>
        <w:rPr>
          <w:sz w:val="20"/>
          <w:szCs w:val="20"/>
          <w:color w:val="auto"/>
        </w:rPr>
      </w:pPr>
    </w:p>
    <w:p>
      <w:pPr>
        <w:jc w:val="both"/>
        <w:ind w:left="120" w:right="460" w:firstLine="440"/>
        <w:spacing w:after="0"/>
        <w:rPr>
          <w:sz w:val="20"/>
          <w:szCs w:val="20"/>
          <w:color w:val="auto"/>
        </w:rPr>
      </w:pPr>
      <w:r>
        <w:rPr>
          <w:rFonts w:ascii="Arial" w:cs="Arial" w:eastAsia="Arial" w:hAnsi="Arial"/>
          <w:sz w:val="18"/>
          <w:szCs w:val="18"/>
          <w:color w:val="auto"/>
        </w:rPr>
        <w:t>The portfolio also includes several other patent families including issued U.S. and foreign patents and pending applications that relate to specific methods of treatment using Navi. Patents and patent applications, if issued, in these families are expected to expire between 2030 and 2039.</w:t>
      </w:r>
    </w:p>
    <w:p>
      <w:pPr>
        <w:spacing w:after="0" w:line="203"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CMS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8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In the United States, the FDA regulates drugs under the FDCA and its implementing regulations, and biological product candidates (“biologics”), under both the FDCA and the PHSA and its implementing regulations.</w:t>
      </w:r>
    </w:p>
    <w:p>
      <w:pPr>
        <w:spacing w:after="0" w:line="197" w:lineRule="exact"/>
        <w:rPr>
          <w:sz w:val="20"/>
          <w:szCs w:val="20"/>
          <w:color w:val="auto"/>
        </w:rPr>
      </w:pPr>
    </w:p>
    <w:p>
      <w:pPr>
        <w:ind w:left="120" w:right="240" w:firstLine="440"/>
        <w:spacing w:after="0" w:line="237"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239" w:lineRule="exact"/>
        <w:rPr>
          <w:sz w:val="20"/>
          <w:szCs w:val="20"/>
          <w:color w:val="auto"/>
        </w:rPr>
      </w:pPr>
    </w:p>
    <w:p>
      <w:pPr>
        <w:ind w:left="980" w:right="900" w:hanging="432"/>
        <w:spacing w:after="0" w:line="218"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7" w:lineRule="exact"/>
        <w:rPr>
          <w:rFonts w:ascii="MS PGothic" w:cs="MS PGothic" w:eastAsia="MS PGothic" w:hAnsi="MS PGothic"/>
          <w:sz w:val="25"/>
          <w:szCs w:val="25"/>
          <w:color w:val="auto"/>
          <w:vertAlign w:val="superscript"/>
        </w:rPr>
      </w:pPr>
    </w:p>
    <w:p>
      <w:pPr>
        <w:ind w:left="980" w:right="520" w:hanging="432"/>
        <w:spacing w:after="0" w:line="218"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investigational new drug application (an “IND”), which must become effective before human clinical trials may begin;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approval by an IRB at each clinical site before each trial may be initiated;</w:t>
      </w:r>
    </w:p>
    <w:p>
      <w:pPr>
        <w:spacing w:after="0" w:line="26"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product for each indication;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NDA or BLA;</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advisory committee review, if applicable;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60"/>
          </w:cols>
          <w:pgMar w:left="320" w:top="459"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line="223" w:lineRule="auto"/>
        <w:tabs>
          <w:tab w:leader="none" w:pos="98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28"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payment of user fees, if applicable, and FDA review and approval of the NDA or BLA; and</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18" w:lineRule="auto"/>
        <w:tabs>
          <w:tab w:leader="none" w:pos="98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8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website, www.clinicaltrials.gov.</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39" w:lineRule="exact"/>
        <w:rPr>
          <w:sz w:val="20"/>
          <w:szCs w:val="20"/>
          <w:color w:val="auto"/>
        </w:rPr>
      </w:pPr>
    </w:p>
    <w:p>
      <w:pPr>
        <w:ind w:left="980" w:right="40" w:hanging="432"/>
        <w:spacing w:after="0" w:line="223" w:lineRule="auto"/>
        <w:tabs>
          <w:tab w:leader="none" w:pos="98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1: The product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8" w:lineRule="exact"/>
        <w:rPr>
          <w:rFonts w:ascii="MS PGothic" w:cs="MS PGothic" w:eastAsia="MS PGothic" w:hAnsi="MS PGothic"/>
          <w:sz w:val="25"/>
          <w:szCs w:val="25"/>
          <w:color w:val="auto"/>
          <w:vertAlign w:val="superscript"/>
        </w:rPr>
      </w:pPr>
    </w:p>
    <w:p>
      <w:pPr>
        <w:ind w:left="980" w:right="160" w:hanging="432"/>
        <w:spacing w:after="0" w:line="223" w:lineRule="auto"/>
        <w:tabs>
          <w:tab w:leader="none" w:pos="98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2: The product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8" w:lineRule="exact"/>
        <w:rPr>
          <w:rFonts w:ascii="MS PGothic" w:cs="MS PGothic" w:eastAsia="MS PGothic" w:hAnsi="MS PGothic"/>
          <w:sz w:val="25"/>
          <w:szCs w:val="25"/>
          <w:color w:val="auto"/>
          <w:vertAlign w:val="superscript"/>
        </w:rPr>
      </w:pPr>
    </w:p>
    <w:p>
      <w:pPr>
        <w:ind w:left="980" w:right="200" w:hanging="432"/>
        <w:spacing w:after="0" w:line="226" w:lineRule="auto"/>
        <w:tabs>
          <w:tab w:leader="none" w:pos="98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3: The product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patients.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9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20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In addition, under the provisions of the Food and Drug Administration Safety and Innovation Act passed in July 2012, a sponsor can request designation of a product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8"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208"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application in six months, compared to 10 months for a standard review. Most product candidates that are eligible for fast-track or breakthrough therapy designation are also likely to be considered appropriate to receive a priority review.</w:t>
      </w:r>
    </w:p>
    <w:p>
      <w:pPr>
        <w:spacing w:after="0" w:line="197"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Priority Review Voucher Program</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This FDA Priority Review Voucher program is intended to encourage development of new drug and biological products for prevention and treatment of certain rare pediatric diseases. Under this program, a sponsor who receives an approval for a drug or biologic designated as a “rare pediatric disease” may qualify for a voucher that can be redeemed to receive a priority review of a subsequent marketing application for a different product. Priority review means that the FDA aims to render a decision in six months. The sponsor receives the priority review voucher upon approval of the rare pediatric disease product application and it can be sold or transferred.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99"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product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We have been granted orphan product designation by the FDA for our product setrusumab for the treatment of OI. Orphan product designation does not convey any advantage in or shorten the duration of the regulatory review and approval process.</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 candidates contain different active ingredients. Moreover, competitors may receive approval of different product candidates for the indication for which the orphan product has exclusivity or obtain approval for the same product but for a different indication for which the orphan product has exclusivity.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85"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an NDA or BLA requesting approval to market the product for one or more indications. In most cases, the submission of an NDA or BLA is subject to a substantial application user fee.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202"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7"/>
          <w:szCs w:val="17"/>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w:t>
      </w:r>
    </w:p>
    <w:p>
      <w:pPr>
        <w:spacing w:after="0" w:line="205"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20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32" w:lineRule="exact"/>
        <w:rPr>
          <w:sz w:val="20"/>
          <w:szCs w:val="20"/>
          <w:color w:val="auto"/>
        </w:rPr>
      </w:pPr>
    </w:p>
    <w:p>
      <w:pPr>
        <w:ind w:left="980" w:right="280" w:hanging="432"/>
        <w:spacing w:after="0" w:line="218" w:lineRule="auto"/>
        <w:tabs>
          <w:tab w:leader="none" w:pos="98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fines, warning letters or holds on post-approval clinical trials;</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 seizure or detention, or refusal to permit the import or export of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injunctions or the imposition of civil or criminal penalties;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consent decrees, corporate integrity agreements, debarment, or exclusion from federal healthcare programs;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mandated modification of promotional materials and labeling and the issuance of corrective information; or</w:t>
      </w:r>
    </w:p>
    <w:p>
      <w:pPr>
        <w:spacing w:after="0" w:line="26" w:lineRule="exact"/>
        <w:rPr>
          <w:rFonts w:ascii="MS PGothic" w:cs="MS PGothic" w:eastAsia="MS PGothic" w:hAnsi="MS PGothic"/>
          <w:sz w:val="25"/>
          <w:szCs w:val="25"/>
          <w:color w:val="auto"/>
          <w:vertAlign w:val="superscript"/>
        </w:rPr>
      </w:pPr>
    </w:p>
    <w:p>
      <w:pPr>
        <w:ind w:left="980" w:right="480" w:hanging="432"/>
        <w:spacing w:after="0" w:line="218" w:lineRule="auto"/>
        <w:tabs>
          <w:tab w:leader="none" w:pos="98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20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FDA strictly regulates marketing, labeling, advertising and promotion of product candidates that are placed on the market. Product candidates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99"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order to market our future product candidates in the European Economic Area (which is comprised of the 28 Member States of the EU plus Norway, Iceland and Liechtenstein) (the “EEA”), and many other foreign jurisdictions, we must obtain separate regulatory approvals. More concretely, in the EEA, medicinal product candidates can only be commercialized after obtaining a Marketing Authorization (“MA”). There are two types of marketing authorizations:</w:t>
      </w:r>
    </w:p>
    <w:p>
      <w:pPr>
        <w:spacing w:after="0" w:line="232" w:lineRule="exact"/>
        <w:rPr>
          <w:sz w:val="20"/>
          <w:szCs w:val="20"/>
          <w:color w:val="auto"/>
        </w:rPr>
      </w:pPr>
    </w:p>
    <w:p>
      <w:pPr>
        <w:ind w:left="980" w:hanging="432"/>
        <w:spacing w:after="0" w:line="229" w:lineRule="auto"/>
        <w:tabs>
          <w:tab w:leader="none" w:pos="98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 candidates for Human Use of the EMA and which is valid throughout the entire territory of the EEA. The Centralized Procedure is mandatory for certain types of product candidates, such as biotechnology medicinal product candidates, orphan medicinal product candidates and medicinal product candidates indicated for the treatment of AIDS, cancer, neurodegenerative disorders, diabetes, auto-immune and viral diseases. The Centralized Procedure is optional for product candidates containing a new active substance not yet authorized in the EEA, or for product candidates that constitute a significant therapeutic, scientific or technical innovation or which are in the interest of public health in the EU; and</w:t>
      </w:r>
    </w:p>
    <w:p>
      <w:pPr>
        <w:spacing w:after="0" w:line="31"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 candidates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Data and marketing exclusivity</w:t>
      </w:r>
      <w:r>
        <w:rPr>
          <w:rFonts w:ascii="Arial" w:cs="Arial" w:eastAsia="Arial" w:hAnsi="Arial"/>
          <w:sz w:val="18"/>
          <w:szCs w:val="18"/>
          <w:color w:val="auto"/>
        </w:rPr>
        <w:t>. In the EEA, new product candidates authorized for marketing, or reference product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1"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i w:val="1"/>
          <w:iCs w:val="1"/>
          <w:color w:val="auto"/>
        </w:rPr>
        <w:t>Pediatric investigation plan</w:t>
      </w:r>
      <w:r>
        <w:rPr>
          <w:rFonts w:ascii="Arial" w:cs="Arial" w:eastAsia="Arial" w:hAnsi="Arial"/>
          <w:sz w:val="18"/>
          <w:szCs w:val="18"/>
          <w:color w:val="auto"/>
        </w:rPr>
        <w:t>. In the EEA, marketing authorization applications for new medicinal product candidates not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have to 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 supplementary protection certificate extension or, in the case of orphan medicinal products, a two-year extension of orphan market exclusivity.</w:t>
      </w:r>
    </w:p>
    <w:p>
      <w:pPr>
        <w:spacing w:after="0" w:line="186"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i w:val="1"/>
          <w:iCs w:val="1"/>
          <w:color w:val="auto"/>
        </w:rPr>
        <w:t>Orphan drug designation</w:t>
      </w:r>
      <w:r>
        <w:rPr>
          <w:rFonts w:ascii="Arial" w:cs="Arial" w:eastAsia="Arial" w:hAnsi="Arial"/>
          <w:sz w:val="18"/>
          <w:szCs w:val="18"/>
          <w:color w:val="auto"/>
        </w:rPr>
        <w:t>. In the EEA, a medicinal product can be designated as an orphan drug if its sponsor can establish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 is 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competent authorities of the Member States, cannot accept another application for a marketing authorization, or grant a marketing authorization, for a similar medicinal product for the same indication. The period of market exclusivity is extended by two years for orphan medicinal products that have also complied with an agreed PIP.</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This period of orphan market exclusivity may, however, be reduced to six years if, at the end of the fifth year, it is established that the product no longer meets the criteria for which it received orphan drug destination, i.e. the prevalence of the condition has increased above the threshold or it is judged that the product is sufficiently profitable not to justify maintenance of market exclusivity. Granting of an authorization for another similar orphan medicinal product where another product has market exclusivity can happen only in selected cases, such as, for example, demonstration of “clinical superiority” by a similar medicinal product, inability of a manufacturer to supply sufficient quantities of the first product or where the manufacturer itself gives consent. A company may voluntarily remove a product from the orphan register. Medicinal products or medicinal product candidates designated as orphan are eligible for incentives made available by the EU and its Member States to support research into, development and availability of orphan medicinal products. In March 2016, we obtained orphan drug designation for setrusumab for the treatment of OI in the EU. We intend to pursue orphan designation for alvelestat and for future, eligible rare disease programs.</w:t>
      </w:r>
    </w:p>
    <w:p>
      <w:pPr>
        <w:spacing w:after="0" w:line="188"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i w:val="1"/>
          <w:iCs w:val="1"/>
          <w:color w:val="auto"/>
        </w:rPr>
        <w:t>Adaptive pathways</w:t>
      </w:r>
      <w:r>
        <w:rPr>
          <w:rFonts w:ascii="Arial" w:cs="Arial" w:eastAsia="Arial" w:hAnsi="Arial"/>
          <w:sz w:val="18"/>
          <w:szCs w:val="18"/>
          <w:color w:val="auto"/>
        </w:rPr>
        <w:t>. The EMA has an adaptive pathways program which allows for early and progressive patient access to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204" w:lineRule="exact"/>
        <w:rPr>
          <w:sz w:val="20"/>
          <w:szCs w:val="20"/>
          <w:color w:val="auto"/>
        </w:rPr>
      </w:pPr>
    </w:p>
    <w:p>
      <w:pPr>
        <w:jc w:val="both"/>
        <w:ind w:left="120" w:right="640" w:firstLine="440"/>
        <w:spacing w:after="0"/>
        <w:rPr>
          <w:sz w:val="20"/>
          <w:szCs w:val="20"/>
          <w:color w:val="auto"/>
        </w:rPr>
      </w:pPr>
      <w:r>
        <w:rPr>
          <w:rFonts w:ascii="Arial" w:cs="Arial" w:eastAsia="Arial" w:hAnsi="Arial"/>
          <w:sz w:val="18"/>
          <w:szCs w:val="18"/>
          <w:color w:val="auto"/>
        </w:rPr>
        <w:t>The adaptive pathways program does not change the standards for the evaluation of benefits and risks or the requirement to demonstrate a positive benefit-risk balance to obtain marketing authorization. In February 2017, setrusumab was accepted into the adaptive pathways program.</w:t>
      </w:r>
    </w:p>
    <w:p>
      <w:pPr>
        <w:spacing w:after="0" w:line="185"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i w:val="1"/>
          <w:iCs w:val="1"/>
          <w:color w:val="auto"/>
        </w:rPr>
        <w:t>PRIME scheme</w:t>
      </w:r>
      <w:r>
        <w:rPr>
          <w:rFonts w:ascii="Arial" w:cs="Arial" w:eastAsia="Arial" w:hAnsi="Arial"/>
          <w:sz w:val="18"/>
          <w:szCs w:val="18"/>
          <w:color w:val="auto"/>
        </w:rPr>
        <w:t>. In July 2016, the EMA launched the PRIME scheme. PRIME is a voluntary scheme aimed at enhancing the EMA’s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 candidates for Human Use before submission of an MAA, early dialogue and scientific advice at key development milestones, and the potential to qualify product candidates for accelerated review earlier in the application process. In November 2017, the EMA granted PRIME designation for setrusumab for the treatment of OI.</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99"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1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Additionally, the intent standard under the U.S. federal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FCA. The majority of states also have anti-kickback laws, which establish similar prohibitions and in some cases may apply to items or services reimbursed by any third-party payor, including commercial insurers, or to self-pay patients.</w:t>
      </w:r>
    </w:p>
    <w:p>
      <w:pPr>
        <w:spacing w:after="0" w:line="205"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federal false claims and civil monetary penalties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 Attorney General or as a qui tam action by a private individual in the name of the government. Violations of the civil FCA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14"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 Laws in Europe</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are subject to the supervision of local data protection authorities in those jurisdictions where we are established, where we offer goods or services to EU residents and where we monitor the behavior of individuals in the EU (i.e.,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EU includes the GDPR, the e-Privacy Directive and the e-Privacy Regulation (once in force) and the national laws and regulations implementing or supplementing each of them.</w:t>
      </w:r>
    </w:p>
    <w:p>
      <w:pPr>
        <w:spacing w:after="0" w:line="20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GDPR requires that personal data is only collected for specified, explicit and legal purposes as set out in the GDPR or local laws, and the data may then only be processed in a manner consistent with those purposes. The personal data collected and processed must be adequate, relevant and not excessive in relation to the purposes for which it is collected and processed, it must be held securely, not transferred outside of the EEA (unless certain steps are taken to ensure an adequate level of protection), and must not be retained for longer than necessary for the purposes for which it was collected. In addition, the GDPR requires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mandatory data breach notification throughout the EU and imposes additional obligations on us when we are contracting with service providers.</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to the extent a company processes, controls or otherwise uses “special category” personal data (including patients’ health or medical information, genetic information and biometric information), more stringent rules apply, further limiting the circumstances and the manner in which a company is legally permitted to process that data. Finally, the GDPR provides a broad right for EU member states to create supplemental national laws which may result in divergence across Europe making it harder to maintain a consistent operating model or standard operating procedures. Such laws, for example, may relate to the processing of health, genetic and biometric data, which could further limit our ability to use and share such data or could cause our costs to increase, and harm our business and financial condition.</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depend on a number of third parties in relation to the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EU, we do so in compliance with the relevant data export requirements from time to time. We take our data protection obligations seriously, as any improper, unlawful or accidental disclosure, loss, alteration or access to, personal data, particularly sensitive personal data (i.e., special category), could negatively impact our business and/or our reputation.</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also subject to EU laws on personal data export, as we may transfer personal data from the EU to other jurisdictions which are not considered by the European Commission to offer adequate protection of personal data. Such transfers need to be legitimized by a valid transfer mechanism under the GDPR. There is currently ongoing litigation challenging the commonly used transfer mechanisms, the EU Commission approved model clauses. In addition, the EU-U.S. Privacy Shield (the “Privacy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60"/>
          </w:cols>
          <w:pgMar w:left="320" w:top="459" w:right="5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Shield”) is currently under review by the European Commission. As such, it is uncertain whether the Privacy Shield framework and/or model clauses will be invalidated in the near future. These changes may require us to find alternative bases for the compliant transfer of personal data from the EU to the United States and we are monitoring developments in this area. Invalidation of any mechanism on which we rely could require operational changes and increased costs and may lead to governmental enforcement actions, litigation, fines and penalties or adverse publicity that could have an adverse effect on our business.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EU is in the process of replacing the e -Privacy Directive with a new set of rules taking the form of a regulation, which will be directly applicable to the laws of each European member state, without the need for further implementation. The draft e-Privacy Regulation imposes strict opt-in marketing rules with limited exceptions for business-to-business communications and alters rules on third-party cookies, web beacons and similar technology. Regulation of cookies and web beacons may lead to broader restrictions on online research activities, including efforts to understand users’ internet usage. The current draft also significantly increases fining powers to the same levels as GDPR (i.e., the greater of 20 million euros or 4% of total global annual revenue). While no official timeframe has been provided, commentators have stated that the e-Privacy Regulation is likely to be agreed in 2019 and to come into force during the second half of 2020 or during 2021 following a transition period.</w:t>
      </w:r>
    </w:p>
    <w:p>
      <w:pPr>
        <w:spacing w:after="0" w:line="20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There are costs and administrative burdens associated with compliance with the GDPR and the resultant changes in the EU and EEA member states’ national laws and the introduction of the e-Privacy Regulation once it takes effect. Any failure or perceived failure to comply with global privacy laws carries with it the risk of significant penalties and sanctions of up to 20 million euros or 4% of global turnover. These laws or new interpretations, enactments or supplementary forms of these laws, could create liability for us, could impose additional operational requirements on our business, could affect the manner in which we use and transmit patient information and could increase our cost of doing business. Claims of violations of privacy rights or contractual breaches, even if we are not found liable, could be expensive and time-consuming to defend and could result in adverse publicity that could harm our business.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9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37" w:lineRule="auto"/>
        <w:rPr>
          <w:sz w:val="20"/>
          <w:szCs w:val="20"/>
          <w:color w:val="auto"/>
        </w:rPr>
      </w:pPr>
      <w:r>
        <w:rPr>
          <w:rFonts w:ascii="Arial" w:cs="Arial" w:eastAsia="Arial" w:hAnsi="Arial"/>
          <w:sz w:val="18"/>
          <w:szCs w:val="18"/>
          <w:color w:val="auto"/>
        </w:rPr>
        <w:t>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the EEA, governments set the price of product candidates through their health technology assessment, and reimbursement rules and control of national health care systems that fund a large part of the cost of those product candidates to consumers. Some jurisdictions operate positive and negative list systems under which product candidates may only be marketed once a reimbursement price has been agreed to by the government.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 health care costs in general, particularly prescription product candidates, has become very intense. As a result, increasingly high barriers are being erected to the entry of new product candidates. In addition, in some countries, legally permissable cross-border imports from low-priced markets within the EU single market exert a commercial pressure on pricing within a country.</w:t>
      </w:r>
    </w:p>
    <w:p>
      <w:pPr>
        <w:spacing w:after="0" w:line="21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80"/>
          </w:cols>
          <w:pgMar w:left="320" w:top="459"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20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 candidates. The implementation of cost containment measures or other healthcare reforms may prevent us from being able to generate revenue, attain profitability or commercialize our product candidates.</w:t>
      </w:r>
    </w:p>
    <w:p>
      <w:pPr>
        <w:spacing w:after="0" w:line="205"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8"/>
          <w:szCs w:val="18"/>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w:t>
      </w:r>
    </w:p>
    <w:p>
      <w:pPr>
        <w:spacing w:after="0" w:line="206"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120" w:right="720" w:firstLine="440"/>
        <w:spacing w:after="0" w:line="246" w:lineRule="auto"/>
        <w:rPr>
          <w:sz w:val="20"/>
          <w:szCs w:val="20"/>
          <w:color w:val="auto"/>
        </w:rPr>
      </w:pPr>
      <w:r>
        <w:rPr>
          <w:rFonts w:ascii="Arial" w:cs="Arial" w:eastAsia="Arial" w:hAnsi="Arial"/>
          <w:sz w:val="18"/>
          <w:szCs w:val="18"/>
          <w:color w:val="auto"/>
        </w:rPr>
        <w:t>As of December 31, 2018, 2017 and 2016, we had 37, 31 and 24 employees, respectively. Following the Merger, we had 50 employees.</w:t>
      </w:r>
    </w:p>
    <w:p>
      <w:pPr>
        <w:spacing w:after="0" w:line="197"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As of March 1, 2020, we had [44] employees, excluding non-executive directors. All of our employees were engaged in either general and administrative or research and development functions. None of our employees is subject to a collective bargaining agreement or represented by a trade or labor union. We consider our relationship with our employees to be good.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There are no governmental, legal or arbitration proceedings (including any such proceedings which are pending or threatened of which we are aware) that may have, or have had in the recent past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(covering the 12 months immediately preceding the date of this prospectus), significant effects on our financial position or profitability.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w:t>
      </w:r>
    </w:p>
    <w:p>
      <w:pPr>
        <w:spacing w:after="0" w:line="99"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We were formed as a private limited company organized under the laws of England and Wales on March 10, 2015 and re-registered as a public limited company on June 3, 2016. We have the following wholly-owned direct or indirect subsidiaries: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620" w:type="dxa"/>
            <w:vAlign w:val="bottom"/>
            <w:gridSpan w:val="2"/>
          </w:tcPr>
          <w:p>
            <w:pPr>
              <w:ind w:left="1880"/>
              <w:spacing w:after="0"/>
              <w:rPr>
                <w:sz w:val="20"/>
                <w:szCs w:val="20"/>
                <w:color w:val="auto"/>
              </w:rPr>
            </w:pPr>
            <w:r>
              <w:rPr>
                <w:rFonts w:ascii="Arial" w:cs="Arial" w:eastAsia="Arial" w:hAnsi="Arial"/>
                <w:sz w:val="14"/>
                <w:szCs w:val="14"/>
                <w:b w:val="1"/>
                <w:bCs w:val="1"/>
                <w:color w:val="auto"/>
              </w:rPr>
              <w:t>Legal Name of Subsidiary</w:t>
            </w: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rPr>
              <w:t>Jurisdiction of Organization</w:t>
            </w:r>
          </w:p>
        </w:tc>
      </w:tr>
      <w:tr>
        <w:trPr>
          <w:trHeight w:val="196"/>
        </w:trPr>
        <w:tc>
          <w:tcPr>
            <w:tcW w:w="5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Mereo BioPharma 1 Limited</w:t>
            </w:r>
          </w:p>
        </w:tc>
        <w:tc>
          <w:tcPr>
            <w:tcW w:w="12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United Kingdom</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Mereo BioPharma 2 Limited</w:t>
            </w:r>
          </w:p>
        </w:tc>
        <w:tc>
          <w:tcPr>
            <w:tcW w:w="5400" w:type="dxa"/>
            <w:vAlign w:val="bottom"/>
          </w:tcPr>
          <w:p>
            <w:pPr>
              <w:jc w:val="center"/>
              <w:spacing w:after="0" w:line="202" w:lineRule="exact"/>
              <w:rPr>
                <w:sz w:val="20"/>
                <w:szCs w:val="20"/>
                <w:color w:val="auto"/>
              </w:rPr>
            </w:pPr>
            <w:r>
              <w:rPr>
                <w:rFonts w:ascii="Arial" w:cs="Arial" w:eastAsia="Arial" w:hAnsi="Arial"/>
                <w:sz w:val="18"/>
                <w:szCs w:val="18"/>
                <w:color w:val="auto"/>
                <w:w w:val="99"/>
              </w:rPr>
              <w:t>United Kingdom</w:t>
            </w:r>
          </w:p>
        </w:tc>
      </w:tr>
      <w:tr>
        <w:trPr>
          <w:trHeight w:val="202"/>
        </w:trPr>
        <w:tc>
          <w:tcPr>
            <w:tcW w:w="5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BioPharma 3 Limited</w:t>
            </w:r>
          </w:p>
        </w:tc>
        <w:tc>
          <w:tcPr>
            <w:tcW w:w="5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United Kingdom</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Mereo BioPharma 4 Limited</w:t>
            </w:r>
          </w:p>
        </w:tc>
        <w:tc>
          <w:tcPr>
            <w:tcW w:w="5400" w:type="dxa"/>
            <w:vAlign w:val="bottom"/>
          </w:tcPr>
          <w:p>
            <w:pPr>
              <w:jc w:val="center"/>
              <w:spacing w:after="0" w:line="202" w:lineRule="exact"/>
              <w:rPr>
                <w:sz w:val="20"/>
                <w:szCs w:val="20"/>
                <w:color w:val="auto"/>
              </w:rPr>
            </w:pPr>
            <w:r>
              <w:rPr>
                <w:rFonts w:ascii="Arial" w:cs="Arial" w:eastAsia="Arial" w:hAnsi="Arial"/>
                <w:sz w:val="18"/>
                <w:szCs w:val="18"/>
                <w:color w:val="auto"/>
                <w:w w:val="99"/>
              </w:rPr>
              <w:t>United Kingdom</w:t>
            </w:r>
          </w:p>
        </w:tc>
      </w:tr>
      <w:tr>
        <w:trPr>
          <w:trHeight w:val="203"/>
        </w:trPr>
        <w:tc>
          <w:tcPr>
            <w:tcW w:w="5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BioPharma Ireland Limited</w:t>
            </w:r>
          </w:p>
        </w:tc>
        <w:tc>
          <w:tcPr>
            <w:tcW w:w="5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Ireland</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Mereo US Holdings Inc.</w:t>
            </w:r>
          </w:p>
        </w:tc>
        <w:tc>
          <w:tcPr>
            <w:tcW w:w="5400" w:type="dxa"/>
            <w:vAlign w:val="bottom"/>
          </w:tcPr>
          <w:p>
            <w:pPr>
              <w:jc w:val="center"/>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5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OncoMed Pharmaceuticals, Inc.</w:t>
            </w:r>
          </w:p>
        </w:tc>
        <w:tc>
          <w:tcPr>
            <w:tcW w:w="5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Delaware</w:t>
            </w:r>
          </w:p>
        </w:tc>
      </w:tr>
      <w:tr>
        <w:trPr>
          <w:trHeight w:val="217"/>
        </w:trPr>
        <w:tc>
          <w:tcPr>
            <w:tcW w:w="5620" w:type="dxa"/>
            <w:vAlign w:val="bottom"/>
            <w:gridSpan w:val="2"/>
          </w:tcPr>
          <w:p>
            <w:pPr>
              <w:spacing w:after="0"/>
              <w:rPr>
                <w:sz w:val="20"/>
                <w:szCs w:val="20"/>
                <w:color w:val="auto"/>
              </w:rPr>
            </w:pPr>
            <w:r>
              <w:rPr>
                <w:rFonts w:ascii="Arial" w:cs="Arial" w:eastAsia="Arial" w:hAnsi="Arial"/>
                <w:sz w:val="18"/>
                <w:szCs w:val="18"/>
                <w:color w:val="auto"/>
              </w:rPr>
              <w:t>NAVI Subsidiary, Inc.</w:t>
            </w:r>
          </w:p>
        </w:tc>
        <w:tc>
          <w:tcPr>
            <w:tcW w:w="54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8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Our principal office is located at Fourth Floor, One Cavendish Place, London W1G 0QF, United Kingdom, where we lease approximately 4,000 square feet of office space. We lease this office space under a lease that terminates on August 16, 2025. As a result of the Merger, we lease approximately 45,000 square feet in Redwood City, California of which approximately 15,000 square feet is subject to third party sub-leases. We intend to add new facilities as we add employees, and we believe that suitable additional or substitute space will be available as needed to accommodate any such expansion of our operations.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The following table presents information about our executive officers and directors, including their ages, as of the date of this prospectus: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04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6"/>
                <w:szCs w:val="16"/>
                <w:color w:val="auto"/>
              </w:rPr>
            </w:pPr>
          </w:p>
        </w:tc>
        <w:tc>
          <w:tcPr>
            <w:tcW w:w="5620" w:type="dxa"/>
            <w:vAlign w:val="bottom"/>
          </w:tcPr>
          <w:p>
            <w:pPr>
              <w:ind w:left="252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44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Executive Officers</w:t>
            </w: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20" w:type="dxa"/>
            <w:vAlign w:val="bottom"/>
            <w:tcBorders>
              <w:top w:val="single" w:sz="8" w:color="auto"/>
            </w:tcBorders>
          </w:tcPr>
          <w:p>
            <w:pPr>
              <w:spacing w:after="0"/>
              <w:rPr>
                <w:sz w:val="15"/>
                <w:szCs w:val="15"/>
                <w:color w:val="auto"/>
              </w:rPr>
            </w:pP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Denise Scots-Knight, Ph.D.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Jill Henrich</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57</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Senior Vice President of Regulatory Affairs</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Richard Jones</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Financial Officer and 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Alastair MacKinnon, MBBS</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49</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John Richard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Head of Corporate Development</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Charles Sermon</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Counsel</w:t>
            </w:r>
          </w:p>
        </w:tc>
      </w:tr>
      <w:tr>
        <w:trPr>
          <w:trHeight w:val="217"/>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Alexandra (Wills) Hughes-Wilson</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Head of Patient Access and Commercial Planning</w:t>
            </w:r>
          </w:p>
        </w:tc>
      </w:tr>
      <w:tr>
        <w:trPr>
          <w:trHeight w:val="29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Fellner, Ph.D.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Chairman of the Board and 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Bains</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Paul Blackburn</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Anders Ekblom, M.D., Ph.D.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Kunal Kashyap</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4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Deepika R. Pakianathan, Ph.D.</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Michael S. Wyzga</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bl>
    <w:p>
      <w:pPr>
        <w:spacing w:after="0" w:line="199" w:lineRule="exact"/>
        <w:rPr>
          <w:sz w:val="20"/>
          <w:szCs w:val="20"/>
          <w:color w:val="auto"/>
        </w:rPr>
      </w:pPr>
    </w:p>
    <w:p>
      <w:pPr>
        <w:jc w:val="both"/>
        <w:ind w:left="120" w:firstLine="440"/>
        <w:spacing w:after="0" w:line="249" w:lineRule="auto"/>
        <w:rPr>
          <w:sz w:val="20"/>
          <w:szCs w:val="20"/>
          <w:color w:val="auto"/>
        </w:rPr>
      </w:pPr>
      <w:r>
        <w:rPr>
          <w:rFonts w:ascii="Arial" w:cs="Arial" w:eastAsia="Arial" w:hAnsi="Arial"/>
          <w:sz w:val="18"/>
          <w:szCs w:val="18"/>
          <w:color w:val="auto"/>
        </w:rPr>
        <w:t>The current business addresses for our executive officers and directors is c/o Mereo BioPharma Group plc,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W1G 0QF, United Kingdom.</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190"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our Chief Executive Officer since July 2015 and as a member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since our formation. From 2010 until joining us, Dr. Scots-Knight was the Managing Partner of Phase4 Partners Ltd. (“Phase4”), a global life science venture capital firm. Dr. Scots-Knight is currently a board member of Phase4 and of Elanco Animal Health Incorporated (NYSE: ELAN). Dr. Scots-Knight previously served as a member of the board of directors of Idenix Pharmaceuticals, Nabriva, Albireo and OncoMed. Dr. Scots-Knight holds a B.Sc. (Hons.) and a Ph.D. from Birmingham University.</w:t>
      </w:r>
    </w:p>
    <w:p>
      <w:pPr>
        <w:spacing w:after="0" w:line="17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b w:val="1"/>
          <w:bCs w:val="1"/>
          <w:i w:val="1"/>
          <w:iCs w:val="1"/>
          <w:color w:val="auto"/>
        </w:rPr>
        <w:t xml:space="preserve">Jill Henrich. </w:t>
      </w:r>
      <w:r>
        <w:rPr>
          <w:rFonts w:ascii="Arial" w:cs="Arial" w:eastAsia="Arial" w:hAnsi="Arial"/>
          <w:sz w:val="18"/>
          <w:szCs w:val="18"/>
          <w:color w:val="auto"/>
        </w:rPr>
        <w:t>Ms. Henrich serves as our U.S. Site Head and Senior Vice President of Regulatory Affairs. Prior to the Merger she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of Regulatory Affairs and QA at OncoMed Pharmaceuticals Inc. Prior to joining OncoMed, Ms. Henrich was at PDL BioPharma, Inc. (Facet Biotech, acquired by AbbVie) as Executive Director of Regulatory Affairs with additional responsibility for Regulatory Operations, Corporate Document Control, Medical Writing and Quality Assurance Compliance. She was Senior Director of Regulatory Affairs at Corixa Corporation (formerly Coulter Pharmaceutical, Inc.), and held various positions in Research (Cell Genetics/Molecular Biology) and Regulatory Affairs at Genentech. Ms. Henrich received her Bachelor of Science degree in Biological Sciences/Microbiology from the University of Connecticut.</w:t>
      </w:r>
    </w:p>
    <w:p>
      <w:pPr>
        <w:spacing w:after="0" w:line="185"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b w:val="1"/>
          <w:bCs w:val="1"/>
          <w:i w:val="1"/>
          <w:iCs w:val="1"/>
          <w:color w:val="auto"/>
        </w:rPr>
        <w:t xml:space="preserve">Richard Jones. </w:t>
      </w:r>
      <w:r>
        <w:rPr>
          <w:rFonts w:ascii="Arial" w:cs="Arial" w:eastAsia="Arial" w:hAnsi="Arial"/>
          <w:sz w:val="18"/>
          <w:szCs w:val="18"/>
          <w:color w:val="auto"/>
        </w:rPr>
        <w:t>Mr. Jones has served as our Chief Financial Officer and as a member of our Board since January 2017. From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until joining us, Mr. Jones was the Chief Financial Officer and Company Secretary of Shield Therapeutics plc, where he also served as a Non-Executive Director from 2010 to 2011. Mr. Jones serves as a non-executive director on the board of Alliance Pharma plc.</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Mr. Jones is a qualified chartered accountant (ACA) with the Institute of Chartered Accountants in England and Wales (ICAEW) and holds a B.Eng. (Hons.) from the University of Newcastle upon Tyne.</w:t>
      </w:r>
    </w:p>
    <w:p>
      <w:pPr>
        <w:spacing w:after="0" w:line="175" w:lineRule="exact"/>
        <w:rPr>
          <w:sz w:val="20"/>
          <w:szCs w:val="20"/>
          <w:color w:val="auto"/>
        </w:rPr>
      </w:pPr>
    </w:p>
    <w:p>
      <w:pPr>
        <w:jc w:val="both"/>
        <w:ind w:left="120" w:right="200" w:firstLine="440"/>
        <w:spacing w:after="0" w:line="253" w:lineRule="auto"/>
        <w:rPr>
          <w:sz w:val="20"/>
          <w:szCs w:val="20"/>
          <w:color w:val="auto"/>
        </w:rPr>
      </w:pPr>
      <w:r>
        <w:rPr>
          <w:rFonts w:ascii="Arial" w:cs="Arial" w:eastAsia="Arial" w:hAnsi="Arial"/>
          <w:sz w:val="18"/>
          <w:szCs w:val="18"/>
          <w:b w:val="1"/>
          <w:bCs w:val="1"/>
          <w:i w:val="1"/>
          <w:iCs w:val="1"/>
          <w:color w:val="auto"/>
        </w:rPr>
        <w:t xml:space="preserve">Alastair MacKinnon, MBBS. </w:t>
      </w:r>
      <w:r>
        <w:rPr>
          <w:rFonts w:ascii="Arial" w:cs="Arial" w:eastAsia="Arial" w:hAnsi="Arial"/>
          <w:sz w:val="18"/>
          <w:szCs w:val="18"/>
          <w:color w:val="auto"/>
        </w:rPr>
        <w:t>Dr. MacKinnon has served as our Chief Medical Officer since July 2015. From 2010 until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MacKinnon was a Partner of Phase4, where he currently serves as a member of the board of directors. Dr. MacKinnon holds a B.Sc. and a MBBS from King’s College London and is a Member of the Royal College of Surgeons in Edinburgh.</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John Richard. </w:t>
      </w:r>
      <w:r>
        <w:rPr>
          <w:rFonts w:ascii="Arial" w:cs="Arial" w:eastAsia="Arial" w:hAnsi="Arial"/>
          <w:sz w:val="18"/>
          <w:szCs w:val="18"/>
          <w:color w:val="auto"/>
        </w:rPr>
        <w:t>Mr. Richard has served as our Head of Corporate Development since July 2015.</w:t>
      </w:r>
    </w:p>
    <w:p>
      <w:pPr>
        <w:spacing w:after="0" w:line="1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Prior to joining us, he was a consultant for Nomura, a global investment bank, and Phase4, and previously served as the head of business development for Sequus Pharmaceuticals Inc., VIVUS Inc. and Genome Therapeutics Corporation. Mr. Richard serves on the boards of Catalyst Biosciences, QUE Oncology, and Phase4, and previously served on the boards of Vaxart, Inc., Aviragen Therapeutics, Inc., and Targacept, Inc. Mr. Richard holds a B.S. from Stanford University and an MBA from Harvard Business School.</w:t>
      </w:r>
    </w:p>
    <w:p>
      <w:pPr>
        <w:spacing w:after="0" w:line="183"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b w:val="1"/>
          <w:bCs w:val="1"/>
          <w:i w:val="1"/>
          <w:iCs w:val="1"/>
          <w:color w:val="auto"/>
        </w:rPr>
        <w:t xml:space="preserve">Charles Sermon. </w:t>
      </w:r>
      <w:r>
        <w:rPr>
          <w:rFonts w:ascii="Arial" w:cs="Arial" w:eastAsia="Arial" w:hAnsi="Arial"/>
          <w:sz w:val="18"/>
          <w:szCs w:val="18"/>
          <w:color w:val="auto"/>
        </w:rPr>
        <w:t>Mr. Sermon has served as our General Counsel and Company Secretary since July 2015. From 2010 until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Mr. Sermon was a Partner of Phase4, where he currently serves as a member of the board of directors. Mr. Sermon trained and qualified as a lawyer with Freshfields after completing the Law Society’s Final Examination. Mr. Sermon holds an LL.B. (Hons.) from Hull University.</w:t>
      </w:r>
    </w:p>
    <w:p>
      <w:pPr>
        <w:spacing w:after="0" w:line="174" w:lineRule="exact"/>
        <w:rPr>
          <w:sz w:val="20"/>
          <w:szCs w:val="20"/>
          <w:color w:val="auto"/>
        </w:rPr>
      </w:pPr>
    </w:p>
    <w:p>
      <w:pPr>
        <w:jc w:val="both"/>
        <w:ind w:left="120" w:right="40" w:firstLine="440"/>
        <w:spacing w:after="0" w:line="244" w:lineRule="auto"/>
        <w:rPr>
          <w:sz w:val="20"/>
          <w:szCs w:val="20"/>
          <w:color w:val="auto"/>
        </w:rPr>
      </w:pPr>
      <w:r>
        <w:rPr>
          <w:rFonts w:ascii="Arial" w:cs="Arial" w:eastAsia="Arial" w:hAnsi="Arial"/>
          <w:sz w:val="18"/>
          <w:szCs w:val="18"/>
          <w:b w:val="1"/>
          <w:bCs w:val="1"/>
          <w:i w:val="1"/>
          <w:iCs w:val="1"/>
          <w:color w:val="auto"/>
        </w:rPr>
        <w:t>Alexandra (Wills) Hughes-Wilson</w:t>
      </w:r>
      <w:r>
        <w:rPr>
          <w:rFonts w:ascii="Arial" w:cs="Arial" w:eastAsia="Arial" w:hAnsi="Arial"/>
          <w:sz w:val="18"/>
          <w:szCs w:val="18"/>
          <w:color w:val="auto"/>
        </w:rPr>
        <w:t>. Ms. Hughes-Wilson has served as our Head of Patient Access and Commercial Planning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2018. Prior to joining us,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w:t>
      </w:r>
    </w:p>
    <w:p>
      <w:pPr>
        <w:spacing w:after="0" w:line="17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b w:val="1"/>
          <w:bCs w:val="1"/>
          <w:i w:val="1"/>
          <w:iCs w:val="1"/>
          <w:color w:val="auto"/>
        </w:rPr>
        <w:t>Peter Fellner, Ph.D</w:t>
      </w:r>
      <w:r>
        <w:rPr>
          <w:rFonts w:ascii="Arial" w:cs="Arial" w:eastAsia="Arial" w:hAnsi="Arial"/>
          <w:sz w:val="18"/>
          <w:szCs w:val="18"/>
          <w:color w:val="auto"/>
        </w:rPr>
        <w:t>. Dr. Fellner has been Chairman of our Board since July 2015. He served as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Consort Medical plc from May 2009 until April 2019 and was Chairman of the board of directors of Ablynx NV from November 2013 until January 2018 and Vernalis plc until October 2018. Dr. Fellner was previously Chairman of the board of directors of Acambis plc from 2006 until its acquisition by Sanofi Pasteur and Optos plc from 2000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85"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i w:val="1"/>
          <w:iCs w:val="1"/>
          <w:color w:val="auto"/>
        </w:rPr>
        <w:t xml:space="preserve">Peter Bains. </w:t>
      </w:r>
      <w:r>
        <w:rPr>
          <w:rFonts w:ascii="Arial" w:cs="Arial" w:eastAsia="Arial" w:hAnsi="Arial"/>
          <w:sz w:val="18"/>
          <w:szCs w:val="18"/>
          <w:color w:val="auto"/>
        </w:rPr>
        <w:t>Mr. Bains has served on our Board since July 2015. Mr. Bains was a Representative Executive Officer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Sosei Group Corporation, a Japanese listed biotechnology company until 31 December 2018. Previously, he was Chief Executive Officer of Syngene International Ltd, a BSE listed contract research organization, where he served as a Non-Executive Director until 2016. Mr. Bains also served as Non-Executive Chairman of Fermenta Biotech Ltd, an Indian speciality manufacturing company until April 2018. Mr. Bains currently serves as a Non-Executive Director for MiNA Therapeutics Ltd and Apterna Ltd, both privately held UK biotechnology companies, Phase4, and Indivior PLC, a FTSE listed speciality pharmaceuticals company. Mr. Bains holds a B.Sc. (Hons.) from Sheffield University.</w:t>
      </w:r>
    </w:p>
    <w:p>
      <w:pPr>
        <w:spacing w:after="0" w:line="185"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Paul Blackburn. </w:t>
      </w:r>
      <w:r>
        <w:rPr>
          <w:rFonts w:ascii="Arial" w:cs="Arial" w:eastAsia="Arial" w:hAnsi="Arial"/>
          <w:sz w:val="17"/>
          <w:szCs w:val="17"/>
          <w:color w:val="auto"/>
        </w:rPr>
        <w:t>Mr. Blackburn has served on our Board since October 2015. Mr. Blackburn was Senior Vice President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Finance Projects and Financial Controller at GlaxoSmithKline. Mr. Blackburn currently serves on the Board of Directors of Syngene. Mr. Blackburn is a member of the Chartered Institute of Managed Accountants. Mr. Blackburn holds a B.Sc. from Warwick University.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b w:val="1"/>
          <w:bCs w:val="1"/>
          <w:i w:val="1"/>
          <w:iCs w:val="1"/>
          <w:color w:val="auto"/>
        </w:rPr>
        <w:t xml:space="preserve">Anders Ekblom, M.D., Ph.D. </w:t>
      </w:r>
      <w:r>
        <w:rPr>
          <w:rFonts w:ascii="Arial" w:cs="Arial" w:eastAsia="Arial" w:hAnsi="Arial"/>
          <w:sz w:val="17"/>
          <w:szCs w:val="17"/>
          <w:color w:val="auto"/>
        </w:rPr>
        <w:t>Dr. Ekblom has served on our Board since July 2015. Dr. Ekblom has held a number of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at AstraZeneca, including Executive Vice President Global Drug Development, Executive Vice President Global Medicines Development, Global Head Clinical Development, Global Therapy Area Head, Global Head Science &amp; Technology Integration, and Chief Executive Officer of AstraZeneca AB Sweden. He currently serves as Chairman of the Board of Elypta AB, as Vice Chairman of the Board of LEO Pharma A/S, and on the boards of directors of Alligator Bioscience AB and AnaMar AB. Dr. Ekblom is a board-certified medical doctor and an Associate Professor at the Karolinska Institutet. Dr. Ekblom holds a D.D.S., M.D. and Ph.D. from Karolinska Institutet.</w:t>
      </w:r>
    </w:p>
    <w:p>
      <w:pPr>
        <w:spacing w:after="0" w:line="165"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b w:val="1"/>
          <w:bCs w:val="1"/>
          <w:i w:val="1"/>
          <w:iCs w:val="1"/>
          <w:color w:val="auto"/>
        </w:rPr>
        <w:t xml:space="preserve">Kunal Kashyap. </w:t>
      </w:r>
      <w:r>
        <w:rPr>
          <w:rFonts w:ascii="Arial" w:cs="Arial" w:eastAsia="Arial" w:hAnsi="Arial"/>
          <w:sz w:val="18"/>
          <w:szCs w:val="18"/>
          <w:color w:val="auto"/>
        </w:rPr>
        <w:t>Mr. Kashyap has served on our Board since July 2015. Mr. Kashyap is Chairman and Managing Director of Allegro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Advisors and a Non-Executive Director of Phase4. He had also served as an Independent Director of GlaxoSmithKline Consumer Healthcare Ltd until June 2019. Mr. Kashyap was a partner with Arthur Andersen responsible for establishing and managing their operations in South India. Mr. Kashyap is also the Founder and was the Executive Director of Celstream Technologies Private Limited. Mr. Kashyap is a Chartered Accountant from the Institute of Chartered Accountants of India.</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i w:val="1"/>
          <w:iCs w:val="1"/>
          <w:color w:val="auto"/>
        </w:rPr>
        <w:t xml:space="preserve">Deepika R. Pakianathan, Ph.D. </w:t>
      </w:r>
      <w:r>
        <w:rPr>
          <w:rFonts w:ascii="Arial" w:cs="Arial" w:eastAsia="Arial" w:hAnsi="Arial"/>
          <w:sz w:val="18"/>
          <w:szCs w:val="18"/>
          <w:color w:val="auto"/>
        </w:rPr>
        <w:t>Dr. Pakianathan has served on our Board since April 2019 following completion of the Merger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a director of OncoMed since December 2008 until the closing of the Merger. Since 2001, Dr. Pakianathan has been a Managing Member at Delphi Ventures, a venture capital firm focused on biotechnology and medical device investments. Dr. Pakianathan serves on the boards of directors of Karyopharm Therapeutics, Inc., and Calithera Biosciences, Inc. Dr. Pakianathan previously served on the boards of directors of Alexza Pharmaceuticals, Inc., Alder Biopharmaceuticals, Inc., PTC Therapeutics, Inc. and Relypsa, Inc. Dr. Pakianathan received a B.Sc. from the University of Bombay, India, a M.Sc. from The Cancer Research Institute at the University of Bombay, India, and an M.S. and Ph.D. from Wake Forest University.</w:t>
      </w:r>
    </w:p>
    <w:p>
      <w:pPr>
        <w:spacing w:after="0" w:line="185"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b w:val="1"/>
          <w:bCs w:val="1"/>
          <w:i w:val="1"/>
          <w:iCs w:val="1"/>
          <w:color w:val="auto"/>
        </w:rPr>
        <w:t xml:space="preserve">Michael S. Wyzga. </w:t>
      </w:r>
      <w:r>
        <w:rPr>
          <w:rFonts w:ascii="Arial" w:cs="Arial" w:eastAsia="Arial" w:hAnsi="Arial"/>
          <w:sz w:val="18"/>
          <w:szCs w:val="18"/>
          <w:color w:val="auto"/>
        </w:rPr>
        <w:t>Mr. Wyzga has served on our Board since April 2019 following completion of the Merger and had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OncoMed since October 2013 until the closing of the Merger.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Exact Sciences Corporation and LogicBio, and is Chairman of the board of directors of GenSight Biologics S.A. and of X4 Biologics. Mr. Wyzga previously served as a member of the boards of directors of Idenix Pharmaceuticals, Inc. and Altus Pharmaceuticals, Inc., and as a member of the supervisory board of Prosensa Holding B.V. He received an M.B.A. from Providence College and a B.S. from Suffolk University.</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accordance with our Articles, our directors serve for three-year terms. The current term for all of our directors expires in 2021, except for Mr. Jones, whose current term expires in 2020 and for Michael S. Wyzga and Deepika R. Pakianathan whose current terms expire in 2022 following their re-appointment at our last annual general meeting held on June 19, 2019. Our shareholders elect directors in accordance with our Articles of Association. If our shareholders do not elect a new director, then the retiring director may, if willing to serve, continue as a director. See “Description of Share Capital and Articles of Association—Articles of Association—Directors— Appointment of Directors.”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 Exemption</w:t>
      </w:r>
    </w:p>
    <w:p>
      <w:pPr>
        <w:spacing w:after="0" w:line="99"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As a “foreign private issuer,” as defined by the SEC, we are permitted to follow home country corporate governance practices, instead of certain corporate governance practices required by Nasdaq</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80"/>
        <w:spacing w:after="0" w:line="246" w:lineRule="auto"/>
        <w:rPr>
          <w:sz w:val="20"/>
          <w:szCs w:val="20"/>
          <w:color w:val="auto"/>
        </w:rPr>
      </w:pPr>
      <w:r>
        <w:rPr>
          <w:rFonts w:ascii="Arial" w:cs="Arial" w:eastAsia="Arial" w:hAnsi="Arial"/>
          <w:sz w:val="18"/>
          <w:szCs w:val="18"/>
          <w:color w:val="auto"/>
        </w:rPr>
        <w:t>for U.S. domestic issuers. While we intend to follow most Nasdaq corporate governance rules, we intend to follow U.K. corporate governance practices in lieu of Nasdaq corporate governance rules as follows:</w:t>
      </w:r>
    </w:p>
    <w:p>
      <w:pPr>
        <w:spacing w:after="0" w:line="224" w:lineRule="exact"/>
        <w:rPr>
          <w:sz w:val="20"/>
          <w:szCs w:val="20"/>
          <w:color w:val="auto"/>
        </w:rPr>
      </w:pPr>
    </w:p>
    <w:p>
      <w:pPr>
        <w:jc w:val="both"/>
        <w:ind w:left="980" w:right="40" w:hanging="432"/>
        <w:spacing w:after="0" w:line="223" w:lineRule="auto"/>
        <w:tabs>
          <w:tab w:leader="none" w:pos="98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5620(c) regarding quorum requirements applicable to meetings of shareholders. Such quorum requirements are not required under English law. In accordance with generally accepted business practice, our Articles provide alternative quorum requirements that are generally applicable to meetings of shareholders.</w:t>
      </w:r>
    </w:p>
    <w:p>
      <w:pPr>
        <w:spacing w:after="0" w:line="28" w:lineRule="exact"/>
        <w:rPr>
          <w:rFonts w:ascii="MS PGothic" w:cs="MS PGothic" w:eastAsia="MS PGothic" w:hAnsi="MS PGothic"/>
          <w:sz w:val="25"/>
          <w:szCs w:val="25"/>
          <w:color w:val="auto"/>
          <w:vertAlign w:val="superscript"/>
        </w:rPr>
      </w:pPr>
    </w:p>
    <w:p>
      <w:pPr>
        <w:ind w:left="980" w:right="100" w:hanging="432"/>
        <w:spacing w:after="0" w:line="223" w:lineRule="auto"/>
        <w:tabs>
          <w:tab w:leader="none" w:pos="98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5605(b)(2), which requires that independent directors regularly meet in executive session, where only independent directors are present. Our independent directors may choose to meet in executive session at their discretion.</w:t>
      </w:r>
    </w:p>
    <w:p>
      <w:pPr>
        <w:spacing w:after="0" w:line="2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Although we may rely on certain home country corporate governance practices, we must comply with Nasdaq Rule 5640 Notification of Noncompliance and Rule 5640 Voting Rights. Further, we must have an audit committee that satisfies Rule 5605(c)(3), which addresses audit committee responsibilities and authority, and that consists of committee members that meet the independence requirements of Rule 5605(c)(2)(A)(ii).</w:t>
      </w:r>
    </w:p>
    <w:p>
      <w:pPr>
        <w:spacing w:after="0" w:line="205"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of 2002, the rules adopted by the SEC and the Nasdaq corporate governance rules and listing standards.</w:t>
      </w:r>
    </w:p>
    <w:p>
      <w:pPr>
        <w:spacing w:after="0" w:line="20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the Quoted Companies Alliance Corporate Governance Code</w:t>
      </w:r>
    </w:p>
    <w:p>
      <w:pPr>
        <w:spacing w:after="0" w:line="99"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Since September 28, 2018, all companies with securities admitted to trading on AIM are required to include on their website details of a recognized corporate governance code that the Board of the company has decided to apply, how the company complies with that code, and where it departs from its chosen corporate governance code an explanation of the reasons for doing so. This information is required to be reviewed annually.</w:t>
      </w:r>
    </w:p>
    <w:p>
      <w:pPr>
        <w:spacing w:after="0" w:line="20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We have decided to apply the Corporate Governance Code published by the Quoted Companies Alliance or the QCA Code. The QCA Code sets out a standard of minimum best practice for small and midsize quoted companies.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w:t>
      </w:r>
    </w:p>
    <w:p>
      <w:pPr>
        <w:spacing w:after="0" w:line="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Our Board currently consists of nine members. Our Board has determined that none of our directors have a relationship that would interfere with the exercise of independent judgment in carrying out the responsibilities of director and that each of these directors is “independent” as that term is defined under the rules of Nasdaq. As a foreign private issuer, we are not required to meet the Nasdaq rule that our board be comprised of a majority of independent directors. However, we currently comply and intend to continue to comply with this requirement. There are no family relationships among any of our directors or senior management.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w:t>
      </w:r>
    </w:p>
    <w:p>
      <w:pPr>
        <w:spacing w:after="0" w:line="8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Our Board has four standing committees: an audit and risk committee, a remuneration committee, a nomination committee, and a research and development committee.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99"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The audit and risk committee, which consists of Paul Blackburn, Kunal Kashyap and Michael S. Wyzga, assists the board in overseeing our accounting and financial reporting processes and the audits of our financial statements. Mr. Blackburn serves as Chairman of the committee. The audit and risk committee consists exclusively of members of our board who are financially literate, and</w:t>
      </w:r>
    </w:p>
    <w:p>
      <w:pPr>
        <w:spacing w:after="0" w:line="2"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Mr. Blackburn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and risk committee’s responsibilities include:</w:t>
      </w:r>
    </w:p>
    <w:p>
      <w:pPr>
        <w:spacing w:after="0" w:line="202" w:lineRule="exact"/>
        <w:rPr>
          <w:sz w:val="20"/>
          <w:szCs w:val="20"/>
          <w:color w:val="auto"/>
        </w:rPr>
      </w:pPr>
    </w:p>
    <w:p>
      <w:pPr>
        <w:ind w:left="980" w:hanging="432"/>
        <w:spacing w:after="0"/>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26" w:lineRule="exact"/>
        <w:rPr>
          <w:rFonts w:ascii="MS PGothic" w:cs="MS PGothic" w:eastAsia="MS PGothic" w:hAnsi="MS PGothic"/>
          <w:sz w:val="25"/>
          <w:szCs w:val="25"/>
          <w:color w:val="auto"/>
          <w:vertAlign w:val="superscript"/>
        </w:rPr>
      </w:pPr>
    </w:p>
    <w:p>
      <w:pPr>
        <w:ind w:left="980" w:right="4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27" w:lineRule="exact"/>
        <w:rPr>
          <w:rFonts w:ascii="MS PGothic" w:cs="MS PGothic" w:eastAsia="MS PGothic" w:hAnsi="MS PGothic"/>
          <w:sz w:val="25"/>
          <w:szCs w:val="25"/>
          <w:color w:val="auto"/>
          <w:vertAlign w:val="superscript"/>
        </w:rPr>
      </w:pPr>
    </w:p>
    <w:p>
      <w:pPr>
        <w:ind w:left="980" w:right="70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20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8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remuneration committee, which consists of Peter Bains, Deepika R. Pakianathan and Anders Ekblom, assists the board in determining senior management compensation. Mr. Bains serves as Chairman of the committee. Under SEC and Nasdaq rules, there are heightened independence standards for members of the remuneration committee, including a prohibition against the receipt of any compensation from us other than standard board member fees. However, foreign private issuers are not required to meet this heightened standard. Nonetheless, our board has determined that Mr. Bains, Dr.Pakianathan and Dr. Ekblom meet this heightened standard. The remuneration committee is governed by a charter that complies with Nasdaq rules.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remuneration committee’s responsibilities include:</w:t>
      </w:r>
    </w:p>
    <w:p>
      <w:pPr>
        <w:spacing w:after="0" w:line="202" w:lineRule="exact"/>
        <w:rPr>
          <w:sz w:val="20"/>
          <w:szCs w:val="20"/>
          <w:color w:val="auto"/>
        </w:rPr>
      </w:pPr>
    </w:p>
    <w:p>
      <w:pPr>
        <w:ind w:left="980" w:hanging="432"/>
        <w:spacing w:after="0"/>
        <w:tabs>
          <w:tab w:leader="none" w:pos="98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identifying, reviewing, and proposing policies relevant to senior management compensation;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each member of senior management’s performance in light of such policies and reporting to the board;</w:t>
      </w:r>
    </w:p>
    <w:p>
      <w:pPr>
        <w:spacing w:after="0" w:line="26" w:lineRule="exact"/>
        <w:rPr>
          <w:rFonts w:ascii="MS PGothic" w:cs="MS PGothic" w:eastAsia="MS PGothic" w:hAnsi="MS PGothic"/>
          <w:sz w:val="25"/>
          <w:szCs w:val="25"/>
          <w:color w:val="auto"/>
          <w:vertAlign w:val="superscript"/>
        </w:rPr>
      </w:pPr>
    </w:p>
    <w:p>
      <w:pPr>
        <w:ind w:left="980" w:right="500" w:hanging="432"/>
        <w:spacing w:after="0" w:line="218" w:lineRule="auto"/>
        <w:tabs>
          <w:tab w:leader="none" w:pos="98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80" w:hanging="432"/>
        <w:spacing w:after="0" w:line="218" w:lineRule="auto"/>
        <w:tabs>
          <w:tab w:leader="none" w:pos="98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any equity long-term incentive component of each member of senior management’s compensation in line with any compensation policy and reviewing our senior management compensation and benefits policies generally;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assessing risks arising from our compensation policies and practices.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9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nomination committee, which consists of Peter Bains, Anders Ekblom and Peter Fellner, assists our board in identifying individuals qualified to become members of our board and senior management consistent with criteria established by our board and in developing our corporate governance principles. Dr. Fellner serves as Chairman of the nomination committee. The nomination committee is governed by a charter that complies with Nasdaq rules.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nomination committee’s responsibilities include:</w:t>
      </w:r>
    </w:p>
    <w:p>
      <w:pPr>
        <w:spacing w:after="0" w:line="202" w:lineRule="exact"/>
        <w:rPr>
          <w:sz w:val="20"/>
          <w:szCs w:val="20"/>
          <w:color w:val="auto"/>
        </w:rPr>
      </w:pPr>
    </w:p>
    <w:p>
      <w:pPr>
        <w:ind w:left="980" w:hanging="432"/>
        <w:spacing w:after="0"/>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drawing up selection criteria and appointment procedures for board members;</w:t>
      </w:r>
    </w:p>
    <w:p>
      <w:pPr>
        <w:spacing w:after="0" w:line="26" w:lineRule="exact"/>
        <w:rPr>
          <w:rFonts w:ascii="MS PGothic" w:cs="MS PGothic" w:eastAsia="MS PGothic" w:hAnsi="MS PGothic"/>
          <w:sz w:val="25"/>
          <w:szCs w:val="25"/>
          <w:color w:val="auto"/>
          <w:vertAlign w:val="superscript"/>
        </w:rPr>
      </w:pPr>
    </w:p>
    <w:p>
      <w:pPr>
        <w:ind w:left="980" w:right="40" w:hanging="432"/>
        <w:spacing w:after="0" w:line="218" w:lineRule="auto"/>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nominees for election to our board and its corresponding committees;</w:t>
      </w:r>
    </w:p>
    <w:p>
      <w:pPr>
        <w:spacing w:after="0" w:line="26"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27"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8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research and development committee, which consists of Peter Bains, Deepika R. Pakianathan and Anders Ekblom, assists our senior management with oversight and guidance related to strategic research and development matters and provides guidance and makes recommendations to our board regarding strategic research and development matters. Dr. Ekblom serves as Chairman of the research and development committee.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202" w:lineRule="exact"/>
        <w:rPr>
          <w:sz w:val="20"/>
          <w:szCs w:val="20"/>
          <w:color w:val="auto"/>
        </w:rPr>
      </w:pPr>
    </w:p>
    <w:p>
      <w:pPr>
        <w:ind w:left="980" w:hanging="432"/>
        <w:spacing w:after="0"/>
        <w:tabs>
          <w:tab w:leader="none" w:pos="98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strategic development plans for product candidates, taking into account any regulatory feedback; and</w:t>
      </w:r>
    </w:p>
    <w:p>
      <w:pPr>
        <w:spacing w:after="0" w:line="6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acquisition of new product candidates.</w:t>
      </w:r>
    </w:p>
    <w:p>
      <w:pPr>
        <w:spacing w:after="0" w:line="202"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In addition, the research and development committee is tasked with keeping informed of strategic issues and commercial changes affecting our development programs and potential product acquisitions.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 and Anti-Bribery and Anti-Corruption Policy</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have adopted a Code of Business Conduct and Ethics and an Anti-Bribery and Anti-Corruption Policy applicable to all of our directors, executive officers and employees, including our Chief Executive Officer, Chief Financial Officer, controller or principal accounting officer, or other persons performing similar functions. The full text of the Code of Business Conduct and Ethics and the Anti-Bribery and Anti-Corruption Policy can be found on our website at www.mereobiopharma.com. Information contained on, or that can be accessed through, our website does not constitute a part of this prospectus and is not incorporated by reference herein. If we make any amendment to the Code of Business Conduct and Ethics or the Anti-Bribery and Anti-Corruption Policy or grant any waivers,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including any implicit waiver, from a provision of the code of ethics, we will disclose the nature of such amendment or waiver on our website to the extent required by the rules and regulations of the SEC. If a waiver or amendment of the Code of Business Conduct and Ethics applies to our principal executive officer, principal financial officer, principal accounting officer or controller and relates to certain standards, we will disclose such waiver or amendment on our website.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“—Equity Compensation Arrangements” below.</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8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following table sets forth the approximate remuneration paid during the years ended December 31, 2018 and 2017 to our current executive officers.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Bonus(1)</w:t>
            </w:r>
          </w:p>
        </w:tc>
        <w:tc>
          <w:tcPr>
            <w:tcW w:w="1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Compensation(2)</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Total(3)</w:t>
            </w:r>
          </w:p>
        </w:tc>
        <w:tc>
          <w:tcPr>
            <w:tcW w:w="0" w:type="dxa"/>
            <w:vAlign w:val="bottom"/>
          </w:tcPr>
          <w:p>
            <w:pPr>
              <w:spacing w:after="0"/>
              <w:rPr>
                <w:sz w:val="1"/>
                <w:szCs w:val="1"/>
                <w:color w:val="auto"/>
              </w:rPr>
            </w:pPr>
          </w:p>
        </w:tc>
      </w:tr>
      <w:tr>
        <w:trPr>
          <w:trHeight w:val="162"/>
        </w:trPr>
        <w:tc>
          <w:tcPr>
            <w:tcW w:w="5060" w:type="dxa"/>
            <w:vAlign w:val="bottom"/>
            <w:gridSpan w:val="3"/>
            <w:vMerge w:val="continue"/>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433"/>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Denise Scots-Knight, Ph.D.</w:t>
            </w:r>
          </w:p>
        </w:tc>
        <w:tc>
          <w:tcPr>
            <w:tcW w:w="46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365,000</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242,725</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64,196</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671,921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Chief Executive Officer</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379,600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303,680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64,560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747,840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Jill Henrich(4)</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SVP of Regulatory Affairs</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Jones</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231,090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166,250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29,224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426,564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Chief Financial Officer</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260,000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208,000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33,481</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501,481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Alastair MacKinnon, MBBS</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170,240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27,916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454,156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Chief Medical Officer</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281,600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225,280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30,698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537,578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Richard(5)</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275,338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218,727</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494,065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Head of Corporate Development</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277,861</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230,053</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507,914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Charles Sermon</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271,625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180,631</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33,164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485,420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General Counsel</w:t>
            </w:r>
          </w:p>
        </w:tc>
        <w:tc>
          <w:tcPr>
            <w:tcW w:w="460" w:type="dxa"/>
            <w:vAlign w:val="bottom"/>
          </w:tcPr>
          <w:p>
            <w:pPr>
              <w:ind w:left="60"/>
              <w:spacing w:after="0" w:line="202" w:lineRule="exact"/>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282,490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225,992</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34,975</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543,457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Alexandra (Wills) Hughes-Wilson</w:t>
            </w:r>
          </w:p>
        </w:tc>
        <w:tc>
          <w:tcPr>
            <w:tcW w:w="4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2017</w:t>
            </w: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color w:val="auto"/>
              </w:rPr>
              <w:t>Head of Patient Access and Commercial Planning</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2018</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63,750</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6,375</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54" w:lineRule="exact"/>
        <w:rPr>
          <w:sz w:val="20"/>
          <w:szCs w:val="20"/>
          <w:color w:val="auto"/>
        </w:rPr>
      </w:pPr>
    </w:p>
    <w:p>
      <w:pPr>
        <w:ind w:left="540" w:right="16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 In 2018, 30% of the annual cash bonus awarded was made (after deduction of income tax and the relevant employee’s national insurance contributions) to Mereo’s current executive officers to acquire Mereo ordinary shares under the 2019 DBP (as defined below). See “—Equity Compensation Arrangements.”</w:t>
      </w:r>
    </w:p>
    <w:p>
      <w:pPr>
        <w:spacing w:after="0" w:line="2"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ind w:left="540" w:right="12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Total compensation set out in this table does not include any amounts for awards under the DBSP or the value of options to acquire Mereo ordinary shares or awards granted to or held by current senior management, which is described in “—Equity Compensation Arrangements.”</w:t>
      </w:r>
    </w:p>
    <w:p>
      <w:pPr>
        <w:spacing w:after="0" w:line="2"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Appointed in 2019.</w:t>
      </w:r>
    </w:p>
    <w:p>
      <w:pPr>
        <w:ind w:left="540" w:right="340" w:hanging="424"/>
        <w:spacing w:after="0" w:line="246"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Richard provided services to us in 2018 and 2019 pursuant to a consultancy agreement and currently provides services to us pursuant to an employment agreement. See “—Executive Officer Employment Agreements—John Richard.”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Employment Agreements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Denise Scots-Knight, Ph.D.</w:t>
      </w:r>
    </w:p>
    <w:p>
      <w:pPr>
        <w:spacing w:after="0" w:line="81"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We entered into an employment agreement with Dr. Scots-Knight on July 29, 2015. This agreement entitles Dr. Scots-Knight to receive an initial annual base salary of £275,000 (which was subsequently increased to £379,600 for 2018 and £390,988 for 2019) and an opportunity to earn an annual discretionary performance-based bonus, subject to the achievement of performance goals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determined in accordance with our annual bonus plan. We currently contribute to Dr. Scots-Knight’s Self-Invested Personal Pension Scheme an amount equal to 15%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w:t>
      </w:r>
    </w:p>
    <w:p>
      <w:pPr>
        <w:spacing w:after="0" w:line="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Jill Henrich</w:t>
      </w:r>
    </w:p>
    <w:p>
      <w:pPr>
        <w:spacing w:after="0" w:line="14"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OncoMed entered into an employment agreement with Ms. Henrich on May 22, 2008, pursuant to which she commenced employment with OncoMed on January 5, 2009. This agreement was subsequently amended on October 27, 2015. Following the acquisition of OncoMed, Ms. Henrich became our Senior Vice President of Regulatory Affairs. On November 1, 2019, we entered into a letter agreement with Ms. Henrich amending all prior employment agreements between Ms. Henrich and OncoMed.</w:t>
      </w:r>
    </w:p>
    <w:p>
      <w:pPr>
        <w:spacing w:after="0" w:line="20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7"/>
          <w:szCs w:val="17"/>
          <w:color w:val="auto"/>
        </w:rPr>
        <w:t>The employment agreement between us and Ms. Henrich entitles Ms. Henrich to receive an annual base salary of $357,200 per year and an opportunity to earn an annual discretionary performance-based bonus, subject to achievement of corporate goals. Either party may terminate the employment agreement at any time, with or without cause. Ms. Henrich’s employment agreement also contains restrictive covenants pursuant to which she has agreed to refrain from soliciting our employees for one year following her termination of employment.</w:t>
      </w:r>
    </w:p>
    <w:p>
      <w:pPr>
        <w:spacing w:after="0" w:line="18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Upon termination of Ms. Henrich’s employment prior to or twelve months following a change in control of OncoMed, Ms. Henrich is entitled to (i) severance payments of nine months of her then-current annual base salary, (ii) nine months of her then-current target annual bonus for the year in which the termination occurs, and (iii) reimbursement for healthcare premium payments for nine months. In each case, the nine-month severance package increases to twelve months if Ms. Henrich executes a release of all claims arising out of her employment with OncoMed.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Richard Jones</w:t>
      </w:r>
    </w:p>
    <w:p>
      <w:pPr>
        <w:spacing w:after="0" w:line="9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entered into an employment agreement with Mr. Jones on November 7, 2016 pursuant to which he commenced employment with us on January 28, 2017. This agreement entitles Mr. Jones to receive an initial annual base salary of £250,000 (which was subsequently increased to £ 260,000 for 2018 and £291,200 for 2019) and an opportunity to earn an annual discretionary performance-based bonus, subject to the achievement of performance goals determined in accordance with our annual bonus plan. Mr. Jones is also eligible to participate in our group personal pension scheme and we have agreed to contribute to the pension scheme an amount equal to 10% of Mr. Jones’s annual salary provided that he contributes 4% or more of his annual salary to that scheme. In lieu of a pension contribution, we may, at Mr. Jones’s request, pay a pro-rata amount equal to 10% of his base salary as additional compensation. Either party may terminate the employment agreement by giving the other party not less than six months’ written notice, provided that we may terminate Mr. Jones at any time with immediate effect for cause or by giving written notice to Mr. Jones that we will instead pay his basic salary for any remaining notice period. Mr. Jones’s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Alastair MacKinnon, MBBS</w:t>
      </w:r>
    </w:p>
    <w:p>
      <w:pPr>
        <w:spacing w:after="0" w:line="9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entered into an employment agreement with Dr. MacKinnon on July 29, 2015, and subsequently amended the agreement on November 24, 2017. This agreement entitles Dr. MacKinnon to receive an initial annual base salary of £210,000 (which was subsequently increased to £281,600 for 2018 and £290,048 for 2019) and an opportunity to earn an annual discretionary performance-based bonus, subject to the achievement of performance goals determined in accordance with our annual bonus plan.</w:t>
      </w:r>
    </w:p>
    <w:p>
      <w:pPr>
        <w:spacing w:after="0" w:line="205" w:lineRule="exact"/>
        <w:rPr>
          <w:sz w:val="20"/>
          <w:szCs w:val="20"/>
          <w:color w:val="auto"/>
        </w:rPr>
      </w:pPr>
    </w:p>
    <w:p>
      <w:pPr>
        <w:ind w:left="120" w:right="40" w:firstLine="440"/>
        <w:spacing w:after="0" w:line="234" w:lineRule="auto"/>
        <w:rPr>
          <w:sz w:val="20"/>
          <w:szCs w:val="20"/>
          <w:color w:val="auto"/>
        </w:rPr>
      </w:pPr>
      <w:r>
        <w:rPr>
          <w:rFonts w:ascii="Arial" w:cs="Arial" w:eastAsia="Arial" w:hAnsi="Arial"/>
          <w:sz w:val="18"/>
          <w:szCs w:val="18"/>
          <w:color w:val="auto"/>
        </w:rPr>
        <w:t>Dr. MacKinnon is also eligible to participate in our group personal pension scheme and we have agreed to contribute to the pension scheme an amount equal to 10% of Dr. MacKinnon’s annual salary provided that he contributes 4% or more of his annual salary to that scheme. In lieu of a pension contribution, we may, at Dr. MacKinnon’s request, pay a pro-rata amount equal to 10% of his base salary as additional compensation. Either party may terminate the employment agreement by giving the other party not less than six months’ written notice, provided that we may terminate Dr. MacKinnon at any time with immediate effect for cause or by giving written notice to</w:t>
      </w:r>
    </w:p>
    <w:p>
      <w:pPr>
        <w:spacing w:after="0" w:line="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Dr. MacKinnon that we instead pay his basic salary for any remaining notice period. Dr. MacKinnon’s employment agreement also contains restrictive covenants pursuant to which he has agreed to refrain from competing with us for a period of three months following his termination of employment, soliciting our key employees for a period of six months following his termination of employment, or soliciting our customers for a period of nine months following his termination of employment.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John Richard</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entered into a consultancy agreement with Mr. Richard on January 23, 2019, pursuant to which he provided services to us during</w:t>
      </w:r>
    </w:p>
    <w:p>
      <w:pPr>
        <w:spacing w:after="0" w:line="7"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2019 and which terminated on September 1, 2019. Mr. Richard currently provides services to us pursuant to a revised and restated employment agreement dated September 1, 2019 (the “Richard Employment Agreement”).</w:t>
      </w:r>
    </w:p>
    <w:p>
      <w:pPr>
        <w:spacing w:after="0" w:line="197"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The Richard Employment Agreement entitles Mr. Richard to receive a base salary of $370,000 per year, and an opportunity to earn an annual discretionary performance-based bonus, subject to the achievement of performance goals determined in accordance with our annual bonus plan. Either party may terminate the employment agreement by giving the other party not less than three months’ written notice, provided that we may terminate Mr. Richard at any time with immediate effect for cause or by giving written notice to Mr. Richard that we will instead pay his basic salary for any remaining notice period. Mr. Richard’s employment agreement also contains restrictive covenants pursuant to which he has agreed to refrain from competing with us or soliciting our key employees or customers for a period of six months following his termination of employment.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Charles Sermon</w:t>
      </w:r>
    </w:p>
    <w:p>
      <w:pPr>
        <w:spacing w:after="0" w:line="81"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entered into an employment agreement with Mr. Sermon on July 29, 2015. This agreement entitles Mr. Sermon to receive an initial annual base salary of £245,000 (which was subsequently increased to £282,490 for 2018 and £ 290,964 for 2019) and an opportunity to earn an annual discretionary performance- 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employees for a period of six months following his termination of employment or soliciting our customers for a period of nine months following his termination of employment.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Alexandra (Wills) Hughes-Wilson</w:t>
      </w:r>
    </w:p>
    <w:p>
      <w:pPr>
        <w:spacing w:after="0" w:line="9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entered into a part-time employment agreement with Ms. Alexandra (Wills) Hughes-Wilson on February 19, 2018, and subsequently amended the agreement on May 29, 2018 and on March 8, 2019. Ms. Hughes-Wilson commenced part-time employment with us as our Head of Patient Access and Commercial Planning on March 5, 2018. The employment agreement entitles Ms. Hughes-Wilson to receive an initial annual base salary of £185,400 and an opportunity to earn an annual discretionary performance-based bonus, subject to the achievement of performance goals determined in accordance with our annual bonus plan.</w:t>
      </w:r>
    </w:p>
    <w:p>
      <w:pPr>
        <w:spacing w:after="0" w:line="202"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Ms. Hughes-Wilson is also eligible to participate in our group personal pension scheme and we have agreed to contribute to the pension scheme an amount equal to 10% of Ms. Hughes-Wilson annual salary provided that she contributes 4% or more of her annual salary to that scheme. In lieu of a pension contribution, we may, at Ms. Hughes-Wilson’s request, pay a pro-rata amount equal to 10% of her base salary as additional compensation. Either party may terminate the employment agreement by giving the other party not less than six months’ written notice, provided that we may terminate Ms. Hughes-Wilson at any time with immediate effect for cause or by giving written notice to Ms. Hughes-Wilson that we will instead pay her basic salary for any remaining notice period. Ms. Hughes-Wilson’s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Arrangements</w:t>
      </w:r>
    </w:p>
    <w:p>
      <w:pPr>
        <w:spacing w:after="0" w:line="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have granted or may grant or intend to grant share options and awards under the following seven equity award plans (the “Share Plans”): (i) the 2015 Plan; (ii) the Share Option Plan; (iii) the LTIP; (iv) the DBSP; (v) the Mereo 2019 Deferred Bonus Plan (the “2019 DBP”); (vi) the Mereo 2019 EIP, and (vii) the 2019 NED EIP.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2015 Plan</w:t>
      </w:r>
    </w:p>
    <w:p>
      <w:pPr>
        <w:spacing w:after="0" w:line="85"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Prior to the admission of our ordinary shares to trading on AIM (“Admission”), we granted options under the 2015 Plan. No further grants have been made under the 2015 Plan since Admission.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205"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203"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Options have been granted under the 2015 Plan with an exercise price ranging from £1.29 per ordinary share to £2.21 per ordinary share.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Leavers</w:t>
      </w:r>
    </w:p>
    <w:p>
      <w:pPr>
        <w:spacing w:after="0" w:line="9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our Board determines and communicates to the option holder at that time (except upon death, in which case, options may be exercised for a period of one year), after which time they will lapse.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Adjustments</w:t>
      </w:r>
    </w:p>
    <w:p>
      <w:pPr>
        <w:spacing w:after="0" w:line="81"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In the event of any capitalization, rights issue, consolidation, subdivision, reduction or any other variation of our share capital, the number of ordinary shares subject to an option and the exercise price applying to an option may be varied in such manner as our Board may determine.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Board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our Board without the consent of option 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Share Option Plan</w:t>
      </w:r>
    </w:p>
    <w:p>
      <w:pPr>
        <w:spacing w:after="0" w:line="126"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Our Board adopted the Share Option Plan on June 9, 2016, and has subsequently amended it. Except where the context indicates otherwise, references to our ordinary shares shall be deemed to include a number of ADSs representing a right to receive such ordinary shares.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Share Option Plan provides for the grant of options to acquire our ordinary shares to employees and executive directors. Options may be granted to all eligible employees on commencement of employment and may be granted on a periodic basis after that. The Share Option Plan is administered by our Board who also set the terms and conditions of all options granted under the Share Option Plan, including any vesting and vesting acceleration conditions. Options are granted under the Share Option Plan at the discretion of our Board.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8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the Share Option Plan, our Board may determine the vesting schedule of an option and whether the vesting of an option will be subject to the satisfaction of a performance condition, although options are not currently granted subject to performance conditions other than continued service with us. Once an option has vested, it may be exercised during the period ending on the tenth anniversary of the date of grant, after which time it will lapse. The exercise price of an option may not be less than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greater of: (i) the market value of a share on the date of grant; or (ii) if the shares are to be subscribed, the nominal value of a share.</w:t>
      </w:r>
    </w:p>
    <w:p>
      <w:pPr>
        <w:ind w:left="120"/>
        <w:spacing w:after="0"/>
        <w:rPr>
          <w:sz w:val="20"/>
          <w:szCs w:val="20"/>
          <w:color w:val="auto"/>
        </w:rPr>
      </w:pPr>
      <w:r>
        <w:rPr>
          <w:rFonts w:ascii="Arial" w:cs="Arial" w:eastAsia="Arial" w:hAnsi="Arial"/>
          <w:sz w:val="18"/>
          <w:szCs w:val="18"/>
          <w:color w:val="auto"/>
        </w:rPr>
        <w:t>Our Board may determine that an option be settled in cash or by net exercise of the option.</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9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No eligible employee may be granted options that, at the time they are granted, would cause the market value of shares subject to the options granted to the employee in respect of a financial year to exceed 400% of the employee’s salary.</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Leavers</w:t>
      </w:r>
    </w:p>
    <w:p>
      <w:pPr>
        <w:spacing w:after="0" w:line="81"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If a participant ceases to hold office or employment with us as a result of dismissal for gross misconduct, any option the participant holds, whether vested or unvested, will lapse.</w:t>
      </w:r>
    </w:p>
    <w:p>
      <w:pPr>
        <w:spacing w:after="0" w:line="197"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If a participant ceases to hold office or employment with us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our Board determines that the option will vest on the date of cessation of services. Where an option vests in these circumstances, any performance condition will be taken into account and, unless our Board determines otherwise, will be pro-rated for time.</w:t>
      </w:r>
    </w:p>
    <w:p>
      <w:pPr>
        <w:spacing w:after="0" w:line="205"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Unless the board determines otherwise, options may not be transferred in any way and will lapse immediately on any attempt to do so, except that options may be transferred to a participant’s personal representative upon death.</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Under the Share Option Plan, if certain changes are made in, or events occur with respect to our ordinary shares (including any variation of share capital, demerger, delisting, special dividend, rights issue or any other event, which may, in the opinion of our Board affect the current or future value of our ordinary shares), the number of shares subject to an option or the exercise price of an option may be adjusted as determined by our Board. In addition, upon such an event, our Board will determine: (i) whether and to what extent options which have not yet vested will vest; and (ii) the period of time during which any vested option may be exercised.</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our Board, after which they will be exercisable for one month (or such longer period as determined by our Board, but not exceeding six months), following which they will lapse. However, if there is an internal reorganization, unless our Board determines otherwise, an option will generally be exchanged in consideration of the grant of a new option which, as determined by our Board, is equivalent to the option but relates to shares in a different company (whether the acquiring company or a different company). Any option that does not vest or is not exchanged will lapse immediately.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7"/>
          <w:szCs w:val="17"/>
          <w:color w:val="auto"/>
        </w:rPr>
        <w:t>Our Board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w:t>
      </w:r>
    </w:p>
    <w:p>
      <w:pPr>
        <w:spacing w:after="0" w:line="2" w:lineRule="exact"/>
        <w:rPr>
          <w:sz w:val="20"/>
          <w:szCs w:val="20"/>
          <w:color w:val="auto"/>
        </w:rPr>
      </w:pPr>
    </w:p>
    <w:p>
      <w:pPr>
        <w:ind w:left="120" w:hanging="4"/>
        <w:spacing w:after="0" w:line="246" w:lineRule="auto"/>
        <w:tabs>
          <w:tab w:leader="none" w:pos="3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which would prevent the Share Option Plan from being an employees’ share scheme in accordance with the U.K. Companies Act 2006. No options may be granted pursuant to the Share Option Plan after the tenth anniversary of the date of our Admission.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LTIP</w:t>
      </w:r>
    </w:p>
    <w:p>
      <w:pPr>
        <w:spacing w:after="0" w:line="99"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In order to further incentivize our employees and align their interests with shareholders, our Board adopted the LTIP on June 9, 2016 and has subsequently amended it.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The LTIP provides for the grant of nil-cost options, conditional awards, cash conditional awards or cash options (the “LTIP Awards”) to our employees. The shares used to satisfy the LTIP Awards are currently delivered through the Mereo BioPharma Group plc Employee Benefit Trust, which is based in Jersey.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may determine that the LTIP Awards are settled in cash.</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8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LTIP Awards are subject to a vesting schedule as determined by our Board. LTIP Awards granted to key executive directors and senior management are subject to: (i) a share price performance condition; and (ii) the achievement of strategic operational targets. If on the date a LTIP Award is due to vest or be exercisable a restriction on share dealing (as may be imposed by our share dealing code or the AIM rules) applies to the award, then the award will vest on the date on which such dealing restriction lifts.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9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9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7"/>
          <w:szCs w:val="17"/>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our accounts, an error in assessing a performance condition such that the LTIP Award vests to a greater extent than it would have vested, or fraudulent or material misconduct on the part of the participant.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jc w:val="both"/>
        <w:ind w:left="120" w:right="100" w:firstLine="440"/>
        <w:spacing w:after="0" w:line="238"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us, or for any other reason at our Board’ discretion, except where the participant is summarily dismissed, in which case any unvested LTIP Awards will usually continue until the normal vesting date, unless our Board determines otherwise.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Under the LTIP, if certain changes are made in or events occur with respect to our ordinary shares (including any variation of share capital, any demerger, delisting, special dividend, rights issue or other event which may in the opinion of our Board, affect the current or future value of our ordinary shares), the number of shares subject to a LTIP Award, or any performance condition, may be adjusted as determined by our Board. In addition, upon such an event, our Board will determine: (i) whether and to what extent Awards which have not yet vested will vest; and (ii) the period of time during which any vested option may be exercised.</w:t>
      </w:r>
    </w:p>
    <w:p>
      <w:pPr>
        <w:spacing w:after="0" w:line="202"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by our Board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our Board), following which they will lapse. However, if there is an internal reorganization, a LTIP Award will be exchanged in consideration of the grant of a new award which, as determined by our Board, is equivalent to the LTIP Award but relates to shares in a different company (whether the acquiring company or a different company). Any LTIP Award that does not vest or is not exchanged will lapse immediately.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may, at any time, amend the rules of the LTIP or the terms of any LTIP Award, except that no amendment may be made:</w:t>
      </w:r>
    </w:p>
    <w:p>
      <w:pPr>
        <w:ind w:left="120" w:right="120" w:hanging="4"/>
        <w:spacing w:after="0" w:line="238" w:lineRule="auto"/>
        <w:tabs>
          <w:tab w:leader="none" w:pos="33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U.K. Companies Act 2006. No LTIP Awards may be granted pursuant to the LTIP after the tenth anniversary of the date of Admission.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DBSP</w:t>
      </w:r>
    </w:p>
    <w:p>
      <w:pPr>
        <w:spacing w:after="0" w:line="85"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Our Board adopted the DBSP on June 9, 2016 and has subsequently amended it. Following the adoption of the 2019 DBP in January 2019, no further grants are expected to be made under the DBSP.</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DBSP provides for the deferral of a percentage (currently 30%) of the annual bonuses awarded to our employees into the right to acquire shares equal in value to the amount deferred, free of charge.</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the DBSP, conditional awards or nil-cost options (the “DBSP Awards”), may only be granted to participants who have earned a bonus, pursuant to our annual bonus plan, for the financial year immediately preceding the financial year in which the grant date occurs. A DBSP Award will be granted over such number of shares as have at the grant date a market value, as determined by our Board, equal to the deferred bonus (the amount of bonus which is to be delivered in the form of a conditional award or a nil-cost option).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DBSP Awards will generally vest three years after the date of grant and have no performance conditions or service condition. The DBSP Awards may be settled in cash if determined by our Board. The shares used to satisfy the DBSP Awards are currently delivered through the Mereo BioPharma Group plc Employee Benefit Trust, which is based in Jersey.</w:t>
      </w:r>
    </w:p>
    <w:p>
      <w:pPr>
        <w:spacing w:after="0" w:line="203"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If on the date a DBSP Award is due to vest or be exercisable a restriction on share dealing (as may be imposed by our share dealing code or the AIM rules) applies to the award, then the award will vest on the date on which such dealing restriction lifts.</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our Board determines, after which time it will lapse.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No eligible employee may be granted DBSP Awards that, at the time they are granted, would cause the market value of shares subject to the DBSP Awards granted to the employee in respect of 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year to exceed 100% of the employee’s salary. The DBSP Awards may, prior to the third anniversary of the grant date, be:</w:t>
      </w:r>
    </w:p>
    <w:p>
      <w:pPr>
        <w:ind w:left="120" w:hanging="4"/>
        <w:spacing w:after="0" w:line="238" w:lineRule="auto"/>
        <w:tabs>
          <w:tab w:leader="none" w:pos="3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reduced; or (ii) where the underlying shares or cash have already been transferred to the participant following vesting or exercise of the DBSP Award (as applicable), clawed back, where there has been a material misstatement of our accounts, an error in assessing the information on which the bonus was determined such that the bonus was overpaid, or fraudulent or material misconduct on the part of the participant.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the DBSP, if certain changes are made in or events occur with respect to our ordinary shares (including any variation of share capital, any demerger, delisting, special dividend, rights issue or other event which may in the opinion of our Board, affect the current or future value of our ordinary shares), the number of shares subject to a DBSP Award may be adjusted as determined by our Board. In addition, upon such an event, our Board will determine: (i) whether and to what extent DBSP Awards which have not yet vested will vest; and (ii) the period of time during which any vested option may be exercised.</w:t>
      </w:r>
    </w:p>
    <w:p>
      <w:pPr>
        <w:spacing w:after="0" w:line="20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DBSP Awards will accelerate to the extent determined by our Board, after which, the DBSP Awards will be exercisable for one month (or such other period as or determined by our Board), following which they will lapse. However, if there is an internal reorganization, a DBSP Award will be exchanged in consideration of the grant of a new award which, as determined by our Board, is equivalent to the DBSP Award but relates to shares in a different company (whether the acquiring company or a different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Except for where a participant is summarily dismissed (in which case the awards will be forfeited), the DBSP Awards usually will continue upon cessation of office or employment with us and vest in full on the normal vesting date as described above. Options will remain exercisable for a period of 12 months from the date of vesting.</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Our Board may, at any time, amend the rules of the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DBSP from being an employees’ share scheme in accordance with the U.K. Companies Act 2006.</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DBSP Awards may be granted pursuant to the DBSP after the tenth anniversary of the date of Admission.</w:t>
      </w:r>
    </w:p>
    <w:p>
      <w:pPr>
        <w:spacing w:after="0" w:line="21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7"/>
          <w:szCs w:val="17"/>
          <w:color w:val="auto"/>
        </w:rPr>
        <w:t>Our Remuneration Committee has approved awards under the DBSP in respect of bonuses awarded to certain of our executive officers for 2017. These awards are in the form of nil-cost option grants under the DBSP in the following amounts: Dr. Scots-Knight: 32,205 shares subject to the option; Mr. Jones: 22,058 shares subject to the option; Dr. MacKinnon: 22,588 shares subject to the option; and Mr. Sermon: 23,966 shares subject to the option. The options are scheduled to vest on the third anniversary of the date of grant.</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60"/>
          </w:cols>
          <w:pgMar w:left="320" w:top="459"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DBP</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adopted the 2019 DBP on January 15, 2019.</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Holding of Deferred Shares</w:t>
      </w:r>
    </w:p>
    <w:p>
      <w:pPr>
        <w:spacing w:after="0" w:line="81"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Under the 2019 DBP, our ordinary shares may be purchased by participants using an after-tax bonus amount paid to them pursuant to Mereo’s annual bonus plan or Deferred Shares.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Deferred Shares</w:t>
      </w:r>
    </w:p>
    <w:p>
      <w:pPr>
        <w:spacing w:after="0" w:line="81"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participants must hold the Deferred Shares for two years (or such other period as the Mereo Board may determine in advance) beginning on the date or dates on which a participant purchases those shares with the bonus. Participants must not transfer, assign, charge, sell or dispose of or encumber any Deferred Shares during this period except as permitted under the 2019 DBP or by our Board. The 2019 DBP permits participants to transfer Deferred Shares to an immediate family member or nominee to hold for them or as a beneficiary, or to a personal representative in the event of the participant’s death.</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Cessation of Employment</w:t>
      </w:r>
    </w:p>
    <w:p>
      <w:pPr>
        <w:spacing w:after="0" w:line="9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If a participant ceases employment with us, he or she must continue to hold the Deferred Shares in accordance with the restrictions under the 2019 DBP unless our Board disapply some or all of the restrictions in respect of some or all of that participant’s Deferred Shares. Our Board will not have discretion to disapply any of the restrictions in the case of a participant who has been dismissed lawfully without notice or could have been so dismissed if he or she had not resigned.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7"/>
          <w:szCs w:val="17"/>
          <w:color w:val="auto"/>
        </w:rPr>
        <w:t>Under the 2019 DBP, if any person obtains control of us (by means of holding shares, the possession of voting power, or as a result of any powers conferred by our Articles or other document relating to us), the restrictions on Deferred Shares under the 2019 DBP will cease to apply from that date unless our Board determines otherwise. Our Board may not extend the restrictions under the 2019 DBP.</w:t>
      </w:r>
    </w:p>
    <w:p>
      <w:pPr>
        <w:spacing w:after="0" w:line="18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an internal reorganization occurs (whereby immediately after a change of control of Mereo, all or substantially all of the issued share capital of the acquiring company is owned directly or indirectly by the persons who were shareholders in Mereo before the change of control) and the Deferred Shares are exchanged for shares in another company, the rules of the 2019 DBP will apply to those shares as if they were Deferred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Regulatory Issues</w:t>
      </w:r>
    </w:p>
    <w:p>
      <w:pPr>
        <w:spacing w:after="0" w:line="81"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purchase or transfer of our ordinary shares under the 2019 DBP will be subject to obtaining any approval or consent required by AIM or Nasdaq (or any other relevant authority) and any restrictions imposed by our share dealing code, the AIM rules, or any applicable laws or regulations which impose restrictions on share dealing.</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Our Board may, at any time, amend the rules of the 2019 DBP or the terms of the Deferred Shares,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2019 DBP from being an employees’ share scheme in accordance with the U.K. Companies Act 2006.</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2019 DBP will terminate on the tenth anniversary of its adoption by our Board or at any earlier time by resolution of our Board.</w:t>
      </w:r>
    </w:p>
    <w:p>
      <w:pPr>
        <w:ind w:left="120"/>
        <w:spacing w:after="0"/>
        <w:rPr>
          <w:sz w:val="20"/>
          <w:szCs w:val="20"/>
          <w:color w:val="auto"/>
        </w:rPr>
      </w:pPr>
      <w:r>
        <w:rPr>
          <w:rFonts w:ascii="Arial" w:cs="Arial" w:eastAsia="Arial" w:hAnsi="Arial"/>
          <w:sz w:val="18"/>
          <w:szCs w:val="18"/>
          <w:color w:val="auto"/>
        </w:rPr>
        <w:t>Termination of the 2019 DBP will be without prejudice to the existing rights of participants.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Equity Incentive Plan (The 2019 EIP)</w:t>
      </w:r>
    </w:p>
    <w:p>
      <w:pPr>
        <w:spacing w:after="0" w:line="99"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Our Board adopted the 2019 EIP on April 4, 2019. The Remuneration Committee of the Board (the “Remuneration Committee”) made minor amendments to the rules of the 2019 EIP on May 16, 2019 prior to the first awards noted below.</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2019 EIP provides for the grant of the following types of awards to executive directors and employees: (i) market value options;</w:t>
      </w:r>
    </w:p>
    <w:p>
      <w:pPr>
        <w:ind w:left="120" w:right="140" w:hanging="4"/>
        <w:spacing w:after="0" w:line="246" w:lineRule="auto"/>
        <w:tabs>
          <w:tab w:leader="none" w:pos="3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share appreciation rights; (iii) restricted stock / restricted stock unit awards; (iv) performance awards (awards subject to performance conditions) and (v) other share-based awards.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the terms of the 2019 EIP, awards can be granted in respect of ordinary shares, ADSs, cash or a combination thereof.</w:t>
      </w:r>
    </w:p>
    <w:p>
      <w:pPr>
        <w:ind w:left="120"/>
        <w:spacing w:after="0"/>
        <w:rPr>
          <w:sz w:val="20"/>
          <w:szCs w:val="20"/>
          <w:color w:val="auto"/>
        </w:rPr>
      </w:pPr>
      <w:r>
        <w:rPr>
          <w:rFonts w:ascii="Arial" w:cs="Arial" w:eastAsia="Arial" w:hAnsi="Arial"/>
          <w:sz w:val="18"/>
          <w:szCs w:val="18"/>
          <w:color w:val="auto"/>
        </w:rPr>
        <w:t>References in this section to ordinary shares will be deemed references to ADSs, as applicable.</w:t>
      </w:r>
    </w:p>
    <w:p>
      <w:pPr>
        <w:spacing w:after="0" w:line="21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2019 EIP is administered by the Remuneration Committee unless the Remuneration Committee designates one or more directors as a subcommittee who may act for the Remuneration Committee if necessary. The Board may also choose to administer the 2019 EIP itself.</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Schedule</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Awards vest in accordance with the vesting schedule set for the relevant award in its award agreement.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9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May 20, 2019, the Remuneration Committee of the Board agreed to grant awards in respect of market value options over an aggregate of 255,500 ADSs to executives, at an exercise price of $5.40 per ADS. On July 23, 2019, the Remuneration Committee of the Board agreed to grant awards in respect of market value options over an additional 215,500 ADSs to executives, at an exercise price of $3.00 per ADS. On February 20, 2020, the Remuneration Committee of the Board agreed to grant awards in respect of market value options over an additional 565,000 ADSs to executives, at an exercise price of $1.84 per ADS.</w:t>
      </w:r>
    </w:p>
    <w:p>
      <w:pPr>
        <w:spacing w:after="0" w:line="202" w:lineRule="exact"/>
        <w:rPr>
          <w:sz w:val="20"/>
          <w:szCs w:val="20"/>
          <w:color w:val="auto"/>
        </w:rPr>
      </w:pPr>
    </w:p>
    <w:p>
      <w:pPr>
        <w:jc w:val="both"/>
        <w:ind w:left="120" w:right="280" w:firstLine="440"/>
        <w:spacing w:after="0" w:line="238" w:lineRule="auto"/>
        <w:rPr>
          <w:sz w:val="20"/>
          <w:szCs w:val="20"/>
          <w:color w:val="auto"/>
        </w:rPr>
      </w:pPr>
      <w:r>
        <w:rPr>
          <w:rFonts w:ascii="Arial" w:cs="Arial" w:eastAsia="Arial" w:hAnsi="Arial"/>
          <w:sz w:val="18"/>
          <w:szCs w:val="18"/>
          <w:color w:val="auto"/>
        </w:rPr>
        <w:t>In the normal course of events and subject to the participant’s continued employment through each applicable vesting date, one fourth of each such market value option grant shall vest on the first anniversary of the grant date and the remainder shall vest in equal monthly installments over the three year period following the first anniversary. No performance conditions apply to such market value options.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Subject to adjustment, the aggregate number of shares available for issuance under the 2019 EIP and the 2019 NED EIP will not exceed 9,590,180 ordinary shares. Beginning in the 2021 calendar year, the total number of ordinary shares available for issuance under the 2019 EIP and the 2019 NED EIP is increased on January 1st of each year in an amount equal to the lesser of (i) 4.5% of our issued and outstanding ordinary shares (measured as of January 1st of such year) and (ii) such number of ordinary shares as determined by the Remuneration Committee of the Board, or such other committee as may be designated by the Board, in its discretion.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20"/>
          </w:cols>
          <w:pgMar w:left="320" w:top="459" w:right="5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Leavers</w:t>
      </w:r>
    </w:p>
    <w:p>
      <w:pPr>
        <w:spacing w:after="0" w:line="9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Unvested awards will usually lapse on termination of service (including voluntary departure) save for potentially different good leaver treatment. The effect of a participant’s termination of service on outstanding awards, including whether the awards may be exercised, settled, vested, paid or forfeited, will be determined by the Remuneration Committee and may be set forth in the participant’s award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jc w:val="both"/>
        <w:ind w:left="120" w:right="580" w:firstLine="440"/>
        <w:spacing w:after="0"/>
        <w:rPr>
          <w:sz w:val="20"/>
          <w:szCs w:val="20"/>
          <w:color w:val="auto"/>
        </w:rPr>
      </w:pPr>
      <w:r>
        <w:rPr>
          <w:rFonts w:ascii="Arial" w:cs="Arial" w:eastAsia="Arial" w:hAnsi="Arial"/>
          <w:sz w:val="18"/>
          <w:szCs w:val="18"/>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203"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number and type of securities subject to award and any exercise price may also be adjusted for various events that may affect the value of ordinary shares or ADSs and for changes in applicable laws, regulations or accounting principles.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120" w:right="520" w:firstLine="440"/>
        <w:spacing w:after="0"/>
        <w:rPr>
          <w:sz w:val="20"/>
          <w:szCs w:val="20"/>
          <w:color w:val="auto"/>
        </w:rPr>
      </w:pPr>
      <w:r>
        <w:rPr>
          <w:rFonts w:ascii="Arial" w:cs="Arial" w:eastAsia="Arial" w:hAnsi="Arial"/>
          <w:sz w:val="18"/>
          <w:szCs w:val="18"/>
          <w:color w:val="auto"/>
        </w:rPr>
        <w:t>The Board may amend, alter, suspend, discontinue or terminate the 2019 EIP or any portion thereof at any time, subject to shareholder approval where required by applicable law or the rules of the stock market or exchange, if any, on which the shares are principally quoted or traded.</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However, no such Board action that would materially adversely affect participants’ rights under an outstanding award may be taken without such participants’ consent, except to the extent that such action is made to cause the 2019 EIP to comply with applicable law, stock market or exchange rules and regulations or accounting or tax rules and regulations or to impose any recoupment provisions on any awards in accordance with the 2019 EIP.</w:t>
      </w:r>
    </w:p>
    <w:p>
      <w:pPr>
        <w:spacing w:after="0" w:line="20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7"/>
          <w:szCs w:val="17"/>
          <w:color w:val="auto"/>
        </w:rPr>
        <w:t>No award may be granted under the 2019 EIP after the earliest to occur of: (i) the tenth anniversary of the effective date of the 2019 EIP; provided that to the extent permitted by the listing rules of any stock exchange on which we are listed, such ten-year term may be extended indefinitely so long as the maximum number of shares available for issuance under the 2019 EIP have not been issued; (ii) the maximum number of shares available for issuance under the 2019 EIP have been issued; and (iii) our Board terminates the 2019 EIP.</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NED Equity Incentive Plan (The 2019 NED EIP)</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adopted the 2019 NED EIP on April 4, 2019. The Remuneration Committee made minor amendments to the rules of the</w:t>
      </w:r>
    </w:p>
    <w:p>
      <w:pPr>
        <w:ind w:left="120"/>
        <w:spacing w:after="0"/>
        <w:rPr>
          <w:sz w:val="20"/>
          <w:szCs w:val="20"/>
          <w:color w:val="auto"/>
        </w:rPr>
      </w:pPr>
      <w:r>
        <w:rPr>
          <w:rFonts w:ascii="Arial" w:cs="Arial" w:eastAsia="Arial" w:hAnsi="Arial"/>
          <w:sz w:val="18"/>
          <w:szCs w:val="18"/>
          <w:color w:val="auto"/>
        </w:rPr>
        <w:t>2019 NED EIP on May 16, 2019 prior to the first awards noted below.</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2019 NED EIP provides for the grant of the following types of awards to non-executive directors: (i) market value options;</w:t>
      </w:r>
    </w:p>
    <w:p>
      <w:pPr>
        <w:ind w:left="120" w:right="200" w:hanging="4"/>
        <w:spacing w:after="0" w:line="246" w:lineRule="auto"/>
        <w:tabs>
          <w:tab w:leader="none" w:pos="3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 appreciation rights; (iii) restricted stock / restricted stock unit awards; (iv) performance awards (awards subject to performance conditions) and (v) other share-based awards.</w:t>
      </w:r>
    </w:p>
    <w:p>
      <w:pPr>
        <w:spacing w:after="0" w:line="197"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Subject to the terms of the 2019 NED EIP awards can be granted in respect of ordinary shares, ADSs, cash or a combination thereof. References in this section to ordinary shares will be deemed references to ADSs, as applicable.</w:t>
      </w:r>
    </w:p>
    <w:p>
      <w:pPr>
        <w:spacing w:after="0" w:line="197"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The 2019 NED EIP is administered by the Remuneration Committee unless the Remuneration Committee designates one or more directors as a subcommittee who may act for the Remuneration Committee if necessary. The Board may also choose to administer the 2019 NED EIP itself.</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Schedule</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Awards vest in accordance with the vesting schedule set for the relevant award in its award agreement.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8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Awards were granted under the 2019 NED EIP to non-executive directors on May 20, 2019 in respect of (in aggregate) 38,500 ADSs at a per ADS exercise price of $5.40. The terms of the awards include that, at our discretion, the awards will be settled either in ADSs (for payment of the exercise price) or in cash (by reference to the growth in value in excess of the reference exercise price). On July 23, 2019, the Remuneration Committee of the Board agreed to grant awards in respect of market value options over an additional 38,500 ADSs to non-executive directors, at an exercise price of $3.00 per ADS. On February 20, 2020, the Remuneration Committee of the Board agreed to grant awards in respect of market value options over an additional 77,000 ADSs to non-executive directors, at an exercise price of $1.84 per ADS.</w:t>
      </w:r>
    </w:p>
    <w:p>
      <w:pPr>
        <w:spacing w:after="0" w:line="20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the normal course of events and subject to the participant holding the participant’s current office (or being otherwise employed) through each applicable vesting date, such awards shall vest in equal monthly installments over the one year period following their grant date. No performance conditions apply to such awards.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Subject to adjustment, the aggregate number of shares available for issuance under the 2019 EIP and the 2019 NED EIP will not exceed 4.5% of our issued and outstanding ordinary shares (such limit will be measured as of the date of grant of an award).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Leavers</w:t>
      </w:r>
    </w:p>
    <w:p>
      <w:pPr>
        <w:spacing w:after="0" w:line="95"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jc w:val="both"/>
        <w:ind w:left="120" w:right="620" w:firstLine="440"/>
        <w:spacing w:after="0"/>
        <w:rPr>
          <w:sz w:val="20"/>
          <w:szCs w:val="20"/>
          <w:color w:val="auto"/>
        </w:rPr>
      </w:pPr>
      <w:r>
        <w:rPr>
          <w:rFonts w:ascii="Arial" w:cs="Arial" w:eastAsia="Arial" w:hAnsi="Arial"/>
          <w:sz w:val="18"/>
          <w:szCs w:val="18"/>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number and type of securities subject to award and any exercise price may also be adjusted for various events that may affect the value of ordinary shares or ADSs and for changes in applicable laws, regulations or accounting principles.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Board may amend, alter, suspend, discontinue or terminate the 2019 NED EIP or any portion thereof at any time, subject to shareholder approval where required by applicable law or the rules of the stock market or exchange, if any, on which the shares are principally quoted or traded.</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However, no such Board action that would materially adversely affect participants’ rights under an outstanding award may be taken without such participants’ consent, except to the extent that such action is made to cause the 2019 NED EIP to comply with applicable law, stock market or exchange rules and regulations or accounting or tax rules and regulations or to impose any recoupment provisions on any awards in accordance with the 2019 NED EIP.</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No Award may be granted under the 2019 NED EIP after the earliest to occur of: (i) the tenth anniversary of the effective date of the 2019 NED EIP; provided that to the extent permitted by the listing rules of any stock exchange on which we are listed, such ten-year term may be extended indefinitely so long as the maximum number of shares available for issuance under the 2019 NED EIP have not been issued; (ii) the maximum number of shares available for issuance under the 2019 NED EIP have been issued; and (iii) our Board terminates the 2019 NED EIP.</w:t>
      </w:r>
    </w:p>
    <w:p>
      <w:pPr>
        <w:spacing w:after="0" w:line="20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following table summarizes: (i) the outstanding number of options and awards under the equity incentive plans; and (ii) the number of shares granted to directors, executive officers, and non-executive directors, as of March 1, 2020:</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Ordinary</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Price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(including</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Ordinary</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Per</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those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Ordinary</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ADSs</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Price</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340" w:type="dxa"/>
            <w:vAlign w:val="bottom"/>
            <w:vMerge w:val="restart"/>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represented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 ADS</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 w:type="dxa"/>
            <w:vAlign w:val="bottom"/>
            <w:tcBorders>
              <w:bottom w:val="single" w:sz="8" w:color="auto"/>
            </w:tcBorders>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by ADSs)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700" w:type="dxa"/>
            <w:vAlign w:val="bottom"/>
          </w:tcPr>
          <w:p>
            <w:pPr>
              <w:ind w:left="48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4"/>
                <w:szCs w:val="14"/>
                <w:color w:val="auto"/>
              </w:rPr>
            </w:pPr>
          </w:p>
        </w:tc>
        <w:tc>
          <w:tcPr>
            <w:tcW w:w="1700" w:type="dxa"/>
            <w:vAlign w:val="bottom"/>
          </w:tcPr>
          <w:p>
            <w:pPr>
              <w:ind w:left="32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Denise Scots-Knight, Ph.D.</w:t>
            </w: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4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1,544,745</w:t>
            </w:r>
          </w:p>
        </w:tc>
        <w:tc>
          <w:tcPr>
            <w:tcW w:w="8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1.29</w:t>
            </w:r>
          </w:p>
        </w:tc>
        <w:tc>
          <w:tcPr>
            <w:tcW w:w="10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September 25, 2015</w:t>
            </w:r>
          </w:p>
        </w:tc>
        <w:tc>
          <w:tcPr>
            <w:tcW w:w="18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346,154</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June 9, 2016</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25,319</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32,205</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April 26, 2018</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935,999</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Jill Henrich</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40,000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10,380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Richard Jones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4, 2027</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185,950</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22,058</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26, 2018</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66,915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Alastair MacKinnon, MBBS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772,371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September 25, 2015</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175,622</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June 9, 2016</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17,127</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22,588</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April 26, 2018</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507,920</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John Richard</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772,371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1.29</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September 25, 2015</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June 1, 2016</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June 1, 2026</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314,658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Charles Sermon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772,371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September 25, 2015</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202,347</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June 9, 2016</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19,734</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April 4, 2017</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23,966</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nil</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April 26, 2018</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5.40</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May 20, 2019</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20, 2029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27,500</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700" w:type="dxa"/>
            <w:vAlign w:val="bottom"/>
          </w:tcPr>
          <w:p>
            <w:pPr>
              <w:spacing w:after="0"/>
              <w:rPr>
                <w:sz w:val="20"/>
                <w:szCs w:val="20"/>
                <w:color w:val="auto"/>
              </w:rPr>
            </w:pPr>
            <w:r>
              <w:rPr>
                <w:rFonts w:ascii="Arial" w:cs="Arial" w:eastAsia="Arial" w:hAnsi="Arial"/>
                <w:sz w:val="16"/>
                <w:szCs w:val="16"/>
                <w:color w:val="auto"/>
              </w:rPr>
              <w:t>July 23, 2019</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July 23, 2029</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February 20, 2030</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569,859</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60"/>
          </w:cols>
          <w:pgMar w:left="320" w:top="459" w:right="51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(including</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Ordinary</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those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340" w:type="dxa"/>
            <w:vAlign w:val="bottom"/>
            <w:vMerge w:val="restart"/>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represented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by ADSs)</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40" w:type="dxa"/>
            <w:vAlign w:val="bottom"/>
            <w:gridSpan w:val="2"/>
          </w:tcPr>
          <w:p>
            <w:pPr>
              <w:spacing w:after="0" w:line="175" w:lineRule="exact"/>
              <w:rPr>
                <w:sz w:val="20"/>
                <w:szCs w:val="20"/>
                <w:color w:val="auto"/>
              </w:rPr>
            </w:pPr>
            <w:r>
              <w:rPr>
                <w:rFonts w:ascii="Arial" w:cs="Arial" w:eastAsia="Arial" w:hAnsi="Arial"/>
                <w:sz w:val="16"/>
                <w:szCs w:val="16"/>
                <w:color w:val="auto"/>
              </w:rPr>
              <w:t>Alexandra (Wills) Hughes-Wilson</w:t>
            </w:r>
          </w:p>
        </w:tc>
        <w:tc>
          <w:tcPr>
            <w:tcW w:w="10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30,769</w:t>
            </w:r>
          </w:p>
        </w:tc>
        <w:tc>
          <w:tcPr>
            <w:tcW w:w="6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9,231</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16,250</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Peter Fellner</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1,692,673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65,500</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Peter Bains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710,583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206,796</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Paul Blackburn</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236,974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22,624</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Anders Ekblom</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216,264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189,702</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Kunal Kashyap</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216,264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1,497,735</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Deepika R. Pakianathan, Ph.D</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1,283,670</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740" w:type="dxa"/>
            <w:vAlign w:val="bottom"/>
            <w:gridSpan w:val="2"/>
          </w:tcPr>
          <w:p>
            <w:pPr>
              <w:spacing w:after="0"/>
              <w:rPr>
                <w:sz w:val="20"/>
                <w:szCs w:val="20"/>
                <w:color w:val="auto"/>
              </w:rPr>
            </w:pPr>
            <w:r>
              <w:rPr>
                <w:rFonts w:ascii="Arial" w:cs="Arial" w:eastAsia="Arial" w:hAnsi="Arial"/>
                <w:sz w:val="16"/>
                <w:szCs w:val="16"/>
                <w:color w:val="auto"/>
              </w:rPr>
              <w:t>Michael S. Wyzga</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-5413375</wp:posOffset>
            </wp:positionV>
            <wp:extent cx="699516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-5164455</wp:posOffset>
            </wp:positionV>
            <wp:extent cx="6995160" cy="1200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-4924425</wp:posOffset>
            </wp:positionV>
            <wp:extent cx="6995160" cy="1200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-4684395</wp:posOffset>
            </wp:positionV>
            <wp:extent cx="6995160" cy="1200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-4444365</wp:posOffset>
            </wp:positionV>
            <wp:extent cx="6995160" cy="1200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-4204335</wp:posOffset>
            </wp:positionV>
            <wp:extent cx="6995160" cy="1200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-3964305</wp:posOffset>
            </wp:positionV>
            <wp:extent cx="6995160" cy="1200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-3724275</wp:posOffset>
            </wp:positionV>
            <wp:extent cx="6995160" cy="1200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-3484245</wp:posOffset>
            </wp:positionV>
            <wp:extent cx="6995160" cy="1200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-3244215</wp:posOffset>
            </wp:positionV>
            <wp:extent cx="6995160" cy="120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-3004185</wp:posOffset>
            </wp:positionV>
            <wp:extent cx="6995160" cy="1200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-2764155</wp:posOffset>
            </wp:positionV>
            <wp:extent cx="6995160"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-2524125</wp:posOffset>
            </wp:positionV>
            <wp:extent cx="6995160" cy="120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-2284095</wp:posOffset>
            </wp:positionV>
            <wp:extent cx="6995160" cy="120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-2044065</wp:posOffset>
            </wp:positionV>
            <wp:extent cx="6995160" cy="1200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-1804035</wp:posOffset>
            </wp:positionV>
            <wp:extent cx="6995160" cy="1200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-1564005</wp:posOffset>
            </wp:positionV>
            <wp:extent cx="6995160" cy="1200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-1323975</wp:posOffset>
            </wp:positionV>
            <wp:extent cx="6995160" cy="1200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-1083945</wp:posOffset>
            </wp:positionV>
            <wp:extent cx="6995160" cy="1200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-843915</wp:posOffset>
            </wp:positionV>
            <wp:extent cx="6995160" cy="1200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-603885</wp:posOffset>
            </wp:positionV>
            <wp:extent cx="6995160" cy="1200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-363855</wp:posOffset>
            </wp:positionV>
            <wp:extent cx="6995160" cy="1200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1200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ADSs</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Underlying</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 ADS</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6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5"/>
                <w:szCs w:val="15"/>
                <w:color w:val="auto"/>
              </w:rPr>
            </w:pPr>
          </w:p>
        </w:tc>
        <w:tc>
          <w:tcPr>
            <w:tcW w:w="17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Expiration Date</w:t>
            </w:r>
          </w:p>
        </w:tc>
      </w:tr>
      <w:tr>
        <w:trPr>
          <w:trHeight w:val="184"/>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 2018</w:t>
            </w:r>
          </w:p>
        </w:tc>
        <w:tc>
          <w:tcPr>
            <w:tcW w:w="1700" w:type="dxa"/>
            <w:vAlign w:val="bottom"/>
          </w:tcPr>
          <w:p>
            <w:pPr>
              <w:ind w:left="60"/>
              <w:spacing w:after="0"/>
              <w:rPr>
                <w:sz w:val="20"/>
                <w:szCs w:val="20"/>
                <w:color w:val="auto"/>
              </w:rPr>
            </w:pPr>
            <w:r>
              <w:rPr>
                <w:rFonts w:ascii="Arial" w:cs="Arial" w:eastAsia="Arial" w:hAnsi="Arial"/>
                <w:sz w:val="16"/>
                <w:szCs w:val="16"/>
                <w:color w:val="auto"/>
              </w:rPr>
              <w:t>May 2, 2028</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 2018</w:t>
            </w:r>
          </w:p>
        </w:tc>
        <w:tc>
          <w:tcPr>
            <w:tcW w:w="1700" w:type="dxa"/>
            <w:vAlign w:val="bottom"/>
          </w:tcPr>
          <w:p>
            <w:pPr>
              <w:ind w:left="60"/>
              <w:spacing w:after="0"/>
              <w:rPr>
                <w:sz w:val="20"/>
                <w:szCs w:val="20"/>
                <w:color w:val="auto"/>
              </w:rPr>
            </w:pPr>
            <w:r>
              <w:rPr>
                <w:rFonts w:ascii="Arial" w:cs="Arial" w:eastAsia="Arial" w:hAnsi="Arial"/>
                <w:sz w:val="16"/>
                <w:szCs w:val="16"/>
                <w:color w:val="auto"/>
              </w:rPr>
              <w:t>May 2, 2028</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18,000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18,000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September 29, 2015</w:t>
            </w:r>
          </w:p>
        </w:tc>
        <w:tc>
          <w:tcPr>
            <w:tcW w:w="1700" w:type="dxa"/>
            <w:vAlign w:val="bottom"/>
          </w:tcPr>
          <w:p>
            <w:pPr>
              <w:ind w:left="60"/>
              <w:spacing w:after="0"/>
              <w:rPr>
                <w:sz w:val="20"/>
                <w:szCs w:val="20"/>
                <w:color w:val="auto"/>
              </w:rPr>
            </w:pPr>
            <w:r>
              <w:rPr>
                <w:rFonts w:ascii="Arial" w:cs="Arial" w:eastAsia="Arial" w:hAnsi="Arial"/>
                <w:sz w:val="16"/>
                <w:szCs w:val="16"/>
                <w:color w:val="auto"/>
              </w:rPr>
              <w:t>September 29, 2025</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September 29, 2015</w:t>
            </w:r>
          </w:p>
        </w:tc>
        <w:tc>
          <w:tcPr>
            <w:tcW w:w="1700" w:type="dxa"/>
            <w:vAlign w:val="bottom"/>
          </w:tcPr>
          <w:p>
            <w:pPr>
              <w:ind w:left="60"/>
              <w:spacing w:after="0"/>
              <w:rPr>
                <w:sz w:val="20"/>
                <w:szCs w:val="20"/>
                <w:color w:val="auto"/>
              </w:rPr>
            </w:pPr>
            <w:r>
              <w:rPr>
                <w:rFonts w:ascii="Arial" w:cs="Arial" w:eastAsia="Arial" w:hAnsi="Arial"/>
                <w:sz w:val="16"/>
                <w:szCs w:val="16"/>
                <w:color w:val="auto"/>
              </w:rPr>
              <w:t>September 29, 2025</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11, 2016</w:t>
            </w:r>
          </w:p>
        </w:tc>
        <w:tc>
          <w:tcPr>
            <w:tcW w:w="1700" w:type="dxa"/>
            <w:vAlign w:val="bottom"/>
          </w:tcPr>
          <w:p>
            <w:pPr>
              <w:ind w:left="60"/>
              <w:spacing w:after="0"/>
              <w:rPr>
                <w:sz w:val="20"/>
                <w:szCs w:val="20"/>
                <w:color w:val="auto"/>
              </w:rPr>
            </w:pPr>
            <w:r>
              <w:rPr>
                <w:rFonts w:ascii="Arial" w:cs="Arial" w:eastAsia="Arial" w:hAnsi="Arial"/>
                <w:sz w:val="16"/>
                <w:szCs w:val="16"/>
                <w:color w:val="auto"/>
              </w:rPr>
              <w:t>May 11, 2026</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September 29, 2015</w:t>
            </w:r>
          </w:p>
        </w:tc>
        <w:tc>
          <w:tcPr>
            <w:tcW w:w="1700" w:type="dxa"/>
            <w:vAlign w:val="bottom"/>
          </w:tcPr>
          <w:p>
            <w:pPr>
              <w:ind w:left="60"/>
              <w:spacing w:after="0"/>
              <w:rPr>
                <w:sz w:val="20"/>
                <w:szCs w:val="20"/>
                <w:color w:val="auto"/>
              </w:rPr>
            </w:pPr>
            <w:r>
              <w:rPr>
                <w:rFonts w:ascii="Arial" w:cs="Arial" w:eastAsia="Arial" w:hAnsi="Arial"/>
                <w:sz w:val="16"/>
                <w:szCs w:val="16"/>
                <w:color w:val="auto"/>
              </w:rPr>
              <w:t>September 29, 2025</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September 29, 2015</w:t>
            </w:r>
          </w:p>
        </w:tc>
        <w:tc>
          <w:tcPr>
            <w:tcW w:w="1700" w:type="dxa"/>
            <w:vAlign w:val="bottom"/>
          </w:tcPr>
          <w:p>
            <w:pPr>
              <w:ind w:left="60"/>
              <w:spacing w:after="0"/>
              <w:rPr>
                <w:sz w:val="20"/>
                <w:szCs w:val="20"/>
                <w:color w:val="auto"/>
              </w:rPr>
            </w:pPr>
            <w:r>
              <w:rPr>
                <w:rFonts w:ascii="Arial" w:cs="Arial" w:eastAsia="Arial" w:hAnsi="Arial"/>
                <w:sz w:val="16"/>
                <w:szCs w:val="16"/>
                <w:color w:val="auto"/>
              </w:rPr>
              <w:t>September 29, 2025</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89"/>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r>
        <w:trPr>
          <w:trHeight w:val="195"/>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7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72"/>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5.40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May 20, 2019</w:t>
            </w:r>
          </w:p>
        </w:tc>
        <w:tc>
          <w:tcPr>
            <w:tcW w:w="1700" w:type="dxa"/>
            <w:vAlign w:val="bottom"/>
          </w:tcPr>
          <w:p>
            <w:pPr>
              <w:ind w:left="60"/>
              <w:spacing w:after="0"/>
              <w:rPr>
                <w:sz w:val="20"/>
                <w:szCs w:val="20"/>
                <w:color w:val="auto"/>
              </w:rPr>
            </w:pPr>
            <w:r>
              <w:rPr>
                <w:rFonts w:ascii="Arial" w:cs="Arial" w:eastAsia="Arial" w:hAnsi="Arial"/>
                <w:sz w:val="16"/>
                <w:szCs w:val="16"/>
                <w:color w:val="auto"/>
              </w:rPr>
              <w:t>May 20, 2029</w:t>
            </w:r>
          </w:p>
        </w:tc>
      </w:tr>
      <w:tr>
        <w:trPr>
          <w:trHeight w:val="18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3.00</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23, 2019</w:t>
            </w:r>
          </w:p>
        </w:tc>
        <w:tc>
          <w:tcPr>
            <w:tcW w:w="1700" w:type="dxa"/>
            <w:vAlign w:val="bottom"/>
          </w:tcPr>
          <w:p>
            <w:pPr>
              <w:ind w:left="60"/>
              <w:spacing w:after="0"/>
              <w:rPr>
                <w:sz w:val="20"/>
                <w:szCs w:val="20"/>
                <w:color w:val="auto"/>
              </w:rPr>
            </w:pPr>
            <w:r>
              <w:rPr>
                <w:rFonts w:ascii="Arial" w:cs="Arial" w:eastAsia="Arial" w:hAnsi="Arial"/>
                <w:sz w:val="16"/>
                <w:szCs w:val="16"/>
                <w:color w:val="auto"/>
              </w:rPr>
              <w:t>July 23, 2029</w:t>
            </w:r>
          </w:p>
        </w:tc>
      </w:tr>
      <w:tr>
        <w:trPr>
          <w:trHeight w:val="195"/>
        </w:trPr>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1.84</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20, 2020</w:t>
            </w:r>
          </w:p>
        </w:tc>
        <w:tc>
          <w:tcPr>
            <w:tcW w:w="1700" w:type="dxa"/>
            <w:vAlign w:val="bottom"/>
          </w:tcPr>
          <w:p>
            <w:pPr>
              <w:ind w:left="60"/>
              <w:spacing w:after="0"/>
              <w:rPr>
                <w:sz w:val="20"/>
                <w:szCs w:val="20"/>
                <w:color w:val="auto"/>
              </w:rPr>
            </w:pPr>
            <w:r>
              <w:rPr>
                <w:rFonts w:ascii="Arial" w:cs="Arial" w:eastAsia="Arial" w:hAnsi="Arial"/>
                <w:sz w:val="16"/>
                <w:szCs w:val="16"/>
                <w:color w:val="auto"/>
              </w:rPr>
              <w:t>February 20, 2030</w:t>
            </w:r>
          </w:p>
        </w:tc>
      </w:tr>
    </w:tbl>
    <w:p>
      <w:pPr>
        <w:spacing w:after="0" w:line="186" w:lineRule="exact"/>
        <w:rPr>
          <w:sz w:val="20"/>
          <w:szCs w:val="20"/>
          <w:color w:val="auto"/>
        </w:rPr>
      </w:pPr>
    </w:p>
    <w:p>
      <w:pPr>
        <w:sectPr>
          <w:pgSz w:w="11900" w:h="16838" w:orient="portrait"/>
          <w:cols w:equalWidth="0" w:num="2">
            <w:col w:w="5580" w:space="160"/>
            <w:col w:w="5320"/>
          </w:cols>
          <w:pgMar w:left="320" w:top="459" w:right="51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Incentive Award Arrangements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no incentive award arrangements in place as of the date of this prospectus.</w:t>
      </w:r>
    </w:p>
    <w:p>
      <w:pPr>
        <w:spacing w:after="0" w:line="1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60"/>
          </w:cols>
          <w:pgMar w:left="320" w:top="459" w:right="519" w:bottom="1440" w:gutter="0" w:footer="0" w:header="0"/>
          <w:type w:val="continuous"/>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Non-Executive Directors Remuneration</w:t>
      </w:r>
    </w:p>
    <w:p>
      <w:pPr>
        <w:spacing w:after="0" w:line="99"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following table sets forth the remuneration paid during 2018 to the current non-executive directors, all of which was in the form of annual fees: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9720" w:type="dxa"/>
            <w:vAlign w:val="bottom"/>
            <w:vMerge w:val="restart"/>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9720" w:type="dxa"/>
            <w:vAlign w:val="bottom"/>
            <w:vMerge w:val="continue"/>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Fees (£)</w:t>
            </w:r>
          </w:p>
        </w:tc>
        <w:tc>
          <w:tcPr>
            <w:tcW w:w="0" w:type="dxa"/>
            <w:vAlign w:val="bottom"/>
          </w:tcPr>
          <w:p>
            <w:pPr>
              <w:spacing w:after="0"/>
              <w:rPr>
                <w:sz w:val="1"/>
                <w:szCs w:val="1"/>
                <w:color w:val="auto"/>
              </w:rPr>
            </w:pPr>
          </w:p>
        </w:tc>
      </w:tr>
      <w:tr>
        <w:trPr>
          <w:trHeight w:val="189"/>
        </w:trPr>
        <w:tc>
          <w:tcPr>
            <w:tcW w:w="10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 Bains</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120" w:type="dxa"/>
            <w:vAlign w:val="bottom"/>
            <w:gridSpan w:val="2"/>
          </w:tcPr>
          <w:p>
            <w:pPr>
              <w:spacing w:after="0" w:line="202" w:lineRule="exact"/>
              <w:rPr>
                <w:sz w:val="20"/>
                <w:szCs w:val="20"/>
                <w:color w:val="auto"/>
              </w:rPr>
            </w:pPr>
            <w:r>
              <w:rPr>
                <w:rFonts w:ascii="Arial" w:cs="Arial" w:eastAsia="Arial" w:hAnsi="Arial"/>
                <w:sz w:val="18"/>
                <w:szCs w:val="18"/>
                <w:color w:val="auto"/>
              </w:rPr>
              <w:t>Paul Blackburn</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3"/>
        </w:trPr>
        <w:tc>
          <w:tcPr>
            <w:tcW w:w="10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Anders Ekblom</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3"/>
        </w:trPr>
        <w:tc>
          <w:tcPr>
            <w:tcW w:w="10120" w:type="dxa"/>
            <w:vAlign w:val="bottom"/>
            <w:gridSpan w:val="2"/>
          </w:tcPr>
          <w:p>
            <w:pPr>
              <w:spacing w:after="0" w:line="202" w:lineRule="exact"/>
              <w:rPr>
                <w:sz w:val="20"/>
                <w:szCs w:val="20"/>
                <w:color w:val="auto"/>
              </w:rPr>
            </w:pPr>
            <w:r>
              <w:rPr>
                <w:rFonts w:ascii="Arial" w:cs="Arial" w:eastAsia="Arial" w:hAnsi="Arial"/>
                <w:sz w:val="18"/>
                <w:szCs w:val="18"/>
                <w:color w:val="auto"/>
              </w:rPr>
              <w:t>Peter Fellner</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3"/>
        </w:trPr>
        <w:tc>
          <w:tcPr>
            <w:tcW w:w="10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Kunal Kashyap</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Non-Executive Director Service Contracts</w:t>
      </w:r>
    </w:p>
    <w:p>
      <w:pPr>
        <w:spacing w:after="0" w:line="8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remuneration of the non-executive directors is determined by our board as a whole, based on a review of current practices in other companies. We have entered into service contracts with our directors for their services, which are subject to a three-month termination period. There are no arrangements under which any non-executive director is entitled to receive compensation upon the early termination of his or her appointment.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8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operate a defined contribution pension scheme which is available to all employees. We make payments of up to 10% of basic salary for executives (up to 15% for our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us to provide pension, retirement or similar benefits to our current directors and our senior management with respect to 2018 was £145,724, which represents contributions made by us in 2018 in respect of a defined contribution scheme.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w:t>
      </w:r>
    </w:p>
    <w:p>
      <w:pPr>
        <w:spacing w:after="0" w:line="99"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maintain directors’ and officers’ insurance to ensure such persons against certain liabilities. We have entered into a deed of indemnity with each of our directors.</w:t>
      </w:r>
    </w:p>
    <w:p>
      <w:pPr>
        <w:spacing w:after="0" w:line="203"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forgoing provisions, we have been informed that, in the opinion of the SEC, such indemnification is against public policy as expressed in the Securities Act and is therefore unenforceable.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following table sets forth information relating to the beneficial ownership of our ordinary shares as of March 1, 2020 (except as otherwise indicated) by:</w:t>
      </w:r>
    </w:p>
    <w:p>
      <w:pPr>
        <w:spacing w:after="0" w:line="188" w:lineRule="exact"/>
        <w:rPr>
          <w:sz w:val="20"/>
          <w:szCs w:val="20"/>
          <w:color w:val="auto"/>
        </w:rPr>
      </w:pPr>
    </w:p>
    <w:p>
      <w:pPr>
        <w:ind w:left="980" w:hanging="432"/>
        <w:spacing w:after="0"/>
        <w:tabs>
          <w:tab w:leader="none" w:pos="98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own beneficially 3% or more of our outstanding ordinary shares;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member of our Board and each of our other executive officers.</w:t>
      </w:r>
    </w:p>
    <w:p>
      <w:pPr>
        <w:spacing w:after="0" w:line="20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1, 2020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205"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percentage of ordinary shares beneficially owned before the offering is computed on the basis of 124,507,857 ordinary shares outstanding as of March 1, 2020. As of the date of this prospectus, our share capital consists of 124,507,857 fully subscribed and paid up shares. Ordinary shares that a person has the right to acquire within 60 days of March 1, 2020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Fourth Floor, One Cavendish Place, London W1G 0QF, United Kingdom.</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Number of</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Ordinary</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Shares</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Beneficially</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Owned as of</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78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March 1,</w:t>
            </w:r>
          </w:p>
        </w:tc>
        <w:tc>
          <w:tcPr>
            <w:tcW w:w="2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 of Ordinary Shares</w:t>
            </w:r>
          </w:p>
        </w:tc>
        <w:tc>
          <w:tcPr>
            <w:tcW w:w="0" w:type="dxa"/>
            <w:vAlign w:val="bottom"/>
          </w:tcPr>
          <w:p>
            <w:pPr>
              <w:spacing w:after="0"/>
              <w:rPr>
                <w:sz w:val="1"/>
                <w:szCs w:val="1"/>
                <w:color w:val="auto"/>
              </w:rPr>
            </w:pPr>
          </w:p>
        </w:tc>
      </w:tr>
      <w:tr>
        <w:trPr>
          <w:trHeight w:val="182"/>
        </w:trPr>
        <w:tc>
          <w:tcPr>
            <w:tcW w:w="2620" w:type="dxa"/>
            <w:vAlign w:val="bottom"/>
            <w:tcBorders>
              <w:bottom w:val="single" w:sz="8" w:color="auto"/>
            </w:tcBorders>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3220" w:type="dxa"/>
            <w:vAlign w:val="bottom"/>
            <w:gridSpan w:val="2"/>
          </w:tcPr>
          <w:p>
            <w:pPr>
              <w:jc w:val="center"/>
              <w:ind w:left="2191"/>
              <w:spacing w:after="0"/>
              <w:rPr>
                <w:sz w:val="20"/>
                <w:szCs w:val="20"/>
                <w:color w:val="auto"/>
              </w:rPr>
            </w:pPr>
            <w:r>
              <w:rPr>
                <w:rFonts w:ascii="Arial" w:cs="Arial" w:eastAsia="Arial" w:hAnsi="Arial"/>
                <w:sz w:val="14"/>
                <w:szCs w:val="14"/>
                <w:b w:val="1"/>
                <w:bCs w:val="1"/>
                <w:color w:val="auto"/>
              </w:rPr>
              <w:t>2020(1)</w:t>
            </w:r>
          </w:p>
        </w:tc>
        <w:tc>
          <w:tcPr>
            <w:tcW w:w="1060" w:type="dxa"/>
            <w:vAlign w:val="bottom"/>
          </w:tcPr>
          <w:p>
            <w:pPr>
              <w:spacing w:after="0"/>
              <w:rPr>
                <w:sz w:val="15"/>
                <w:szCs w:val="15"/>
                <w:color w:val="auto"/>
              </w:rPr>
            </w:pPr>
          </w:p>
        </w:tc>
        <w:tc>
          <w:tcPr>
            <w:tcW w:w="2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76"/>
        </w:trPr>
        <w:tc>
          <w:tcPr>
            <w:tcW w:w="44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3% or Greater Shareholders:</w:t>
            </w:r>
          </w:p>
        </w:tc>
        <w:tc>
          <w:tcPr>
            <w:tcW w:w="2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Link Fund Solutions Limited(2)</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19,031,915</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Invesco Asset Management(3)</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17,392,000</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Novartis Pharma AG(4)</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15,703,871</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Aspire Capital Fund, LLC(5)</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14,295,520</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Boxer Capital, LLC(6)</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12,252,715</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Schroder UK Public Private Trust PLC(7)</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7,845,873</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Executive Officers and Directors:</w:t>
            </w:r>
          </w:p>
        </w:tc>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Denise Scots-Knight, Ph.D.(8)</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2,480,744</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Richard Jones</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66,915</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Alastair MacKinnon, MBBS(9)</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1,280,291</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John Richard(10)</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1,130,789</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Charles Sermon(11)</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1,342,230</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Jill Henrich</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10,380</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Peter Fellner, Ph.D.(12)</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1,758,173</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Peter Bains(13)</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917,379</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Paul Blackburn(14)</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259,598</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Anders Ekblom, M.D., Ph.D.(15)</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259,598</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Kunal Kashyap(16)</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1,713,999</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Alexandra (Wills) Hughes-Wilson(17)</w:t>
            </w:r>
          </w:p>
        </w:tc>
        <w:tc>
          <w:tcPr>
            <w:tcW w:w="42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16,250</w:t>
            </w:r>
          </w:p>
        </w:tc>
        <w:tc>
          <w:tcPr>
            <w:tcW w:w="2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Deepika R. Pakianathan, Ph.D (18)</w:t>
            </w:r>
          </w:p>
        </w:tc>
        <w:tc>
          <w:tcPr>
            <w:tcW w:w="4280" w:type="dxa"/>
            <w:vAlign w:val="bottom"/>
            <w:gridSpan w:val="3"/>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1,283,670</w:t>
            </w:r>
          </w:p>
        </w:tc>
        <w:tc>
          <w:tcPr>
            <w:tcW w:w="2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4400" w:type="dxa"/>
            <w:vAlign w:val="bottom"/>
            <w:gridSpan w:val="2"/>
          </w:tcPr>
          <w:p>
            <w:pPr>
              <w:ind w:left="180"/>
              <w:spacing w:after="0"/>
              <w:rPr>
                <w:sz w:val="20"/>
                <w:szCs w:val="20"/>
                <w:color w:val="auto"/>
              </w:rPr>
            </w:pPr>
            <w:r>
              <w:rPr>
                <w:rFonts w:ascii="Arial" w:cs="Arial" w:eastAsia="Arial" w:hAnsi="Arial"/>
                <w:sz w:val="18"/>
                <w:szCs w:val="18"/>
                <w:color w:val="auto"/>
              </w:rPr>
              <w:t>Michael S. Wyzga</w:t>
            </w:r>
          </w:p>
        </w:tc>
        <w:tc>
          <w:tcPr>
            <w:tcW w:w="2260" w:type="dxa"/>
            <w:vAlign w:val="bottom"/>
          </w:tcPr>
          <w:p>
            <w:pPr>
              <w:spacing w:after="0"/>
              <w:rPr>
                <w:sz w:val="18"/>
                <w:szCs w:val="18"/>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2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jc w:val="right"/>
              <w:ind w:right="911"/>
              <w:spacing w:after="0"/>
              <w:rPr>
                <w:sz w:val="20"/>
                <w:szCs w:val="20"/>
                <w:color w:val="auto"/>
              </w:rPr>
            </w:pPr>
            <w:r>
              <w:rPr>
                <w:rFonts w:ascii="Arial" w:cs="Arial" w:eastAsia="Arial" w:hAnsi="Arial"/>
                <w:sz w:val="18"/>
                <w:szCs w:val="18"/>
                <w:color w:val="auto"/>
              </w:rPr>
              <w:t>211</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18173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w:t>
      </w:r>
    </w:p>
    <w:p>
      <w:pPr>
        <w:spacing w:after="0" w:line="36"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Ordinary shares figures include ordinary shares represented by ADSs.</w:t>
      </w:r>
    </w:p>
    <w:p>
      <w:pPr>
        <w:spacing w:after="0" w:line="36" w:lineRule="exact"/>
        <w:rPr>
          <w:rFonts w:ascii="Arial" w:cs="Arial" w:eastAsia="Arial" w:hAnsi="Arial"/>
          <w:sz w:val="18"/>
          <w:szCs w:val="18"/>
          <w:color w:val="auto"/>
        </w:rPr>
      </w:pPr>
    </w:p>
    <w:p>
      <w:pPr>
        <w:ind w:left="540" w:hanging="424"/>
        <w:spacing w:after="0" w:line="235"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Until October 15, 2019, consisted of (i) 19,153,667 ordinary shares held by LF Woodford Equity Income Fund, a subfund of LF Woodford Investment Fund (the “Fund”) and (ii) 7,845,873 Mereo ordinary shares held by Woodford Patient Capital Trust, Plc (“WPCT”). On October 15, 2019, Link Fund Solutions Limited (“Link”), as authorized corporate director of the Fund, announced its decision to wind the Fund up as soon as practicable by way of an orderly realization of the Fund’s assets (the “Winding-up Announcement”). This decision came after Link’s decision on June 3, 2019 to suspend redemptions and other dealings in shares in the Fund as a result of an increased level of redemptions from the Fund. Also on October 15, 2019, Woodford Investment Management Limited ceased to be the investment manager for the Fund. It was further announced that Link has allocated the Fund’s assets into two portfolios, one comprised of listed assets and one comprised of unlisted and certain highly illiquid listed assets. According to the Winding-Up Announcement, BlackRock Advisors (UK) Limited has been appointed to sell the assets in the first portfolio during the period until winding up of the Fund commences. In addition, PJT Partners (UK) Limited will continue to assist Link in selling the assets in the second portfolio. On January 18, 2020, the Fund was formally moved into wind-up, Schroder Investment Management succeeded Woodford as investment manager of WPCT, and WPCT was renamed Schroder UK Public Private Trust PLC. See footnote (5) below. The first capital distribution by Link was paid to investors on January 30, 2020, and further capital distributions are expected to be made as and when suitable amounts of cash have been raised from the sale of the remaining assets of the Fund. As a direct or indirect result of the foregoing, all or part of the shares previously held and managed by Woodford may be sold or otherwise disposed of, any of which may occur imminently. In addition, while Link retains control over approximately 15.3% of our shares (consisting of the shares previously held by the Fund), it will continue to exert significant influence over all matters requiring shareholder approval, including the election of directors and approval of significant corporate transactions. Link’s interests may conflict with your interests, including as a direct or indirect result of the above-described developments. Based on information known to Mereo and a Form TR 1 provided to Mereo in February 2020, the share holdings consist of (i) 16,478,248 ordinary shares held by BlackRock Investment Management (Transition) and (ii) 2,553,667 ordinary shares held by Link. The address of Link is 6th Floor, 65 Gresham Street, London, EC2V 7NQ, United Kingdom.</w:t>
      </w:r>
    </w:p>
    <w:p>
      <w:pPr>
        <w:spacing w:after="0" w:line="36" w:lineRule="exact"/>
        <w:rPr>
          <w:rFonts w:ascii="Arial" w:cs="Arial" w:eastAsia="Arial" w:hAnsi="Arial"/>
          <w:sz w:val="18"/>
          <w:szCs w:val="18"/>
          <w:color w:val="auto"/>
        </w:rPr>
      </w:pPr>
    </w:p>
    <w:p>
      <w:pPr>
        <w:ind w:left="540" w:right="340" w:hanging="424"/>
        <w:spacing w:after="0" w:line="238"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share holdings of Invesco Asset Management consist of (i) 12,546,466 ordinary shares beneficially owned by Invesco High Income Fund and (ii) 4,843,534 ordinary shares beneficially owned by Invesco Income Fund. Beneficial ownership information is based on information known to Mereo. The address of Invesco Asset Management Limited is 30 Finsbury Square, London EC2A 1AG, United Kingdom.</w:t>
      </w:r>
    </w:p>
    <w:p>
      <w:pPr>
        <w:spacing w:after="0" w:line="29" w:lineRule="exact"/>
        <w:rPr>
          <w:rFonts w:ascii="Arial" w:cs="Arial" w:eastAsia="Arial" w:hAnsi="Arial"/>
          <w:sz w:val="18"/>
          <w:szCs w:val="18"/>
          <w:color w:val="auto"/>
        </w:rPr>
      </w:pPr>
    </w:p>
    <w:p>
      <w:pPr>
        <w:ind w:left="540" w:right="120" w:hanging="424"/>
        <w:spacing w:after="0" w:line="246"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15,703,871 ordinary shares held by Novartis. Beneficial ownership information is based on information known to Mereo. The address of Novartis AG is Lichtstrasse 35, 4056 Basel, Switzerland.</w:t>
      </w:r>
    </w:p>
    <w:p>
      <w:pPr>
        <w:spacing w:after="0" w:line="21" w:lineRule="exact"/>
        <w:rPr>
          <w:rFonts w:ascii="Arial" w:cs="Arial" w:eastAsia="Arial" w:hAnsi="Arial"/>
          <w:sz w:val="18"/>
          <w:szCs w:val="18"/>
          <w:color w:val="auto"/>
        </w:rPr>
      </w:pPr>
    </w:p>
    <w:p>
      <w:pPr>
        <w:ind w:left="540" w:right="80" w:hanging="424"/>
        <w:spacing w:after="0" w:line="236"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entirely of ordinary shares held by Aspire Capital, which consists of the Initial Shares and the Commission Shares purchased by Aspire Capital pursuant to the Purchase Agreement. See “The Aspire Capital Transaction.” Aspire Capital Partners LLC (“Aspire Partners”) is the Managing Member of Aspire Capital. SGM Holdings Corp. (“SGM”) is the managing member of Aspire Partners. Mr. Steven G. Martin is the president and sole shareholder of SGM, as well as a principal of Aspire Partners. Mr. Erik J. Brown is the president and sole shareholder of Red Cedar Capital Corp. (“Red Cedar”) which is a principal of Aspire Partners. Mr. Christos Komissopoulos is president and sole shareholder of Chrisko Investors Inc. (“Chrisko”), which is a principal of Aspire Partners. Mr. William F. Blank, III is president and sole shareholder of WML Ventures Corp. (“WML Ventures”), which is a principal of Aspire Partners. Each of Aspire Partners, SGM, Red Cedar, Chrisko, WML Ventures, Mr. Martin, Mr. Brown, Mr. Komissopoulos and Mr. Blank may be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40" w:right="160"/>
        <w:spacing w:after="0"/>
        <w:rPr>
          <w:sz w:val="20"/>
          <w:szCs w:val="20"/>
          <w:color w:val="auto"/>
        </w:rPr>
      </w:pPr>
      <w:r>
        <w:rPr>
          <w:rFonts w:ascii="Arial" w:cs="Arial" w:eastAsia="Arial" w:hAnsi="Arial"/>
          <w:sz w:val="18"/>
          <w:szCs w:val="18"/>
          <w:color w:val="auto"/>
        </w:rPr>
        <w:t>deemed to be a beneficial owner of the ordinary shares held by Aspire Capital. Each of Aspire Partners, SGM, Red Cedar, Chrisko, WML Ventures, Mr. Martin, Mr. Brown, Mr. Komissopoulos and Mr. Blank disclaims beneficial ownership of the ordinary shares held by Aspire Capital. The address of Aspire Capital is 155 North Wacker Dr. Suite 1600, Chicago, IL 60606.</w:t>
      </w:r>
    </w:p>
    <w:p>
      <w:pPr>
        <w:spacing w:after="0" w:line="27" w:lineRule="exact"/>
        <w:rPr>
          <w:sz w:val="20"/>
          <w:szCs w:val="20"/>
          <w:color w:val="auto"/>
        </w:rPr>
      </w:pPr>
    </w:p>
    <w:p>
      <w:pPr>
        <w:ind w:left="540" w:right="1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12,252,715 ordinary shares held by Boxer Capital based on a report on Form 13G filed with the SEC on March 2, 2020. See also “Prospectus Summary—Recent Developments—Boxer Capital Transaction.” The address of Boxer Capital is 11682 El Camino Real, Suite 320, San Diego, CA 92130.</w:t>
      </w:r>
    </w:p>
    <w:p>
      <w:pPr>
        <w:spacing w:after="0" w:line="27" w:lineRule="exact"/>
        <w:rPr>
          <w:rFonts w:ascii="Arial" w:cs="Arial" w:eastAsia="Arial" w:hAnsi="Arial"/>
          <w:sz w:val="18"/>
          <w:szCs w:val="18"/>
          <w:color w:val="auto"/>
        </w:rPr>
      </w:pPr>
    </w:p>
    <w:p>
      <w:pPr>
        <w:ind w:left="540" w:right="38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entirely of ordinary shares. Beneficial ownership information for Schroder UK Public Private Trust PLC is based on information known to Mereo. Schroder Investment Management is the investment manager for Schroder UK Public Private Trust PLC. The address of Schroder Investment Management Ltd. is 1 London Wall Place, London, EC2Y 5AU, UK.</w:t>
      </w:r>
    </w:p>
    <w:p>
      <w:pPr>
        <w:spacing w:after="0" w:line="27" w:lineRule="exact"/>
        <w:rPr>
          <w:rFonts w:ascii="Arial" w:cs="Arial" w:eastAsia="Arial" w:hAnsi="Arial"/>
          <w:sz w:val="18"/>
          <w:szCs w:val="18"/>
          <w:color w:val="auto"/>
        </w:rPr>
      </w:pPr>
    </w:p>
    <w:p>
      <w:pPr>
        <w:ind w:left="540" w:right="120" w:hanging="424"/>
        <w:spacing w:after="0" w:line="246"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1,544,745 ordinary shares that are or will be immediately exercisable within 60 days of March 1, 2020. Includes 6,300 ordinary shares held by Dr. Scots-Knight’s husband.</w:t>
      </w:r>
    </w:p>
    <w:p>
      <w:pPr>
        <w:spacing w:after="0" w:line="21"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772,371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816,131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772,371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1,692,673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710,583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236,974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216,264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options to purchase 216,264 ordinary shares that are or will be immediately exercisable within 60 days of March 1, 2020.</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8,000 ordinary shares held by Ms. Hughes-Wilson’s husband.</w:t>
      </w:r>
    </w:p>
    <w:p>
      <w:pPr>
        <w:spacing w:after="0" w:line="36" w:lineRule="exact"/>
        <w:rPr>
          <w:rFonts w:ascii="Arial" w:cs="Arial" w:eastAsia="Arial" w:hAnsi="Arial"/>
          <w:sz w:val="18"/>
          <w:szCs w:val="18"/>
          <w:color w:val="auto"/>
        </w:rPr>
      </w:pPr>
    </w:p>
    <w:p>
      <w:pPr>
        <w:ind w:left="540" w:right="40" w:hanging="424"/>
        <w:spacing w:after="0" w:line="237"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Delphi Ventures VIII, L.P. (“Delphi VIII”) directly holds 254,327 ADSs. Delphi BioInvestments VIII, L.P. (“DBI VIII”) directly holds 2,407 ADSs. Delphi Management Partners VIII, L.L.C. (“DMP VIII”) is the general partner of Delphi VIII and DBI VIII (together, the “Delphi VIII Funds”), and may be deemed to have sole voting and dispositive power over the ADSs held by the Delphi VIII Funds. DMP VIII and each of James J. Bochnowski, David L. Douglass, Douglas A. Roeder and Deepika R. Pakianathan, Ph.D., the Managing Members of DMP VIII who may be deemed to share voting and dispositive power over the reported securities, disclaim beneficial ownership of the reported securities held by the Delphi VIII Funds except to the extent of any pecuniary interest therein.</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To our knowledge, and other than changes in percentage ownership as a result of the shares issued in connection with our initial public offering in the United Kingdom, the Merger and the transactions with Aspire Capital and Boxer Capital, there has been no significant change in the percentage ownership held by the major shareholders listed above in the last three years, except as discussed under the heading “Related Party Transactions.”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RELATED PARTY TRANSACTIONS</w:t>
      </w:r>
    </w:p>
    <w:p>
      <w:pPr>
        <w:spacing w:after="0" w:line="342" w:lineRule="exact"/>
        <w:rPr>
          <w:sz w:val="20"/>
          <w:szCs w:val="20"/>
          <w:color w:val="auto"/>
        </w:rPr>
      </w:pPr>
    </w:p>
    <w:p>
      <w:pPr>
        <w:ind w:left="120" w:right="400" w:firstLine="440"/>
        <w:spacing w:after="0" w:line="274" w:lineRule="auto"/>
        <w:rPr>
          <w:sz w:val="20"/>
          <w:szCs w:val="20"/>
          <w:color w:val="auto"/>
        </w:rPr>
      </w:pPr>
      <w:r>
        <w:rPr>
          <w:rFonts w:ascii="Arial" w:cs="Arial" w:eastAsia="Arial" w:hAnsi="Arial"/>
          <w:sz w:val="17"/>
          <w:szCs w:val="17"/>
          <w:color w:val="auto"/>
        </w:rPr>
        <w:t>The following is a description of related party transactions we have entered into with the beneficial owners of 3% or more of our ordinary shares, which are our only voting securities, and senior management and members of our Board, since our incorporation.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Subscription Agreement</w:t>
      </w:r>
    </w:p>
    <w:p>
      <w:pPr>
        <w:spacing w:after="0" w:line="99"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July 28, 2015, we entered into a subscription agreement for ordinary shares (the “Subscription Agreement”), with Invesco Perpetual High Income Fund, Woodford Patient Capital Trust plc and LF Equity Income Fund (collectively, the “Investors”), and Novartis. Under the Subscription Agreement, we initially issued 10,869,566 ordinary shares to the Investors at a price per ordinary share of £1.84 for total aggregate cash proceeds of £ 20.0 million, and 3,849,000 ordinary shares to Novartis in connection with the asset purchase agreements described under “—Other Transactions with Novartis.”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Subscription Agreement provided for us to draw down additional investments from the Investors. The Subscription Agreement also obligated us, upon the issuance of additional ordinary shares, to issue to Novartis the number of ordinary shares required to maintain Novartis’ percentage ownership of us at 19.5%, with the maximum aggregate number of ordinary shares that may be issued to Novartis under the Subscription Agreement set at 14,000,000. On June 9, 2016, we issued an additional 30,727,361 ordinary shares to the Investors pursuant to the drawdown and 8,697,480 ordinary shares to Novartis to maintain its percentage ownership following the drawdown and an additional private placement of our ordinary shares, for aggregate cash proceeds to us of £72.6 million. In accordance with its terms, the Subscription Agreement was terminated upon the admission of our ordinary shares to trading on AIM on June 9, 2016. In lieu of the remaining ordinary shares that we were obligated to issue to Novartis under the Subscription Agreement, Novartis become entitled to receive additional shares upon conversion of the Novartis Notes (part of which were converted into ordinary shares in April 2017, and the remainder of which were converted into ordinary shares in June 2019). See “—Other Transactions with Novartis—Novartis Notes.”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Transactions with Novartis</w:t>
      </w:r>
    </w:p>
    <w:p>
      <w:pPr>
        <w:spacing w:after="0" w:line="85" w:lineRule="exact"/>
        <w:rPr>
          <w:sz w:val="20"/>
          <w:szCs w:val="20"/>
          <w:color w:val="auto"/>
        </w:rPr>
      </w:pPr>
    </w:p>
    <w:p>
      <w:pPr>
        <w:jc w:val="both"/>
        <w:ind w:left="120" w:right="320" w:firstLine="440"/>
        <w:spacing w:after="0"/>
        <w:rPr>
          <w:sz w:val="20"/>
          <w:szCs w:val="20"/>
          <w:color w:val="auto"/>
        </w:rPr>
      </w:pPr>
      <w:r>
        <w:rPr>
          <w:rFonts w:ascii="Arial" w:cs="Arial" w:eastAsia="Arial" w:hAnsi="Arial"/>
          <w:sz w:val="18"/>
          <w:szCs w:val="18"/>
          <w:color w:val="auto"/>
        </w:rPr>
        <w:t>On July 28, 2015, we entered into asset purchase agreements with Novartis to purchase each of setrusumab, acumapimod, and leflutrozole. See “Business—Material Agreements—Novartis Agreements.” As consideration, we issued 3,849,000 ordinary shares to Novartis.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Notes</w:t>
      </w:r>
    </w:p>
    <w:p>
      <w:pPr>
        <w:spacing w:after="0" w:line="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On June 3, 2016, we issued 3,463,563 Novartis Notes to Novartis, for aggregate proceeds to us of £3.5 million. See “Management’s Discussion and Analysis of Financial Condition and Results of Operations—Liquidity and Capital Resources—Indebtedness—Novartis Notes” for additional information on the terms of the Novartis Notes.</w:t>
      </w:r>
    </w:p>
    <w:p>
      <w:pPr>
        <w:spacing w:after="0" w:line="203"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£ 2.21 per share. Additionally, in connection with such conversion, we issued 864,988 Bonus Shares to Novartis. At June 30, 2019, there was no further liability under the Novartis Notes which were converted in full as at that date.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60"/>
          </w:cols>
          <w:pgMar w:left="320" w:top="459" w:right="5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In addition, 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New Novartis Notes and the warrants include an adjustment provision to prevent the dilution of the ordinary shares issuable to Novartis under certain circumstances.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 Payments</w:t>
      </w:r>
    </w:p>
    <w:p>
      <w:pPr>
        <w:spacing w:after="0" w:line="99"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In 2016, we paid Novartis a total of £968,219. In 2017, we paid Novartis a total of £4,610,106 for the manufacture and supply of clinical trial material. No payments were made from Mereo to Novartis in 2018.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Novartis Board Observer Rights</w:t>
      </w:r>
    </w:p>
    <w:p>
      <w:pPr>
        <w:spacing w:after="0" w:line="85"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Pursuant to our Articles, for as long as Novartis holds not less than one percent of our issued share capital, Novartis may appoint one observer who may attend, but not participate or vote in, any meeting of our Board.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Our Executive Officers and Directors</w:t>
      </w:r>
    </w:p>
    <w:p>
      <w:pPr>
        <w:spacing w:after="0" w:line="8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We have entered into employment agreements or consultancy agreements with certain of our executive officers. See “Management —Compensation—Executive Officer Employment Agreements.”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 Agreements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entered into deeds of indemnity with each of our directors. See “Management—Insurance and Indemnification.”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8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85"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As of March 1, 2020, our issued share capital was £373,523 equivalent to 124,507,857 ordinary shares. The nominal value of our ordinary shares, including ordinary shares in the form of ADSs, is £0.003 per ordinary share. Each issued ordinary share is fully paid. 22,102,085 of our ordinary shares are represented by 4,420,417 ADSs.</w:t>
      </w:r>
    </w:p>
    <w:p>
      <w:pPr>
        <w:spacing w:after="0" w:line="203"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According to the resolutions passed in our annual general meeting held on June 19, 2019, our Board was authorized to (i) allot new shares or grant rights to subscribe for, or convert other securities into, shares up to an amount equal to 100% of our total issued ordinary share capital as at May 17, 2019, comprising ordinary shares with an aggregate nominal value of £288,070.78; and (ii) allot equity securities for cash without first being required to offer them to existing ordinary shareholders up to the same aggregate maximum nominal amount of £288,070.78 (including, for this purpose, the sale on a non-pre-emptive basis of any shares held in treasury). In each case, the authorization will last until the next annual general meeting or, if earlier, 15 months from the date of the passing of these resolutions. In addition, according to written resolutions of our shareholders passed on June 2, 2016, our Board was authorized (i) to allot new ordinary shares up to a maximum nominal value of £350,000.00; and (ii) allot equity securities for cash without first being required to offer them to existing ordinary shareholders up to the same aggregate maximum nominal amount of £350,000.00. In each case, the authorization will last until the fifth anniversary of the passing of these written resolutions. The Initial Shares, the Commission Shares and the 12,252,715 ordinary Shares issued to Boxer capital in February 2020 were issued using part of the June 19, 2019 authority. As of March 1, 2020, authorization to allot ordinary shares up to a maximum aggregate nominal amount of £323,768 remained under the June 19, 2019 and June 2, 2016 authorities, representing up to 107,922,693 ordinary shares. To the extent that ordinary shares are issued pursuant to this offering during the remaining periods of the June 19, 2019 and June 2, 2016 authorities, those issuances will utilize the unutilized amount from time to time of whichever authority is used for the relevant issuance. If either authority is exhausted or expires, further shareholder authorities may be required for the future issuances of ordinary shares.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jc w:val="both"/>
        <w:ind w:left="120" w:right="60" w:firstLine="440"/>
        <w:spacing w:after="0" w:line="274" w:lineRule="auto"/>
        <w:rPr>
          <w:sz w:val="20"/>
          <w:szCs w:val="20"/>
          <w:color w:val="auto"/>
        </w:rPr>
      </w:pPr>
      <w:r>
        <w:rPr>
          <w:rFonts w:ascii="Arial" w:cs="Arial" w:eastAsia="Arial" w:hAnsi="Arial"/>
          <w:sz w:val="17"/>
          <w:szCs w:val="17"/>
          <w:color w:val="auto"/>
        </w:rPr>
        <w:t>As of December 31, 2019, there were options to purchase 12,430,806 ordinary shares outstanding under our equity incentive plans with a weighted average exercise price of £1.45 per ordinary share. The options generally lapse after 10 years from the date of the grant.</w:t>
      </w:r>
    </w:p>
    <w:p>
      <w:pPr>
        <w:spacing w:after="0" w:line="175"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As of December 31, 2019, there were options to purchase 782,400 ADSs outstanding under our equity incentive plans with a weighted average exercise price of $3.51 per ADS. The options generally lapse after 4 years from the date of grant.</w:t>
      </w:r>
    </w:p>
    <w:p>
      <w:pPr>
        <w:spacing w:after="0" w:line="197"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As of December 31, 2019, there were nil-cost options to purchase 162,997 ordinary shares outstanding under our DSP, which generally lapse one year after vesting.</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60"/>
          </w:cols>
          <w:pgMar w:left="320" w:top="459" w:right="5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On February 20, 2020, we issued options to purchase 565,000 ADSs with an exercise price of $1.84 per ADS to employees pursuant to the 2019 EIP. One quarter of the options become exercisable on the first anniversary of their grant date and, thereafter, vest in equal monthly installments over three years.</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On February 20, 2020, we also issued options to purchase 77,000 ADSs with an exercise price of $1.84 per ADS to non-employees pursuant to the 2019 NED EIP. These options vest in equal monthly installments over the year following their grant date.</w:t>
      </w:r>
    </w:p>
    <w:p>
      <w:pPr>
        <w:spacing w:after="0" w:line="197"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Each of our equity incentive plans includes provisions for potential adjustment of outstanding equity awards in connection with certain corporate transactions, in order to prevent dilution or enlargement of the intended benefits under such plans.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Novartis Notes</w:t>
      </w:r>
    </w:p>
    <w:p>
      <w:pPr>
        <w:spacing w:after="0" w:line="9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On June 3, 2016, we issued 3,463,563 notes to Novartis (the “Novartis Notes”). The Novartis Notes included an adjustment provision to prevent the dilution of the ordinary shares issuable to Novartis under certain circumstances.</w:t>
      </w:r>
    </w:p>
    <w:p>
      <w:pPr>
        <w:spacing w:after="0" w:line="197"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ordinary shares to Novartis.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ordinary shares to Novartis. At June 30, 2019, there was no further liability under the Novartis Notes which were converted in full as at that date.</w:t>
      </w:r>
    </w:p>
    <w:p>
      <w:pPr>
        <w:spacing w:after="0" w:line="20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As of December 31, 2019, there were warrants to purchase 1,243,908 ordinary shares at a weighted average exercise price of £ 2.95 per ordinary share, including 621,954 warrants exercisable by Silicon Valley Bank and 621,954 warrants exercisable by Kreos Capital V (UK) Limited. These warrants will be capable of exercise until October 1, 2028. The warrants include an adjustment provision to prevent the dilution of the ordinary shares issuable to Silicon Valley Bank and Kreos Capital V (UK) Limited under certain circumstances. Following the issuance of the New Novartis Notes and the Initial Shares under the Aspire Purchase Agreement, we expect to issue an additional 203,878 warrants at an average exercise price of £2.95 per ordinary share, including 101,939 warrants exercisable by Silicon Valley Bank and 101,939 warrants exercisable by Kreos Capital V (UK) Limited.</w:t>
      </w:r>
    </w:p>
    <w:p>
      <w:pPr>
        <w:spacing w:after="0" w:line="20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As of December 31, 2019, there were warrants to purchase 41,286 ordinary shares at an exercise price of £0.003 per ordinary share exercisable by The Alpha-1 Project, Inc.</w:t>
      </w:r>
    </w:p>
    <w:p>
      <w:pPr>
        <w:spacing w:after="0" w:line="197"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On February 10, 2020, in connection with the New Novartis Notes, we entered into a warrant instrument with Novartis to issue 1,449,614 ordinary shares at a weighted average exercise price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£0.265 per ordinary share. These warrants will be capable of exercise until February 10, 2025. The warrants include an adjustment provision to prevent the dilution of the ordinary shares issuable to Novartis under certain circumstances.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80" w:right="60" w:hanging="432"/>
        <w:spacing w:after="0" w:line="226" w:lineRule="auto"/>
        <w:tabs>
          <w:tab w:leader="none" w:pos="98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8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the closing of the offering.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2" w:lineRule="exact"/>
        <w:rPr>
          <w:sz w:val="20"/>
          <w:szCs w:val="20"/>
          <w:color w:val="auto"/>
        </w:rPr>
      </w:pPr>
    </w:p>
    <w:p>
      <w:pPr>
        <w:ind w:left="980" w:hanging="432"/>
        <w:spacing w:after="0"/>
        <w:tabs>
          <w:tab w:leader="none" w:pos="98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8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On June 19, 2019, our shareholders, in addition to the authorization noted above, authorized our Board to exclude pre-emptive rights for a period until the end of our next annual general meeting or, if earlier, 15 months from June 19, 2019 in respect of the allotment of ordinary shares or the grant of rights to subscribe for or convert securities into ordinary shares up to a maximum aggregate nominal amount of £288,070.78. The nominal value of our ordinary shares is £0.003 per ordinary share. For further information relating to the Company’s existing authority to issue additional ordinary shares, see “—Share Capital.” On May 26, 2016, our shareholders authorized our Board to exclude pre-emptive rights up to a maximum aggregate nominal amount of £350,000, which expires on May 26, 2021.</w:t>
      </w:r>
    </w:p>
    <w:p>
      <w:pPr>
        <w:spacing w:after="0" w:line="205"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at March 1, 2020, non pre-emptive authorization up to a maximum aggregate nominal amount of £323,768 remained available to the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Objects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Rights</w:t>
      </w:r>
    </w:p>
    <w:p>
      <w:pPr>
        <w:spacing w:after="0" w:line="41"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41"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80" w:right="100" w:hanging="432"/>
        <w:spacing w:after="0" w:line="218" w:lineRule="auto"/>
        <w:tabs>
          <w:tab w:leader="none" w:pos="98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80" w:right="20" w:hanging="432"/>
        <w:spacing w:after="0" w:line="229" w:lineRule="auto"/>
        <w:tabs>
          <w:tab w:leader="none" w:pos="98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3" w:lineRule="exact"/>
        <w:rPr>
          <w:sz w:val="20"/>
          <w:szCs w:val="20"/>
          <w:color w:val="auto"/>
        </w:rPr>
      </w:pPr>
    </w:p>
    <w:p>
      <w:pPr>
        <w:ind w:left="980" w:hanging="432"/>
        <w:spacing w:after="0"/>
        <w:tabs>
          <w:tab w:leader="none" w:pos="98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Voting</w:t>
      </w:r>
    </w:p>
    <w:p>
      <w:pPr>
        <w:spacing w:after="0" w:line="41"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97"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4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Winding Up</w:t>
      </w:r>
    </w:p>
    <w:p>
      <w:pPr>
        <w:spacing w:after="0" w:line="54"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Variation of Rights</w:t>
      </w:r>
    </w:p>
    <w:p>
      <w:pPr>
        <w:spacing w:after="0" w:line="5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Alteration to Share Capital</w:t>
      </w:r>
    </w:p>
    <w:p>
      <w:pPr>
        <w:spacing w:after="0" w:line="54"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Preemption Rights</w:t>
      </w:r>
    </w:p>
    <w:p>
      <w:pPr>
        <w:spacing w:after="0" w:line="54"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8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jc w:val="both"/>
        <w:ind w:left="120" w:right="540" w:firstLine="440"/>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2" w:lineRule="exact"/>
        <w:rPr>
          <w:sz w:val="20"/>
          <w:szCs w:val="20"/>
          <w:color w:val="auto"/>
        </w:rPr>
      </w:pPr>
    </w:p>
    <w:p>
      <w:pPr>
        <w:ind w:left="980" w:hanging="432"/>
        <w:spacing w:after="0"/>
        <w:tabs>
          <w:tab w:leader="none" w:pos="98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23" w:lineRule="auto"/>
        <w:tabs>
          <w:tab w:leader="none" w:pos="98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2"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CREST</w:t>
      </w:r>
    </w:p>
    <w:p>
      <w:pPr>
        <w:spacing w:after="0" w:line="99"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General Meetings</w:t>
      </w:r>
    </w:p>
    <w:p>
      <w:pPr>
        <w:spacing w:after="0" w:line="5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Notice of General Meetings</w:t>
      </w:r>
    </w:p>
    <w:p>
      <w:pPr>
        <w:spacing w:after="0" w:line="54"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Quorum of General Meetings</w:t>
      </w:r>
    </w:p>
    <w:p>
      <w:pPr>
        <w:spacing w:after="0" w:line="54"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Meetings</w:t>
      </w:r>
    </w:p>
    <w:p>
      <w:pPr>
        <w:spacing w:after="0" w:line="54"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Directors</w:t>
      </w:r>
    </w:p>
    <w:p>
      <w:pPr>
        <w:spacing w:after="0" w:line="54"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Directors</w:t>
      </w:r>
    </w:p>
    <w:p>
      <w:pPr>
        <w:spacing w:after="0" w:line="54"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40"/>
          </w:cols>
          <w:pgMar w:left="320" w:top="459" w:right="5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20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Directors’ Interests</w:t>
      </w:r>
    </w:p>
    <w:p>
      <w:pPr>
        <w:spacing w:after="0" w:line="4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If a situation arises in which a director has, or can have, a direct or indirect interest that conflicts, or possibly may conflict, with our interests (other than a situation that cannot reasonably be regarded as likely to give rise to a conflict of interest or a conflict of interest arising in relation to a transaction or arrangement with us), the board may authorize in accordance with the U.K. Companies Act 2006 the director’s interest and the continuing performance by the relevant director of his or her duties as a director on such terms as the board may determine.</w:t>
      </w:r>
    </w:p>
    <w:p>
      <w:pPr>
        <w:spacing w:after="0" w:line="20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 director shall not be accountable to us for any benefit which he or she derives from or in connection with a relationship involving a conflict of interest or possible conflict of interest which has been authorized by the directors or by us in a general meeting and any such transaction or arrangement shall not be liable to be avoided on the grounds of any such benefit.</w:t>
      </w:r>
    </w:p>
    <w:p>
      <w:pPr>
        <w:spacing w:after="0" w:line="20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Subject to the requirements under sections 175, 177 and 182 of the U.K. Companies Act 2006, a director shall declare the nature and extent of such conflicts.</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 director may participate in the decision-making process and count in the quorum and vote on a proposed decision of the board which is concerned with such director’s interests (subject to any restrictions imposed by the other directors when providing such consent) if such director has declared the nature and extent of any interest of his or hers and provided a majority of the other directors consent, or if one of the following situations applies:</w:t>
      </w:r>
    </w:p>
    <w:p>
      <w:pPr>
        <w:spacing w:after="0" w:line="207" w:lineRule="exact"/>
        <w:rPr>
          <w:sz w:val="20"/>
          <w:szCs w:val="20"/>
          <w:color w:val="auto"/>
        </w:rPr>
      </w:pPr>
    </w:p>
    <w:p>
      <w:pPr>
        <w:ind w:left="980" w:hanging="432"/>
        <w:spacing w:after="0"/>
        <w:tabs>
          <w:tab w:leader="none" w:pos="980" w:val="left"/>
        </w:tabs>
        <w:numPr>
          <w:ilvl w:val="0"/>
          <w:numId w:val="126"/>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director’s interest arises solely through an interest in shares, debentures or other securities of or otherwise in or through us;</w:t>
      </w:r>
    </w:p>
    <w:p>
      <w:pPr>
        <w:spacing w:after="0" w:line="26" w:lineRule="exact"/>
        <w:rPr>
          <w:rFonts w:ascii="MS PGothic" w:cs="MS PGothic" w:eastAsia="MS PGothic" w:hAnsi="MS PGothic"/>
          <w:sz w:val="24"/>
          <w:szCs w:val="24"/>
          <w:color w:val="auto"/>
          <w:vertAlign w:val="superscript"/>
        </w:rPr>
      </w:pPr>
    </w:p>
    <w:p>
      <w:pPr>
        <w:ind w:left="980" w:hanging="432"/>
        <w:spacing w:after="0" w:line="205" w:lineRule="auto"/>
        <w:tabs>
          <w:tab w:leader="none" w:pos="98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ordinary resolution of ours permits the director to count in the quorum and vote on the proposed decision;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cannot reasonably be regarded as likely to give rise to a material conflict of interest;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conflict of interest arises from one of the following:</w:t>
      </w:r>
    </w:p>
    <w:p>
      <w:pPr>
        <w:spacing w:after="0" w:line="26" w:lineRule="exact"/>
        <w:rPr>
          <w:rFonts w:ascii="MS PGothic" w:cs="MS PGothic" w:eastAsia="MS PGothic" w:hAnsi="MS PGothic"/>
          <w:sz w:val="25"/>
          <w:szCs w:val="25"/>
          <w:color w:val="auto"/>
          <w:vertAlign w:val="superscript"/>
        </w:rPr>
      </w:pPr>
    </w:p>
    <w:p>
      <w:pPr>
        <w:ind w:left="1420" w:right="120" w:hanging="427"/>
        <w:spacing w:after="0" w:line="218" w:lineRule="auto"/>
        <w:tabs>
          <w:tab w:leader="none" w:pos="1420" w:val="left"/>
        </w:tabs>
        <w:numPr>
          <w:ilvl w:val="1"/>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guarantee, security or indemnity given, or to be given, by or to the director in respect of an obligation incurred by or on behalf of us or any of our subsidiaries;</w:t>
      </w:r>
    </w:p>
    <w:p>
      <w:pPr>
        <w:spacing w:after="0" w:line="27" w:lineRule="exact"/>
        <w:rPr>
          <w:rFonts w:ascii="MS PGothic" w:cs="MS PGothic" w:eastAsia="MS PGothic" w:hAnsi="MS PGothic"/>
          <w:sz w:val="25"/>
          <w:szCs w:val="25"/>
          <w:color w:val="auto"/>
          <w:vertAlign w:val="superscript"/>
        </w:rPr>
      </w:pPr>
    </w:p>
    <w:p>
      <w:pPr>
        <w:ind w:left="1420" w:right="80" w:hanging="427"/>
        <w:spacing w:after="0" w:line="223" w:lineRule="auto"/>
        <w:tabs>
          <w:tab w:leader="none" w:pos="1420" w:val="left"/>
        </w:tabs>
        <w:numPr>
          <w:ilvl w:val="1"/>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subscription, or agreement to subscribe, for shares or other securities of us or any of our subsidiaries, or to underwrite, sub-underwrite or guarantee an offer of any such shares or securities by us or any of our subsidiaries for subscription, purchase or exchange;</w:t>
      </w:r>
    </w:p>
    <w:p>
      <w:pPr>
        <w:spacing w:after="0" w:line="28" w:lineRule="exact"/>
        <w:rPr>
          <w:rFonts w:ascii="MS PGothic" w:cs="MS PGothic" w:eastAsia="MS PGothic" w:hAnsi="MS PGothic"/>
          <w:sz w:val="25"/>
          <w:szCs w:val="25"/>
          <w:color w:val="auto"/>
          <w:vertAlign w:val="superscript"/>
        </w:rPr>
      </w:pPr>
    </w:p>
    <w:p>
      <w:pPr>
        <w:ind w:left="1420" w:right="520" w:hanging="427"/>
        <w:spacing w:after="0" w:line="218" w:lineRule="auto"/>
        <w:tabs>
          <w:tab w:leader="none" w:pos="1420" w:val="left"/>
        </w:tabs>
        <w:numPr>
          <w:ilvl w:val="1"/>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arrangements pursuant to which benefits are made available to employees and directors, or former employees and directors, of us or any of our subsidiaries which do not provide special benefits for directors or former directors;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080"/>
          </w:cols>
          <w:pgMar w:left="320" w:top="459"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420" w:hanging="427"/>
        <w:spacing w:after="0"/>
        <w:tabs>
          <w:tab w:leader="none" w:pos="142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or maintenance of insurance which we are empowered to purchase or maintain for directors or officers;</w:t>
      </w:r>
    </w:p>
    <w:p>
      <w:pPr>
        <w:spacing w:after="0" w:line="26" w:lineRule="exact"/>
        <w:rPr>
          <w:rFonts w:ascii="MS PGothic" w:cs="MS PGothic" w:eastAsia="MS PGothic" w:hAnsi="MS PGothic"/>
          <w:sz w:val="25"/>
          <w:szCs w:val="25"/>
          <w:color w:val="auto"/>
          <w:vertAlign w:val="superscript"/>
        </w:rPr>
      </w:pPr>
    </w:p>
    <w:p>
      <w:pPr>
        <w:ind w:left="1420" w:right="240" w:hanging="427"/>
        <w:spacing w:after="0" w:line="218" w:lineRule="auto"/>
        <w:tabs>
          <w:tab w:leader="none" w:pos="142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giving to the director of an indemnity against liabilities incurred or to be incurred by the director in the execution and discharge of his or her duties;</w:t>
      </w:r>
    </w:p>
    <w:p>
      <w:pPr>
        <w:spacing w:after="0" w:line="27" w:lineRule="exact"/>
        <w:rPr>
          <w:rFonts w:ascii="MS PGothic" w:cs="MS PGothic" w:eastAsia="MS PGothic" w:hAnsi="MS PGothic"/>
          <w:sz w:val="25"/>
          <w:szCs w:val="25"/>
          <w:color w:val="auto"/>
          <w:vertAlign w:val="superscript"/>
        </w:rPr>
      </w:pPr>
    </w:p>
    <w:p>
      <w:pPr>
        <w:ind w:left="1420" w:right="40" w:hanging="427"/>
        <w:spacing w:after="0" w:line="223" w:lineRule="auto"/>
        <w:tabs>
          <w:tab w:leader="none" w:pos="142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provision of funds to the director to meet expenditure incurred or to be incurred by the director in defending criminal or civil proceedings against him or her or in connection with any application under certain provisions of the U.K. Companies Act 2006 or otherwise enabling him or her to avoid incurring that expenditure; or</w:t>
      </w:r>
    </w:p>
    <w:p>
      <w:pPr>
        <w:spacing w:after="0" w:line="28" w:lineRule="exact"/>
        <w:rPr>
          <w:rFonts w:ascii="MS PGothic" w:cs="MS PGothic" w:eastAsia="MS PGothic" w:hAnsi="MS PGothic"/>
          <w:sz w:val="25"/>
          <w:szCs w:val="25"/>
          <w:color w:val="auto"/>
          <w:vertAlign w:val="superscript"/>
        </w:rPr>
      </w:pPr>
    </w:p>
    <w:p>
      <w:pPr>
        <w:ind w:left="1420" w:right="100" w:hanging="427"/>
        <w:spacing w:after="0" w:line="227" w:lineRule="auto"/>
        <w:tabs>
          <w:tab w:leader="none" w:pos="142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proposals concerning another company in which the director is interested directly or indirectly (whether as officer, shareholder or otherwise), if the director and any other persons connected with him or her do not to his or her knowledge hold an interest in shares representing 1% or more of the issued shares of any class of the equity share capital of that company (or of any third company through which his or their interest is derived) or of the voting rights available to shareholders of the relevant company.</w:t>
      </w:r>
    </w:p>
    <w:p>
      <w:pPr>
        <w:spacing w:after="0" w:line="206"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 director shall not be counted in the quorum present at a meeting in relation to a resolution on which he or she is not entitled to vote by reason of his or her interest.</w:t>
      </w:r>
    </w:p>
    <w:p>
      <w:pPr>
        <w:spacing w:after="0" w:line="197"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or her voluntarily agreeing to abstain from voting, the question shall be determined by a resolution of the board or such committee (with such director being excluded from voting on the resolution).</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Directors’ Fees and Remuneration</w:t>
      </w:r>
    </w:p>
    <w:p>
      <w:pPr>
        <w:spacing w:after="0" w:line="41" w:lineRule="exact"/>
        <w:rPr>
          <w:sz w:val="20"/>
          <w:szCs w:val="20"/>
          <w:color w:val="auto"/>
        </w:rPr>
      </w:pPr>
    </w:p>
    <w:p>
      <w:pPr>
        <w:ind w:left="120" w:right="780" w:firstLine="440"/>
        <w:spacing w:after="0" w:line="246" w:lineRule="auto"/>
        <w:rPr>
          <w:sz w:val="20"/>
          <w:szCs w:val="20"/>
          <w:color w:val="auto"/>
        </w:rPr>
      </w:pPr>
      <w:r>
        <w:rPr>
          <w:rFonts w:ascii="Arial" w:cs="Arial" w:eastAsia="Arial" w:hAnsi="Arial"/>
          <w:sz w:val="18"/>
          <w:szCs w:val="18"/>
          <w:color w:val="auto"/>
        </w:rPr>
        <w:t>Each of the directors is entitled to remuneration as determined by the board for their service as directors and other services undertaken for us.</w:t>
      </w:r>
    </w:p>
    <w:p>
      <w:pPr>
        <w:spacing w:after="0" w:line="197"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Each director may be paid his or her reasonable expenses in connection with such director’s attendance at meetings of the board or committees of the board or general meetings or separate meetings of the holders of any class of shares or of debentures, or otherwise in connection with the exercise of powers and the discharge of responsibilities in relation to us.</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Indemnity</w:t>
      </w:r>
    </w:p>
    <w:p>
      <w:pPr>
        <w:spacing w:after="0" w:line="41"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Every director, officer or former director or officer of our group may be indemnified against all costs, charges, losses, expenses and liabilities incurred by him or her in connection with any negligence, default, breach of duty, or breach of trust by him or her in relation to us or in connection with our activities as a trustee of an occupational pension scheme, in the actual or purported exercise of his or her powers or duties or otherwise as our officer, to the extent permitted under the U.K. Companies Act 2006.</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Novartis Observer</w:t>
      </w:r>
    </w:p>
    <w:p>
      <w:pPr>
        <w:spacing w:after="0" w:line="41"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 participate or vote in, any meeting of our Board.</w:t>
      </w:r>
    </w:p>
    <w:p>
      <w:pPr>
        <w:spacing w:after="0" w:line="175" w:lineRule="exact"/>
        <w:rPr>
          <w:sz w:val="20"/>
          <w:szCs w:val="20"/>
          <w:color w:val="auto"/>
        </w:rPr>
      </w:pPr>
    </w:p>
    <w:p>
      <w:pPr>
        <w:jc w:val="right"/>
        <w:ind w:right="836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81" w:lineRule="exact"/>
        <w:rPr>
          <w:sz w:val="20"/>
          <w:szCs w:val="20"/>
          <w:color w:val="auto"/>
        </w:rPr>
      </w:pPr>
    </w:p>
    <w:p>
      <w:pPr>
        <w:jc w:val="right"/>
        <w:ind w:right="8360"/>
        <w:spacing w:after="0"/>
        <w:rPr>
          <w:sz w:val="20"/>
          <w:szCs w:val="20"/>
          <w:color w:val="auto"/>
        </w:rPr>
      </w:pPr>
      <w:r>
        <w:rPr>
          <w:rFonts w:ascii="Arial" w:cs="Arial" w:eastAsia="Arial" w:hAnsi="Arial"/>
          <w:sz w:val="18"/>
          <w:szCs w:val="18"/>
          <w:i w:val="1"/>
          <w:iCs w:val="1"/>
          <w:color w:val="auto"/>
        </w:rPr>
        <w:t>Notification of Voting Rights</w:t>
      </w:r>
    </w:p>
    <w:p>
      <w:pPr>
        <w:spacing w:after="0" w:line="4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or her voting rights if the percentage of voting rights which he or she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54"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 Out</w:t>
      </w:r>
    </w:p>
    <w:p>
      <w:pPr>
        <w:spacing w:after="0" w:line="5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Disclosure of Interest in Shares</w:t>
      </w:r>
    </w:p>
    <w:p>
      <w:pPr>
        <w:spacing w:after="0" w:line="5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202"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224" w:lineRule="exact"/>
        <w:rPr>
          <w:sz w:val="20"/>
          <w:szCs w:val="20"/>
          <w:color w:val="auto"/>
        </w:rPr>
      </w:pPr>
    </w:p>
    <w:p>
      <w:pPr>
        <w:ind w:left="980" w:right="560" w:hanging="432"/>
        <w:spacing w:after="0" w:line="218" w:lineRule="auto"/>
        <w:tabs>
          <w:tab w:leader="none" w:pos="98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7" w:lineRule="auto"/>
        <w:tabs>
          <w:tab w:leader="none" w:pos="98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line="229" w:lineRule="auto"/>
        <w:tabs>
          <w:tab w:leader="none" w:pos="98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Own Shares</w:t>
      </w:r>
    </w:p>
    <w:p>
      <w:pPr>
        <w:spacing w:after="0" w:line="4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2"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980" w:hanging="432"/>
        <w:spacing w:after="0"/>
        <w:tabs>
          <w:tab w:leader="none" w:pos="98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and Dividends</w:t>
      </w:r>
    </w:p>
    <w:p>
      <w:pPr>
        <w:spacing w:after="0" w:line="41"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80" w:right="180" w:hanging="432"/>
        <w:spacing w:after="0" w:line="218" w:lineRule="auto"/>
        <w:tabs>
          <w:tab w:leader="none" w:pos="98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City Code on Takeovers and Mergers</w:t>
      </w:r>
    </w:p>
    <w:p>
      <w:pPr>
        <w:spacing w:after="0" w:line="54"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As a public company incorporated in England and Wales with our registered office in England and Wales which has shares admitted to AIM, we are subject to the U.K. City Code on Takeovers and Mergers (the “City Code”), which is issued and administered by the U.K. Panel on Takeovers and Mergers (the “Panel”). The City Code provides a framework within which takeovers of companies subject to it are conducted. In particular, the City Code contains certain rules in respect of mandatory offers. Under Rule 9 of the City Code, if a person:</w:t>
      </w:r>
    </w:p>
    <w:p>
      <w:pPr>
        <w:spacing w:after="0" w:line="216" w:lineRule="exact"/>
        <w:rPr>
          <w:sz w:val="20"/>
          <w:szCs w:val="20"/>
          <w:color w:val="auto"/>
        </w:rPr>
      </w:pPr>
    </w:p>
    <w:p>
      <w:pPr>
        <w:ind w:left="980" w:right="80" w:hanging="432"/>
        <w:spacing w:after="0" w:line="218" w:lineRule="auto"/>
        <w:tabs>
          <w:tab w:leader="none" w:pos="98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she or persons acting in concert with him or her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96"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Exchange Controls</w:t>
      </w:r>
    </w:p>
    <w:p>
      <w:pPr>
        <w:spacing w:after="0" w:line="5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67" w:lineRule="exact"/>
        <w:rPr>
          <w:sz w:val="20"/>
          <w:szCs w:val="20"/>
          <w:color w:val="auto"/>
        </w:rPr>
      </w:pPr>
    </w:p>
    <w:p>
      <w:pPr>
        <w:ind w:left="120" w:right="160" w:firstLine="440"/>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Number of</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29660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the U.K. Companies Act 2006, a public limited company must have at least two directors. Our Articles further provide that, unless otherwise determined by an ordinary resolution, the number of our directors shall be not less than two nor more than nine in number.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consists of nine members.</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w:t>
      </w:r>
    </w:p>
    <w:p>
      <w:pPr>
        <w:spacing w:after="0" w:line="13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ectPr>
          <w:pgSz w:w="11900" w:h="16838" w:orient="portrait"/>
          <w:cols w:equalWidth="0" w:num="3">
            <w:col w:w="1160" w:space="720"/>
            <w:col w:w="4640" w:space="140"/>
            <w:col w:w="4400"/>
          </w:cols>
          <w:pgMar w:left="320" w:top="459" w:right="519" w:bottom="1440" w:gutter="0" w:footer="0" w:header="0"/>
          <w:type w:val="continuous"/>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participate or vote in, any meeting of our board of</w:t>
            </w:r>
          </w:p>
        </w:tc>
      </w:tr>
      <w:tr>
        <w:trPr>
          <w:trHeight w:val="217"/>
        </w:trPr>
        <w:tc>
          <w:tcPr>
            <w:tcW w:w="134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directors.</w:t>
            </w:r>
          </w:p>
        </w:tc>
      </w:tr>
      <w:tr>
        <w:trPr>
          <w:trHeight w:val="256"/>
        </w:trPr>
        <w:tc>
          <w:tcPr>
            <w:tcW w:w="1340" w:type="dxa"/>
            <w:vAlign w:val="bottom"/>
          </w:tcPr>
          <w:p>
            <w:pPr>
              <w:spacing w:after="0"/>
              <w:rPr>
                <w:sz w:val="20"/>
                <w:szCs w:val="20"/>
                <w:color w:val="auto"/>
              </w:rPr>
            </w:pPr>
            <w:r>
              <w:rPr>
                <w:rFonts w:ascii="Arial" w:cs="Arial" w:eastAsia="Arial" w:hAnsi="Arial"/>
                <w:sz w:val="18"/>
                <w:szCs w:val="18"/>
                <w:color w:val="auto"/>
              </w:rPr>
              <w:t>Removal of</w:t>
            </w: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Under the U.K. Companies Act 2006, a company may</w:t>
            </w:r>
          </w:p>
        </w:tc>
      </w:tr>
      <w:tr>
        <w:trPr>
          <w:trHeight w:val="203"/>
        </w:trPr>
        <w:tc>
          <w:tcPr>
            <w:tcW w:w="134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remove a director without cause at a general meeting by</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way of an ordinary resolution of shareholders (which is</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passed by a simple majority of those voting in person or</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by proxy at a general meeting), irrespective of any</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provision of any agreement or service contract between</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the director and the company, provided that 28 clear days’</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notice of the proposed resolution to remove the director is</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given and certain other procedural requirements under the</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U.K. Companies Act 2006 are followed (such as allowing</w:t>
            </w:r>
          </w:p>
        </w:tc>
      </w:tr>
      <w:tr>
        <w:trPr>
          <w:trHeight w:val="203"/>
        </w:trPr>
        <w:tc>
          <w:tcPr>
            <w:tcW w:w="1340" w:type="dxa"/>
            <w:vAlign w:val="bottom"/>
          </w:tcPr>
          <w:p>
            <w:pPr>
              <w:spacing w:after="0"/>
              <w:rPr>
                <w:sz w:val="17"/>
                <w:szCs w:val="17"/>
                <w:color w:val="auto"/>
              </w:rPr>
            </w:pPr>
          </w:p>
        </w:tc>
        <w:tc>
          <w:tcPr>
            <w:tcW w:w="51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the director to make representations against his or her</w:t>
            </w:r>
          </w:p>
        </w:tc>
      </w:tr>
      <w:tr>
        <w:trPr>
          <w:trHeight w:val="217"/>
        </w:trPr>
        <w:tc>
          <w:tcPr>
            <w:tcW w:w="134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removal either at the meeting or in writing).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80" w:right="160"/>
        <w:spacing w:after="0" w:line="236" w:lineRule="auto"/>
        <w:rPr>
          <w:sz w:val="20"/>
          <w:szCs w:val="20"/>
          <w:color w:val="auto"/>
        </w:rPr>
      </w:pPr>
      <w:r>
        <w:rPr>
          <w:rFonts w:ascii="Arial" w:cs="Arial" w:eastAsia="Arial" w:hAnsi="Arial"/>
          <w:sz w:val="18"/>
          <w:szCs w:val="18"/>
          <w:color w:val="auto"/>
        </w:rPr>
        <w:t>In addition to any power of removal under the U.K. Companies Act 2006, under our Articles, we may, by special resolution or ordinary resolution (of which special notice has been given in accordance with section 312 of the U.K. Companies Act 2006) remove any director from office (but without prejudice to any claim he or she may have for damages for breach of any agreement between us and the relevant director) and, by ordinary resolution, appoint another person to act as director in his or her place.</w:t>
      </w:r>
    </w:p>
    <w:p>
      <w:pPr>
        <w:spacing w:after="0" w:line="53"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8"/>
          <w:szCs w:val="18"/>
          <w:color w:val="auto"/>
        </w:rPr>
        <w:t>Vacancies on the</w:t>
      </w:r>
      <w:r>
        <w:rPr>
          <w:sz w:val="20"/>
          <w:szCs w:val="20"/>
          <w:color w:val="auto"/>
        </w:rPr>
        <w:tab/>
      </w:r>
      <w:r>
        <w:rPr>
          <w:rFonts w:ascii="Arial" w:cs="Arial" w:eastAsia="Arial" w:hAnsi="Arial"/>
          <w:sz w:val="18"/>
          <w:szCs w:val="18"/>
          <w:color w:val="auto"/>
        </w:rPr>
        <w:t>Under our Articles, we may by ordinary resolution appoint</w:t>
      </w:r>
    </w:p>
    <w:p>
      <w:pPr>
        <w:ind w:left="120"/>
        <w:spacing w:after="0"/>
        <w:tabs>
          <w:tab w:leader="none" w:pos="1860" w:val="left"/>
        </w:tabs>
        <w:rPr>
          <w:sz w:val="20"/>
          <w:szCs w:val="20"/>
          <w:color w:val="auto"/>
        </w:rPr>
      </w:pPr>
      <w:r>
        <w:rPr>
          <w:rFonts w:ascii="Arial" w:cs="Arial" w:eastAsia="Arial" w:hAnsi="Arial"/>
          <w:sz w:val="18"/>
          <w:szCs w:val="18"/>
          <w:color w:val="auto"/>
        </w:rPr>
        <w:t>Board of</w:t>
      </w:r>
      <w:r>
        <w:rPr>
          <w:sz w:val="20"/>
          <w:szCs w:val="20"/>
          <w:color w:val="auto"/>
        </w:rPr>
        <w:tab/>
      </w:r>
      <w:r>
        <w:rPr>
          <w:rFonts w:ascii="Arial" w:cs="Arial" w:eastAsia="Arial" w:hAnsi="Arial"/>
          <w:sz w:val="17"/>
          <w:szCs w:val="17"/>
          <w:color w:val="auto"/>
        </w:rPr>
        <w:t>a person who is willing to act to be a director, either to fill a</w:t>
      </w:r>
    </w:p>
    <w:p>
      <w:pPr>
        <w:ind w:left="120"/>
        <w:spacing w:after="0" w:line="235" w:lineRule="auto"/>
        <w:tabs>
          <w:tab w:leader="none" w:pos="186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vacancy or as an additional director and our board of</w:t>
      </w:r>
    </w:p>
    <w:p>
      <w:pPr>
        <w:spacing w:after="0" w:line="1" w:lineRule="exact"/>
        <w:rPr>
          <w:sz w:val="20"/>
          <w:szCs w:val="20"/>
          <w:color w:val="auto"/>
        </w:rPr>
      </w:pPr>
    </w:p>
    <w:p>
      <w:pPr>
        <w:ind w:left="1880" w:right="20"/>
        <w:spacing w:after="0" w:line="237" w:lineRule="auto"/>
        <w:rPr>
          <w:sz w:val="20"/>
          <w:szCs w:val="20"/>
          <w:color w:val="auto"/>
        </w:rPr>
      </w:pPr>
      <w:r>
        <w:rPr>
          <w:rFonts w:ascii="Arial" w:cs="Arial" w:eastAsia="Arial" w:hAnsi="Arial"/>
          <w:sz w:val="18"/>
          <w:szCs w:val="18"/>
          <w:color w:val="auto"/>
        </w:rPr>
        <w:t>directors may appoint a person who is willing to act to be a director, either to fill a vacancy or as an additional director, provided in each case that the appointment does not cause the number of directors to exceed the number fixed by or in accordance with our Articles as the maximum number of directors.</w:t>
      </w:r>
    </w:p>
    <w:p>
      <w:pPr>
        <w:spacing w:after="0" w:line="1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w:t>
      </w:r>
    </w:p>
    <w:p>
      <w:pPr>
        <w:spacing w:after="0" w:line="3" w:lineRule="exact"/>
        <w:rPr>
          <w:sz w:val="20"/>
          <w:szCs w:val="20"/>
          <w:color w:val="auto"/>
        </w:rPr>
      </w:pPr>
    </w:p>
    <w:p>
      <w:pPr>
        <w:ind w:firstLine="3"/>
        <w:spacing w:after="0" w:line="236" w:lineRule="auto"/>
        <w:tabs>
          <w:tab w:leader="none" w:pos="27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w:t>
      </w:r>
    </w:p>
    <w:p>
      <w:pPr>
        <w:sectPr>
          <w:pgSz w:w="11900" w:h="16838" w:orient="portrait"/>
          <w:cols w:equalWidth="0" w:num="2">
            <w:col w:w="6560" w:space="100"/>
            <w:col w:w="4460"/>
          </w:cols>
          <w:pgMar w:left="320" w:top="459" w:right="459" w:bottom="1440" w:gutter="0" w:footer="0" w:header="0"/>
          <w:type w:val="continuous"/>
        </w:sectPr>
      </w:pPr>
    </w:p>
    <w:bookmarkStart w:id="235" w:name="page236"/>
    <w:bookmarkEnd w:id="2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80" w:type="dxa"/>
            <w:vAlign w:val="bottom"/>
            <w:tcBorders>
              <w:bottom w:val="single" w:sz="8" w:color="auto"/>
            </w:tcBorders>
          </w:tcPr>
          <w:p>
            <w:pPr>
              <w:jc w:val="right"/>
              <w:ind w:right="1608"/>
              <w:spacing w:after="0"/>
              <w:rPr>
                <w:sz w:val="20"/>
                <w:szCs w:val="20"/>
                <w:color w:val="auto"/>
              </w:rPr>
            </w:pPr>
            <w:r>
              <w:rPr>
                <w:rFonts w:ascii="Arial" w:cs="Arial" w:eastAsia="Arial" w:hAnsi="Arial"/>
                <w:sz w:val="14"/>
                <w:szCs w:val="14"/>
                <w:b w:val="1"/>
                <w:bCs w:val="1"/>
                <w:color w:val="auto"/>
              </w:rPr>
              <w:t>England and Wales</w:t>
            </w:r>
          </w:p>
        </w:tc>
      </w:tr>
      <w:tr>
        <w:trPr>
          <w:trHeight w:val="668"/>
        </w:trPr>
        <w:tc>
          <w:tcPr>
            <w:tcW w:w="1580" w:type="dxa"/>
            <w:vAlign w:val="bottom"/>
          </w:tcPr>
          <w:p>
            <w:pPr>
              <w:spacing w:after="0"/>
              <w:rPr>
                <w:sz w:val="20"/>
                <w:szCs w:val="20"/>
                <w:color w:val="auto"/>
              </w:rPr>
            </w:pPr>
            <w:r>
              <w:rPr>
                <w:rFonts w:ascii="Arial" w:cs="Arial" w:eastAsia="Arial" w:hAnsi="Arial"/>
                <w:sz w:val="18"/>
                <w:szCs w:val="18"/>
                <w:color w:val="auto"/>
              </w:rPr>
              <w:t>Annual General</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 public limited</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Meeting</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 must hold an annual general meeting in each</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six-month period following the company’s annual</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accounting reference date.</w:t>
            </w:r>
          </w:p>
        </w:tc>
      </w:tr>
      <w:tr>
        <w:trPr>
          <w:trHeight w:val="458"/>
        </w:trPr>
        <w:tc>
          <w:tcPr>
            <w:tcW w:w="1580" w:type="dxa"/>
            <w:vAlign w:val="bottom"/>
          </w:tcPr>
          <w:p>
            <w:pPr>
              <w:spacing w:after="0"/>
              <w:rPr>
                <w:sz w:val="20"/>
                <w:szCs w:val="20"/>
                <w:color w:val="auto"/>
              </w:rPr>
            </w:pPr>
            <w:r>
              <w:rPr>
                <w:rFonts w:ascii="Arial" w:cs="Arial" w:eastAsia="Arial" w:hAnsi="Arial"/>
                <w:sz w:val="18"/>
                <w:szCs w:val="18"/>
                <w:color w:val="auto"/>
              </w:rPr>
              <w:t>General Meeting</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 general meeting of</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shareholders of a public limited company may be</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called by the directors.</w:t>
            </w:r>
          </w:p>
        </w:tc>
      </w:tr>
      <w:tr>
        <w:trPr>
          <w:trHeight w:val="458"/>
        </w:trPr>
        <w:tc>
          <w:tcPr>
            <w:tcW w:w="1580" w:type="dxa"/>
            <w:vAlign w:val="bottom"/>
          </w:tcPr>
          <w:p>
            <w:pPr>
              <w:spacing w:after="0"/>
              <w:rPr>
                <w:sz w:val="24"/>
                <w:szCs w:val="24"/>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Subject to the notice requirements of the U.K. Companies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Act 2006 outlined below and subject to our Articles, a</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meeting of our shareholders may be called by our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board of directors whenever and at such times and places</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as it shall determine.</w:t>
            </w:r>
          </w:p>
        </w:tc>
      </w:tr>
      <w:tr>
        <w:trPr>
          <w:trHeight w:val="256"/>
        </w:trPr>
        <w:tc>
          <w:tcPr>
            <w:tcW w:w="158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 general meeting may also be convened by our board of</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directors on the requisition of not less than two of our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who hold at least 5% of our voting share</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capital.</w:t>
            </w:r>
          </w:p>
        </w:tc>
      </w:tr>
      <w:tr>
        <w:trPr>
          <w:trHeight w:val="256"/>
        </w:trPr>
        <w:tc>
          <w:tcPr>
            <w:tcW w:w="158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General meetings at which special resolutions are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proposed and passed generally involve proposals to</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change the name of the company, permit the company to</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pre-emptive right, amend the company’s</w:t>
            </w:r>
          </w:p>
        </w:tc>
      </w:tr>
      <w:tr>
        <w:trPr>
          <w:trHeight w:val="202"/>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articles of association, or carry out other matters where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either the company’s articles of association or the U.K.</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Companies Act 2006 prescribe that a special resolution is</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required.</w:t>
            </w:r>
          </w:p>
        </w:tc>
      </w:tr>
      <w:tr>
        <w:trPr>
          <w:trHeight w:val="256"/>
        </w:trPr>
        <w:tc>
          <w:tcPr>
            <w:tcW w:w="158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Other proposals relating to the ordinary course of the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company’s business, such as the election of directors,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would generally be the subject of an ordinary resolution</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and subject to our Articles.</w:t>
            </w:r>
          </w:p>
        </w:tc>
      </w:tr>
      <w:tr>
        <w:trPr>
          <w:trHeight w:val="256"/>
        </w:trPr>
        <w:tc>
          <w:tcPr>
            <w:tcW w:w="1580" w:type="dxa"/>
            <w:vAlign w:val="bottom"/>
          </w:tcPr>
          <w:p>
            <w:pPr>
              <w:spacing w:after="0"/>
              <w:rPr>
                <w:sz w:val="20"/>
                <w:szCs w:val="20"/>
                <w:color w:val="auto"/>
              </w:rPr>
            </w:pPr>
            <w:r>
              <w:rPr>
                <w:rFonts w:ascii="Arial" w:cs="Arial" w:eastAsia="Arial" w:hAnsi="Arial"/>
                <w:sz w:val="18"/>
                <w:szCs w:val="18"/>
                <w:color w:val="auto"/>
              </w:rPr>
              <w:t>Notice of General</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at least 21 clear</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Meetings</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days’ notice must be given for an annual general meeting</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and any resolutions to be proposed at that</w:t>
            </w:r>
          </w:p>
        </w:tc>
      </w:tr>
      <w:tr>
        <w:trPr>
          <w:trHeight w:val="351"/>
        </w:trPr>
        <w:tc>
          <w:tcPr>
            <w:tcW w:w="1580" w:type="dxa"/>
            <w:vAlign w:val="bottom"/>
          </w:tcPr>
          <w:p>
            <w:pPr>
              <w:spacing w:after="0"/>
              <w:rPr>
                <w:sz w:val="24"/>
                <w:szCs w:val="24"/>
                <w:color w:val="auto"/>
              </w:rPr>
            </w:pPr>
          </w:p>
        </w:tc>
        <w:tc>
          <w:tcPr>
            <w:tcW w:w="4860" w:type="dxa"/>
            <w:vAlign w:val="bottom"/>
            <w:gridSpan w:val="2"/>
          </w:tcPr>
          <w:p>
            <w:pPr>
              <w:jc w:val="right"/>
              <w:ind w:right="708"/>
              <w:spacing w:after="0"/>
              <w:rPr>
                <w:sz w:val="20"/>
                <w:szCs w:val="20"/>
                <w:color w:val="auto"/>
              </w:rPr>
            </w:pPr>
            <w:r>
              <w:rPr>
                <w:rFonts w:ascii="Arial" w:cs="Arial" w:eastAsia="Arial" w:hAnsi="Arial"/>
                <w:sz w:val="18"/>
                <w:szCs w:val="18"/>
                <w:color w:val="auto"/>
              </w:rPr>
              <w:t>229</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sole remaining director elected by such class, will fill such vacancy.</w:t>
      </w:r>
    </w:p>
    <w:p>
      <w:pPr>
        <w:spacing w:after="0" w:line="4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w:t>
      </w:r>
    </w:p>
    <w:p>
      <w:pPr>
        <w:sectPr>
          <w:pgSz w:w="11900" w:h="16838" w:orient="portrait"/>
          <w:cols w:equalWidth="0" w:num="2">
            <w:col w:w="6560" w:space="100"/>
            <w:col w:w="4440"/>
          </w:cols>
          <w:pgMar w:left="320" w:top="459" w:right="47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meeting. At least 14 clear days’ notice is required for any</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other general meeting.</w:t>
            </w:r>
          </w:p>
        </w:tc>
      </w:tr>
      <w:tr>
        <w:trPr>
          <w:trHeight w:val="661"/>
        </w:trPr>
        <w:tc>
          <w:tcPr>
            <w:tcW w:w="1400" w:type="dxa"/>
            <w:vAlign w:val="bottom"/>
          </w:tcPr>
          <w:p>
            <w:pPr>
              <w:spacing w:after="0"/>
              <w:rPr>
                <w:sz w:val="24"/>
                <w:szCs w:val="24"/>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In addition, certain matters, such as the removal of</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directors or auditors, require special notice, which is 28</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clear days’ notice.</w:t>
            </w: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Quorum</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Our Articles provide that no business shall be transacted</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at any general meeting unless a quorum is present. Two</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qualifying persons present at a meeting and entitled to</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vote on the business to be transacted shall be a quorum,</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unless (1) each is a qualifying person only because he or</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she is authorized under the U.K. Companies Act 2006 to</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act as a representative of a corporation in relation to the</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meeting, and they are representatives of the same</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corporation, or (2) each is a qualifying person only</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because he or she is appointed as proxy of a shareholder</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 relation to the meeting, and they are proxies of the</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same shareholder.</w:t>
            </w:r>
          </w:p>
        </w:tc>
      </w:tr>
      <w:tr>
        <w:trPr>
          <w:trHeight w:val="256"/>
        </w:trPr>
        <w:tc>
          <w:tcPr>
            <w:tcW w:w="1400" w:type="dxa"/>
            <w:vAlign w:val="bottom"/>
          </w:tcPr>
          <w:p>
            <w:pPr>
              <w:spacing w:after="0"/>
              <w:rPr>
                <w:sz w:val="22"/>
                <w:szCs w:val="22"/>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A “qualifying person” means (1) a person who is one of</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shareholders, (2) a person authorized under the U.K.</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Companies Act 2006 to act as a representative of the</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corporation in relation to the meeting, or (3) a person</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appointed as proxy of a shareholder in relation to the</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meeting.</w:t>
            </w: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Proxy</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Under the U.K. Companies Act 2006, at any meeting of</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shareholders, a shareholder may designate another</w:t>
            </w:r>
          </w:p>
        </w:tc>
      </w:tr>
      <w:tr>
        <w:trPr>
          <w:trHeight w:val="203"/>
        </w:trPr>
        <w:tc>
          <w:tcPr>
            <w:tcW w:w="1400" w:type="dxa"/>
            <w:vAlign w:val="bottom"/>
          </w:tcPr>
          <w:p>
            <w:pPr>
              <w:spacing w:after="0"/>
              <w:rPr>
                <w:sz w:val="17"/>
                <w:szCs w:val="17"/>
                <w:color w:val="auto"/>
              </w:rPr>
            </w:pP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person to attend, speak and vote at the meeting on their</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behalf by proxy.</w:t>
            </w:r>
          </w:p>
        </w:tc>
      </w:tr>
      <w:tr>
        <w:trPr>
          <w:trHeight w:val="863"/>
        </w:trPr>
        <w:tc>
          <w:tcPr>
            <w:tcW w:w="1400" w:type="dxa"/>
            <w:vAlign w:val="bottom"/>
          </w:tcPr>
          <w:p>
            <w:pPr>
              <w:spacing w:after="0"/>
              <w:rPr>
                <w:sz w:val="20"/>
                <w:szCs w:val="20"/>
                <w:color w:val="auto"/>
              </w:rPr>
            </w:pPr>
            <w:r>
              <w:rPr>
                <w:rFonts w:ascii="Arial" w:cs="Arial" w:eastAsia="Arial" w:hAnsi="Arial"/>
                <w:sz w:val="18"/>
                <w:szCs w:val="18"/>
                <w:color w:val="auto"/>
              </w:rPr>
              <w:t>Issue of New</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400" w:type="dxa"/>
            <w:vAlign w:val="bottom"/>
          </w:tcPr>
          <w:p>
            <w:pPr>
              <w:spacing w:after="0" w:line="202" w:lineRule="exact"/>
              <w:rPr>
                <w:sz w:val="20"/>
                <w:szCs w:val="20"/>
                <w:color w:val="auto"/>
              </w:rPr>
            </w:pPr>
            <w:r>
              <w:rPr>
                <w:rFonts w:ascii="Arial" w:cs="Arial" w:eastAsia="Arial" w:hAnsi="Arial"/>
                <w:sz w:val="18"/>
                <w:szCs w:val="18"/>
                <w:color w:val="auto"/>
              </w:rPr>
              <w:t>Shares</w:t>
            </w:r>
          </w:p>
        </w:tc>
        <w:tc>
          <w:tcPr>
            <w:tcW w:w="5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company must not exercise any power to allot shares or</w:t>
            </w:r>
          </w:p>
        </w:tc>
      </w:tr>
      <w:tr>
        <w:trPr>
          <w:trHeight w:val="217"/>
        </w:trPr>
        <w:tc>
          <w:tcPr>
            <w:tcW w:w="140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grant rights to subscribe for, or to convert any security</w:t>
            </w:r>
          </w:p>
        </w:tc>
      </w:tr>
      <w:tr>
        <w:trPr>
          <w:trHeight w:val="351"/>
        </w:trPr>
        <w:tc>
          <w:tcPr>
            <w:tcW w:w="1400" w:type="dxa"/>
            <w:vAlign w:val="bottom"/>
          </w:tcPr>
          <w:p>
            <w:pPr>
              <w:spacing w:after="0"/>
              <w:rPr>
                <w:sz w:val="24"/>
                <w:szCs w:val="24"/>
                <w:color w:val="auto"/>
              </w:rPr>
            </w:pPr>
          </w:p>
        </w:tc>
        <w:tc>
          <w:tcPr>
            <w:tcW w:w="5040" w:type="dxa"/>
            <w:vAlign w:val="bottom"/>
            <w:gridSpan w:val="2"/>
          </w:tcPr>
          <w:p>
            <w:pPr>
              <w:jc w:val="right"/>
              <w:ind w:right="699"/>
              <w:spacing w:after="0"/>
              <w:rPr>
                <w:sz w:val="20"/>
                <w:szCs w:val="20"/>
                <w:color w:val="auto"/>
              </w:rPr>
            </w:pPr>
            <w:r>
              <w:rPr>
                <w:rFonts w:ascii="Arial" w:cs="Arial" w:eastAsia="Arial" w:hAnsi="Arial"/>
                <w:sz w:val="18"/>
                <w:szCs w:val="18"/>
                <w:color w:val="auto"/>
              </w:rPr>
              <w:t>230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4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w:t>
      </w:r>
    </w:p>
    <w:p>
      <w:pPr>
        <w:sectPr>
          <w:pgSz w:w="11900" w:h="16838" w:orient="portrait"/>
          <w:cols w:equalWidth="0" w:num="2">
            <w:col w:w="6560" w:space="100"/>
            <w:col w:w="4460"/>
          </w:cols>
          <w:pgMar w:left="320" w:top="459" w:right="459" w:bottom="1440" w:gutter="0" w:footer="0" w:header="0"/>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into, shares unless they are authorized to do so by the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company’s articles of association or by an ordinary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resolution of the shareholders. Any authorization given</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must state the maximum amount of shares that may be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allotted under it and specify the date on which it will</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expire, which must be not more than five years from the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date the authorization was given. The authority can be</w:t>
            </w:r>
          </w:p>
        </w:tc>
      </w:tr>
      <w:tr>
        <w:trPr>
          <w:trHeight w:val="217"/>
        </w:trPr>
        <w:tc>
          <w:tcPr>
            <w:tcW w:w="1540" w:type="dxa"/>
            <w:vAlign w:val="bottom"/>
          </w:tcPr>
          <w:p>
            <w:pPr>
              <w:spacing w:after="0"/>
              <w:rPr>
                <w:sz w:val="18"/>
                <w:szCs w:val="18"/>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renewed by a further resolution of the shareholders.</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Pre-emptive</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Under the U.K. Companies Act 2006, “equity securities,”</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Rights</w:t>
            </w: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being (i) shares in the company other than shares that,</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with respect to dividends and capital, carry a right to</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participate only up to a specified amount in a distribution</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(“ordinary shares”) or (ii) rights to subscribe for, or to</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convert securities into, ordinary shares, proposed to be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allotted for cash, must be offered first to the existing equity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shareholders in the company in proportion to the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respective nominal value of their holdings, unless an</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exception applies or a special resolution to the contrary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has been passed by shareholders in a general meeting or</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the articles of association provide otherwise, in each case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 accordance with the provisions of the U.K. Companies</w:t>
            </w:r>
          </w:p>
        </w:tc>
      </w:tr>
      <w:tr>
        <w:trPr>
          <w:trHeight w:val="217"/>
        </w:trPr>
        <w:tc>
          <w:tcPr>
            <w:tcW w:w="1540" w:type="dxa"/>
            <w:vAlign w:val="bottom"/>
          </w:tcPr>
          <w:p>
            <w:pPr>
              <w:spacing w:after="0"/>
              <w:rPr>
                <w:sz w:val="18"/>
                <w:szCs w:val="18"/>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Act 2006.</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Authority to Allot</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company must not allot shares or grant rights to subscribe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for or to convert any security into shares unless those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shares are alloted, or those rights to subscribe or convert</w:t>
            </w:r>
          </w:p>
        </w:tc>
      </w:tr>
      <w:tr>
        <w:trPr>
          <w:trHeight w:val="202"/>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any security into shares are granted (as applicable)</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pursuant to an employee share scheme, an ordinary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resolution to the contrary has been passed by</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shareholders in a general meeting, or the articles of</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association provide otherwise, in each case, in</w:t>
            </w:r>
          </w:p>
        </w:tc>
      </w:tr>
      <w:tr>
        <w:trPr>
          <w:trHeight w:val="203"/>
        </w:trPr>
        <w:tc>
          <w:tcPr>
            <w:tcW w:w="1540" w:type="dxa"/>
            <w:vAlign w:val="bottom"/>
          </w:tcPr>
          <w:p>
            <w:pPr>
              <w:spacing w:after="0"/>
              <w:rPr>
                <w:sz w:val="17"/>
                <w:szCs w:val="17"/>
                <w:color w:val="auto"/>
              </w:rPr>
            </w:pP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accordance with the provisions of the U.K. Companies Act</w:t>
            </w:r>
          </w:p>
        </w:tc>
      </w:tr>
      <w:tr>
        <w:trPr>
          <w:trHeight w:val="217"/>
        </w:trPr>
        <w:tc>
          <w:tcPr>
            <w:tcW w:w="1540" w:type="dxa"/>
            <w:vAlign w:val="bottom"/>
          </w:tcPr>
          <w:p>
            <w:pPr>
              <w:spacing w:after="0"/>
              <w:rPr>
                <w:sz w:val="18"/>
                <w:szCs w:val="18"/>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2006.</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Liability of</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Under the U.K. Companies Act 2006, any provision</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Directors and</w:t>
            </w: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(whether contained in a company’s articles of association</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Officers</w:t>
            </w:r>
          </w:p>
        </w:tc>
        <w:tc>
          <w:tcPr>
            <w:tcW w:w="4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or any contract or otherwise) that purports to exempt a</w:t>
            </w:r>
          </w:p>
        </w:tc>
      </w:tr>
      <w:tr>
        <w:trPr>
          <w:trHeight w:val="217"/>
        </w:trPr>
        <w:tc>
          <w:tcPr>
            <w:tcW w:w="1540" w:type="dxa"/>
            <w:vAlign w:val="bottom"/>
          </w:tcPr>
          <w:p>
            <w:pPr>
              <w:spacing w:after="0"/>
              <w:rPr>
                <w:sz w:val="18"/>
                <w:szCs w:val="18"/>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director of a company (to any</w:t>
            </w:r>
          </w:p>
        </w:tc>
      </w:tr>
      <w:tr>
        <w:trPr>
          <w:trHeight w:val="351"/>
        </w:trPr>
        <w:tc>
          <w:tcPr>
            <w:tcW w:w="1540" w:type="dxa"/>
            <w:vAlign w:val="bottom"/>
          </w:tcPr>
          <w:p>
            <w:pPr>
              <w:spacing w:after="0"/>
              <w:rPr>
                <w:sz w:val="24"/>
                <w:szCs w:val="24"/>
                <w:color w:val="auto"/>
              </w:rPr>
            </w:pPr>
          </w:p>
        </w:tc>
        <w:tc>
          <w:tcPr>
            <w:tcW w:w="4900" w:type="dxa"/>
            <w:vAlign w:val="bottom"/>
            <w:gridSpan w:val="2"/>
          </w:tcPr>
          <w:p>
            <w:pPr>
              <w:jc w:val="right"/>
              <w:ind w:right="699"/>
              <w:spacing w:after="0"/>
              <w:rPr>
                <w:sz w:val="20"/>
                <w:szCs w:val="20"/>
                <w:color w:val="auto"/>
              </w:rPr>
            </w:pPr>
            <w:r>
              <w:rPr>
                <w:rFonts w:ascii="Arial" w:cs="Arial" w:eastAsia="Arial" w:hAnsi="Arial"/>
                <w:sz w:val="18"/>
                <w:szCs w:val="18"/>
                <w:color w:val="auto"/>
              </w:rPr>
              <w:t>231</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56"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w:t>
      </w:r>
    </w:p>
    <w:p>
      <w:pPr>
        <w:sectPr>
          <w:pgSz w:w="11900" w:h="16838" w:orient="portrait"/>
          <w:cols w:equalWidth="0" w:num="2">
            <w:col w:w="6560" w:space="100"/>
            <w:col w:w="4460"/>
          </w:cols>
          <w:pgMar w:left="320" w:top="459" w:right="459" w:bottom="1440" w:gutter="0" w:footer="0" w:header="0"/>
          <w:type w:val="continuous"/>
        </w:sectPr>
      </w:pPr>
    </w:p>
    <w:bookmarkStart w:id="238" w:name="page239"/>
    <w:bookmarkEnd w:id="2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29660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 w:lineRule="exact"/>
        <w:rPr>
          <w:sz w:val="20"/>
          <w:szCs w:val="20"/>
          <w:color w:val="auto"/>
        </w:rPr>
      </w:pPr>
    </w:p>
    <w:p>
      <w:pPr>
        <w:jc w:val="both"/>
        <w:ind w:left="1880"/>
        <w:spacing w:after="0"/>
        <w:rPr>
          <w:sz w:val="20"/>
          <w:szCs w:val="20"/>
          <w:color w:val="auto"/>
        </w:rPr>
      </w:pPr>
      <w:r>
        <w:rPr>
          <w:rFonts w:ascii="Arial" w:cs="Arial" w:eastAsia="Arial" w:hAnsi="Arial"/>
          <w:sz w:val="18"/>
          <w:szCs w:val="18"/>
          <w:color w:val="auto"/>
        </w:rPr>
        <w:t>extent) from any liability that would otherwise attach to him in connection with any negligence, default, breach of duty or breach of trust in relation to the company is void.</w:t>
      </w:r>
    </w:p>
    <w:p>
      <w:pPr>
        <w:spacing w:after="0" w:line="54" w:lineRule="exact"/>
        <w:rPr>
          <w:sz w:val="20"/>
          <w:szCs w:val="20"/>
          <w:color w:val="auto"/>
        </w:rPr>
      </w:pPr>
    </w:p>
    <w:p>
      <w:pPr>
        <w:ind w:left="1880"/>
        <w:spacing w:after="0" w:line="236" w:lineRule="auto"/>
        <w:rPr>
          <w:sz w:val="20"/>
          <w:szCs w:val="20"/>
          <w:color w:val="auto"/>
        </w:rPr>
      </w:pPr>
      <w:r>
        <w:rPr>
          <w:rFonts w:ascii="Arial" w:cs="Arial" w:eastAsia="Arial" w:hAnsi="Arial"/>
          <w:sz w:val="18"/>
          <w:szCs w:val="18"/>
          <w:color w:val="auto"/>
        </w:rPr>
        <w:t>Any provision by which we directly or indirectly provide an indemnity (to any extent) for a director of the company or of an “associated company” (i.e., a company that is a parent, subsidiary or sister company of us) against any liability attaching to him or her in connection with any negligence, default, breach of duty or breach of trust in relation to the company of which he or she is a director is void except as permitted by the U.K. Companies Act 2006, which provides exceptions for us to:</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damages arising from a breach of fiduciary duty as a director. However, no provision can limit the liability of a director for:</w:t>
      </w:r>
    </w:p>
    <w:p>
      <w:pPr>
        <w:spacing w:after="0" w:line="54" w:lineRule="exact"/>
        <w:rPr>
          <w:sz w:val="20"/>
          <w:szCs w:val="20"/>
          <w:color w:val="auto"/>
        </w:rPr>
      </w:pPr>
    </w:p>
    <w:p>
      <w:pPr>
        <w:ind w:left="320" w:right="300" w:hanging="317"/>
        <w:spacing w:after="0" w:line="246" w:lineRule="auto"/>
        <w:tabs>
          <w:tab w:leader="none" w:pos="322" w:val="left"/>
        </w:tabs>
        <w:numPr>
          <w:ilvl w:val="0"/>
          <w:numId w:val="134"/>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21" w:lineRule="exact"/>
        <w:rPr>
          <w:rFonts w:ascii="MS PGothic" w:cs="MS PGothic" w:eastAsia="MS PGothic" w:hAnsi="MS PGothic"/>
          <w:sz w:val="13"/>
          <w:szCs w:val="13"/>
          <w:color w:val="auto"/>
        </w:rPr>
      </w:pPr>
    </w:p>
    <w:p>
      <w:pPr>
        <w:ind w:left="320" w:hanging="317"/>
        <w:spacing w:after="0" w:line="246" w:lineRule="auto"/>
        <w:tabs>
          <w:tab w:leader="none" w:pos="322" w:val="left"/>
        </w:tabs>
        <w:numPr>
          <w:ilvl w:val="0"/>
          <w:numId w:val="134"/>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 w:lineRule="exact"/>
        <w:rPr>
          <w:rFonts w:ascii="MS PGothic" w:cs="MS PGothic" w:eastAsia="MS PGothic" w:hAnsi="MS PGothic"/>
          <w:sz w:val="13"/>
          <w:szCs w:val="13"/>
          <w:color w:val="auto"/>
        </w:rPr>
      </w:pPr>
    </w:p>
    <w:p>
      <w:pPr>
        <w:ind w:left="320" w:right="300" w:hanging="317"/>
        <w:spacing w:after="0" w:line="246" w:lineRule="auto"/>
        <w:tabs>
          <w:tab w:leader="none" w:pos="322" w:val="left"/>
        </w:tabs>
        <w:numPr>
          <w:ilvl w:val="0"/>
          <w:numId w:val="134"/>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21" w:lineRule="exact"/>
        <w:rPr>
          <w:rFonts w:ascii="MS PGothic" w:cs="MS PGothic" w:eastAsia="MS PGothic" w:hAnsi="MS PGothic"/>
          <w:sz w:val="13"/>
          <w:szCs w:val="13"/>
          <w:color w:val="auto"/>
        </w:rPr>
      </w:pPr>
    </w:p>
    <w:p>
      <w:pPr>
        <w:ind w:left="320" w:right="160" w:hanging="317"/>
        <w:spacing w:after="0" w:line="246" w:lineRule="auto"/>
        <w:tabs>
          <w:tab w:leader="none" w:pos="322" w:val="left"/>
        </w:tabs>
        <w:numPr>
          <w:ilvl w:val="0"/>
          <w:numId w:val="134"/>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pacing w:after="0" w:line="270" w:lineRule="exact"/>
        <w:rPr>
          <w:sz w:val="20"/>
          <w:szCs w:val="20"/>
          <w:color w:val="auto"/>
        </w:rPr>
      </w:pPr>
    </w:p>
    <w:p>
      <w:pPr>
        <w:sectPr>
          <w:pgSz w:w="11900" w:h="16838" w:orient="portrait"/>
          <w:cols w:equalWidth="0" w:num="2">
            <w:col w:w="6540" w:space="120"/>
            <w:col w:w="4460"/>
          </w:cols>
          <w:pgMar w:left="320" w:top="459" w:right="459" w:bottom="1440" w:gutter="0" w:footer="0" w:header="0"/>
          <w:type w:val="continuous"/>
        </w:sectPr>
      </w:pPr>
    </w:p>
    <w:p>
      <w:pPr>
        <w:spacing w:after="0" w:line="7" w:lineRule="exact"/>
        <w:rPr>
          <w:sz w:val="20"/>
          <w:szCs w:val="20"/>
          <w:color w:val="auto"/>
        </w:rPr>
      </w:pPr>
    </w:p>
    <w:p>
      <w:pPr>
        <w:ind w:left="2200" w:right="4620" w:hanging="316"/>
        <w:spacing w:after="0" w:line="237" w:lineRule="auto"/>
        <w:tabs>
          <w:tab w:leader="none" w:pos="2202" w:val="left"/>
        </w:tabs>
        <w:numPr>
          <w:ilvl w:val="0"/>
          <w:numId w:val="135"/>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15" w:lineRule="exact"/>
        <w:rPr>
          <w:rFonts w:ascii="MS PGothic" w:cs="MS PGothic" w:eastAsia="MS PGothic" w:hAnsi="MS PGothic"/>
          <w:sz w:val="13"/>
          <w:szCs w:val="13"/>
          <w:color w:val="auto"/>
        </w:rPr>
      </w:pPr>
    </w:p>
    <w:p>
      <w:pPr>
        <w:ind w:left="2200" w:right="4580" w:hanging="316"/>
        <w:spacing w:after="0" w:line="236" w:lineRule="auto"/>
        <w:tabs>
          <w:tab w:leader="none" w:pos="2202" w:val="left"/>
        </w:tabs>
        <w:numPr>
          <w:ilvl w:val="0"/>
          <w:numId w:val="135"/>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14" w:lineRule="exact"/>
        <w:rPr>
          <w:rFonts w:ascii="MS PGothic" w:cs="MS PGothic" w:eastAsia="MS PGothic" w:hAnsi="MS PGothic"/>
          <w:sz w:val="13"/>
          <w:szCs w:val="13"/>
          <w:color w:val="auto"/>
        </w:rPr>
      </w:pPr>
    </w:p>
    <w:p>
      <w:pPr>
        <w:ind w:left="2200" w:right="5020" w:hanging="316"/>
        <w:spacing w:after="0"/>
        <w:tabs>
          <w:tab w:leader="none" w:pos="2202" w:val="left"/>
        </w:tabs>
        <w:numPr>
          <w:ilvl w:val="0"/>
          <w:numId w:val="135"/>
        </w:numPr>
        <w:rPr>
          <w:rFonts w:ascii="MS PGothic" w:cs="MS PGothic" w:eastAsia="MS PGothic" w:hAnsi="MS PGothic"/>
          <w:sz w:val="13"/>
          <w:szCs w:val="13"/>
          <w:color w:val="auto"/>
        </w:rPr>
      </w:pPr>
      <w:r>
        <w:rPr>
          <w:rFonts w:ascii="Arial" w:cs="Arial" w:eastAsia="Arial" w:hAnsi="Arial"/>
          <w:sz w:val="18"/>
          <w:szCs w:val="18"/>
          <w:color w:val="auto"/>
        </w:rPr>
        <w:t>provide a “qualifying pension scheme indemnity,” which is an indemnity against liability incurred in connection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919"/>
        <w:spacing w:after="0"/>
        <w:tabs>
          <w:tab w:leader="none" w:pos="62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58718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with the company’s activities as trustee of an</w:t>
      </w:r>
    </w:p>
    <w:p>
      <w:pPr>
        <w:ind w:left="2200"/>
        <w:spacing w:after="0" w:line="234" w:lineRule="auto"/>
        <w:rPr>
          <w:sz w:val="20"/>
          <w:szCs w:val="20"/>
          <w:color w:val="auto"/>
        </w:rPr>
      </w:pPr>
      <w:r>
        <w:rPr>
          <w:rFonts w:ascii="Arial" w:cs="Arial" w:eastAsia="Arial" w:hAnsi="Arial"/>
          <w:sz w:val="18"/>
          <w:szCs w:val="18"/>
          <w:color w:val="auto"/>
        </w:rPr>
        <w:t>occupational pension plan. Such indemnity must not</w:t>
      </w:r>
    </w:p>
    <w:p>
      <w:pPr>
        <w:ind w:left="2200"/>
        <w:spacing w:after="0" w:line="235" w:lineRule="auto"/>
        <w:rPr>
          <w:sz w:val="20"/>
          <w:szCs w:val="20"/>
          <w:color w:val="auto"/>
        </w:rPr>
      </w:pPr>
      <w:r>
        <w:rPr>
          <w:rFonts w:ascii="Arial" w:cs="Arial" w:eastAsia="Arial" w:hAnsi="Arial"/>
          <w:sz w:val="18"/>
          <w:szCs w:val="18"/>
          <w:color w:val="auto"/>
        </w:rPr>
        <w:t>cover a fine imposed in criminal proceedings, or sum</w:t>
      </w:r>
    </w:p>
    <w:p>
      <w:pPr>
        <w:ind w:left="2200"/>
        <w:spacing w:after="0" w:line="235" w:lineRule="auto"/>
        <w:rPr>
          <w:sz w:val="20"/>
          <w:szCs w:val="20"/>
          <w:color w:val="auto"/>
        </w:rPr>
      </w:pPr>
      <w:r>
        <w:rPr>
          <w:rFonts w:ascii="Arial" w:cs="Arial" w:eastAsia="Arial" w:hAnsi="Arial"/>
          <w:sz w:val="18"/>
          <w:szCs w:val="18"/>
          <w:color w:val="auto"/>
        </w:rPr>
        <w:t>payable to a regulatory authority by way of a penalty</w:t>
      </w:r>
    </w:p>
    <w:p>
      <w:pPr>
        <w:ind w:left="2200"/>
        <w:spacing w:after="0" w:line="235" w:lineRule="auto"/>
        <w:rPr>
          <w:sz w:val="20"/>
          <w:szCs w:val="20"/>
          <w:color w:val="auto"/>
        </w:rPr>
      </w:pPr>
      <w:r>
        <w:rPr>
          <w:rFonts w:ascii="Arial" w:cs="Arial" w:eastAsia="Arial" w:hAnsi="Arial"/>
          <w:sz w:val="18"/>
          <w:szCs w:val="18"/>
          <w:color w:val="auto"/>
        </w:rPr>
        <w:t>in respect of non-compliance with any requirement of</w:t>
      </w:r>
    </w:p>
    <w:p>
      <w:pPr>
        <w:ind w:left="2200"/>
        <w:spacing w:after="0" w:line="235" w:lineRule="auto"/>
        <w:rPr>
          <w:sz w:val="20"/>
          <w:szCs w:val="20"/>
          <w:color w:val="auto"/>
        </w:rPr>
      </w:pPr>
      <w:r>
        <w:rPr>
          <w:rFonts w:ascii="Arial" w:cs="Arial" w:eastAsia="Arial" w:hAnsi="Arial"/>
          <w:sz w:val="18"/>
          <w:szCs w:val="18"/>
          <w:color w:val="auto"/>
        </w:rPr>
        <w:t>a regulatory nature (however arising), or any liability</w:t>
      </w:r>
    </w:p>
    <w:p>
      <w:pPr>
        <w:ind w:left="2200"/>
        <w:spacing w:after="0" w:line="234" w:lineRule="auto"/>
        <w:rPr>
          <w:sz w:val="20"/>
          <w:szCs w:val="20"/>
          <w:color w:val="auto"/>
        </w:rPr>
      </w:pPr>
      <w:r>
        <w:rPr>
          <w:rFonts w:ascii="Arial" w:cs="Arial" w:eastAsia="Arial" w:hAnsi="Arial"/>
          <w:sz w:val="18"/>
          <w:szCs w:val="18"/>
          <w:color w:val="auto"/>
        </w:rPr>
        <w:t>incurred by the director in defending criminal</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proceedings in which he or she is convicted.</w:t>
      </w:r>
    </w:p>
    <w:p>
      <w:pPr>
        <w:spacing w:after="0" w:line="12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Our Articles provide that it may indemnify each of our</w:t>
      </w:r>
    </w:p>
    <w:p>
      <w:pPr>
        <w:ind w:left="1880"/>
        <w:spacing w:after="0"/>
        <w:rPr>
          <w:sz w:val="20"/>
          <w:szCs w:val="20"/>
          <w:color w:val="auto"/>
        </w:rPr>
      </w:pPr>
      <w:r>
        <w:rPr>
          <w:rFonts w:ascii="Arial" w:cs="Arial" w:eastAsia="Arial" w:hAnsi="Arial"/>
          <w:sz w:val="18"/>
          <w:szCs w:val="18"/>
          <w:color w:val="auto"/>
        </w:rPr>
        <w:t>directors against:</w:t>
      </w:r>
    </w:p>
    <w:p>
      <w:pPr>
        <w:spacing w:after="0" w:line="212" w:lineRule="exact"/>
        <w:rPr>
          <w:sz w:val="20"/>
          <w:szCs w:val="20"/>
          <w:color w:val="auto"/>
        </w:rPr>
      </w:pPr>
    </w:p>
    <w:p>
      <w:pPr>
        <w:ind w:left="2200" w:right="3619" w:hanging="316"/>
        <w:spacing w:after="0"/>
        <w:tabs>
          <w:tab w:leader="none" w:pos="2202" w:val="left"/>
        </w:tabs>
        <w:numPr>
          <w:ilvl w:val="0"/>
          <w:numId w:val="136"/>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any negligence, default, breach of duty or breach of trust in relation to us or an associated company;</w:t>
      </w:r>
    </w:p>
    <w:p>
      <w:pPr>
        <w:spacing w:after="0" w:line="27" w:lineRule="exact"/>
        <w:rPr>
          <w:rFonts w:ascii="MS PGothic" w:cs="MS PGothic" w:eastAsia="MS PGothic" w:hAnsi="MS PGothic"/>
          <w:sz w:val="13"/>
          <w:szCs w:val="13"/>
          <w:color w:val="auto"/>
        </w:rPr>
      </w:pPr>
    </w:p>
    <w:p>
      <w:pPr>
        <w:ind w:left="2200" w:right="3619" w:hanging="316"/>
        <w:spacing w:after="0" w:line="238" w:lineRule="auto"/>
        <w:tabs>
          <w:tab w:leader="none" w:pos="2202" w:val="left"/>
        </w:tabs>
        <w:numPr>
          <w:ilvl w:val="0"/>
          <w:numId w:val="136"/>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the activities of us or an associated company in the capacity of trustee of an occupational pension scheme; and</w:t>
      </w:r>
    </w:p>
    <w:p>
      <w:pPr>
        <w:spacing w:after="0" w:line="29" w:lineRule="exact"/>
        <w:rPr>
          <w:rFonts w:ascii="MS PGothic" w:cs="MS PGothic" w:eastAsia="MS PGothic" w:hAnsi="MS PGothic"/>
          <w:sz w:val="13"/>
          <w:szCs w:val="13"/>
          <w:color w:val="auto"/>
        </w:rPr>
      </w:pPr>
    </w:p>
    <w:p>
      <w:pPr>
        <w:ind w:left="2200" w:right="3619" w:hanging="316"/>
        <w:spacing w:after="0" w:line="237" w:lineRule="auto"/>
        <w:tabs>
          <w:tab w:leader="none" w:pos="2202" w:val="left"/>
        </w:tabs>
        <w:numPr>
          <w:ilvl w:val="0"/>
          <w:numId w:val="136"/>
        </w:numPr>
        <w:rPr>
          <w:rFonts w:ascii="MS PGothic" w:cs="MS PGothic" w:eastAsia="MS PGothic" w:hAnsi="MS PGothic"/>
          <w:sz w:val="13"/>
          <w:szCs w:val="13"/>
          <w:color w:val="auto"/>
        </w:rPr>
      </w:pPr>
      <w:r>
        <w:rPr>
          <w:rFonts w:ascii="Arial" w:cs="Arial" w:eastAsia="Arial" w:hAnsi="Arial"/>
          <w:sz w:val="18"/>
          <w:szCs w:val="18"/>
          <w:color w:val="auto"/>
        </w:rPr>
        <w:t>any other liability incurred by that director in the actual or purported execution or discharge of his or her duties, the exercise or purported exercise of his or her powers or otherwise in relation to his or her duties or powers as an officer of the Company or an associated company.</w:t>
      </w:r>
    </w:p>
    <w:p>
      <w:pPr>
        <w:spacing w:after="0" w:line="11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U.K. Companies Act 2006 also provides that we may</w:t>
      </w:r>
    </w:p>
    <w:p>
      <w:pPr>
        <w:ind w:left="1880"/>
        <w:spacing w:after="0" w:line="234" w:lineRule="auto"/>
        <w:rPr>
          <w:sz w:val="20"/>
          <w:szCs w:val="20"/>
          <w:color w:val="auto"/>
        </w:rPr>
      </w:pPr>
      <w:r>
        <w:rPr>
          <w:rFonts w:ascii="Arial" w:cs="Arial" w:eastAsia="Arial" w:hAnsi="Arial"/>
          <w:sz w:val="18"/>
          <w:szCs w:val="18"/>
          <w:color w:val="auto"/>
        </w:rPr>
        <w:t>lend each of our directors funds to meet expenditure</w:t>
      </w:r>
    </w:p>
    <w:p>
      <w:pPr>
        <w:ind w:left="1880"/>
        <w:spacing w:after="0" w:line="235" w:lineRule="auto"/>
        <w:rPr>
          <w:sz w:val="20"/>
          <w:szCs w:val="20"/>
          <w:color w:val="auto"/>
        </w:rPr>
      </w:pPr>
      <w:r>
        <w:rPr>
          <w:rFonts w:ascii="Arial" w:cs="Arial" w:eastAsia="Arial" w:hAnsi="Arial"/>
          <w:sz w:val="18"/>
          <w:szCs w:val="18"/>
          <w:color w:val="auto"/>
        </w:rPr>
        <w:t>incurred by him or her in defending any criminal or civil</w:t>
      </w:r>
    </w:p>
    <w:p>
      <w:pPr>
        <w:ind w:left="1880"/>
        <w:spacing w:after="0" w:line="235" w:lineRule="auto"/>
        <w:rPr>
          <w:sz w:val="20"/>
          <w:szCs w:val="20"/>
          <w:color w:val="auto"/>
        </w:rPr>
      </w:pPr>
      <w:r>
        <w:rPr>
          <w:rFonts w:ascii="Arial" w:cs="Arial" w:eastAsia="Arial" w:hAnsi="Arial"/>
          <w:sz w:val="18"/>
          <w:szCs w:val="18"/>
          <w:color w:val="auto"/>
        </w:rPr>
        <w:t>proceedings in connection with any alleged negligence,</w:t>
      </w:r>
    </w:p>
    <w:p>
      <w:pPr>
        <w:ind w:left="1880"/>
        <w:spacing w:after="0" w:line="235" w:lineRule="auto"/>
        <w:rPr>
          <w:sz w:val="20"/>
          <w:szCs w:val="20"/>
          <w:color w:val="auto"/>
        </w:rPr>
      </w:pPr>
      <w:r>
        <w:rPr>
          <w:rFonts w:ascii="Arial" w:cs="Arial" w:eastAsia="Arial" w:hAnsi="Arial"/>
          <w:sz w:val="18"/>
          <w:szCs w:val="18"/>
          <w:color w:val="auto"/>
        </w:rPr>
        <w:t>default, breach of duty or breach of trust by him or her in</w:t>
      </w:r>
    </w:p>
    <w:p>
      <w:pPr>
        <w:ind w:left="1880"/>
        <w:spacing w:after="0" w:line="235" w:lineRule="auto"/>
        <w:rPr>
          <w:sz w:val="20"/>
          <w:szCs w:val="20"/>
          <w:color w:val="auto"/>
        </w:rPr>
      </w:pPr>
      <w:r>
        <w:rPr>
          <w:rFonts w:ascii="Arial" w:cs="Arial" w:eastAsia="Arial" w:hAnsi="Arial"/>
          <w:sz w:val="18"/>
          <w:szCs w:val="18"/>
          <w:color w:val="auto"/>
        </w:rPr>
        <w:t>relation to us or an associated company, or in connection</w:t>
      </w:r>
    </w:p>
    <w:p>
      <w:pPr>
        <w:ind w:left="1880"/>
        <w:spacing w:after="0" w:line="234" w:lineRule="auto"/>
        <w:rPr>
          <w:sz w:val="20"/>
          <w:szCs w:val="20"/>
          <w:color w:val="auto"/>
        </w:rPr>
      </w:pPr>
      <w:r>
        <w:rPr>
          <w:rFonts w:ascii="Arial" w:cs="Arial" w:eastAsia="Arial" w:hAnsi="Arial"/>
          <w:sz w:val="18"/>
          <w:szCs w:val="18"/>
          <w:color w:val="auto"/>
        </w:rPr>
        <w:t>with an application for certain specified relief, subject to</w:t>
      </w:r>
    </w:p>
    <w:p>
      <w:pPr>
        <w:ind w:left="1880"/>
        <w:spacing w:after="0" w:line="235" w:lineRule="auto"/>
        <w:rPr>
          <w:sz w:val="20"/>
          <w:szCs w:val="20"/>
          <w:color w:val="auto"/>
        </w:rPr>
      </w:pPr>
      <w:r>
        <w:rPr>
          <w:rFonts w:ascii="Arial" w:cs="Arial" w:eastAsia="Arial" w:hAnsi="Arial"/>
          <w:sz w:val="18"/>
          <w:szCs w:val="18"/>
          <w:color w:val="auto"/>
        </w:rPr>
        <w:t>the requirement that the loan must be on terms that it is to</w:t>
      </w:r>
    </w:p>
    <w:p>
      <w:pPr>
        <w:ind w:left="1880"/>
        <w:spacing w:after="0" w:line="235" w:lineRule="auto"/>
        <w:rPr>
          <w:sz w:val="20"/>
          <w:szCs w:val="20"/>
          <w:color w:val="auto"/>
        </w:rPr>
      </w:pPr>
      <w:r>
        <w:rPr>
          <w:rFonts w:ascii="Arial" w:cs="Arial" w:eastAsia="Arial" w:hAnsi="Arial"/>
          <w:sz w:val="18"/>
          <w:szCs w:val="18"/>
          <w:color w:val="auto"/>
        </w:rPr>
        <w:t>be repaid if the defense or the application for relief is</w:t>
      </w:r>
    </w:p>
    <w:p>
      <w:pPr>
        <w:ind w:left="1880"/>
        <w:spacing w:after="0"/>
        <w:rPr>
          <w:sz w:val="20"/>
          <w:szCs w:val="20"/>
          <w:color w:val="auto"/>
        </w:rPr>
      </w:pPr>
      <w:r>
        <w:rPr>
          <w:rFonts w:ascii="Arial" w:cs="Arial" w:eastAsia="Arial" w:hAnsi="Arial"/>
          <w:sz w:val="18"/>
          <w:szCs w:val="18"/>
          <w:color w:val="auto"/>
        </w:rPr>
        <w:t>unsuccessful.</w:t>
      </w:r>
    </w:p>
    <w:p>
      <w:pPr>
        <w:spacing w:after="0" w:line="27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0139"/>
          </w:cols>
          <w:pgMar w:left="320" w:top="459" w:right="1440" w:bottom="1440" w:gutter="0" w:footer="0" w:header="0"/>
        </w:sectPr>
      </w:pPr>
    </w:p>
    <w:bookmarkStart w:id="240" w:name="page241"/>
    <w:bookmarkEnd w:id="2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249"/>
        </w:trPr>
        <w:tc>
          <w:tcPr>
            <w:tcW w:w="1580" w:type="dxa"/>
            <w:vAlign w:val="bottom"/>
          </w:tcPr>
          <w:p>
            <w:pPr>
              <w:spacing w:after="0"/>
              <w:rPr>
                <w:sz w:val="20"/>
                <w:szCs w:val="20"/>
                <w:color w:val="auto"/>
              </w:rPr>
            </w:pPr>
            <w:r>
              <w:rPr>
                <w:rFonts w:ascii="Arial" w:cs="Arial" w:eastAsia="Arial" w:hAnsi="Arial"/>
                <w:sz w:val="18"/>
                <w:szCs w:val="18"/>
                <w:color w:val="auto"/>
              </w:rPr>
              <w:t>Voting Rights</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For a description of the voting rights contained in our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Articles see “Description of the Share Capital and Articles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of Association—Articles of Association—Shares and</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Rights Attaching to Them—Voting Rights” in this</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prospectus.</w:t>
            </w:r>
          </w:p>
        </w:tc>
      </w:tr>
      <w:tr>
        <w:trPr>
          <w:trHeight w:val="256"/>
        </w:trPr>
        <w:tc>
          <w:tcPr>
            <w:tcW w:w="1580" w:type="dxa"/>
            <w:vAlign w:val="bottom"/>
          </w:tcPr>
          <w:p>
            <w:pPr>
              <w:spacing w:after="0"/>
              <w:rPr>
                <w:sz w:val="20"/>
                <w:szCs w:val="20"/>
                <w:color w:val="auto"/>
              </w:rPr>
            </w:pPr>
            <w:r>
              <w:rPr>
                <w:rFonts w:ascii="Arial" w:cs="Arial" w:eastAsia="Arial" w:hAnsi="Arial"/>
                <w:sz w:val="18"/>
                <w:szCs w:val="18"/>
                <w:color w:val="auto"/>
              </w:rPr>
              <w:t>Shareholder Vote</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The U.K. Companies Act 2006 provides for schemes of</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on Certain</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arrangement, which are arrangements or compromises</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between a company and any class of shareholders or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creditors and used in certain types of reconstructions,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amalgamations, capital reorganizations or takeovers.</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These arrangements require: (1) the approval, at a</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or creditors’ meeting convened by order of a</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court of England and Wales, of a majority in number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representing not less than 75% in value of the creditors or</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class of creditors or members or class of members (as the</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case may be) present and voting, either in person or by</w:t>
            </w:r>
          </w:p>
        </w:tc>
      </w:tr>
      <w:tr>
        <w:trPr>
          <w:trHeight w:val="203"/>
        </w:trPr>
        <w:tc>
          <w:tcPr>
            <w:tcW w:w="158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proxy; and (2) the approval of a court of England and</w:t>
            </w:r>
          </w:p>
        </w:tc>
      </w:tr>
      <w:tr>
        <w:trPr>
          <w:trHeight w:val="217"/>
        </w:trPr>
        <w:tc>
          <w:tcPr>
            <w:tcW w:w="158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Wales.</w:t>
            </w:r>
          </w:p>
        </w:tc>
      </w:tr>
      <w:tr>
        <w:trPr>
          <w:trHeight w:val="350"/>
        </w:trPr>
        <w:tc>
          <w:tcPr>
            <w:tcW w:w="1580" w:type="dxa"/>
            <w:vAlign w:val="bottom"/>
          </w:tcPr>
          <w:p>
            <w:pPr>
              <w:spacing w:after="0"/>
              <w:rPr>
                <w:sz w:val="20"/>
                <w:szCs w:val="20"/>
                <w:color w:val="auto"/>
              </w:rPr>
            </w:pPr>
            <w:r>
              <w:rPr>
                <w:rFonts w:ascii="Arial" w:cs="Arial" w:eastAsia="Arial" w:hAnsi="Arial"/>
                <w:sz w:val="18"/>
                <w:szCs w:val="18"/>
                <w:color w:val="auto"/>
              </w:rPr>
              <w:t>Standard of</w:t>
            </w: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Under English law, a director owes various statutory and</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Conduct for</w:t>
            </w: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fiduciary duties to the company, including:</w:t>
            </w:r>
          </w:p>
        </w:tc>
      </w:tr>
      <w:tr>
        <w:trPr>
          <w:trHeight w:val="217"/>
        </w:trPr>
        <w:tc>
          <w:tcPr>
            <w:tcW w:w="1580" w:type="dxa"/>
            <w:vAlign w:val="bottom"/>
          </w:tcPr>
          <w:p>
            <w:pPr>
              <w:spacing w:after="0"/>
              <w:rPr>
                <w:sz w:val="20"/>
                <w:szCs w:val="20"/>
                <w:color w:val="auto"/>
              </w:rPr>
            </w:pPr>
            <w:r>
              <w:rPr>
                <w:rFonts w:ascii="Arial" w:cs="Arial" w:eastAsia="Arial" w:hAnsi="Arial"/>
                <w:sz w:val="18"/>
                <w:szCs w:val="18"/>
                <w:color w:val="auto"/>
              </w:rPr>
              <w:t>Directors</w:t>
            </w:r>
          </w:p>
        </w:tc>
        <w:tc>
          <w:tcPr>
            <w:tcW w:w="18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29"/>
        </w:trPr>
        <w:tc>
          <w:tcPr>
            <w:tcW w:w="1580" w:type="dxa"/>
            <w:vAlign w:val="bottom"/>
          </w:tcPr>
          <w:p>
            <w:pPr>
              <w:spacing w:after="0"/>
              <w:rPr>
                <w:sz w:val="19"/>
                <w:szCs w:val="19"/>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 good faith,</w:t>
            </w:r>
          </w:p>
        </w:tc>
      </w:tr>
      <w:tr>
        <w:trPr>
          <w:trHeight w:val="203"/>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would be most likely to promote the success of the</w:t>
            </w:r>
          </w:p>
        </w:tc>
      </w:tr>
      <w:tr>
        <w:trPr>
          <w:trHeight w:val="217"/>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company for the benefit of its members as a whole;</w:t>
            </w:r>
          </w:p>
        </w:tc>
      </w:tr>
      <w:tr>
        <w:trPr>
          <w:trHeight w:val="229"/>
        </w:trPr>
        <w:tc>
          <w:tcPr>
            <w:tcW w:w="1580" w:type="dxa"/>
            <w:vAlign w:val="bottom"/>
          </w:tcPr>
          <w:p>
            <w:pPr>
              <w:spacing w:after="0"/>
              <w:rPr>
                <w:sz w:val="19"/>
                <w:szCs w:val="19"/>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 has, or can</w:t>
            </w:r>
          </w:p>
        </w:tc>
      </w:tr>
      <w:tr>
        <w:trPr>
          <w:trHeight w:val="203"/>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have, a direct or indirect interest that conflicts, or</w:t>
            </w:r>
          </w:p>
        </w:tc>
      </w:tr>
      <w:tr>
        <w:trPr>
          <w:trHeight w:val="217"/>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possibly conflicts, with the interests of the company;</w:t>
            </w:r>
          </w:p>
        </w:tc>
      </w:tr>
      <w:tr>
        <w:trPr>
          <w:trHeight w:val="229"/>
        </w:trPr>
        <w:tc>
          <w:tcPr>
            <w:tcW w:w="1580" w:type="dxa"/>
            <w:vAlign w:val="bottom"/>
          </w:tcPr>
          <w:p>
            <w:pPr>
              <w:spacing w:after="0"/>
              <w:rPr>
                <w:sz w:val="19"/>
                <w:szCs w:val="19"/>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 constitution</w:t>
            </w:r>
          </w:p>
        </w:tc>
      </w:tr>
      <w:tr>
        <w:trPr>
          <w:trHeight w:val="203"/>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and only exercise his or her powers for the purposes</w:t>
            </w:r>
          </w:p>
        </w:tc>
      </w:tr>
      <w:tr>
        <w:trPr>
          <w:trHeight w:val="217"/>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for which they are conferred;</w:t>
            </w:r>
          </w:p>
        </w:tc>
      </w:tr>
      <w:tr>
        <w:trPr>
          <w:trHeight w:val="243"/>
        </w:trPr>
        <w:tc>
          <w:tcPr>
            <w:tcW w:w="1580" w:type="dxa"/>
            <w:vAlign w:val="bottom"/>
          </w:tcPr>
          <w:p>
            <w:pPr>
              <w:spacing w:after="0"/>
              <w:rPr>
                <w:sz w:val="21"/>
                <w:szCs w:val="21"/>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43"/>
        </w:trPr>
        <w:tc>
          <w:tcPr>
            <w:tcW w:w="1580" w:type="dxa"/>
            <w:vAlign w:val="bottom"/>
          </w:tcPr>
          <w:p>
            <w:pPr>
              <w:spacing w:after="0"/>
              <w:rPr>
                <w:sz w:val="21"/>
                <w:szCs w:val="21"/>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 diligence;</w:t>
            </w:r>
          </w:p>
        </w:tc>
      </w:tr>
      <w:tr>
        <w:trPr>
          <w:trHeight w:val="229"/>
        </w:trPr>
        <w:tc>
          <w:tcPr>
            <w:tcW w:w="1580" w:type="dxa"/>
            <w:vAlign w:val="bottom"/>
          </w:tcPr>
          <w:p>
            <w:pPr>
              <w:spacing w:after="0"/>
              <w:rPr>
                <w:sz w:val="19"/>
                <w:szCs w:val="19"/>
                <w:color w:val="auto"/>
              </w:rPr>
            </w:pPr>
          </w:p>
        </w:tc>
        <w:tc>
          <w:tcPr>
            <w:tcW w:w="4860" w:type="dxa"/>
            <w:vAlign w:val="bottom"/>
            <w:gridSpan w:val="2"/>
          </w:tcPr>
          <w:p>
            <w:pPr>
              <w:ind w:left="1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 conferred by</w:t>
            </w:r>
          </w:p>
        </w:tc>
      </w:tr>
      <w:tr>
        <w:trPr>
          <w:trHeight w:val="217"/>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reason of his or</w:t>
            </w:r>
          </w:p>
        </w:tc>
      </w:tr>
      <w:tr>
        <w:trPr>
          <w:trHeight w:val="769"/>
        </w:trPr>
        <w:tc>
          <w:tcPr>
            <w:tcW w:w="1580" w:type="dxa"/>
            <w:vAlign w:val="bottom"/>
          </w:tcPr>
          <w:p>
            <w:pPr>
              <w:spacing w:after="0"/>
              <w:rPr>
                <w:sz w:val="24"/>
                <w:szCs w:val="24"/>
                <w:color w:val="auto"/>
              </w:rPr>
            </w:pPr>
          </w:p>
        </w:tc>
        <w:tc>
          <w:tcPr>
            <w:tcW w:w="4860" w:type="dxa"/>
            <w:vAlign w:val="bottom"/>
            <w:gridSpan w:val="2"/>
          </w:tcPr>
          <w:p>
            <w:pPr>
              <w:jc w:val="right"/>
              <w:ind w:right="692"/>
              <w:spacing w:after="0"/>
              <w:rPr>
                <w:sz w:val="20"/>
                <w:szCs w:val="20"/>
                <w:color w:val="auto"/>
              </w:rPr>
            </w:pPr>
            <w:r>
              <w:rPr>
                <w:rFonts w:ascii="Arial" w:cs="Arial" w:eastAsia="Arial" w:hAnsi="Arial"/>
                <w:sz w:val="18"/>
                <w:szCs w:val="18"/>
                <w:color w:val="auto"/>
              </w:rPr>
              <w:t>234</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7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closing of a merger, consolidation, sale, lease or exchange of all or substantially all of a corporation’s assets or dissolution requires:</w:t>
      </w:r>
    </w:p>
    <w:p>
      <w:pPr>
        <w:spacing w:after="0" w:line="229" w:lineRule="exact"/>
        <w:rPr>
          <w:sz w:val="20"/>
          <w:szCs w:val="20"/>
          <w:color w:val="auto"/>
        </w:rPr>
      </w:pPr>
    </w:p>
    <w:p>
      <w:pPr>
        <w:ind w:left="320" w:hanging="317"/>
        <w:spacing w:after="0"/>
        <w:tabs>
          <w:tab w:leader="none" w:pos="320" w:val="left"/>
        </w:tabs>
        <w:numPr>
          <w:ilvl w:val="0"/>
          <w:numId w:val="137"/>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pacing w:after="0" w:line="36" w:lineRule="exact"/>
        <w:rPr>
          <w:rFonts w:ascii="MS PGothic" w:cs="MS PGothic" w:eastAsia="MS PGothic" w:hAnsi="MS PGothic"/>
          <w:sz w:val="13"/>
          <w:szCs w:val="13"/>
          <w:color w:val="auto"/>
        </w:rPr>
      </w:pPr>
    </w:p>
    <w:p>
      <w:pPr>
        <w:ind w:left="320" w:right="40" w:hanging="317"/>
        <w:spacing w:after="0" w:line="237" w:lineRule="auto"/>
        <w:tabs>
          <w:tab w:leader="none" w:pos="322" w:val="left"/>
        </w:tabs>
        <w:numPr>
          <w:ilvl w:val="0"/>
          <w:numId w:val="137"/>
        </w:numPr>
        <w:rPr>
          <w:rFonts w:ascii="MS PGothic" w:cs="MS PGothic" w:eastAsia="MS PGothic" w:hAnsi="MS PGothic"/>
          <w:sz w:val="13"/>
          <w:szCs w:val="13"/>
          <w:color w:val="auto"/>
        </w:rPr>
      </w:pPr>
      <w:r>
        <w:rPr>
          <w:rFonts w:ascii="Arial" w:cs="Arial" w:eastAsia="Arial" w:hAnsi="Arial"/>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7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w:t>
      </w:r>
    </w:p>
    <w:p>
      <w:pPr>
        <w:sectPr>
          <w:pgSz w:w="11900" w:h="16838" w:orient="portrait"/>
          <w:cols w:equalWidth="0" w:num="2">
            <w:col w:w="6560" w:space="100"/>
            <w:col w:w="4460"/>
          </w:cols>
          <w:pgMar w:left="320" w:top="459" w:right="459" w:bottom="1440" w:gutter="0" w:footer="0" w:header="0"/>
          <w:type w:val="continuous"/>
        </w:sectPr>
      </w:pPr>
    </w:p>
    <w:bookmarkStart w:id="241" w:name="page242"/>
    <w:bookmarkEnd w:id="2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29660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 w:lineRule="exact"/>
        <w:rPr>
          <w:sz w:val="20"/>
          <w:szCs w:val="20"/>
          <w:color w:val="auto"/>
        </w:rPr>
      </w:pPr>
    </w:p>
    <w:p>
      <w:pPr>
        <w:ind w:left="2200" w:right="20"/>
        <w:spacing w:after="0" w:line="246" w:lineRule="auto"/>
        <w:rPr>
          <w:sz w:val="20"/>
          <w:szCs w:val="20"/>
          <w:color w:val="auto"/>
        </w:rPr>
      </w:pPr>
      <w:r>
        <w:rPr>
          <w:rFonts w:ascii="Arial" w:cs="Arial" w:eastAsia="Arial" w:hAnsi="Arial"/>
          <w:sz w:val="18"/>
          <w:szCs w:val="18"/>
          <w:color w:val="auto"/>
        </w:rPr>
        <w:t>her being a director or doing, or not doing, anything as a director; and</w:t>
      </w:r>
    </w:p>
    <w:p>
      <w:pPr>
        <w:spacing w:after="0" w:line="21" w:lineRule="exact"/>
        <w:rPr>
          <w:sz w:val="20"/>
          <w:szCs w:val="20"/>
          <w:color w:val="auto"/>
        </w:rPr>
      </w:pPr>
    </w:p>
    <w:p>
      <w:pPr>
        <w:ind w:left="2200" w:right="60" w:hanging="316"/>
        <w:spacing w:after="0" w:line="261" w:lineRule="auto"/>
        <w:tabs>
          <w:tab w:leader="none" w:pos="2202" w:val="left"/>
        </w:tabs>
        <w:numPr>
          <w:ilvl w:val="0"/>
          <w:numId w:val="138"/>
        </w:numPr>
        <w:rPr>
          <w:rFonts w:ascii="MS PGothic" w:cs="MS PGothic" w:eastAsia="MS PGothic" w:hAnsi="MS PGothic"/>
          <w:sz w:val="12"/>
          <w:szCs w:val="12"/>
          <w:color w:val="auto"/>
        </w:rPr>
      </w:pPr>
      <w:r>
        <w:rPr>
          <w:rFonts w:ascii="Arial" w:cs="Arial" w:eastAsia="Arial" w:hAnsi="Arial"/>
          <w:sz w:val="17"/>
          <w:szCs w:val="17"/>
          <w:color w:val="auto"/>
        </w:rPr>
        <w:t>a duty to declare any interest that he or she has, whether directly or indirectly, in a proposed or existing transaction or 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 rather than its</w:t>
      </w:r>
    </w:p>
    <w:p>
      <w:pPr>
        <w:jc w:val="right"/>
        <w:spacing w:after="0" w:line="234" w:lineRule="auto"/>
        <w:rPr>
          <w:sz w:val="20"/>
          <w:szCs w:val="20"/>
          <w:color w:val="auto"/>
        </w:rPr>
      </w:pPr>
      <w:r>
        <w:rPr>
          <w:rFonts w:ascii="Arial" w:cs="Arial" w:eastAsia="Arial" w:hAnsi="Arial"/>
          <w:sz w:val="18"/>
          <w:szCs w:val="18"/>
          <w:color w:val="auto"/>
        </w:rPr>
        <w:t>shareholders, is the proper claimant in an action in respect</w:t>
      </w:r>
    </w:p>
    <w:p>
      <w:pPr>
        <w:ind w:left="1880"/>
        <w:spacing w:after="0" w:line="235" w:lineRule="auto"/>
        <w:rPr>
          <w:sz w:val="20"/>
          <w:szCs w:val="20"/>
          <w:color w:val="auto"/>
        </w:rPr>
      </w:pPr>
      <w:r>
        <w:rPr>
          <w:rFonts w:ascii="Arial" w:cs="Arial" w:eastAsia="Arial" w:hAnsi="Arial"/>
          <w:sz w:val="18"/>
          <w:szCs w:val="18"/>
          <w:color w:val="auto"/>
        </w:rPr>
        <w:t>of a wrong done to the company or where there is an</w:t>
      </w:r>
    </w:p>
    <w:p>
      <w:pPr>
        <w:ind w:left="1880"/>
        <w:spacing w:after="0" w:line="235" w:lineRule="auto"/>
        <w:rPr>
          <w:sz w:val="20"/>
          <w:szCs w:val="20"/>
          <w:color w:val="auto"/>
        </w:rPr>
      </w:pPr>
      <w:r>
        <w:rPr>
          <w:rFonts w:ascii="Arial" w:cs="Arial" w:eastAsia="Arial" w:hAnsi="Arial"/>
          <w:sz w:val="18"/>
          <w:szCs w:val="18"/>
          <w:color w:val="auto"/>
        </w:rPr>
        <w:t>irregularity in the company’s internal management.</w:t>
      </w:r>
    </w:p>
    <w:p>
      <w:pPr>
        <w:ind w:left="1880"/>
        <w:spacing w:after="0" w:line="235" w:lineRule="auto"/>
        <w:rPr>
          <w:sz w:val="20"/>
          <w:szCs w:val="20"/>
          <w:color w:val="auto"/>
        </w:rPr>
      </w:pPr>
      <w:r>
        <w:rPr>
          <w:rFonts w:ascii="Arial" w:cs="Arial" w:eastAsia="Arial" w:hAnsi="Arial"/>
          <w:sz w:val="18"/>
          <w:szCs w:val="18"/>
          <w:color w:val="auto"/>
        </w:rPr>
        <w:t>Notwithstanding this general position, the U.K. Companies</w:t>
      </w:r>
    </w:p>
    <w:p>
      <w:pPr>
        <w:jc w:val="right"/>
        <w:spacing w:after="0" w:line="235" w:lineRule="auto"/>
        <w:rPr>
          <w:sz w:val="20"/>
          <w:szCs w:val="20"/>
          <w:color w:val="auto"/>
        </w:rPr>
      </w:pPr>
      <w:r>
        <w:rPr>
          <w:rFonts w:ascii="Arial" w:cs="Arial" w:eastAsia="Arial" w:hAnsi="Arial"/>
          <w:sz w:val="18"/>
          <w:szCs w:val="18"/>
          <w:color w:val="auto"/>
        </w:rPr>
        <w:t>Act 2006 provides that (1) a court may allow a shareholder</w:t>
      </w:r>
    </w:p>
    <w:p>
      <w:pPr>
        <w:ind w:left="1880"/>
        <w:spacing w:after="0" w:line="234" w:lineRule="auto"/>
        <w:rPr>
          <w:sz w:val="20"/>
          <w:szCs w:val="20"/>
          <w:color w:val="auto"/>
        </w:rPr>
      </w:pPr>
      <w:r>
        <w:rPr>
          <w:rFonts w:ascii="Arial" w:cs="Arial" w:eastAsia="Arial" w:hAnsi="Arial"/>
          <w:sz w:val="18"/>
          <w:szCs w:val="18"/>
          <w:color w:val="auto"/>
        </w:rPr>
        <w:t>to bring a derivative claim (that is, an action in respect of</w:t>
      </w:r>
    </w:p>
    <w:p>
      <w:pPr>
        <w:ind w:left="1880"/>
        <w:spacing w:after="0" w:line="235" w:lineRule="auto"/>
        <w:rPr>
          <w:sz w:val="20"/>
          <w:szCs w:val="20"/>
          <w:color w:val="auto"/>
        </w:rPr>
      </w:pPr>
      <w:r>
        <w:rPr>
          <w:rFonts w:ascii="Arial" w:cs="Arial" w:eastAsia="Arial" w:hAnsi="Arial"/>
          <w:sz w:val="18"/>
          <w:szCs w:val="18"/>
          <w:color w:val="auto"/>
        </w:rPr>
        <w:t>and on behalf of the company) in respect of a cause of</w:t>
      </w:r>
    </w:p>
    <w:p>
      <w:pPr>
        <w:ind w:left="1880"/>
        <w:spacing w:after="0" w:line="235" w:lineRule="auto"/>
        <w:rPr>
          <w:sz w:val="20"/>
          <w:szCs w:val="20"/>
          <w:color w:val="auto"/>
        </w:rPr>
      </w:pPr>
      <w:r>
        <w:rPr>
          <w:rFonts w:ascii="Arial" w:cs="Arial" w:eastAsia="Arial" w:hAnsi="Arial"/>
          <w:sz w:val="18"/>
          <w:szCs w:val="18"/>
          <w:color w:val="auto"/>
        </w:rPr>
        <w:t>action arising from a director’s negligence, default, breach</w:t>
      </w:r>
    </w:p>
    <w:p>
      <w:pPr>
        <w:ind w:left="1880"/>
        <w:spacing w:after="0" w:line="235" w:lineRule="auto"/>
        <w:rPr>
          <w:sz w:val="20"/>
          <w:szCs w:val="20"/>
          <w:color w:val="auto"/>
        </w:rPr>
      </w:pPr>
      <w:r>
        <w:rPr>
          <w:rFonts w:ascii="Arial" w:cs="Arial" w:eastAsia="Arial" w:hAnsi="Arial"/>
          <w:sz w:val="18"/>
          <w:szCs w:val="18"/>
          <w:color w:val="auto"/>
        </w:rPr>
        <w:t>of duty or breach of trust and (2) a shareholder may bring</w:t>
      </w:r>
    </w:p>
    <w:p>
      <w:pPr>
        <w:ind w:left="1880"/>
        <w:spacing w:after="0" w:line="235" w:lineRule="auto"/>
        <w:rPr>
          <w:sz w:val="20"/>
          <w:szCs w:val="20"/>
          <w:color w:val="auto"/>
        </w:rPr>
      </w:pPr>
      <w:r>
        <w:rPr>
          <w:rFonts w:ascii="Arial" w:cs="Arial" w:eastAsia="Arial" w:hAnsi="Arial"/>
          <w:sz w:val="18"/>
          <w:szCs w:val="18"/>
          <w:color w:val="auto"/>
        </w:rPr>
        <w:t>a claim for a court order on the ground that the company’s</w:t>
      </w:r>
    </w:p>
    <w:p>
      <w:pPr>
        <w:ind w:left="1880"/>
        <w:spacing w:after="0" w:line="234" w:lineRule="auto"/>
        <w:rPr>
          <w:sz w:val="20"/>
          <w:szCs w:val="20"/>
          <w:color w:val="auto"/>
        </w:rPr>
      </w:pPr>
      <w:r>
        <w:rPr>
          <w:rFonts w:ascii="Arial" w:cs="Arial" w:eastAsia="Arial" w:hAnsi="Arial"/>
          <w:sz w:val="18"/>
          <w:szCs w:val="18"/>
          <w:color w:val="auto"/>
        </w:rPr>
        <w:t>affairs have been or are being conducted in a manner that</w:t>
      </w:r>
    </w:p>
    <w:p>
      <w:pPr>
        <w:ind w:left="1880"/>
        <w:spacing w:after="0" w:line="235" w:lineRule="auto"/>
        <w:rPr>
          <w:sz w:val="20"/>
          <w:szCs w:val="20"/>
          <w:color w:val="auto"/>
        </w:rPr>
      </w:pPr>
      <w:r>
        <w:rPr>
          <w:rFonts w:ascii="Arial" w:cs="Arial" w:eastAsia="Arial" w:hAnsi="Arial"/>
          <w:sz w:val="18"/>
          <w:szCs w:val="18"/>
          <w:color w:val="auto"/>
        </w:rPr>
        <w:t>is unfairly prejudicial to the interests of its shareholders</w:t>
      </w:r>
    </w:p>
    <w:p>
      <w:pPr>
        <w:ind w:left="1880"/>
        <w:spacing w:after="0" w:line="235" w:lineRule="auto"/>
        <w:rPr>
          <w:sz w:val="20"/>
          <w:szCs w:val="20"/>
          <w:color w:val="auto"/>
        </w:rPr>
      </w:pPr>
      <w:r>
        <w:rPr>
          <w:rFonts w:ascii="Arial" w:cs="Arial" w:eastAsia="Arial" w:hAnsi="Arial"/>
          <w:sz w:val="18"/>
          <w:szCs w:val="18"/>
          <w:color w:val="auto"/>
        </w:rPr>
        <w:t>generally or of some of its shareholders, or that an actual</w:t>
      </w:r>
    </w:p>
    <w:p>
      <w:pPr>
        <w:ind w:left="1880"/>
        <w:spacing w:after="0"/>
        <w:rPr>
          <w:sz w:val="20"/>
          <w:szCs w:val="20"/>
          <w:color w:val="auto"/>
        </w:rPr>
      </w:pPr>
      <w:r>
        <w:rPr>
          <w:rFonts w:ascii="Arial" w:cs="Arial" w:eastAsia="Arial" w:hAnsi="Arial"/>
          <w:sz w:val="17"/>
          <w:szCs w:val="17"/>
          <w:color w:val="auto"/>
        </w:rPr>
        <w:t>or proposed act or omission of the company is or would be</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so prejudicial.</w:t>
      </w:r>
    </w:p>
    <w:p>
      <w:pPr>
        <w:spacing w:after="0" w:line="117" w:lineRule="exact"/>
        <w:rPr>
          <w:sz w:val="20"/>
          <w:szCs w:val="20"/>
          <w:color w:val="auto"/>
        </w:rPr>
      </w:pPr>
    </w:p>
    <w:p>
      <w:pPr>
        <w:ind w:left="1880" w:right="140"/>
        <w:spacing w:after="0" w:line="246" w:lineRule="auto"/>
        <w:rPr>
          <w:sz w:val="20"/>
          <w:szCs w:val="20"/>
          <w:color w:val="auto"/>
        </w:rPr>
      </w:pPr>
      <w:r>
        <w:rPr>
          <w:rFonts w:ascii="Arial" w:cs="Arial" w:eastAsia="Arial" w:hAnsi="Arial"/>
          <w:sz w:val="18"/>
          <w:szCs w:val="18"/>
          <w:color w:val="auto"/>
        </w:rPr>
        <w:t>The U.K. Limitation Act 1980 imposes a limitation period, with certain exceptions,</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6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232" w:lineRule="exact"/>
        <w:rPr>
          <w:sz w:val="20"/>
          <w:szCs w:val="20"/>
          <w:color w:val="auto"/>
        </w:rPr>
      </w:pPr>
    </w:p>
    <w:p>
      <w:pPr>
        <w:ind w:left="320" w:right="60" w:hanging="317"/>
        <w:spacing w:after="0" w:line="238" w:lineRule="auto"/>
        <w:tabs>
          <w:tab w:leader="none" w:pos="282" w:val="left"/>
        </w:tabs>
        <w:numPr>
          <w:ilvl w:val="0"/>
          <w:numId w:val="139"/>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29" w:lineRule="exact"/>
        <w:rPr>
          <w:rFonts w:ascii="MS PGothic" w:cs="MS PGothic" w:eastAsia="MS PGothic" w:hAnsi="MS PGothic"/>
          <w:sz w:val="13"/>
          <w:szCs w:val="13"/>
          <w:color w:val="auto"/>
        </w:rPr>
      </w:pPr>
    </w:p>
    <w:p>
      <w:pPr>
        <w:ind w:left="320" w:right="40" w:hanging="317"/>
        <w:spacing w:after="0" w:line="238" w:lineRule="auto"/>
        <w:tabs>
          <w:tab w:leader="none" w:pos="322" w:val="left"/>
        </w:tabs>
        <w:numPr>
          <w:ilvl w:val="0"/>
          <w:numId w:val="139"/>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9" w:lineRule="exact"/>
        <w:rPr>
          <w:rFonts w:ascii="MS PGothic" w:cs="MS PGothic" w:eastAsia="MS PGothic" w:hAnsi="MS PGothic"/>
          <w:sz w:val="13"/>
          <w:szCs w:val="13"/>
          <w:color w:val="auto"/>
        </w:rPr>
      </w:pPr>
    </w:p>
    <w:p>
      <w:pPr>
        <w:ind w:left="280" w:hanging="277"/>
        <w:spacing w:after="0"/>
        <w:tabs>
          <w:tab w:leader="none" w:pos="280" w:val="left"/>
        </w:tabs>
        <w:numPr>
          <w:ilvl w:val="0"/>
          <w:numId w:val="139"/>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17"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Additionally, the plaintiff must remain a stockholder through the duration of the derivative suit. The action will not be dismissed or compromised without the</w:t>
      </w:r>
    </w:p>
    <w:p>
      <w:pPr>
        <w:sectPr>
          <w:pgSz w:w="11900" w:h="16838" w:orient="portrait"/>
          <w:cols w:equalWidth="0" w:num="2">
            <w:col w:w="6540" w:space="120"/>
            <w:col w:w="4460"/>
          </w:cols>
          <w:pgMar w:left="320" w:top="459" w:right="459" w:bottom="1440" w:gutter="0" w:footer="0" w:header="0"/>
          <w:type w:val="continuous"/>
        </w:sectPr>
      </w:pPr>
    </w:p>
    <w:bookmarkStart w:id="242" w:name="page243"/>
    <w:bookmarkEnd w:id="2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20"/>
          </w:cols>
          <w:pgMar w:left="320" w:top="459" w:right="1359" w:bottom="1440" w:gutter="0" w:footer="0" w:header="0"/>
        </w:sectPr>
      </w:pPr>
    </w:p>
    <w:p>
      <w:pPr>
        <w:spacing w:after="0" w:line="334"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296608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 w:lineRule="exact"/>
        <w:rPr>
          <w:sz w:val="20"/>
          <w:szCs w:val="20"/>
          <w:color w:val="auto"/>
        </w:rPr>
      </w:pPr>
    </w:p>
    <w:p>
      <w:pPr>
        <w:ind w:left="1880"/>
        <w:spacing w:after="0" w:line="253" w:lineRule="auto"/>
        <w:rPr>
          <w:sz w:val="20"/>
          <w:szCs w:val="20"/>
          <w:color w:val="auto"/>
        </w:rPr>
      </w:pPr>
      <w:r>
        <w:rPr>
          <w:rFonts w:ascii="Arial" w:cs="Arial" w:eastAsia="Arial" w:hAnsi="Arial"/>
          <w:sz w:val="17"/>
          <w:szCs w:val="17"/>
          <w:color w:val="auto"/>
        </w:rPr>
        <w:t>in respect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p>
      <w:pPr>
        <w:spacing w:after="0" w:line="1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371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approval of the Delaware Court of Chancery.</w:t>
      </w:r>
    </w:p>
    <w:p>
      <w:pPr>
        <w:sectPr>
          <w:pgSz w:w="11900" w:h="16838" w:orient="portrait"/>
          <w:cols w:equalWidth="0" w:num="2">
            <w:col w:w="6540" w:space="120"/>
            <w:col w:w="3560"/>
          </w:cols>
          <w:pgMar w:left="320" w:top="459" w:right="135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99"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is on file with the SEC under cover of a registration statement on Form F-6. You may obtain a copy of the deposit agreement from the SEC’s website (www.sec.gov). Please refer to registration number 333-223890 when retrieving such copy.</w:t>
      </w:r>
    </w:p>
    <w:p>
      <w:pPr>
        <w:spacing w:after="0" w:line="203"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5"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1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90"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85"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97"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120" w:right="200" w:firstLine="440"/>
        <w:spacing w:after="0" w:line="250"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85"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60"/>
          </w:cols>
          <w:pgMar w:left="320" w:top="459" w:right="5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20" w:lineRule="exact"/>
        <w:rPr>
          <w:sz w:val="20"/>
          <w:szCs w:val="20"/>
          <w:color w:val="auto"/>
        </w:rPr>
      </w:pPr>
    </w:p>
    <w:p>
      <w:pPr>
        <w:ind w:left="980" w:hanging="432"/>
        <w:spacing w:after="0"/>
        <w:tabs>
          <w:tab w:leader="none" w:pos="98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85"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120" w:right="740" w:firstLine="440"/>
        <w:spacing w:after="0" w:line="274" w:lineRule="auto"/>
        <w:rPr>
          <w:sz w:val="20"/>
          <w:szCs w:val="20"/>
          <w:color w:val="auto"/>
        </w:rPr>
      </w:pPr>
      <w:r>
        <w:rPr>
          <w:rFonts w:ascii="Arial" w:cs="Arial" w:eastAsia="Arial" w:hAnsi="Arial"/>
          <w:sz w:val="17"/>
          <w:szCs w:val="17"/>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7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20" w:lineRule="exact"/>
        <w:rPr>
          <w:sz w:val="20"/>
          <w:szCs w:val="20"/>
          <w:color w:val="auto"/>
        </w:rPr>
      </w:pPr>
    </w:p>
    <w:p>
      <w:pPr>
        <w:ind w:left="980" w:hanging="432"/>
        <w:spacing w:after="0"/>
        <w:tabs>
          <w:tab w:leader="none" w:pos="98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99"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85"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United States and England and Wales applicable at the time of deposit.</w:t>
      </w:r>
    </w:p>
    <w:p>
      <w:pPr>
        <w:spacing w:after="0" w:line="205"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224" w:lineRule="exact"/>
        <w:rPr>
          <w:sz w:val="20"/>
          <w:szCs w:val="20"/>
          <w:color w:val="auto"/>
        </w:rPr>
      </w:pPr>
    </w:p>
    <w:p>
      <w:pPr>
        <w:ind w:left="980" w:right="140" w:hanging="432"/>
        <w:spacing w:after="0" w:line="218"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27" w:lineRule="exact"/>
        <w:rPr>
          <w:rFonts w:ascii="MS PGothic" w:cs="MS PGothic" w:eastAsia="MS PGothic" w:hAnsi="MS PGothic"/>
          <w:sz w:val="25"/>
          <w:szCs w:val="25"/>
          <w:color w:val="auto"/>
          <w:vertAlign w:val="superscript"/>
        </w:rPr>
      </w:pPr>
    </w:p>
    <w:p>
      <w:pPr>
        <w:ind w:left="980" w:right="740" w:hanging="432"/>
        <w:spacing w:after="0" w:line="218"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you are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80" w:right="180" w:hanging="432"/>
        <w:spacing w:after="0" w:line="223"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If any of the representations or warranties is incorrect in any way, we and the depositary may, at your cost and expense, take any and all actions necessary to correct the consequences of the misrepresentation.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12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202" w:lineRule="exact"/>
        <w:rPr>
          <w:sz w:val="20"/>
          <w:szCs w:val="20"/>
          <w:color w:val="auto"/>
        </w:rPr>
      </w:pPr>
    </w:p>
    <w:p>
      <w:pPr>
        <w:ind w:left="980" w:hanging="432"/>
        <w:spacing w:after="0"/>
        <w:tabs>
          <w:tab w:leader="none" w:pos="98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United States and England and Wales applicable at the time of withdrawal. In order to withdraw the ordinary shares represented by your ADSs, you will be required to pay to the depositary the fees for cancellation of ADSs and any charges and taxes payable upon the transfer of the ordinary shares.</w:t>
      </w:r>
    </w:p>
    <w:p>
      <w:pPr>
        <w:spacing w:after="0" w:line="202"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You assume the risk for delivery of all funds and securities upon withdrawal. Once canceled, the ADSs will not have any rights under the deposit agreement.</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239" w:lineRule="exact"/>
        <w:rPr>
          <w:sz w:val="20"/>
          <w:szCs w:val="20"/>
          <w:color w:val="auto"/>
        </w:rPr>
      </w:pPr>
    </w:p>
    <w:p>
      <w:pPr>
        <w:ind w:left="980" w:right="480" w:hanging="432"/>
        <w:spacing w:after="0" w:line="218" w:lineRule="auto"/>
        <w:tabs>
          <w:tab w:leader="none" w:pos="98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 and/or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2"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99"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97"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206" w:lineRule="exact"/>
        <w:rPr>
          <w:sz w:val="20"/>
          <w:szCs w:val="20"/>
          <w:color w:val="auto"/>
        </w:rPr>
      </w:pPr>
    </w:p>
    <w:p>
      <w:pPr>
        <w:ind w:left="980" w:hanging="432"/>
        <w:spacing w:after="0" w:line="230" w:lineRule="auto"/>
        <w:tabs>
          <w:tab w:leader="none" w:pos="98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8" w:lineRule="exact"/>
        <w:rPr>
          <w:rFonts w:ascii="MS PGothic" w:cs="MS PGothic" w:eastAsia="MS PGothic" w:hAnsi="MS PGothic"/>
          <w:sz w:val="25"/>
          <w:szCs w:val="25"/>
          <w:color w:val="auto"/>
          <w:vertAlign w:val="superscript"/>
        </w:rPr>
      </w:pPr>
    </w:p>
    <w:p>
      <w:pPr>
        <w:ind w:left="980" w:right="100" w:hanging="432"/>
        <w:spacing w:after="0" w:line="231" w:lineRule="auto"/>
        <w:tabs>
          <w:tab w:leader="none" w:pos="98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20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000"/>
          </w:cols>
          <w:pgMar w:left="320" w:top="459" w:right="5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p>
      <w:pPr>
        <w:ind w:left="120"/>
        <w:spacing w:after="0"/>
        <w:tabs>
          <w:tab w:leader="none" w:pos="9400" w:val="left"/>
        </w:tabs>
        <w:rPr>
          <w:sz w:val="20"/>
          <w:szCs w:val="20"/>
          <w:color w:val="auto"/>
        </w:rPr>
      </w:pPr>
      <w:r>
        <w:rPr>
          <w:rFonts w:ascii="Arial" w:cs="Arial" w:eastAsia="Arial" w:hAnsi="Arial"/>
          <w:sz w:val="13"/>
          <w:szCs w:val="13"/>
          <w:b w:val="1"/>
          <w:bCs w:val="1"/>
          <w:u w:val="single" w:color="auto"/>
          <w:color w:val="auto"/>
        </w:rPr>
        <w:t>Service</w:t>
      </w:r>
      <w:r>
        <w:rPr>
          <w:sz w:val="20"/>
          <w:szCs w:val="20"/>
          <w:color w:val="auto"/>
        </w:rPr>
        <w:tab/>
      </w:r>
      <w:r>
        <w:rPr>
          <w:rFonts w:ascii="Arial" w:cs="Arial" w:eastAsia="Arial" w:hAnsi="Arial"/>
          <w:sz w:val="13"/>
          <w:szCs w:val="13"/>
          <w:b w:val="1"/>
          <w:bCs w:val="1"/>
          <w:color w:val="auto"/>
        </w:rPr>
        <w:t>Fee</w:t>
      </w:r>
    </w:p>
    <w:p>
      <w:pPr>
        <w:sectPr>
          <w:pgSz w:w="11900" w:h="16838" w:orient="portrait"/>
          <w:cols w:equalWidth="0" w:num="1">
            <w:col w:w="10960"/>
          </w:cols>
          <w:pgMar w:left="320" w:top="459" w:right="619" w:bottom="1440" w:gutter="0" w:footer="0" w:header="0"/>
        </w:sectPr>
      </w:pPr>
    </w:p>
    <w:p>
      <w:pPr>
        <w:spacing w:after="0" w:line="38" w:lineRule="exact"/>
        <w:rPr>
          <w:sz w:val="20"/>
          <w:szCs w:val="20"/>
          <w:color w:val="auto"/>
        </w:rPr>
      </w:pPr>
    </w:p>
    <w:p>
      <w:pPr>
        <w:jc w:val="both"/>
        <w:ind w:left="300" w:hanging="179"/>
        <w:spacing w:after="0" w:line="234" w:lineRule="auto"/>
        <w:rPr>
          <w:sz w:val="20"/>
          <w:szCs w:val="20"/>
          <w:color w:val="auto"/>
        </w:rPr>
      </w:pPr>
      <w:r>
        <w:rPr>
          <w:rFonts w:ascii="Arial" w:cs="Arial" w:eastAsia="Arial" w:hAnsi="Arial"/>
          <w:sz w:val="18"/>
          <w:szCs w:val="18"/>
          <w:color w:val="auto"/>
        </w:rPr>
        <w:t>Issuance of ADSs (e.g., an issuance of ADS upon a deposit of ordinary shares or upon a change in the ADS(s)-to-ordinary shares ratio), excluding ADS issuances as a result of distributions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-383540</wp:posOffset>
            </wp:positionV>
            <wp:extent cx="6995160" cy="3860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ind w:left="300" w:right="180" w:hanging="179"/>
        <w:spacing w:after="0" w:line="242"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w:t>
      </w:r>
    </w:p>
    <w:p>
      <w:pPr>
        <w:spacing w:after="0" w:line="1" w:lineRule="exact"/>
        <w:rPr>
          <w:sz w:val="20"/>
          <w:szCs w:val="20"/>
          <w:color w:val="auto"/>
        </w:rPr>
      </w:pPr>
    </w:p>
    <w:p>
      <w:pPr>
        <w:ind w:left="300" w:right="300" w:hanging="179"/>
        <w:spacing w:after="0" w:line="242"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-264160</wp:posOffset>
            </wp:positionV>
            <wp:extent cx="6995160" cy="265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300" w:right="860" w:hanging="179"/>
        <w:spacing w:after="0" w:line="242"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1" w:lineRule="exact"/>
        <w:rPr>
          <w:sz w:val="20"/>
          <w:szCs w:val="20"/>
          <w:color w:val="auto"/>
        </w:rPr>
      </w:pPr>
    </w:p>
    <w:p>
      <w:pPr>
        <w:ind w:left="300" w:right="320" w:hanging="179"/>
        <w:spacing w:after="0" w:line="242"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-264160</wp:posOffset>
            </wp:positionV>
            <wp:extent cx="6995160" cy="265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01" w:lineRule="exact"/>
        <w:rPr>
          <w:sz w:val="20"/>
          <w:szCs w:val="20"/>
          <w:color w:val="auto"/>
        </w:rPr>
      </w:pPr>
    </w:p>
    <w:p>
      <w:pPr>
        <w:ind w:left="300" w:right="20" w:hanging="179"/>
        <w:spacing w:after="0" w:line="242"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-264160</wp:posOffset>
            </wp:positionV>
            <wp:extent cx="6995160" cy="265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300" w:right="100" w:hanging="179"/>
        <w:spacing w:after="0"/>
        <w:rPr>
          <w:sz w:val="20"/>
          <w:szCs w:val="20"/>
          <w:color w:val="auto"/>
        </w:rPr>
      </w:pPr>
      <w:r>
        <w:rPr>
          <w:rFonts w:ascii="Arial" w:cs="Arial" w:eastAsia="Arial" w:hAnsi="Arial"/>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issued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cancelled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held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held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held</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 to $5.00 per 100 ADSs (or fraction thereof) held on the applicable record date(s) established by the depositary Up to $5.00 per 100 ADSs (or fraction thereof) transferred</w:t>
      </w:r>
    </w:p>
    <w:p>
      <w:pPr>
        <w:spacing w:after="0" w:line="202"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Up to $5.00 per 100 ADSs (or fraction thereof) converted</w:t>
      </w:r>
    </w:p>
    <w:p>
      <w:pPr>
        <w:spacing w:after="0" w:line="603" w:lineRule="exact"/>
        <w:rPr>
          <w:sz w:val="20"/>
          <w:szCs w:val="20"/>
          <w:color w:val="auto"/>
        </w:rPr>
      </w:pPr>
    </w:p>
    <w:p>
      <w:pPr>
        <w:sectPr>
          <w:pgSz w:w="11900" w:h="16838" w:orient="portrait"/>
          <w:cols w:equalWidth="0" w:num="2">
            <w:col w:w="7800" w:space="140"/>
            <w:col w:w="3020"/>
          </w:cols>
          <w:pgMar w:left="320" w:top="459" w:right="619" w:bottom="1440" w:gutter="0" w:footer="0" w:header="0"/>
          <w:type w:val="continuous"/>
        </w:sectPr>
      </w:pPr>
    </w:p>
    <w:p>
      <w:pPr>
        <w:spacing w:after="0" w:line="2" w:lineRule="exact"/>
        <w:rPr>
          <w:sz w:val="20"/>
          <w:szCs w:val="20"/>
          <w:color w:val="auto"/>
        </w:rPr>
      </w:pPr>
    </w:p>
    <w:p>
      <w:pPr>
        <w:ind w:left="980" w:hanging="432"/>
        <w:spacing w:after="0"/>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jc w:val="both"/>
        <w:ind w:left="980" w:right="400" w:hanging="432"/>
        <w:spacing w:after="0" w:line="223"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0960"/>
          </w:cols>
          <w:pgMar w:left="320" w:top="459" w:right="619" w:bottom="1440" w:gutter="0" w:footer="0" w:header="0"/>
          <w:type w:val="continuous"/>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1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99"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3"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99"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85"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85" w:lineRule="exact"/>
        <w:rPr>
          <w:sz w:val="20"/>
          <w:szCs w:val="20"/>
          <w:color w:val="auto"/>
        </w:rPr>
      </w:pPr>
    </w:p>
    <w:p>
      <w:pPr>
        <w:ind w:left="120" w:right="300" w:firstLine="440"/>
        <w:spacing w:after="0" w:line="261" w:lineRule="auto"/>
        <w:rPr>
          <w:sz w:val="20"/>
          <w:szCs w:val="20"/>
          <w:color w:val="auto"/>
        </w:rPr>
      </w:pPr>
      <w:r>
        <w:rPr>
          <w:rFonts w:ascii="Arial" w:cs="Arial" w:eastAsia="Arial" w:hAnsi="Arial"/>
          <w:sz w:val="17"/>
          <w:szCs w:val="17"/>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39" w:lineRule="exact"/>
        <w:rPr>
          <w:sz w:val="20"/>
          <w:szCs w:val="20"/>
          <w:color w:val="auto"/>
        </w:rPr>
      </w:pPr>
    </w:p>
    <w:p>
      <w:pPr>
        <w:ind w:left="980" w:right="140" w:hanging="432"/>
        <w:spacing w:after="0" w:line="218" w:lineRule="auto"/>
        <w:tabs>
          <w:tab w:leader="none" w:pos="98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80" w:hanging="432"/>
        <w:spacing w:after="0" w:line="227" w:lineRule="auto"/>
        <w:tabs>
          <w:tab w:leader="none" w:pos="98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27"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30"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23"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8"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8"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you as an ADS holder.</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6" w:lineRule="auto"/>
        <w:tabs>
          <w:tab w:leader="none" w:pos="98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99" w:lineRule="exact"/>
        <w:rPr>
          <w:sz w:val="20"/>
          <w:szCs w:val="20"/>
          <w:color w:val="auto"/>
        </w:rPr>
      </w:pPr>
    </w:p>
    <w:p>
      <w:pPr>
        <w:jc w:val="both"/>
        <w:ind w:left="120" w:right="320" w:firstLine="440"/>
        <w:spacing w:after="0" w:line="238"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5" w:lineRule="exact"/>
        <w:rPr>
          <w:sz w:val="20"/>
          <w:szCs w:val="20"/>
          <w:color w:val="auto"/>
        </w:rPr>
      </w:pPr>
    </w:p>
    <w:p>
      <w:pPr>
        <w:ind w:left="120" w:right="280" w:firstLine="440"/>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85"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deposit agreement. You may have to pay fees and expenses incurred in converting foreign currency, such as fees and expenses incurred in complying with currency exchange controls and other governmental requirements.</w:t>
      </w:r>
    </w:p>
    <w:p>
      <w:pPr>
        <w:spacing w:after="0" w:line="197"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80" w:right="500" w:hanging="432"/>
        <w:spacing w:after="0" w:line="218" w:lineRule="auto"/>
        <w:tabs>
          <w:tab w:leader="none" w:pos="98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9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020"/>
          </w:cols>
          <w:pgMar w:left="320" w:top="459" w:right="5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99"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7"/>
          <w:szCs w:val="17"/>
          <w:color w:val="auto"/>
        </w:rPr>
        <w:t>The following are material U.S. federal income tax consequences to the U.S. Holders (as defined below) of purchasing, owning and disposing of the ADSs and ordinary shares acquired pursuant to this offering, but it does not purport to be a comprehensive description of all tax considerations that may be relevant to a particular person’s decision to acquire the securities. This discussion applies only to a U.S. Holder that acquires ADSs in this offering and holds the ADSs or ordinary shares as capital assets for U.S. federal income tax purposes.</w:t>
      </w:r>
    </w:p>
    <w:p>
      <w:pPr>
        <w:spacing w:after="0" w:line="2"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In addition, it does not describe all of the tax consequences that may be relevant in light of the U.S. Holder’s particular circumstances, including any estate, gift, alternative minimum or Medicare contribution tax consequences and any tax consequences applicable to U.S. Holders subject to special rules, such as:</w:t>
      </w:r>
    </w:p>
    <w:p>
      <w:pPr>
        <w:spacing w:after="0" w:line="193" w:lineRule="exact"/>
        <w:rPr>
          <w:sz w:val="20"/>
          <w:szCs w:val="20"/>
          <w:color w:val="auto"/>
        </w:rPr>
      </w:pPr>
    </w:p>
    <w:p>
      <w:pPr>
        <w:ind w:left="980" w:hanging="432"/>
        <w:spacing w:after="0"/>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88" w:lineRule="exact"/>
        <w:rPr>
          <w:sz w:val="20"/>
          <w:szCs w:val="20"/>
          <w:color w:val="auto"/>
        </w:rPr>
      </w:pPr>
    </w:p>
    <w:p>
      <w:pPr>
        <w:ind w:left="980" w:hanging="432"/>
        <w:spacing w:after="0"/>
        <w:tabs>
          <w:tab w:leader="none" w:pos="980" w:val="left"/>
        </w:tabs>
        <w:numPr>
          <w:ilvl w:val="0"/>
          <w:numId w:val="15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citizen or individual resident of the United States;</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080"/>
          </w:cols>
          <w:pgMar w:left="320" w:top="459"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hanging="432"/>
        <w:spacing w:after="0" w:line="218" w:lineRule="auto"/>
        <w:tabs>
          <w:tab w:leader="none" w:pos="98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23" w:lineRule="auto"/>
        <w:tabs>
          <w:tab w:leader="none" w:pos="98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8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9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Special U.S. tax rules apply to U.S. Holders of stock in companies that are considered to be PFICs. In general, a non-U.S. corporation will be a passive foreign investment company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hold a significant amount of cash and cash equivalents and this may continue to be the case taking into account the cash raised in this offering. Therefore, whether we will satisfy the asset test for the current or any future taxable year generally will depend on the quarterly value of our goodwill and other intangible assets, and on how quickly we utilize the cash in our business. Because (i) the value of our goodwill may be determined by reference to the market prices of our shares or ADSs, which have been volatile given the nature and early stage of our business and have been declining, (ii) we hold cash and cash equivalents in amounts that could be significant in relation to the value of our goodwill and other intangible assets and (iii) a company’s PFIC status is an annual determination that can be made only after the end of each taxable year, there is a significant risk that we could be a PFIC under the asset test. We believe we will be a PFIC for the year ended December 31, 2019 and we were a PFIC for the year ended December 31, 2018. In addition, it is not clear how to apply the income test to a company like us, which for any particular taxable year may have gross income that is either entirely passive or that significantly exceed any active gross income, but the overall losses of which from research and development activities exceed the overall amount of its gross income for that year. We currently do not earn income from sales of drugs. Accordingly, U.S. Holders should invest in our ADSs only if they are willing to bear the U.S. federal income tax consequences associated with investments in PFICs.</w:t>
      </w:r>
    </w:p>
    <w:p>
      <w:pPr>
        <w:spacing w:after="0" w:line="204"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We provide the information necessary for a U.S. Holder to make a qualifying electing fund election (“QEF Election”) with respect to us and we will also use our best efforts to cause each Lower-tier PFIC</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205"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120" w:right="320" w:hanging="4"/>
        <w:spacing w:after="0" w:line="246" w:lineRule="auto"/>
        <w:tabs>
          <w:tab w:leader="none" w:pos="3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9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 allocated to each other taxable year will be subject to tax at the highest rate in effect for that taxable year for individuals or corporations, as appropriate,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5" w:lineRule="exact"/>
        <w:rPr>
          <w:sz w:val="20"/>
          <w:szCs w:val="20"/>
          <w:color w:val="auto"/>
        </w:rPr>
      </w:pPr>
    </w:p>
    <w:p>
      <w:pPr>
        <w:ind w:left="120" w:right="360" w:firstLine="440"/>
        <w:spacing w:after="0" w:line="245"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205"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Mark-to-Market Election</w:t>
      </w:r>
    </w:p>
    <w:p>
      <w:pPr>
        <w:spacing w:after="0" w:line="9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1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advisors regarding the tax consequences of receiving, converting or disposing of any non-U.S. currency, received or deemed received as dividends on our ADSs or ordinary shares or on the sale or retirement of an ADS or an ordinary share.</w:t>
      </w:r>
    </w:p>
    <w:p>
      <w:pPr>
        <w:spacing w:after="0" w:line="206"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85"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Any such gain or loss will be long-term capital gain or loss if at the time of the sale or disposition the U.S. Holder has owned our ADSs or ordinary shares for more than one year.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that sell the ADSs or ordinary shares for an amount denominated in a currency other than the U.S. dollar should consult their tax advisers regarding any potential foreign currency gain or loss that may have to be recognized.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Financial Asset Information Reporting</w:t>
      </w:r>
    </w:p>
    <w:p>
      <w:pPr>
        <w:spacing w:after="0" w:line="8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7"/>
          <w:szCs w:val="17"/>
          <w:color w:val="auto"/>
        </w:rPr>
        <w:t>Certain U.S. Holders who are individuals (or certain specified entities) may be required to report information relating to their ownership of our ADSs or ordinary shares, or non-U.S. accounts through which our ADSs or ordinary shares are held.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Taxation of Dividends</w:t>
      </w:r>
    </w:p>
    <w:p>
      <w:pPr>
        <w:spacing w:after="0" w:line="99"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99"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“recognised growth market” (as construed in accordance with section 99A of the Finance Act 1986). Holders of our ADSs who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21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20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ASPIRE CAPITAL TRANSACTION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On February 10, 2020, we entered into the Purchase Agreement, which provides that, upon the terms and subject to the conditions and limitations set forth therein, Aspire Capital is committed to purchase up to an aggregate of $28.0 million of our ordinary shares that are exchangeable for ADSs, which includes the Initial Shares sold by us to the selling shareholder for $ 3.0 million, over the term of the Purchase Agreement. In consideration for entering into the Purchase Agreement, concurrently with the execution of the Purchase Agreement, we paid to Aspire Capital a $300,000 commitment fee, which was satisfied wholly by the issuance to Aspire Capital of 2,862,595 ordinary shares that are exchangeable for 572,519 ADSs. Concurrently with entering into the Purchase Agreement, we also entered into the Registration Rights Agreement, in which we agreed to file one or more registration statements as permissible and necessary to register under the Securities Act, the sale of the ADSs that have been and may be issued to Aspire Capital under the Purchase Agreement.</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of February 11, 2020, there were 112,255,142 ordinary shares outstanding (approximately 35% held by non -affiliates), excluding the $25.0 million worth of ordinary shares that are exchangeable for ADSs issuable to Aspire Capital pursuant to the Purchase Agreement. The number of ADSs representing ordinary shares ultimately offered for sale by Aspire Capital is dependent upon the number of ADSs purchased by Aspire Capital under the Purchase Agreement.</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Pursuant to the Purchase Agreement and the Registration Rights Agreement, we are registering 89,510,410 ordinary shares represented by 17,902,082 ADSs under the Securities Act, which includes (i) the Initial Shares of 11,432,925 ordinary shares issued to the selling shareholder and exchangeable for 2,286,585 ADSs, (ii) the Commission Shares of 2,862,595 ordinary shares exchangeable for 572,519 ADSs issued to the selling shareholder in satisfaction of the commission fee due to Aspire Capital under the Purchase Agreement, and (iii) up to an additional $25.0 million worth of ordinary shares that are exchangeable for ADSs, which we may issue to Aspire Capital after this registration statement is declared effective under the Securities Act. All $28.3 million ordinary shares that are exchangeable for ADSs issued or issuable to Aspire Capital pursuant to the Purchase Agreement are being offered pursuant to this prospectus.</w:t>
      </w:r>
    </w:p>
    <w:p>
      <w:pPr>
        <w:spacing w:after="0" w:line="208"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After the SEC has declared effective the registration statement of which this prospectus is a part, on any business day on which the closing sale price of our ADSs is not less than $0.25 per share, we have the right, in our sole discretion, to present Aspire Capital with a Purchase Notice, directing Aspire Capital (as principal) to purchase up to 150,000 ADSs per business day, up to $25.0 million worth of our ordinary shares exchangeable for ADSs in the aggregate over the term of the Purchase Agreement, at a Purchase Price calculated by reference to the prevailing market price of our ADSs over the preceding 10-business day period (as more specifically described below); however, no sale pursuant to a Purchase Notice may exceed $0.5 million per business day.</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on any date on which we submit a Purchase Notice to Aspire Capital for at least 150,000 ADSs, we also have the right, in our sole discretion, to present Aspire Capital with a VWAP Purchase Notice directing Aspire Capital to purchase an amount of ADSs equal to up to 30% of the aggregate of the Company’s ADSs traded on the Nasdaq on the next business day, subject to the VWAP Purchase ADS Volume Maximum and the VWAP Minimum Price Threshold and subject to a maximum of 250,000 ADSs. The VWAP Purchase Price is calculated by reference to the prevailing market price of our ADSs (as more specifically described below).</w:t>
      </w:r>
    </w:p>
    <w:p>
      <w:pPr>
        <w:spacing w:after="0" w:line="202"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The Purchase Agreement provides that the Company and Aspire Capital shall not effect any sales under the Purchase Agreement on any purchase date where the closing sale price of our ADSs is less than the Floor Price. There are no trading volume requirements or restrictions under the Purchase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55" w:lineRule="auto"/>
        <w:rPr>
          <w:sz w:val="20"/>
          <w:szCs w:val="20"/>
          <w:color w:val="auto"/>
        </w:rPr>
      </w:pPr>
      <w:r>
        <w:rPr>
          <w:rFonts w:ascii="Arial" w:cs="Arial" w:eastAsia="Arial" w:hAnsi="Arial"/>
          <w:sz w:val="17"/>
          <w:szCs w:val="17"/>
          <w:color w:val="auto"/>
        </w:rPr>
        <w:t>Agreement, and we will control the timing and amount of any sales of our ADSs to Aspire Capital. Aspire Capital has no right to require any sales by us, but is obligated to make purchases from us as we direct in accordance with the Purchase Agreement. There are no limitations on use of proceeds, financial or business covenants, restrictions on future financings, rights of first refusal, participation rights, penalties or liquidated damages in the Purchase Agreement. Aspire Capital may not assign its rights or obligations under the Purchase Agreement. The Purchase Agreement may be terminated by us at any time, at our discretion, without any penalty or cost to us.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of ADSs under the Purchase Agreement</w:t>
      </w:r>
    </w:p>
    <w:p>
      <w:pPr>
        <w:spacing w:after="0" w:line="99"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Under the Purchase Agreement, on any business day selected by us on which the closing sale price of our ADSs is at least $0.25 per share, we may direct Aspire Capital to purchase up to 150,000 ADSs representing 750,000 ordinary shares per business day. The Purchase Price of such ADSs is equal to the lesser of:</w:t>
      </w:r>
    </w:p>
    <w:p>
      <w:pPr>
        <w:spacing w:after="0" w:line="193" w:lineRule="exact"/>
        <w:rPr>
          <w:sz w:val="20"/>
          <w:szCs w:val="20"/>
          <w:color w:val="auto"/>
        </w:rPr>
      </w:pPr>
    </w:p>
    <w:p>
      <w:pPr>
        <w:ind w:left="980" w:hanging="432"/>
        <w:spacing w:after="0"/>
        <w:tabs>
          <w:tab w:leader="none" w:pos="98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lowest sale price of our ADSs on the purchase date; or</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arithmetic average of the three lowest closing sale prices for our ADSs during the 10 consecutive business days ending on the business day immediately preceding the purchase date.</w:t>
      </w:r>
    </w:p>
    <w:p>
      <w:pPr>
        <w:spacing w:after="0" w:line="203"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In addition, on any date on which we submit a Purchase Notice to Aspire Capital for purchase of 150,000 ADSs, we also have the right to direct Aspire Capital to purchase an amount of ADSs equal to up to 30% of the aggregate of our ADSs traded on the Nasdaq on the next business day, subject to a maximum number of 250,000 ADSs and subject to the VWAP Purchase ADS Volume Maximum and the VWAP Minimum Price Threshold, which is equal to the greater of (a) 80% of the closing price of our ADSs on the business day immediately preceding the VWAP Purchase Date or (b) such higher price as set forth by us in the VWAP Purchase Notice. The VWAP Purchase Price of such ADSs is the lower of:</w:t>
      </w:r>
    </w:p>
    <w:p>
      <w:pPr>
        <w:spacing w:after="0" w:line="195" w:lineRule="exact"/>
        <w:rPr>
          <w:sz w:val="20"/>
          <w:szCs w:val="20"/>
          <w:color w:val="auto"/>
        </w:rPr>
      </w:pPr>
    </w:p>
    <w:p>
      <w:pPr>
        <w:ind w:left="980" w:hanging="432"/>
        <w:spacing w:after="0"/>
        <w:tabs>
          <w:tab w:leader="none" w:pos="98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closing sale price on the VWAP Purchase Date;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97% of the volume-weighted average price for our ADSs traded on the Nasdaq:</w:t>
      </w:r>
    </w:p>
    <w:p>
      <w:pPr>
        <w:spacing w:after="0" w:line="26" w:lineRule="exact"/>
        <w:rPr>
          <w:rFonts w:ascii="MS PGothic" w:cs="MS PGothic" w:eastAsia="MS PGothic" w:hAnsi="MS PGothic"/>
          <w:sz w:val="25"/>
          <w:szCs w:val="25"/>
          <w:color w:val="auto"/>
          <w:vertAlign w:val="superscript"/>
        </w:rPr>
      </w:pPr>
    </w:p>
    <w:p>
      <w:pPr>
        <w:ind w:left="1420" w:right="700" w:hanging="427"/>
        <w:spacing w:after="0" w:line="218" w:lineRule="auto"/>
        <w:tabs>
          <w:tab w:leader="none" w:pos="1420" w:val="left"/>
        </w:tabs>
        <w:numPr>
          <w:ilvl w:val="1"/>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the VWAP Purchase Date, if the aggregate ADSs to be purchased on that date have not exceeded the VWAP Purchase Share Volume Maximum; or</w:t>
      </w:r>
    </w:p>
    <w:p>
      <w:pPr>
        <w:spacing w:after="0" w:line="27" w:lineRule="exact"/>
        <w:rPr>
          <w:rFonts w:ascii="MS PGothic" w:cs="MS PGothic" w:eastAsia="MS PGothic" w:hAnsi="MS PGothic"/>
          <w:sz w:val="25"/>
          <w:szCs w:val="25"/>
          <w:color w:val="auto"/>
          <w:vertAlign w:val="superscript"/>
        </w:rPr>
      </w:pPr>
    </w:p>
    <w:p>
      <w:pPr>
        <w:ind w:left="1420" w:right="180" w:hanging="427"/>
        <w:spacing w:after="0" w:line="223" w:lineRule="auto"/>
        <w:tabs>
          <w:tab w:leader="none" w:pos="1420" w:val="left"/>
        </w:tabs>
        <w:numPr>
          <w:ilvl w:val="1"/>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during that portion of the VWAP Purchase Date until such time as the sooner to occur of (i) the time at which the aggregate ADSs traded on the Nasdaq exceed the VWAP Purchase ADS Volume Maximum or (ii) the time at which the sale price of our ADSs falls below the VWAP Minimum Price Threshold.</w:t>
      </w:r>
    </w:p>
    <w:p>
      <w:pPr>
        <w:spacing w:after="0" w:line="204"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The Purchase Price will be adjusted for any reorganization, recapitalization, non-cash dividend, stock split, or other similar transaction occurring during the business day(s) used to compute the Purchase Price. We may deliver multiple Purchase Notices and VWAP Purchase Notices to Aspire Capital from time to time during the term of the Purchase Agreement, so long as the most recent purchase has been completed.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Minimum Share Price</w:t>
      </w:r>
    </w:p>
    <w:p>
      <w:pPr>
        <w:spacing w:after="0" w:line="8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Under the Purchase Agreement, we and Aspire Capital may not effect any sales of our ADSs under the Purchase Agreement on any business day that the closing sale price of our ADSs is less than $0.25 per share.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080"/>
          </w:cols>
          <w:pgMar w:left="320" w:top="459"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9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No sales are permitted to be made under the Purchase Agreement upon the occurrence of any of the following, among other, events of default:</w:t>
      </w:r>
    </w:p>
    <w:p>
      <w:pPr>
        <w:spacing w:after="0" w:line="224" w:lineRule="exact"/>
        <w:rPr>
          <w:sz w:val="20"/>
          <w:szCs w:val="20"/>
          <w:color w:val="auto"/>
        </w:rPr>
      </w:pPr>
    </w:p>
    <w:p>
      <w:pPr>
        <w:ind w:left="980" w:right="20" w:hanging="432"/>
        <w:spacing w:after="0" w:line="229"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effectiveness of any registration statement that is required to be maintained effective pursuant to the terms of the Registration Rights Agreement between us and Aspire Capital lapses for any reason (including, without limitation, the issuance of a stop order) or is unavailable to Aspire Capital for sale of our ADSs, and such lapse or unavailability continues for a period of 10 consecutive business days or for more than an aggregate of 30 business days in any 365-day period, which is not in connection with a post-effective amendment to any such registration statement; in connection with any post-effective amendment to such registration statement that is required to be declared effective by the SEC such lapse or unavailability may continue for a period of no more than 30 consecutive business days;</w:t>
      </w:r>
    </w:p>
    <w:p>
      <w:pPr>
        <w:spacing w:after="0" w:line="31"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suspension from trading or failure of our ADSs to be listed on our principal market for a period of three consecutive business days;</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23"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delisting of our ADSs from our principal market, provided our ADSs are not immediately thereafter trading on the New York Stock Exchange, the NYSE American, the Nasdaq Capital Market, the Nasdaq Global Select Market, the Nasdaq Global Market, the OTB Bulletin Board or the OTCQB marketplace or OTCQX marketplace of the OTC Markets Group;</w:t>
      </w:r>
    </w:p>
    <w:p>
      <w:pPr>
        <w:spacing w:after="0" w:line="28" w:lineRule="exact"/>
        <w:rPr>
          <w:rFonts w:ascii="MS PGothic" w:cs="MS PGothic" w:eastAsia="MS PGothic" w:hAnsi="MS PGothic"/>
          <w:sz w:val="25"/>
          <w:szCs w:val="25"/>
          <w:color w:val="auto"/>
          <w:vertAlign w:val="superscript"/>
        </w:rPr>
      </w:pPr>
    </w:p>
    <w:p>
      <w:pPr>
        <w:ind w:left="980" w:right="520" w:hanging="432"/>
        <w:spacing w:after="0" w:line="218"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transfer agent’s failure to issue to Aspire Capital ADSs which Aspire Capital is entitled to receive under the Purchase Agreement within five business days after an applicable purchase date;</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breach by us of the representations or warranties or covenants contained in the Purchase Agreement or any related agreements which could have a material adverse effect on us, subject to a cure period of five business days;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become insolvent or are generally unable to pay our debts as they become due;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participation or threatened participation in insolvency or bankruptcy proceedings by or against us.</w:t>
      </w:r>
    </w:p>
    <w:p>
      <w:pPr>
        <w:spacing w:after="0" w:line="202"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Purchase Agreement will be automatically terminated in the event of any participation in insolvency or bankruptcy proceedings by or against us.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Termination Rights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Purchase Agreement may be terminated by us at any time, at our discretion, without any penalty or cost to us.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Short-Selling or Hedging by Aspire Capital</w:t>
      </w:r>
    </w:p>
    <w:p>
      <w:pPr>
        <w:spacing w:after="0" w:line="85"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Aspire Capital has agreed that neither it nor any of its agents, representatives and affiliates shall engage in any direct or indirect short-selling or hedging of our securities during any time prior to the termination of the Purchase Agreement.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Performance of the Purchase Agreement on Our Shareholders</w:t>
      </w:r>
    </w:p>
    <w:p>
      <w:pPr>
        <w:spacing w:after="0" w:line="9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Purchase Agreement does not limit the ability of Aspire Capital to sell any or all of the $25.0 million worth of ordinary shares exchangeable for ADSs registered in this offering. It is anticipated that shares registered in this offering will be sold over a period of up to approximately 30 months from the date of this prospectus. The sale by Aspire Capital of a significant amount of ADSs registered in this offering at any given time could cause the market price of our ADSs to decline and/or to be highly volatile. Aspire Capital may ultimately purchase all, some or none of the $25.0 million worth of ordinary shares exchangeable for ADSs not yet issued but registered in this offering. After it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has acquired such shares, it may sell all, some or none of such ADSs. Therefore, sales to Aspire Capital by us pursuant to the Purchase Agreement also may result in substantial dilution to the interests of other holders of our ADSs. However, we have the right to control the timing and amount of any sales of our ADSs to Aspire Capital and the Purchase Agreement may be terminated by us at any time at our discretion without any penalty or cost to us.</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0940"/>
          </w:cols>
          <w:pgMar w:left="320" w:top="459" w:right="6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SHAREHOLDER</w:t>
      </w:r>
    </w:p>
    <w:p>
      <w:pPr>
        <w:spacing w:after="0" w:line="34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selling shareholder may from time to time offer and sell any or all of the ADSs representing ordinary shares set forth below pursuant to this prospectus. When we refer to the “selling shareholder” in this prospectus, we mean the entity listed in the table below, and its respective pledgees, donees, permitted transferees, assignees, successors and others who later come to hold any of the selling shareholder’s interests in our ADSs other than through a public sale.</w:t>
      </w:r>
    </w:p>
    <w:p>
      <w:pPr>
        <w:spacing w:after="0" w:line="205" w:lineRule="exact"/>
        <w:rPr>
          <w:sz w:val="20"/>
          <w:szCs w:val="20"/>
          <w:color w:val="auto"/>
        </w:rPr>
      </w:pPr>
    </w:p>
    <w:p>
      <w:pPr>
        <w:ind w:left="120" w:right="300" w:firstLine="440"/>
        <w:spacing w:after="0" w:line="237" w:lineRule="auto"/>
        <w:rPr>
          <w:sz w:val="20"/>
          <w:szCs w:val="20"/>
          <w:color w:val="auto"/>
        </w:rPr>
      </w:pPr>
      <w:r>
        <w:rPr>
          <w:rFonts w:ascii="Arial" w:cs="Arial" w:eastAsia="Arial" w:hAnsi="Arial"/>
          <w:sz w:val="18"/>
          <w:szCs w:val="18"/>
          <w:color w:val="auto"/>
        </w:rPr>
        <w:t>The following table sets forth, as of the date of this prospectus, the name of the selling shareholder for whom we are registering shares for sale to the public, the number of ADSs beneficially owned by the selling shareholder prior to this offering, the total number of ADSs that the selling shareholder may offer pursuant to this prospectus and the number of ADSs that the selling shareholder will beneficially own after this offering. Except as noted below, the selling shareholder does not have, or within the past three years has not had, any material relationship with us or any of our predecessors or affiliates and the selling shareholder is not or was not affiliated with registered broker-dealers.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Based on the information provided to us by the selling shareholder, assuming that the selling shareholder sells all of the shares of our ADSs beneficially owned by it that have been registered by us and does not acquire any additional ADSs during the offering, the selling shareholder will not own any ADSs other than those appearing in the column entitled “Beneficial Ownership After This Offering.” We cannot advise you as to whether the selling shareholder will in fact sell any or all of such ADSs. In addition, the selling shareholder may have sold, transferred or otherwise disposed of, or may sell, transfer or otherwise dispose of, at any time and from time to time, the ADSs in transactions exempt from the registration requirements of the Securities Act after the date on which it provided the information set forth in the table below. Each ADS represents five of our ordinary shares.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5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rPr>
              <w:t>Beneficial Ownership</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rPr>
              <w:t>Before this Offering(1)</w:t>
            </w: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ADSs</w:t>
            </w: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w w:val="96"/>
              </w:rPr>
              <w:t>After this Offering(2)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660" w:type="dxa"/>
            <w:vAlign w:val="bottom"/>
            <w:vMerge w:val="restart"/>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Being</w:t>
            </w: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ADSs</w:t>
            </w: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Offered</w:t>
            </w:r>
          </w:p>
        </w:tc>
        <w:tc>
          <w:tcPr>
            <w:tcW w:w="1560" w:type="dxa"/>
            <w:vAlign w:val="bottom"/>
            <w:gridSpan w:val="2"/>
          </w:tcPr>
          <w:p>
            <w:pPr>
              <w:ind w:left="320"/>
              <w:spacing w:after="0"/>
              <w:rPr>
                <w:sz w:val="20"/>
                <w:szCs w:val="20"/>
                <w:color w:val="auto"/>
              </w:rPr>
            </w:pPr>
            <w:r>
              <w:rPr>
                <w:rFonts w:ascii="Arial" w:cs="Arial" w:eastAsia="Arial" w:hAnsi="Arial"/>
                <w:sz w:val="14"/>
                <w:szCs w:val="14"/>
                <w:b w:val="1"/>
                <w:bCs w:val="1"/>
                <w:color w:val="auto"/>
              </w:rPr>
              <w:t>ADSs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Aspire Capital Fund, LLC(3)</w:t>
            </w:r>
          </w:p>
        </w:tc>
        <w:tc>
          <w:tcPr>
            <w:tcW w:w="9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60" w:type="dxa"/>
            <w:vAlign w:val="bottom"/>
            <w:gridSpan w:val="2"/>
            <w:vMerge w:val="continue"/>
            <w:shd w:val="clear" w:color="auto" w:fill="CCEEFF"/>
          </w:tcPr>
          <w:p>
            <w:pPr>
              <w:spacing w:after="0"/>
              <w:rPr>
                <w:sz w:val="16"/>
                <w:szCs w:val="16"/>
                <w:color w:val="auto"/>
              </w:rPr>
            </w:pPr>
          </w:p>
        </w:tc>
        <w:tc>
          <w:tcPr>
            <w:tcW w:w="9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7"/>
              </w:rPr>
              <w:t>2,859,104</w:t>
            </w:r>
          </w:p>
        </w:tc>
        <w:tc>
          <w:tcPr>
            <w:tcW w:w="500" w:type="dxa"/>
            <w:vAlign w:val="bottom"/>
            <w:vMerge w:val="continue"/>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auto"/>
              </w:rPr>
              <w:t>12.7%</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2,859,104</w:t>
            </w:r>
          </w:p>
        </w:tc>
        <w:tc>
          <w:tcPr>
            <w:tcW w:w="52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ind w:left="920"/>
              <w:spacing w:after="0" w:line="189" w:lineRule="exact"/>
              <w:rPr>
                <w:sz w:val="20"/>
                <w:szCs w:val="20"/>
                <w:color w:val="auto"/>
              </w:rPr>
            </w:pPr>
            <w:r>
              <w:rPr>
                <w:rFonts w:ascii="Arial" w:cs="Arial" w:eastAsia="Arial" w:hAnsi="Arial"/>
                <w:sz w:val="18"/>
                <w:szCs w:val="18"/>
                <w:color w:val="auto"/>
                <w:w w:val="79"/>
              </w:rPr>
              <w:t>0</w:t>
            </w:r>
          </w:p>
        </w:tc>
        <w:tc>
          <w:tcPr>
            <w:tcW w:w="540" w:type="dxa"/>
            <w:vAlign w:val="bottom"/>
            <w:vMerge w:val="continue"/>
            <w:shd w:val="clear" w:color="auto" w:fill="CCEEFF"/>
          </w:tcPr>
          <w:p>
            <w:pPr>
              <w:spacing w:after="0"/>
              <w:rPr>
                <w:sz w:val="16"/>
                <w:szCs w:val="16"/>
                <w:color w:val="auto"/>
              </w:rPr>
            </w:pPr>
          </w:p>
        </w:tc>
        <w:tc>
          <w:tcPr>
            <w:tcW w:w="460" w:type="dxa"/>
            <w:vAlign w:val="bottom"/>
            <w:tcBorders>
              <w:lef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8" w:lineRule="exact"/>
        <w:rPr>
          <w:sz w:val="20"/>
          <w:szCs w:val="20"/>
          <w:color w:val="auto"/>
        </w:rPr>
      </w:pPr>
    </w:p>
    <w:p>
      <w:pPr>
        <w:ind w:left="540" w:right="60" w:hanging="424"/>
        <w:spacing w:after="0" w:line="238"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the Initial Shares of 14,295,520 ordinary shares (equivalent to 2,859,104 ADSs) that were issued to Aspire Capital pursuant to the Purchase Agreement, which includes (i) the Initial Shares of 11,432,925 ordinary shares exchangeable for 2,286,585 ADSs and (ii) the Commission Shares of 2,862,595 ordinary shares exchangeable for 572,519 ADSs. Each ADS represents five of our ordinary shares.</w:t>
      </w:r>
    </w:p>
    <w:p>
      <w:pPr>
        <w:spacing w:after="0" w:line="29" w:lineRule="exact"/>
        <w:rPr>
          <w:rFonts w:ascii="Arial" w:cs="Arial" w:eastAsia="Arial" w:hAnsi="Arial"/>
          <w:sz w:val="18"/>
          <w:szCs w:val="18"/>
          <w:color w:val="auto"/>
        </w:rPr>
      </w:pPr>
    </w:p>
    <w:p>
      <w:pPr>
        <w:ind w:left="540" w:hanging="424"/>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Assumes the sale of all Initial Shares and Commission Shares registered pursuant to this prospectus.</w:t>
      </w:r>
    </w:p>
    <w:p>
      <w:pPr>
        <w:spacing w:after="0" w:line="36" w:lineRule="exact"/>
        <w:rPr>
          <w:rFonts w:ascii="Arial" w:cs="Arial" w:eastAsia="Arial" w:hAnsi="Arial"/>
          <w:sz w:val="18"/>
          <w:szCs w:val="18"/>
          <w:color w:val="auto"/>
        </w:rPr>
      </w:pPr>
    </w:p>
    <w:p>
      <w:pPr>
        <w:ind w:left="540" w:right="60" w:hanging="424"/>
        <w:spacing w:after="0" w:line="234"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Aspire Capital Partners LLC (“Aspire Partners”) is the Managing Member of Aspire Capital Fund LLC (“Aspire Fund”). SGM Holdings Corp (“SGM”) is the Managing Member of Aspire Partners. Mr. Steven G. Martin (“Mr. Martin”) is the president and sole shareholder of SGM, as well as a principal of Aspire Partners. Mr. Erik J. Brown (“Mr. Brown”) is the president and sole shareholder of Red Cedar Capital Corp (“Red Cedar”), which is a principal of Aspire Partners. Mr. Christos Komissopoulos (“Mr. Komissopoulos”) is president and sole shareholder of Chrisko Investors Inc. (“Chrisko”), which is a principal of Aspire Partners. Mr. William F. Blank, III</w:t>
      </w:r>
    </w:p>
    <w:p>
      <w:pPr>
        <w:spacing w:after="0" w:line="3" w:lineRule="exact"/>
        <w:rPr>
          <w:rFonts w:ascii="Arial" w:cs="Arial" w:eastAsia="Arial" w:hAnsi="Arial"/>
          <w:sz w:val="18"/>
          <w:szCs w:val="18"/>
          <w:color w:val="auto"/>
        </w:rPr>
      </w:pPr>
    </w:p>
    <w:p>
      <w:pPr>
        <w:ind w:left="540" w:right="20"/>
        <w:spacing w:after="0" w:line="234" w:lineRule="auto"/>
        <w:rPr>
          <w:rFonts w:ascii="Arial" w:cs="Arial" w:eastAsia="Arial" w:hAnsi="Arial"/>
          <w:sz w:val="18"/>
          <w:szCs w:val="18"/>
          <w:color w:val="auto"/>
        </w:rPr>
      </w:pPr>
      <w:r>
        <w:rPr>
          <w:rFonts w:ascii="Arial" w:cs="Arial" w:eastAsia="Arial" w:hAnsi="Arial"/>
          <w:sz w:val="18"/>
          <w:szCs w:val="18"/>
          <w:color w:val="auto"/>
        </w:rPr>
        <w:t>(“Mr. Blank”) is president and sole shareholder of WML Ventures Corp. (“WML Ventures”), which is a principal of Aspire Partners. Each of Aspire Partners, SGM, Red Cedar, Chrisko, WML Ventures, Mr. Martin, Mr. Brown, Mr. Komissopoulos and Mr. Blank may be deemed to be a beneficial owner of ADSs by Aspire Fund. Each of Aspire Partners, SGM, Red Cedar, Chrisko, WML Ventures,</w:t>
      </w:r>
    </w:p>
    <w:p>
      <w:pPr>
        <w:spacing w:after="0" w:line="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Mr. Martin, Mr. Brown, Mr. Komissopoulos and Mr. Blank disclaims beneficial ownership of the ADSs held by Aspire Fund.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40" w:hanging="424"/>
        <w:spacing w:after="0" w:line="23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of the date hereof, 14,295,520 ordinary shares which may be exchanged for 2,859,104 ADSs have been issued to Aspire Capital under the Purchase Agreement. We may elect in our sole discretion to sell to Aspire Capital up to an additional $25.0 million worth of ordinary shares exchangeable for ADSs under the Purchase Agreement, but Aspire Capital does not presently beneficially own those shares as determined in accordance with the rules of the SEC.</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4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securities offered by this prospectus are being offered by Aspire Capital, the selling shareholder. The securities may be sold or distributed from time to time by the selling shareholder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securities offered by this prospectus may be effected in one or more of the following methods:</w:t>
      </w:r>
    </w:p>
    <w:p>
      <w:pPr>
        <w:spacing w:after="0" w:line="193" w:lineRule="exact"/>
        <w:rPr>
          <w:sz w:val="20"/>
          <w:szCs w:val="20"/>
          <w:color w:val="auto"/>
        </w:rPr>
      </w:pPr>
    </w:p>
    <w:p>
      <w:pPr>
        <w:ind w:left="980" w:hanging="432"/>
        <w:spacing w:after="0"/>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brokers’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transactions involving cross or block trades;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brokers, dealers, or underwriters who may act solely as agents;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the market” into an existing market for the ADSs;</w:t>
      </w:r>
    </w:p>
    <w:p>
      <w:pPr>
        <w:spacing w:after="0" w:line="26" w:lineRule="exact"/>
        <w:rPr>
          <w:rFonts w:ascii="MS PGothic" w:cs="MS PGothic" w:eastAsia="MS PGothic" w:hAnsi="MS PGothic"/>
          <w:sz w:val="25"/>
          <w:szCs w:val="25"/>
          <w:color w:val="auto"/>
          <w:vertAlign w:val="superscript"/>
        </w:rPr>
      </w:pPr>
    </w:p>
    <w:p>
      <w:pPr>
        <w:ind w:left="980" w:right="580" w:hanging="432"/>
        <w:spacing w:after="0" w:line="218"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other ways not involving market makers or established business markets, including direct sales to purchasers or sales effected through agents;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privately negotiated transactions;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5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combination of the foregoing.</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In order to comply with the securities laws of certain states, if applicable, the securities may be sold only through registered or licensed brokers or dealers. In addition, in certain states, the securities may not be sold unless they have been registered or qualified for sale in the state or an exemption from the registration or qualification requirement is available and complied with.</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shareholder may transfer the securities by other means not described in this prospectus.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Brokers, dealers, underwriters, or agents participating in the distribution of the securities as agents may receive compensation in the form of commissions, discounts, or concessions from the selling shareholder and/or purchasers of the securities for whom the broker-dealers may act as agent. Aspire Capital has informed us that each such broker-dealer will receive commissions from Aspire Capital which will not exceed customary brokerage commissions.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Aspire Capital is an “underwriter” within the meaning of the Securities Act.</w:t>
      </w:r>
    </w:p>
    <w:p>
      <w:pPr>
        <w:spacing w:after="0" w:line="212" w:lineRule="exact"/>
        <w:rPr>
          <w:sz w:val="20"/>
          <w:szCs w:val="20"/>
          <w:color w:val="auto"/>
        </w:rPr>
      </w:pPr>
    </w:p>
    <w:p>
      <w:pPr>
        <w:ind w:left="120" w:right="640" w:firstLine="440"/>
        <w:spacing w:after="0"/>
        <w:rPr>
          <w:sz w:val="20"/>
          <w:szCs w:val="20"/>
          <w:color w:val="auto"/>
        </w:rPr>
      </w:pPr>
      <w:r>
        <w:rPr>
          <w:rFonts w:ascii="Arial" w:cs="Arial" w:eastAsia="Arial" w:hAnsi="Arial"/>
          <w:sz w:val="18"/>
          <w:szCs w:val="18"/>
          <w:color w:val="auto"/>
        </w:rPr>
        <w:t>Neither we nor Aspire Capital can presently estimate the amount of compensation that any agent will receive. We know of no existing arrangements between Aspire Capital, any other stockholder, broker, dealer, underwriter, or agent relating to the sale or distribution of the securities offered by this prospectus.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will pay all of the expenses incident to the registration, offering, and sale of the securities to the public other than commissions or discounts of underwriters, broker-dealers, or agents. We have agreed to indemnify Aspire Capital and certain other persons against certain liabilities in connection with the offering of securities offered hereby, including liabilities arising under the Securities Act or, if such indemnity is unavailable, to contribute amounts required to be paid in respect of such liabilities. Aspire Capital has agreed to indemnify us against liabilities under the Securities Act that may arise from certain written information furnished to us by Aspire Capital specifically for use in this prospectus or, if such indemnity is unavailable, to contribute amounts required to be paid in respect of such liabilities.</w:t>
      </w:r>
    </w:p>
    <w:p>
      <w:pPr>
        <w:spacing w:after="0" w:line="205"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Aspire Capital and its affiliates have agreed not to engage in any direct or indirect short selling or hedging of our securities during the term of the Purchase Agreement.</w:t>
      </w:r>
    </w:p>
    <w:p>
      <w:pPr>
        <w:spacing w:after="0" w:line="197"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advised Aspire Capital that while it is engaged in a distribution of the securities included in this prospectus it is required to comply with Regulation M promulgated under the Exchange Act. With certain exceptions,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5"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We may suspend the sale of securities by Aspire Capital pursuant to this prospectus for certain periods of time for certain reasons, including if the prospectus is required to be supplemented or amended to include additional material information.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offering will terminate on the date that all shares offered by this prospectus have been sold by Aspire Capital.</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EXPENSES OF THE OFFERING</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expenses in connection with the offering will be as follows: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Expenses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57479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Legal fees and expenses</w:t>
      </w:r>
    </w:p>
    <w:p>
      <w:pPr>
        <w:ind w:left="440"/>
        <w:spacing w:after="0" w:line="234"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-127000</wp:posOffset>
            </wp:positionV>
            <wp:extent cx="6574790" cy="1289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Miscellaneous costs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14"/>
        <w:spacing w:after="0"/>
        <w:rPr>
          <w:sz w:val="20"/>
          <w:szCs w:val="20"/>
          <w:color w:val="auto"/>
        </w:rPr>
      </w:pPr>
      <w:r>
        <w:rPr>
          <w:rFonts w:ascii="Arial" w:cs="Arial" w:eastAsia="Arial" w:hAnsi="Arial"/>
          <w:sz w:val="14"/>
          <w:szCs w:val="14"/>
          <w:b w:val="1"/>
          <w:bCs w:val="1"/>
          <w:color w:val="auto"/>
        </w:rPr>
        <w:t>Amount</w:t>
      </w:r>
    </w:p>
    <w:p>
      <w:pPr>
        <w:spacing w:after="0" w:line="27" w:lineRule="exact"/>
        <w:rPr>
          <w:sz w:val="20"/>
          <w:szCs w:val="20"/>
          <w:color w:val="auto"/>
        </w:rPr>
      </w:pPr>
    </w:p>
    <w:p>
      <w:pPr>
        <w:ind w:left="494" w:hanging="494"/>
        <w:spacing w:after="0"/>
        <w:tabs>
          <w:tab w:leader="none" w:pos="4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3,835.00</w:t>
      </w:r>
    </w:p>
    <w:p>
      <w:pPr>
        <w:spacing w:after="0" w:line="7" w:lineRule="exact"/>
        <w:rPr>
          <w:rFonts w:ascii="Arial" w:cs="Arial" w:eastAsia="Arial" w:hAnsi="Arial"/>
          <w:sz w:val="17"/>
          <w:szCs w:val="17"/>
          <w:color w:val="auto"/>
        </w:rPr>
      </w:pPr>
    </w:p>
    <w:p>
      <w:pPr>
        <w:ind w:left="294" w:hanging="294"/>
        <w:spacing w:after="0"/>
        <w:tabs>
          <w:tab w:leader="none" w:pos="2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200,000.00</w:t>
      </w:r>
    </w:p>
    <w:p>
      <w:pPr>
        <w:spacing w:after="0" w:line="7" w:lineRule="exact"/>
        <w:rPr>
          <w:rFonts w:ascii="Arial" w:cs="Arial" w:eastAsia="Arial" w:hAnsi="Arial"/>
          <w:sz w:val="17"/>
          <w:szCs w:val="17"/>
          <w:color w:val="auto"/>
        </w:rPr>
      </w:pPr>
    </w:p>
    <w:p>
      <w:pPr>
        <w:ind w:left="394" w:hanging="394"/>
        <w:spacing w:after="0"/>
        <w:tabs>
          <w:tab w:leader="none" w:pos="3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65,000.00</w:t>
      </w:r>
    </w:p>
    <w:p>
      <w:pPr>
        <w:spacing w:after="0" w:line="7" w:lineRule="exact"/>
        <w:rPr>
          <w:rFonts w:ascii="Arial" w:cs="Arial" w:eastAsia="Arial" w:hAnsi="Arial"/>
          <w:sz w:val="17"/>
          <w:szCs w:val="17"/>
          <w:color w:val="auto"/>
        </w:rPr>
      </w:pPr>
    </w:p>
    <w:p>
      <w:pPr>
        <w:ind w:left="494" w:hanging="494"/>
        <w:spacing w:after="0"/>
        <w:tabs>
          <w:tab w:leader="none" w:pos="4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5,000.00</w:t>
      </w:r>
    </w:p>
    <w:p>
      <w:pPr>
        <w:spacing w:after="0" w:line="34" w:lineRule="exact"/>
        <w:rPr>
          <w:rFonts w:ascii="Arial" w:cs="Arial" w:eastAsia="Arial" w:hAnsi="Arial"/>
          <w:sz w:val="17"/>
          <w:szCs w:val="17"/>
          <w:color w:val="auto"/>
        </w:rPr>
      </w:pPr>
    </w:p>
    <w:p>
      <w:pPr>
        <w:ind w:left="294" w:hanging="294"/>
        <w:spacing w:after="0"/>
        <w:tabs>
          <w:tab w:leader="none" w:pos="294" w:val="left"/>
        </w:tabs>
        <w:numPr>
          <w:ilvl w:val="0"/>
          <w:numId w:val="1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273,835.00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543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22225</wp:posOffset>
            </wp:positionV>
            <wp:extent cx="7543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826" w:space="720"/>
            <w:col w:w="1194"/>
          </w:cols>
          <w:pgMar w:left="320" w:top="459" w:right="839" w:bottom="1440" w:gutter="0" w:footer="0" w:header="0"/>
        </w:sectPr>
      </w:pPr>
    </w:p>
    <w:p>
      <w:pPr>
        <w:spacing w:after="0" w:line="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amounts in the table are estimates except the SEC registration fee. We will pay all of the expenses referred to above.</w:t>
      </w:r>
    </w:p>
    <w:p>
      <w:pPr>
        <w:spacing w:after="0" w:line="1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0740"/>
          </w:cols>
          <w:pgMar w:left="320" w:top="459" w:right="839" w:bottom="1440" w:gutter="0" w:footer="0" w:header="0"/>
          <w:type w:val="continuous"/>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consolidated financial statements of Mereo BioPharma Group plc at December 31, 2018 and 2017, and for each of the three years in the period ended December 31, 2018, appearing in this prospectus and registration statement, have been audited by Ernst &amp; Young LLP (UK), independent registered public accounting firm, as set forth in their report thereon appearing elsewhere herein, and are included in reliance upon such report given on the authority of such firm as experts in accounting and auditing.</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financial statements of OncoMed Pharmaceuticals, Inc. at December 31, 2018 and 2017, and for each of the three years in the period ended December 31, 2018,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080"/>
          </w:cols>
          <w:pgMar w:left="320" w:top="459"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18" w:lineRule="auto"/>
        <w:tabs>
          <w:tab w:leader="none" w:pos="980" w:val="left"/>
        </w:tabs>
        <w:numPr>
          <w:ilvl w:val="0"/>
          <w:numId w:val="16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161"/>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16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will provide to each person, including any beneficial owner, to whom a prospectus is delivered, a copy of any or all of the reports or documents that have been incorporated by reference into this prospectus but not delivered with this prospectus. We will provide these reports or documents upon written or oral request at no cost to the requester. Requests for these reports or documents should be addressed to Mereo BioPharma Group plc, Fourth Floor, One Cavendish Place, London, W1G 0QF, United Kingdom or by calling +44 33 3023 7300. In addition, these reports or documents may be accessed on the SEC’s website at www.sec.gov.</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17,902,082 American Depositary Shares</w:t>
      </w:r>
    </w:p>
    <w:p>
      <w:pPr>
        <w:spacing w:after="0" w:line="4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Representing 89,510,410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2602865</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656590</wp:posOffset>
            </wp:positionV>
            <wp:extent cx="2468880" cy="9004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PRELIMINARY</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1764030</wp:posOffset>
            </wp:positionV>
            <wp:extent cx="18173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478155</wp:posOffset>
            </wp:positionV>
            <wp:extent cx="699516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20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20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8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In the three years preceding the filing of this registration statement, the Company has issued the following securities that were not registered under the Securities Act: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Share Capital</w:t>
      </w:r>
    </w:p>
    <w:p>
      <w:pPr>
        <w:spacing w:after="0" w:line="261" w:lineRule="exact"/>
        <w:rPr>
          <w:sz w:val="20"/>
          <w:szCs w:val="20"/>
          <w:color w:val="auto"/>
        </w:rPr>
      </w:pPr>
    </w:p>
    <w:p>
      <w:pPr>
        <w:ind w:left="980" w:right="240" w:hanging="432"/>
        <w:spacing w:after="0" w:line="218" w:lineRule="auto"/>
        <w:tabs>
          <w:tab w:leader="none" w:pos="98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3, 2017, the registrant issued 5,042,017 ordinary shares of nominal value £0.003 each to new and existing investors for aggregate consideration of £15.0 million.</w:t>
      </w:r>
    </w:p>
    <w:p>
      <w:pPr>
        <w:spacing w:after="0" w:line="27" w:lineRule="exact"/>
        <w:rPr>
          <w:rFonts w:ascii="MS PGothic" w:cs="MS PGothic" w:eastAsia="MS PGothic" w:hAnsi="MS PGothic"/>
          <w:sz w:val="25"/>
          <w:szCs w:val="25"/>
          <w:color w:val="auto"/>
          <w:vertAlign w:val="superscript"/>
        </w:rPr>
      </w:pPr>
    </w:p>
    <w:p>
      <w:pPr>
        <w:ind w:left="980" w:right="620" w:hanging="432"/>
        <w:spacing w:after="0" w:line="218" w:lineRule="auto"/>
        <w:tabs>
          <w:tab w:leader="none" w:pos="98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26, 2017, the registrant issued 1,221,361 ordinary shares of nominal value £0.003 each upon the conversion of £1.4 million of Novartis Notes (as defined below).</w:t>
      </w:r>
    </w:p>
    <w:p>
      <w:pPr>
        <w:spacing w:after="0" w:line="27"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31, 2017, the registrant issued 490,798 ordinary shares of nominal value £0.003 each to a new investor in connection with a licensing agreement.</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1, 2018, the registrant issued 50,076 ordinary shares of nominal value £0.003 each to new and existing investors for aggregate consideration of £150,228.</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23, 2018, the registrant issued 10,000 ordinary shares of nominal value £0.003 each to certain former employees of the registrant upon the exercise of share options.</w:t>
      </w:r>
    </w:p>
    <w:p>
      <w:pPr>
        <w:spacing w:after="0" w:line="27" w:lineRule="exact"/>
        <w:rPr>
          <w:rFonts w:ascii="MS PGothic" w:cs="MS PGothic" w:eastAsia="MS PGothic" w:hAnsi="MS PGothic"/>
          <w:sz w:val="25"/>
          <w:szCs w:val="25"/>
          <w:color w:val="auto"/>
          <w:vertAlign w:val="superscript"/>
        </w:rPr>
      </w:pPr>
    </w:p>
    <w:p>
      <w:pPr>
        <w:ind w:left="980" w:right="360" w:hanging="432"/>
        <w:spacing w:after="0" w:line="218" w:lineRule="auto"/>
        <w:tabs>
          <w:tab w:leader="none" w:pos="98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Under the public offering dated June 1, 2018, the registrant issued and allotted 50,076 ordinary shares of £0.003 in nominal value each on June 1, 2018 at a price of £3.00 per share to investors. Gross cash received was £150,228.</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60" w:hanging="432"/>
        <w:spacing w:after="0" w:line="218" w:lineRule="auto"/>
        <w:tabs>
          <w:tab w:leader="none" w:pos="98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August 3, 2018, the registrant issued and allotted 10,000 ordinary shares of £0.003 in nominal value each pursuant to an exercise of employee share options.</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22, 2018, the registrant issued and allotted 85,222 ordinary shares of £0.003 in nominal value each pursuant to an exercise of employee share options.</w:t>
      </w:r>
    </w:p>
    <w:p>
      <w:pPr>
        <w:spacing w:after="0" w:line="27"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21, 2019, the registrant issued 1,936,030 ordinary shares of £0.003 in nominal value each upon the conversion of £2.4 million of Novartis Notes.</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February 10, 2020, the registrant issued warrants to purchase 1,449,614 ordinary shares of £0.003 in nominal value each to existing investors in connection with the New Novartis Notes.</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February 10, 2020, the registrant issued 14,295,520 ordinary shares (equivalent to 2,859,104 ADSs) of £0.003 in nominal value each to the selling shareholder for $3.0 million.</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February 19, 2020, the registrant issued 12,252,715 ordinary shares (equivalent to 2,450,543 ADSs) of £0.003 in nominal value each to Boxer Capital, LLC.</w:t>
      </w:r>
    </w:p>
    <w:p>
      <w:pPr>
        <w:spacing w:after="0" w:line="203"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No underwriters were used in the foregoing transactions. The sales of securities described above were made in reliance upon the exemptions from registration provided by Regulation S under the Securities Act, Rule 144A under the Securities Act (before the Registrant’s ADSs became listed on Nasdaq) and/or Section 4(a)(2) of the Securities Act (including Regulation D promulgated thereunder). All of the foregoing securities are deemed restricted securities for the purposes of the Securities Act.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Grants and Exercises of Options and Restricted Share Awards</w:t>
      </w:r>
    </w:p>
    <w:p>
      <w:pPr>
        <w:spacing w:after="0" w:line="99"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On April 26, 2018, the Company granted 100,817 options under the Deferred Bonus Share Plan to certain directors and certain other persons discharging managerial responsibility. The weighted average fair value of options granted was £3.23. The exercise price is £nil.</w:t>
      </w:r>
    </w:p>
    <w:p>
      <w:pPr>
        <w:spacing w:after="0" w:line="17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On May 2, 2018, the Company granted 303,000 options to certain employees under the Mereo BioPharma Group plc Share Option Plan. The weighted average fair value of options granted was £2.38. The exercise price is £3.25.</w:t>
      </w:r>
    </w:p>
    <w:p>
      <w:pPr>
        <w:spacing w:after="0" w:line="197" w:lineRule="exact"/>
        <w:rPr>
          <w:sz w:val="20"/>
          <w:szCs w:val="20"/>
          <w:color w:val="auto"/>
        </w:rPr>
      </w:pPr>
    </w:p>
    <w:p>
      <w:pPr>
        <w:ind w:left="120" w:right="340" w:firstLine="440"/>
        <w:spacing w:after="0" w:line="261" w:lineRule="auto"/>
        <w:rPr>
          <w:sz w:val="20"/>
          <w:szCs w:val="20"/>
          <w:color w:val="auto"/>
        </w:rPr>
      </w:pPr>
      <w:r>
        <w:rPr>
          <w:rFonts w:ascii="Arial" w:cs="Arial" w:eastAsia="Arial" w:hAnsi="Arial"/>
          <w:sz w:val="17"/>
          <w:szCs w:val="17"/>
          <w:color w:val="auto"/>
        </w:rPr>
        <w:t>The issuances of the securities described above were deemed to be exempt from registration pursuant to Section 4(a)(2) of the Securities Act or Rule 701 promulgated under the Securities Act as transactions pursuant to compensatory benefit plans. The ordinary shares and ADSs issued upon the exercise of options are deemed to be restricted securities for purposes of the Securities Act.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8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On April 6, 2017, Novartis delivered to the Company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the Company issued 588,532 ordinary shares to Novartis.</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June 6, 2019, Novartis delivered to the Company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the Company issued 864,988 ordinary shares to Novartis. At June 30, 2019 there was no further liability under the Novartis Notes which were converted in full as at that date.</w:t>
      </w:r>
    </w:p>
    <w:p>
      <w:pPr>
        <w:spacing w:after="0" w:line="20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February 10, 2020, the Company entered into a convertible loan note instrument relating to the issue of 3,841,479 New Novartis Notes to Novartis. The New Novartis Notes are convertible at any time at a fixed price of £0.265 per ordinary share.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w:t>
      </w:r>
    </w:p>
    <w:p>
      <w:pPr>
        <w:spacing w:after="0" w:line="99"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The registrant has issued the following warrants under the Original Loan Agreement and the New Loan Agreement (each as defined in this registration statement) to Silicon Valley Bank or Kreos Capital V (UK) Limited, as the case may be.</w:t>
      </w:r>
    </w:p>
    <w:p>
      <w:pPr>
        <w:spacing w:after="0" w:line="188" w:lineRule="exact"/>
        <w:rPr>
          <w:sz w:val="20"/>
          <w:szCs w:val="20"/>
          <w:color w:val="auto"/>
        </w:rPr>
      </w:pPr>
    </w:p>
    <w:p>
      <w:pPr>
        <w:ind w:left="980" w:hanging="432"/>
        <w:spacing w:after="0"/>
        <w:tabs>
          <w:tab w:leader="none" w:pos="98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August 21, 2017, the registrant issued warrants to purchase 363,156 ordinary shares at an exercise price of £3.029 each.</w:t>
      </w:r>
    </w:p>
    <w:p>
      <w:pPr>
        <w:spacing w:after="0" w:line="26" w:lineRule="exact"/>
        <w:rPr>
          <w:rFonts w:ascii="MS PGothic" w:cs="MS PGothic" w:eastAsia="MS PGothic" w:hAnsi="MS PGothic"/>
          <w:sz w:val="25"/>
          <w:szCs w:val="25"/>
          <w:color w:val="auto"/>
          <w:vertAlign w:val="superscript"/>
        </w:rPr>
      </w:pPr>
    </w:p>
    <w:p>
      <w:pPr>
        <w:ind w:left="980" w:right="420" w:hanging="432"/>
        <w:spacing w:after="0" w:line="218" w:lineRule="auto"/>
        <w:tabs>
          <w:tab w:leader="none" w:pos="98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December 29, 2017, the registrant issued warrants to purchase 333,334 ordinary shares at an exercise price of £3.300 each.</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1, 2018, the registrant issued warrants to purchase 225,974 ordinary shares at an exercise price of £2.31 each.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May 7, 2019, the registrant issued warrants to purchase 321,444 ordinary shares at an exercise price of £2.95 each.</w:t>
      </w:r>
    </w:p>
    <w:p>
      <w:pPr>
        <w:spacing w:after="0" w:line="20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In addition, on October 8, 2018, the registrant issued warrants to purchase 41,286 ordinary shares at an exercise price of £0.03 each to The Alpha-1 Project, Inc. in connection with the funding agreement entered into with such entity.</w:t>
      </w:r>
    </w:p>
    <w:p>
      <w:pPr>
        <w:spacing w:after="0" w:line="197"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 addition, on February 10, 2020, the Company entered into a warrant instrument with Novartis to issue 1,449,614 ordinary shares at a weighted average exercise price of £0.265 per ordinary share. These warrants will be capable of exercise until February 10, 2025. The warrants include an adjustment provision to prevent the dilution of the ordinary shares issuable to Novartis under certain circumstances.</w:t>
      </w:r>
    </w:p>
    <w:p>
      <w:pPr>
        <w:spacing w:after="0" w:line="205"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All of the foregoing issuances were made outside of the United States pursuant to Regulation S or to U.S. entities pursuant to Section 4(a)(2) of the Securities Act.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 and financial statements</w:t>
      </w:r>
    </w:p>
    <w:p>
      <w:pPr>
        <w:spacing w:after="0" w:line="212" w:lineRule="exact"/>
        <w:rPr>
          <w:sz w:val="20"/>
          <w:szCs w:val="20"/>
          <w:color w:val="auto"/>
        </w:rPr>
      </w:pPr>
    </w:p>
    <w:p>
      <w:pPr>
        <w:ind w:left="120" w:firstLine="436"/>
        <w:spacing w:after="0" w:line="271" w:lineRule="auto"/>
        <w:tabs>
          <w:tab w:leader="none" w:pos="83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120" w:right="120" w:firstLine="436"/>
        <w:spacing w:after="0" w:line="271" w:lineRule="auto"/>
        <w:tabs>
          <w:tab w:leader="none" w:pos="83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261" w:lineRule="exact"/>
        <w:rPr>
          <w:sz w:val="20"/>
          <w:szCs w:val="20"/>
          <w:color w:val="auto"/>
        </w:rPr>
      </w:pPr>
    </w:p>
    <w:p>
      <w:pPr>
        <w:ind w:left="980" w:hanging="432"/>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420" w:right="760" w:hanging="427"/>
        <w:spacing w:after="0" w:line="246" w:lineRule="auto"/>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36" w:lineRule="exact"/>
        <w:rPr>
          <w:rFonts w:ascii="Arial" w:cs="Arial" w:eastAsia="Arial" w:hAnsi="Arial"/>
          <w:sz w:val="18"/>
          <w:szCs w:val="18"/>
          <w:color w:val="auto"/>
        </w:rPr>
      </w:pPr>
    </w:p>
    <w:p>
      <w:pPr>
        <w:ind w:left="1860" w:right="300" w:hanging="435"/>
        <w:spacing w:after="0" w:line="253" w:lineRule="auto"/>
        <w:tabs>
          <w:tab w:leader="none" w:pos="1860" w:val="left"/>
        </w:tabs>
        <w:numPr>
          <w:ilvl w:val="2"/>
          <w:numId w:val="16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880" w:right="80"/>
        <w:spacing w:after="0" w:line="273" w:lineRule="auto"/>
        <w:rPr>
          <w:sz w:val="20"/>
          <w:szCs w:val="20"/>
          <w:color w:val="auto"/>
        </w:rPr>
      </w:pPr>
      <w:r>
        <w:rPr>
          <w:rFonts w:ascii="Arial" w:cs="Arial" w:eastAsia="Arial" w:hAnsi="Arial"/>
          <w:sz w:val="17"/>
          <w:szCs w:val="17"/>
          <w:color w:val="auto"/>
        </w:rPr>
        <w:t>chapter) if, in the aggregate, the changes in volume and price represent no more than 20% change in the maximum aggregate offering price set forth in the “Calculation of Registration Fee” table in the effective registration statement.</w:t>
      </w:r>
    </w:p>
    <w:p>
      <w:pPr>
        <w:spacing w:after="0" w:line="1" w:lineRule="exact"/>
        <w:rPr>
          <w:sz w:val="20"/>
          <w:szCs w:val="20"/>
          <w:color w:val="auto"/>
        </w:rPr>
      </w:pPr>
    </w:p>
    <w:p>
      <w:pPr>
        <w:ind w:left="1860" w:right="100" w:hanging="435"/>
        <w:spacing w:after="0" w:line="246" w:lineRule="auto"/>
        <w:tabs>
          <w:tab w:leader="none" w:pos="18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 w:lineRule="exact"/>
        <w:rPr>
          <w:rFonts w:ascii="Arial" w:cs="Arial" w:eastAsia="Arial" w:hAnsi="Arial"/>
          <w:sz w:val="18"/>
          <w:szCs w:val="18"/>
          <w:color w:val="auto"/>
        </w:rPr>
      </w:pPr>
    </w:p>
    <w:p>
      <w:pPr>
        <w:ind w:left="1860" w:right="60"/>
        <w:spacing w:after="0" w:line="238" w:lineRule="auto"/>
        <w:rPr>
          <w:rFonts w:ascii="Arial" w:cs="Arial" w:eastAsia="Arial" w:hAnsi="Arial"/>
          <w:sz w:val="18"/>
          <w:szCs w:val="18"/>
          <w:color w:val="auto"/>
        </w:rPr>
      </w:pPr>
      <w:r>
        <w:rPr>
          <w:rFonts w:ascii="Arial" w:cs="Arial" w:eastAsia="Arial" w:hAnsi="Arial"/>
          <w:sz w:val="18"/>
          <w:szCs w:val="18"/>
          <w:color w:val="auto"/>
        </w:rPr>
        <w:t>provided, however, that paragraphs (a)(1)(i), (a)(1)(ii) and a(l)(iii)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7" w:lineRule="exact"/>
        <w:rPr>
          <w:rFonts w:ascii="Arial" w:cs="Arial" w:eastAsia="Arial" w:hAnsi="Arial"/>
          <w:sz w:val="18"/>
          <w:szCs w:val="18"/>
          <w:color w:val="auto"/>
        </w:rPr>
      </w:pPr>
    </w:p>
    <w:p>
      <w:pPr>
        <w:ind w:left="1420" w:right="280" w:hanging="427"/>
        <w:spacing w:after="0"/>
        <w:tabs>
          <w:tab w:leader="none" w:pos="1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7" w:lineRule="exact"/>
        <w:rPr>
          <w:rFonts w:ascii="Arial" w:cs="Arial" w:eastAsia="Arial" w:hAnsi="Arial"/>
          <w:sz w:val="18"/>
          <w:szCs w:val="18"/>
          <w:color w:val="auto"/>
        </w:rPr>
      </w:pPr>
    </w:p>
    <w:p>
      <w:pPr>
        <w:ind w:left="1420" w:right="120" w:hanging="427"/>
        <w:spacing w:after="0" w:line="246" w:lineRule="auto"/>
        <w:tabs>
          <w:tab w:leader="none" w:pos="1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 w:lineRule="exact"/>
        <w:rPr>
          <w:rFonts w:ascii="Arial" w:cs="Arial" w:eastAsia="Arial" w:hAnsi="Arial"/>
          <w:sz w:val="18"/>
          <w:szCs w:val="18"/>
          <w:color w:val="auto"/>
        </w:rPr>
      </w:pPr>
    </w:p>
    <w:p>
      <w:pPr>
        <w:ind w:left="1420" w:right="40" w:hanging="427"/>
        <w:spacing w:after="0" w:line="237" w:lineRule="auto"/>
        <w:tabs>
          <w:tab w:leader="none" w:pos="1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Exchange Act of 1934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29" w:lineRule="exact"/>
        <w:rPr>
          <w:rFonts w:ascii="Arial" w:cs="Arial" w:eastAsia="Arial" w:hAnsi="Arial"/>
          <w:sz w:val="18"/>
          <w:szCs w:val="18"/>
          <w:color w:val="auto"/>
        </w:rPr>
      </w:pPr>
    </w:p>
    <w:p>
      <w:pPr>
        <w:ind w:left="1420" w:hanging="427"/>
        <w:spacing w:after="0"/>
        <w:tabs>
          <w:tab w:leader="none" w:pos="1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860" w:hanging="435"/>
        <w:spacing w:after="0"/>
        <w:tabs>
          <w:tab w:leader="none" w:pos="18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2300" w:right="220" w:hanging="429"/>
        <w:spacing w:after="0"/>
        <w:tabs>
          <w:tab w:leader="none" w:pos="230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7" w:lineRule="exact"/>
        <w:rPr>
          <w:rFonts w:ascii="Arial" w:cs="Arial" w:eastAsia="Arial" w:hAnsi="Arial"/>
          <w:sz w:val="18"/>
          <w:szCs w:val="18"/>
          <w:color w:val="auto"/>
        </w:rPr>
      </w:pPr>
    </w:p>
    <w:p>
      <w:pPr>
        <w:ind w:left="2300" w:hanging="429"/>
        <w:spacing w:after="0" w:line="236" w:lineRule="auto"/>
        <w:tabs>
          <w:tab w:leader="none" w:pos="230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320" w:right="600"/>
        <w:spacing w:after="0" w:line="246" w:lineRule="auto"/>
        <w:rPr>
          <w:sz w:val="20"/>
          <w:szCs w:val="20"/>
          <w:color w:val="auto"/>
        </w:rPr>
      </w:pPr>
      <w:r>
        <w:rPr>
          <w:rFonts w:ascii="Arial" w:cs="Arial" w:eastAsia="Arial" w:hAnsi="Arial"/>
          <w:sz w:val="18"/>
          <w:szCs w:val="18"/>
          <w:color w:val="auto"/>
        </w:rPr>
        <w:t>the registration statement or prospectus that was part of the registration statement or made in any such document immediately prior to such effective date; or</w:t>
      </w:r>
    </w:p>
    <w:p>
      <w:pPr>
        <w:spacing w:after="0" w:line="21" w:lineRule="exact"/>
        <w:rPr>
          <w:sz w:val="20"/>
          <w:szCs w:val="20"/>
          <w:color w:val="auto"/>
        </w:rPr>
      </w:pPr>
    </w:p>
    <w:p>
      <w:pPr>
        <w:ind w:left="1860" w:right="20" w:hanging="435"/>
        <w:spacing w:after="0" w:line="236" w:lineRule="auto"/>
        <w:tabs>
          <w:tab w:leader="none" w:pos="18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rFonts w:ascii="Arial" w:cs="Arial" w:eastAsia="Arial" w:hAnsi="Arial"/>
          <w:sz w:val="18"/>
          <w:szCs w:val="18"/>
          <w:color w:val="auto"/>
        </w:rPr>
      </w:pPr>
    </w:p>
    <w:p>
      <w:pPr>
        <w:ind w:left="1420" w:hanging="427"/>
        <w:spacing w:after="0" w:line="246" w:lineRule="auto"/>
        <w:tabs>
          <w:tab w:leader="none" w:pos="14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21" w:lineRule="exact"/>
        <w:rPr>
          <w:rFonts w:ascii="Arial" w:cs="Arial" w:eastAsia="Arial" w:hAnsi="Arial"/>
          <w:sz w:val="18"/>
          <w:szCs w:val="18"/>
          <w:color w:val="auto"/>
        </w:rPr>
      </w:pPr>
    </w:p>
    <w:p>
      <w:pPr>
        <w:ind w:left="1420" w:right="320"/>
        <w:spacing w:after="0" w:line="238"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8"/>
          <w:szCs w:val="18"/>
          <w:color w:val="auto"/>
        </w:rPr>
      </w:pPr>
    </w:p>
    <w:p>
      <w:pPr>
        <w:ind w:left="1860" w:right="280" w:hanging="435"/>
        <w:spacing w:after="0" w:line="246" w:lineRule="auto"/>
        <w:tabs>
          <w:tab w:leader="none" w:pos="186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1" w:lineRule="exact"/>
        <w:rPr>
          <w:rFonts w:ascii="Arial" w:cs="Arial" w:eastAsia="Arial" w:hAnsi="Arial"/>
          <w:sz w:val="18"/>
          <w:szCs w:val="18"/>
          <w:color w:val="auto"/>
        </w:rPr>
      </w:pPr>
    </w:p>
    <w:p>
      <w:pPr>
        <w:ind w:left="1860" w:right="100" w:hanging="435"/>
        <w:spacing w:after="0" w:line="246" w:lineRule="auto"/>
        <w:tabs>
          <w:tab w:leader="none" w:pos="186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 w:lineRule="exact"/>
        <w:rPr>
          <w:rFonts w:ascii="Arial" w:cs="Arial" w:eastAsia="Arial" w:hAnsi="Arial"/>
          <w:sz w:val="18"/>
          <w:szCs w:val="18"/>
          <w:color w:val="auto"/>
        </w:rPr>
      </w:pPr>
    </w:p>
    <w:p>
      <w:pPr>
        <w:ind w:left="1860" w:right="400" w:hanging="435"/>
        <w:spacing w:after="0" w:line="246" w:lineRule="auto"/>
        <w:tabs>
          <w:tab w:leader="none" w:pos="186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 w:lineRule="exact"/>
        <w:rPr>
          <w:rFonts w:ascii="Arial" w:cs="Arial" w:eastAsia="Arial" w:hAnsi="Arial"/>
          <w:sz w:val="18"/>
          <w:szCs w:val="18"/>
          <w:color w:val="auto"/>
        </w:rPr>
      </w:pPr>
    </w:p>
    <w:p>
      <w:pPr>
        <w:ind w:left="1860" w:hanging="435"/>
        <w:spacing w:after="0"/>
        <w:tabs>
          <w:tab w:leader="none" w:pos="186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980" w:right="120" w:hanging="432"/>
        <w:spacing w:after="0" w:line="237" w:lineRule="auto"/>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17"/>
          </w:tcPr>
          <w:p>
            <w:pPr>
              <w:ind w:left="30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Exhibit Description</w:t>
            </w:r>
          </w:p>
        </w:tc>
        <w:tc>
          <w:tcPr>
            <w:tcW w:w="4260" w:type="dxa"/>
            <w:vAlign w:val="bottom"/>
            <w:gridSpan w:val="11"/>
          </w:tcPr>
          <w:p>
            <w:pPr>
              <w:spacing w:after="0"/>
              <w:rPr>
                <w:sz w:val="15"/>
                <w:szCs w:val="15"/>
                <w:color w:val="auto"/>
              </w:rPr>
            </w:pPr>
          </w:p>
        </w:tc>
      </w:tr>
      <w:tr>
        <w:trPr>
          <w:trHeight w:val="277"/>
        </w:trPr>
        <w:tc>
          <w:tcPr>
            <w:tcW w:w="54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r:id="rId398">
              <w:r>
                <w:rPr>
                  <w:rFonts w:ascii="Arial" w:cs="Arial" w:eastAsia="Arial" w:hAnsi="Arial"/>
                  <w:sz w:val="18"/>
                  <w:szCs w:val="18"/>
                  <w:color w:val="0000EE"/>
                </w:rPr>
                <w:t>Articles of Association (incorporated by reference to Exhibit 3.1 to the registrant’s registration statement on Form F-4 filed</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398">
              <w:r>
                <w:rPr>
                  <w:rFonts w:ascii="Arial" w:cs="Arial" w:eastAsia="Arial" w:hAnsi="Arial"/>
                  <w:sz w:val="18"/>
                  <w:szCs w:val="18"/>
                  <w:color w:val="0000EE"/>
                </w:rPr>
                <w:t>with the SEC on January 25, 2019 (File No. 333-229351)).</w:t>
              </w:r>
            </w:hyperlink>
          </w:p>
        </w:tc>
        <w:tc>
          <w:tcPr>
            <w:tcW w:w="200" w:type="dxa"/>
            <w:vAlign w:val="bottom"/>
            <w:gridSpan w:val="2"/>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54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720" w:type="dxa"/>
            <w:vAlign w:val="bottom"/>
            <w:tcBorders>
              <w:bottom w:val="single" w:sz="8" w:color="0000EE"/>
            </w:tcBorders>
            <w:gridSpan w:val="20"/>
          </w:tcPr>
          <w:p>
            <w:pPr>
              <w:spacing w:after="0"/>
              <w:rPr>
                <w:rFonts w:ascii="Arial" w:cs="Arial" w:eastAsia="Arial" w:hAnsi="Arial"/>
                <w:sz w:val="18"/>
                <w:szCs w:val="18"/>
                <w:color w:val="0000EE"/>
                <w:w w:val="99"/>
              </w:rPr>
            </w:pPr>
            <w:hyperlink r:id="rId399">
              <w:r>
                <w:rPr>
                  <w:rFonts w:ascii="Arial" w:cs="Arial" w:eastAsia="Arial" w:hAnsi="Arial"/>
                  <w:sz w:val="18"/>
                  <w:szCs w:val="18"/>
                  <w:color w:val="0000EE"/>
                  <w:w w:val="99"/>
                </w:rPr>
                <w:t>Form of Deposit Agreement (incorporated by reference to Exhibit 4.2 to the registrant’s registration statement on Form F-4</w:t>
              </w:r>
            </w:hyperlink>
          </w:p>
        </w:tc>
        <w:tc>
          <w:tcPr>
            <w:tcW w:w="120" w:type="dxa"/>
            <w:vAlign w:val="bottom"/>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gridSpan w:val="21"/>
          </w:tcPr>
          <w:p>
            <w:pPr>
              <w:spacing w:after="0" w:line="182" w:lineRule="exact"/>
              <w:rPr>
                <w:rFonts w:ascii="Arial" w:cs="Arial" w:eastAsia="Arial" w:hAnsi="Arial"/>
                <w:sz w:val="18"/>
                <w:szCs w:val="18"/>
                <w:color w:val="0000EE"/>
              </w:rPr>
            </w:pPr>
            <w:hyperlink r:id="rId399">
              <w:r>
                <w:rPr>
                  <w:rFonts w:ascii="Arial" w:cs="Arial" w:eastAsia="Arial" w:hAnsi="Arial"/>
                  <w:sz w:val="18"/>
                  <w:szCs w:val="18"/>
                  <w:color w:val="0000EE"/>
                </w:rPr>
                <w:t>filed with the SEC on January 25, 2019 (File No. 333-229351)).</w:t>
              </w:r>
            </w:hyperlink>
          </w:p>
        </w:tc>
      </w:tr>
      <w:tr>
        <w:trPr>
          <w:trHeight w:val="290"/>
        </w:trPr>
        <w:tc>
          <w:tcPr>
            <w:tcW w:w="54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49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r:id="rId399">
              <w:r>
                <w:rPr>
                  <w:rFonts w:ascii="Arial" w:cs="Arial" w:eastAsia="Arial" w:hAnsi="Arial"/>
                  <w:sz w:val="18"/>
                  <w:szCs w:val="18"/>
                  <w:color w:val="0000EE"/>
                  <w:w w:val="99"/>
                </w:rPr>
                <w:t>Form of American Depositary Receipt (included in Exhibit 4.1).</w:t>
              </w:r>
            </w:hyperlink>
          </w:p>
        </w:tc>
        <w:tc>
          <w:tcPr>
            <w:tcW w:w="40" w:type="dxa"/>
            <w:vAlign w:val="bottom"/>
            <w:tcBorders>
              <w:top w:val="single" w:sz="8" w:color="0000EE"/>
            </w:tcBorders>
          </w:tcPr>
          <w:p>
            <w:pPr>
              <w:spacing w:after="0"/>
              <w:rPr>
                <w:sz w:val="24"/>
                <w:szCs w:val="24"/>
                <w:color w:val="auto"/>
              </w:rPr>
            </w:pPr>
          </w:p>
        </w:tc>
        <w:tc>
          <w:tcPr>
            <w:tcW w:w="4820" w:type="dxa"/>
            <w:vAlign w:val="bottom"/>
            <w:gridSpan w:val="13"/>
          </w:tcPr>
          <w:p>
            <w:pPr>
              <w:spacing w:after="0"/>
              <w:rPr>
                <w:sz w:val="24"/>
                <w:szCs w:val="24"/>
                <w:color w:val="auto"/>
              </w:rPr>
            </w:pPr>
          </w:p>
        </w:tc>
      </w:tr>
      <w:tr>
        <w:trPr>
          <w:trHeight w:val="291"/>
        </w:trPr>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3360" w:type="dxa"/>
            <w:vAlign w:val="bottom"/>
            <w:tcBorders>
              <w:bottom w:val="single" w:sz="8" w:color="0000EE"/>
            </w:tcBorders>
            <w:gridSpan w:val="4"/>
          </w:tcPr>
          <w:p>
            <w:pPr>
              <w:spacing w:after="0"/>
              <w:rPr>
                <w:rFonts w:ascii="Arial" w:cs="Arial" w:eastAsia="Arial" w:hAnsi="Arial"/>
                <w:sz w:val="18"/>
                <w:szCs w:val="18"/>
                <w:color w:val="0000EE"/>
                <w:w w:val="99"/>
              </w:rPr>
            </w:pPr>
            <w:hyperlink r:id="rId400">
              <w:r>
                <w:rPr>
                  <w:rFonts w:ascii="Arial" w:cs="Arial" w:eastAsia="Arial" w:hAnsi="Arial"/>
                  <w:sz w:val="18"/>
                  <w:szCs w:val="18"/>
                  <w:color w:val="0000EE"/>
                  <w:w w:val="99"/>
                </w:rPr>
                <w:t>Opinion of Mayer Brown International LLP</w:t>
              </w:r>
            </w:hyperlink>
          </w:p>
        </w:tc>
        <w:tc>
          <w:tcPr>
            <w:tcW w:w="6480" w:type="dxa"/>
            <w:vAlign w:val="bottom"/>
            <w:gridSpan w:val="17"/>
          </w:tcPr>
          <w:p>
            <w:pPr>
              <w:spacing w:after="0"/>
              <w:rPr>
                <w:sz w:val="24"/>
                <w:szCs w:val="24"/>
                <w:color w:val="auto"/>
              </w:rPr>
            </w:pPr>
          </w:p>
        </w:tc>
      </w:tr>
      <w:tr>
        <w:trPr>
          <w:trHeight w:val="291"/>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10.1</w:t>
            </w:r>
          </w:p>
        </w:tc>
        <w:tc>
          <w:tcPr>
            <w:tcW w:w="6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r:id="rId401">
              <w:r>
                <w:rPr>
                  <w:rFonts w:ascii="Arial" w:cs="Arial" w:eastAsia="Arial" w:hAnsi="Arial"/>
                  <w:sz w:val="18"/>
                  <w:szCs w:val="18"/>
                  <w:color w:val="0000EE"/>
                </w:rPr>
                <w:t>Securities Purchase Agreement, dated February 10, 2020, by and between Mereo BioPharma Group PLC and Aspire</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gridSpan w:val="21"/>
          </w:tcPr>
          <w:p>
            <w:pPr>
              <w:spacing w:after="0" w:line="182" w:lineRule="exact"/>
              <w:rPr>
                <w:rFonts w:ascii="Arial" w:cs="Arial" w:eastAsia="Arial" w:hAnsi="Arial"/>
                <w:sz w:val="18"/>
                <w:szCs w:val="18"/>
                <w:color w:val="0000EE"/>
              </w:rPr>
            </w:pPr>
            <w:hyperlink r:id="rId401">
              <w:r>
                <w:rPr>
                  <w:rFonts w:ascii="Arial" w:cs="Arial" w:eastAsia="Arial" w:hAnsi="Arial"/>
                  <w:sz w:val="18"/>
                  <w:szCs w:val="18"/>
                  <w:color w:val="0000EE"/>
                </w:rPr>
                <w:t>Capital Fund, LLC (incorporated by reference to Exhibit 10.1 to the registrant’s report on Form 6-K filed with the SEC on</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401">
              <w:r>
                <w:rPr>
                  <w:rFonts w:ascii="Arial" w:cs="Arial" w:eastAsia="Arial" w:hAnsi="Arial"/>
                  <w:sz w:val="18"/>
                  <w:szCs w:val="18"/>
                  <w:color w:val="0000EE"/>
                </w:rPr>
                <w:t>February 10, 2020 (File No. 001-38452)).</w:t>
              </w:r>
            </w:hyperlink>
          </w:p>
        </w:tc>
        <w:tc>
          <w:tcPr>
            <w:tcW w:w="6180" w:type="dxa"/>
            <w:vAlign w:val="bottom"/>
            <w:tcBorders>
              <w:top w:val="single" w:sz="8" w:color="0000EE"/>
            </w:tcBorders>
            <w:gridSpan w:val="15"/>
          </w:tcPr>
          <w:p>
            <w:pPr>
              <w:spacing w:after="0"/>
              <w:rPr>
                <w:sz w:val="15"/>
                <w:szCs w:val="15"/>
                <w:color w:val="auto"/>
              </w:rPr>
            </w:pPr>
          </w:p>
        </w:tc>
        <w:tc>
          <w:tcPr>
            <w:tcW w:w="320" w:type="dxa"/>
            <w:vAlign w:val="bottom"/>
            <w:gridSpan w:val="3"/>
          </w:tcPr>
          <w:p>
            <w:pPr>
              <w:spacing w:after="0"/>
              <w:rPr>
                <w:sz w:val="15"/>
                <w:szCs w:val="15"/>
                <w:color w:val="auto"/>
              </w:rPr>
            </w:pPr>
          </w:p>
        </w:tc>
      </w:tr>
      <w:tr>
        <w:trPr>
          <w:trHeight w:val="291"/>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10.2</w:t>
            </w:r>
          </w:p>
        </w:tc>
        <w:tc>
          <w:tcPr>
            <w:tcW w:w="640" w:type="dxa"/>
            <w:vAlign w:val="bottom"/>
          </w:tcPr>
          <w:p>
            <w:pPr>
              <w:spacing w:after="0"/>
              <w:rPr>
                <w:sz w:val="24"/>
                <w:szCs w:val="24"/>
                <w:color w:val="auto"/>
              </w:rPr>
            </w:pPr>
          </w:p>
        </w:tc>
        <w:tc>
          <w:tcPr>
            <w:tcW w:w="9380" w:type="dxa"/>
            <w:vAlign w:val="bottom"/>
            <w:tcBorders>
              <w:bottom w:val="single" w:sz="8" w:color="0000EE"/>
            </w:tcBorders>
            <w:gridSpan w:val="16"/>
          </w:tcPr>
          <w:p>
            <w:pPr>
              <w:spacing w:after="0"/>
              <w:rPr>
                <w:rFonts w:ascii="Arial" w:cs="Arial" w:eastAsia="Arial" w:hAnsi="Arial"/>
                <w:sz w:val="18"/>
                <w:szCs w:val="18"/>
                <w:color w:val="0000EE"/>
              </w:rPr>
            </w:pPr>
            <w:hyperlink r:id="rId402">
              <w:r>
                <w:rPr>
                  <w:rFonts w:ascii="Arial" w:cs="Arial" w:eastAsia="Arial" w:hAnsi="Arial"/>
                  <w:sz w:val="18"/>
                  <w:szCs w:val="18"/>
                  <w:color w:val="0000EE"/>
                </w:rPr>
                <w:t>Registration Rights Agreement, dated February 10, 2020, by and between Mereo BioPharma Group PLC and Aspire</w:t>
              </w:r>
            </w:hyperlink>
          </w:p>
        </w:tc>
        <w:tc>
          <w:tcPr>
            <w:tcW w:w="460" w:type="dxa"/>
            <w:vAlign w:val="bottom"/>
            <w:gridSpan w:val="5"/>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gridSpan w:val="21"/>
          </w:tcPr>
          <w:p>
            <w:pPr>
              <w:spacing w:after="0" w:line="182" w:lineRule="exact"/>
              <w:rPr>
                <w:rFonts w:ascii="Arial" w:cs="Arial" w:eastAsia="Arial" w:hAnsi="Arial"/>
                <w:sz w:val="18"/>
                <w:szCs w:val="18"/>
                <w:color w:val="0000EE"/>
              </w:rPr>
            </w:pPr>
            <w:hyperlink r:id="rId402">
              <w:r>
                <w:rPr>
                  <w:rFonts w:ascii="Arial" w:cs="Arial" w:eastAsia="Arial" w:hAnsi="Arial"/>
                  <w:sz w:val="18"/>
                  <w:szCs w:val="18"/>
                  <w:color w:val="0000EE"/>
                </w:rPr>
                <w:t>Capital Fund, LLC (incorporated by reference to Exhibit 10.2 to the registrant’s report on Form 6-K filed with the SEC on</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402">
              <w:r>
                <w:rPr>
                  <w:rFonts w:ascii="Arial" w:cs="Arial" w:eastAsia="Arial" w:hAnsi="Arial"/>
                  <w:sz w:val="18"/>
                  <w:szCs w:val="18"/>
                  <w:color w:val="0000EE"/>
                </w:rPr>
                <w:t>February 10, 2020 (File No. 001-38452)).</w:t>
              </w:r>
            </w:hyperlink>
          </w:p>
        </w:tc>
        <w:tc>
          <w:tcPr>
            <w:tcW w:w="6180" w:type="dxa"/>
            <w:vAlign w:val="bottom"/>
            <w:tcBorders>
              <w:top w:val="single" w:sz="8" w:color="0000EE"/>
            </w:tcBorders>
            <w:gridSpan w:val="15"/>
          </w:tcPr>
          <w:p>
            <w:pPr>
              <w:spacing w:after="0"/>
              <w:rPr>
                <w:sz w:val="15"/>
                <w:szCs w:val="15"/>
                <w:color w:val="auto"/>
              </w:rPr>
            </w:pPr>
          </w:p>
        </w:tc>
        <w:tc>
          <w:tcPr>
            <w:tcW w:w="320" w:type="dxa"/>
            <w:vAlign w:val="bottom"/>
            <w:gridSpan w:val="3"/>
          </w:tcPr>
          <w:p>
            <w:pPr>
              <w:spacing w:after="0"/>
              <w:rPr>
                <w:sz w:val="15"/>
                <w:szCs w:val="15"/>
                <w:color w:val="auto"/>
              </w:rPr>
            </w:pPr>
          </w:p>
        </w:tc>
      </w:tr>
      <w:tr>
        <w:trPr>
          <w:trHeight w:val="291"/>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10.3</w:t>
            </w:r>
          </w:p>
        </w:tc>
        <w:tc>
          <w:tcPr>
            <w:tcW w:w="640" w:type="dxa"/>
            <w:vAlign w:val="bottom"/>
          </w:tcPr>
          <w:p>
            <w:pPr>
              <w:spacing w:after="0"/>
              <w:rPr>
                <w:sz w:val="24"/>
                <w:szCs w:val="24"/>
                <w:color w:val="auto"/>
              </w:rPr>
            </w:pPr>
          </w:p>
        </w:tc>
        <w:tc>
          <w:tcPr>
            <w:tcW w:w="9300" w:type="dxa"/>
            <w:vAlign w:val="bottom"/>
            <w:tcBorders>
              <w:bottom w:val="single" w:sz="8" w:color="0000EE"/>
            </w:tcBorders>
            <w:gridSpan w:val="15"/>
          </w:tcPr>
          <w:p>
            <w:pPr>
              <w:spacing w:after="0"/>
              <w:rPr>
                <w:rFonts w:ascii="Arial" w:cs="Arial" w:eastAsia="Arial" w:hAnsi="Arial"/>
                <w:sz w:val="18"/>
                <w:szCs w:val="18"/>
                <w:color w:val="0000EE"/>
                <w:w w:val="99"/>
              </w:rPr>
            </w:pPr>
            <w:hyperlink r:id="rId403">
              <w:r>
                <w:rPr>
                  <w:rFonts w:ascii="Arial" w:cs="Arial" w:eastAsia="Arial" w:hAnsi="Arial"/>
                  <w:sz w:val="18"/>
                  <w:szCs w:val="18"/>
                  <w:color w:val="0000EE"/>
                  <w:w w:val="99"/>
                </w:rPr>
                <w:t>Securities Purchase Agreement, dated February 19, 2020, by and between Mereo BioPharma Group PLC and Boxer</w:t>
              </w:r>
            </w:hyperlink>
          </w:p>
        </w:tc>
        <w:tc>
          <w:tcPr>
            <w:tcW w:w="540" w:type="dxa"/>
            <w:vAlign w:val="bottom"/>
            <w:gridSpan w:val="6"/>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403">
              <w:r>
                <w:rPr>
                  <w:rFonts w:ascii="Arial" w:cs="Arial" w:eastAsia="Arial" w:hAnsi="Arial"/>
                  <w:sz w:val="18"/>
                  <w:szCs w:val="18"/>
                  <w:color w:val="0000EE"/>
                  <w:w w:val="99"/>
                </w:rPr>
                <w:t>Capital, LLC (incorporated by reference to Exhibit 10.1 to the registrant’s report on Form 6-K filed with the SEC on February</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403">
              <w:r>
                <w:rPr>
                  <w:rFonts w:ascii="Arial" w:cs="Arial" w:eastAsia="Arial" w:hAnsi="Arial"/>
                  <w:sz w:val="18"/>
                  <w:szCs w:val="18"/>
                  <w:color w:val="0000EE"/>
                  <w:w w:val="99"/>
                </w:rPr>
                <w:t>19, 2020 (File No. 001-38452)).</w:t>
              </w:r>
            </w:hyperlink>
          </w:p>
        </w:tc>
        <w:tc>
          <w:tcPr>
            <w:tcW w:w="7320" w:type="dxa"/>
            <w:vAlign w:val="bottom"/>
            <w:gridSpan w:val="19"/>
          </w:tcPr>
          <w:p>
            <w:pPr>
              <w:spacing w:after="0"/>
              <w:rPr>
                <w:sz w:val="15"/>
                <w:szCs w:val="15"/>
                <w:color w:val="auto"/>
              </w:rPr>
            </w:pPr>
          </w:p>
        </w:tc>
      </w:tr>
      <w:tr>
        <w:trPr>
          <w:trHeight w:val="290"/>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10.4</w:t>
            </w:r>
          </w:p>
        </w:tc>
        <w:tc>
          <w:tcPr>
            <w:tcW w:w="640" w:type="dxa"/>
            <w:vAlign w:val="bottom"/>
          </w:tcPr>
          <w:p>
            <w:pPr>
              <w:spacing w:after="0"/>
              <w:rPr>
                <w:sz w:val="24"/>
                <w:szCs w:val="24"/>
                <w:color w:val="auto"/>
              </w:rPr>
            </w:pPr>
          </w:p>
        </w:tc>
        <w:tc>
          <w:tcPr>
            <w:tcW w:w="9220" w:type="dxa"/>
            <w:vAlign w:val="bottom"/>
            <w:tcBorders>
              <w:bottom w:val="single" w:sz="8" w:color="0000EE"/>
            </w:tcBorders>
            <w:gridSpan w:val="14"/>
          </w:tcPr>
          <w:p>
            <w:pPr>
              <w:spacing w:after="0"/>
              <w:rPr>
                <w:rFonts w:ascii="Arial" w:cs="Arial" w:eastAsia="Arial" w:hAnsi="Arial"/>
                <w:sz w:val="18"/>
                <w:szCs w:val="18"/>
                <w:color w:val="0000EE"/>
                <w:w w:val="99"/>
              </w:rPr>
            </w:pPr>
            <w:hyperlink r:id="rId404">
              <w:r>
                <w:rPr>
                  <w:rFonts w:ascii="Arial" w:cs="Arial" w:eastAsia="Arial" w:hAnsi="Arial"/>
                  <w:sz w:val="18"/>
                  <w:szCs w:val="18"/>
                  <w:color w:val="0000EE"/>
                  <w:w w:val="99"/>
                </w:rPr>
                <w:t>Registration Rights Agreement, dated February 19, 2020, by and between Mereo BioPharma Group PLC and Boxer</w:t>
              </w:r>
            </w:hyperlink>
          </w:p>
        </w:tc>
        <w:tc>
          <w:tcPr>
            <w:tcW w:w="620" w:type="dxa"/>
            <w:vAlign w:val="bottom"/>
            <w:gridSpan w:val="7"/>
          </w:tcPr>
          <w:p>
            <w:pPr>
              <w:spacing w:after="0"/>
              <w:rPr>
                <w:sz w:val="24"/>
                <w:szCs w:val="24"/>
                <w:color w:val="auto"/>
              </w:rPr>
            </w:pPr>
          </w:p>
        </w:tc>
      </w:tr>
      <w:tr>
        <w:trPr>
          <w:trHeight w:val="182"/>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404">
              <w:r>
                <w:rPr>
                  <w:rFonts w:ascii="Arial" w:cs="Arial" w:eastAsia="Arial" w:hAnsi="Arial"/>
                  <w:sz w:val="18"/>
                  <w:szCs w:val="18"/>
                  <w:color w:val="0000EE"/>
                  <w:w w:val="99"/>
                </w:rPr>
                <w:t>Capital, LLC (incorporated by reference to Exhibit 10.2 to the registrant’s report on Form 6-K filed with the SEC on February</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404">
              <w:r>
                <w:rPr>
                  <w:rFonts w:ascii="Arial" w:cs="Arial" w:eastAsia="Arial" w:hAnsi="Arial"/>
                  <w:sz w:val="18"/>
                  <w:szCs w:val="18"/>
                  <w:color w:val="0000EE"/>
                  <w:w w:val="99"/>
                </w:rPr>
                <w:t>19, 2020 (File No. 001-38452)).</w:t>
              </w:r>
            </w:hyperlink>
          </w:p>
        </w:tc>
        <w:tc>
          <w:tcPr>
            <w:tcW w:w="7320" w:type="dxa"/>
            <w:vAlign w:val="bottom"/>
            <w:gridSpan w:val="19"/>
          </w:tcPr>
          <w:p>
            <w:pPr>
              <w:spacing w:after="0"/>
              <w:rPr>
                <w:sz w:val="15"/>
                <w:szCs w:val="15"/>
                <w:color w:val="auto"/>
              </w:rPr>
            </w:pPr>
          </w:p>
        </w:tc>
      </w:tr>
      <w:tr>
        <w:trPr>
          <w:trHeight w:val="290"/>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21.1</w:t>
            </w:r>
          </w:p>
        </w:tc>
        <w:tc>
          <w:tcPr>
            <w:tcW w:w="640" w:type="dxa"/>
            <w:vAlign w:val="bottom"/>
          </w:tcPr>
          <w:p>
            <w:pPr>
              <w:spacing w:after="0"/>
              <w:rPr>
                <w:sz w:val="24"/>
                <w:szCs w:val="24"/>
                <w:color w:val="auto"/>
              </w:rPr>
            </w:pPr>
          </w:p>
        </w:tc>
        <w:tc>
          <w:tcPr>
            <w:tcW w:w="9460" w:type="dxa"/>
            <w:vAlign w:val="bottom"/>
            <w:tcBorders>
              <w:bottom w:val="single" w:sz="8" w:color="0000EE"/>
            </w:tcBorders>
            <w:gridSpan w:val="17"/>
          </w:tcPr>
          <w:p>
            <w:pPr>
              <w:spacing w:after="0"/>
              <w:rPr>
                <w:rFonts w:ascii="Arial" w:cs="Arial" w:eastAsia="Arial" w:hAnsi="Arial"/>
                <w:sz w:val="18"/>
                <w:szCs w:val="18"/>
                <w:color w:val="0000EE"/>
                <w:w w:val="99"/>
              </w:rPr>
            </w:pPr>
            <w:hyperlink r:id="rId405">
              <w:r>
                <w:rPr>
                  <w:rFonts w:ascii="Arial" w:cs="Arial" w:eastAsia="Arial" w:hAnsi="Arial"/>
                  <w:sz w:val="18"/>
                  <w:szCs w:val="18"/>
                  <w:color w:val="0000EE"/>
                  <w:w w:val="99"/>
                </w:rPr>
                <w:t>List of Subsidiaries (incorporated by reference to Exhibit 8.1 to the registrants Annual Report on Form 20-F for the year</w:t>
              </w:r>
            </w:hyperlink>
          </w:p>
        </w:tc>
        <w:tc>
          <w:tcPr>
            <w:tcW w:w="380" w:type="dxa"/>
            <w:vAlign w:val="bottom"/>
            <w:gridSpan w:val="4"/>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405">
              <w:r>
                <w:rPr>
                  <w:rFonts w:ascii="Arial" w:cs="Arial" w:eastAsia="Arial" w:hAnsi="Arial"/>
                  <w:sz w:val="18"/>
                  <w:szCs w:val="18"/>
                  <w:color w:val="0000EE"/>
                  <w:w w:val="99"/>
                </w:rPr>
                <w:t>ended December 31, 2018, filed with the SEC on April 29, 2019 (File No. 001-38452)).</w:t>
              </w:r>
            </w:hyperlink>
          </w:p>
        </w:tc>
        <w:tc>
          <w:tcPr>
            <w:tcW w:w="2960" w:type="dxa"/>
            <w:vAlign w:val="bottom"/>
            <w:gridSpan w:val="8"/>
          </w:tcPr>
          <w:p>
            <w:pPr>
              <w:spacing w:after="0"/>
              <w:rPr>
                <w:sz w:val="15"/>
                <w:szCs w:val="15"/>
                <w:color w:val="auto"/>
              </w:rPr>
            </w:pPr>
          </w:p>
        </w:tc>
      </w:tr>
      <w:tr>
        <w:trPr>
          <w:trHeight w:val="291"/>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23.1*</w:t>
            </w:r>
          </w:p>
        </w:tc>
        <w:tc>
          <w:tcPr>
            <w:tcW w:w="640" w:type="dxa"/>
            <w:vAlign w:val="bottom"/>
          </w:tcPr>
          <w:p>
            <w:pPr>
              <w:spacing w:after="0"/>
              <w:rPr>
                <w:sz w:val="24"/>
                <w:szCs w:val="24"/>
                <w:color w:val="auto"/>
              </w:rPr>
            </w:pPr>
          </w:p>
        </w:tc>
        <w:tc>
          <w:tcPr>
            <w:tcW w:w="678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396">
              <w:r>
                <w:rPr>
                  <w:rFonts w:ascii="Arial" w:cs="Arial" w:eastAsia="Arial" w:hAnsi="Arial"/>
                  <w:sz w:val="18"/>
                  <w:szCs w:val="18"/>
                  <w:color w:val="0000EE"/>
                  <w:w w:val="99"/>
                </w:rPr>
                <w:t>Consent of Ernst &amp; Young LLP (UK), Independent Registered Public Accounting Firm</w:t>
              </w:r>
            </w:hyperlink>
          </w:p>
        </w:tc>
        <w:tc>
          <w:tcPr>
            <w:tcW w:w="3060" w:type="dxa"/>
            <w:vAlign w:val="bottom"/>
            <w:gridSpan w:val="9"/>
          </w:tcPr>
          <w:p>
            <w:pPr>
              <w:spacing w:after="0"/>
              <w:rPr>
                <w:sz w:val="24"/>
                <w:szCs w:val="24"/>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23.2*</w:t>
            </w:r>
          </w:p>
        </w:tc>
        <w:tc>
          <w:tcPr>
            <w:tcW w:w="6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w:anchor="page397">
              <w:r>
                <w:rPr>
                  <w:rFonts w:ascii="Arial" w:cs="Arial" w:eastAsia="Arial" w:hAnsi="Arial"/>
                  <w:sz w:val="18"/>
                  <w:szCs w:val="18"/>
                  <w:color w:val="0000EE"/>
                </w:rPr>
                <w:t>Consent of Ernst &amp; Young LLP (US), Independent Registered Public Accounting Firm</w:t>
              </w:r>
            </w:hyperlink>
          </w:p>
        </w:tc>
      </w:tr>
      <w:tr>
        <w:trPr>
          <w:trHeight w:val="290"/>
        </w:trPr>
        <w:tc>
          <w:tcPr>
            <w:tcW w:w="540" w:type="dxa"/>
            <w:vAlign w:val="bottom"/>
          </w:tcPr>
          <w:p>
            <w:pPr>
              <w:jc w:val="right"/>
              <w:ind w:right="112"/>
              <w:spacing w:after="0"/>
              <w:rPr>
                <w:sz w:val="20"/>
                <w:szCs w:val="20"/>
                <w:color w:val="auto"/>
              </w:rPr>
            </w:pPr>
            <w:r>
              <w:rPr>
                <w:rFonts w:ascii="Arial" w:cs="Arial" w:eastAsia="Arial" w:hAnsi="Arial"/>
                <w:sz w:val="18"/>
                <w:szCs w:val="18"/>
                <w:color w:val="auto"/>
                <w:w w:val="91"/>
              </w:rPr>
              <w:t>23.3</w:t>
            </w:r>
          </w:p>
        </w:tc>
        <w:tc>
          <w:tcPr>
            <w:tcW w:w="64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r:id="rId400">
              <w:r>
                <w:rPr>
                  <w:rFonts w:ascii="Arial" w:cs="Arial" w:eastAsia="Arial" w:hAnsi="Arial"/>
                  <w:sz w:val="18"/>
                  <w:szCs w:val="18"/>
                  <w:color w:val="0000EE"/>
                  <w:w w:val="99"/>
                </w:rPr>
                <w:t>Consent of Mayer Brown International LLP (included in Exhibit 5.1)</w:t>
              </w:r>
            </w:hyperlink>
          </w:p>
        </w:tc>
        <w:tc>
          <w:tcPr>
            <w:tcW w:w="1440" w:type="dxa"/>
            <w:vAlign w:val="bottom"/>
            <w:tcBorders>
              <w:top w:val="single" w:sz="8" w:color="0000EE"/>
            </w:tcBorders>
            <w:gridSpan w:val="2"/>
          </w:tcPr>
          <w:p>
            <w:pPr>
              <w:spacing w:after="0"/>
              <w:rPr>
                <w:sz w:val="24"/>
                <w:szCs w:val="24"/>
                <w:color w:val="auto"/>
              </w:rPr>
            </w:pPr>
          </w:p>
        </w:tc>
        <w:tc>
          <w:tcPr>
            <w:tcW w:w="3080" w:type="dxa"/>
            <w:vAlign w:val="bottom"/>
            <w:gridSpan w:val="10"/>
          </w:tcPr>
          <w:p>
            <w:pPr>
              <w:spacing w:after="0"/>
              <w:rPr>
                <w:sz w:val="24"/>
                <w:szCs w:val="24"/>
                <w:color w:val="auto"/>
              </w:rPr>
            </w:pPr>
          </w:p>
        </w:tc>
      </w:tr>
      <w:tr>
        <w:trPr>
          <w:trHeight w:val="290"/>
        </w:trPr>
        <w:tc>
          <w:tcPr>
            <w:tcW w:w="540" w:type="dxa"/>
            <w:vAlign w:val="bottom"/>
          </w:tcPr>
          <w:p>
            <w:pPr>
              <w:jc w:val="right"/>
              <w:spacing w:after="0"/>
              <w:rPr>
                <w:sz w:val="20"/>
                <w:szCs w:val="20"/>
                <w:color w:val="auto"/>
              </w:rPr>
            </w:pPr>
            <w:r>
              <w:rPr>
                <w:rFonts w:ascii="Arial" w:cs="Arial" w:eastAsia="Arial" w:hAnsi="Arial"/>
                <w:sz w:val="18"/>
                <w:szCs w:val="18"/>
                <w:color w:val="auto"/>
                <w:w w:val="93"/>
              </w:rPr>
              <w:t>24.1**</w:t>
            </w:r>
          </w:p>
        </w:tc>
        <w:tc>
          <w:tcPr>
            <w:tcW w:w="6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w:anchor="page283">
              <w:r>
                <w:rPr>
                  <w:rFonts w:ascii="Arial" w:cs="Arial" w:eastAsia="Arial" w:hAnsi="Arial"/>
                  <w:sz w:val="18"/>
                  <w:szCs w:val="18"/>
                  <w:color w:val="0000EE"/>
                </w:rPr>
                <w:t>Powers of Attorney</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8173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2" w:lineRule="exact"/>
        <w:rPr>
          <w:sz w:val="20"/>
          <w:szCs w:val="20"/>
          <w:color w:val="auto"/>
        </w:rPr>
      </w:pPr>
    </w:p>
    <w:p>
      <w:pPr>
        <w:ind w:left="120" w:right="9340" w:hanging="4"/>
        <w:spacing w:after="0" w:line="246" w:lineRule="auto"/>
        <w:tabs>
          <w:tab w:leader="none" w:pos="5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London, the United Kingdom on March 6, 2020.</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BIOPHARMA GROUP PLC</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tbl>
      <w:tblPr>
        <w:tblLayout w:type="fixed"/>
        <w:tblInd w:w="708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March 6, 2020 in the capacities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422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4520" w:type="dxa"/>
            <w:vAlign w:val="bottom"/>
            <w:gridSpan w:val="3"/>
          </w:tcPr>
          <w:p>
            <w:pPr>
              <w:jc w:val="center"/>
              <w:ind w:left="291"/>
              <w:spacing w:after="0"/>
              <w:rPr>
                <w:sz w:val="20"/>
                <w:szCs w:val="20"/>
                <w:color w:val="auto"/>
              </w:rPr>
            </w:pPr>
            <w:r>
              <w:rPr>
                <w:rFonts w:ascii="Arial" w:cs="Arial" w:eastAsia="Arial" w:hAnsi="Arial"/>
                <w:sz w:val="14"/>
                <w:szCs w:val="14"/>
                <w:b w:val="1"/>
                <w:bCs w:val="1"/>
                <w:color w:val="auto"/>
              </w:rPr>
              <w:t>Title</w:t>
            </w:r>
          </w:p>
        </w:tc>
      </w:tr>
      <w:tr>
        <w:trPr>
          <w:trHeight w:val="20"/>
        </w:trPr>
        <w:tc>
          <w:tcPr>
            <w:tcW w:w="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1"/>
        </w:trPr>
        <w:tc>
          <w:tcPr>
            <w:tcW w:w="2940" w:type="dxa"/>
            <w:vAlign w:val="bottom"/>
            <w:gridSpan w:val="2"/>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w w:val="99"/>
              </w:rPr>
              <w:t>Denise Scots-Knight, Ph.D.</w:t>
            </w:r>
          </w:p>
        </w:tc>
        <w:tc>
          <w:tcPr>
            <w:tcW w:w="740" w:type="dxa"/>
            <w:vAlign w:val="bottom"/>
            <w:tcBorders>
              <w:top w:val="single" w:sz="8" w:color="auto"/>
            </w:tcBorders>
          </w:tcPr>
          <w:p>
            <w:pPr>
              <w:spacing w:after="0"/>
              <w:rPr>
                <w:sz w:val="18"/>
                <w:szCs w:val="18"/>
                <w:color w:val="auto"/>
              </w:rPr>
            </w:pPr>
          </w:p>
        </w:tc>
        <w:tc>
          <w:tcPr>
            <w:tcW w:w="4520" w:type="dxa"/>
            <w:vAlign w:val="bottom"/>
            <w:gridSpan w:val="3"/>
          </w:tcPr>
          <w:p>
            <w:pPr>
              <w:jc w:val="center"/>
              <w:ind w:left="291"/>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291"/>
              <w:spacing w:after="0"/>
              <w:rPr>
                <w:sz w:val="20"/>
                <w:szCs w:val="20"/>
                <w:color w:val="auto"/>
              </w:rPr>
            </w:pPr>
            <w:r>
              <w:rPr>
                <w:rFonts w:ascii="Arial" w:cs="Arial" w:eastAsia="Arial" w:hAnsi="Arial"/>
                <w:sz w:val="18"/>
                <w:szCs w:val="18"/>
                <w:color w:val="auto"/>
                <w:w w:val="99"/>
              </w:rPr>
              <w:t>Chief Financial Officer and Member of the Board</w:t>
            </w:r>
          </w:p>
        </w:tc>
      </w:tr>
      <w:tr>
        <w:trPr>
          <w:trHeight w:val="183"/>
        </w:trPr>
        <w:tc>
          <w:tcPr>
            <w:tcW w:w="660" w:type="dxa"/>
            <w:vAlign w:val="bottom"/>
          </w:tcPr>
          <w:p>
            <w:pPr>
              <w:spacing w:after="0"/>
              <w:rPr>
                <w:sz w:val="15"/>
                <w:szCs w:val="15"/>
                <w:color w:val="auto"/>
              </w:rPr>
            </w:pPr>
          </w:p>
        </w:tc>
        <w:tc>
          <w:tcPr>
            <w:tcW w:w="4220" w:type="dxa"/>
            <w:vAlign w:val="bottom"/>
            <w:tcBorders>
              <w:top w:val="single" w:sz="8" w:color="auto"/>
            </w:tcBorders>
            <w:gridSpan w:val="3"/>
          </w:tcPr>
          <w:p>
            <w:pPr>
              <w:jc w:val="center"/>
              <w:ind w:left="632"/>
              <w:spacing w:after="0" w:line="182" w:lineRule="exact"/>
              <w:rPr>
                <w:sz w:val="20"/>
                <w:szCs w:val="20"/>
                <w:color w:val="auto"/>
              </w:rPr>
            </w:pPr>
            <w:r>
              <w:rPr>
                <w:rFonts w:ascii="Arial" w:cs="Arial" w:eastAsia="Arial" w:hAnsi="Arial"/>
                <w:sz w:val="18"/>
                <w:szCs w:val="18"/>
                <w:color w:val="auto"/>
                <w:w w:val="99"/>
              </w:rPr>
              <w:t>Richard Jones</w:t>
            </w:r>
          </w:p>
        </w:tc>
        <w:tc>
          <w:tcPr>
            <w:tcW w:w="740" w:type="dxa"/>
            <w:vAlign w:val="bottom"/>
            <w:tcBorders>
              <w:top w:val="single" w:sz="8" w:color="auto"/>
            </w:tcBorders>
          </w:tcPr>
          <w:p>
            <w:pPr>
              <w:spacing w:after="0"/>
              <w:rPr>
                <w:sz w:val="15"/>
                <w:szCs w:val="15"/>
                <w:color w:val="auto"/>
              </w:rPr>
            </w:pPr>
          </w:p>
        </w:tc>
        <w:tc>
          <w:tcPr>
            <w:tcW w:w="4520" w:type="dxa"/>
            <w:vAlign w:val="bottom"/>
            <w:gridSpan w:val="3"/>
          </w:tcPr>
          <w:p>
            <w:pPr>
              <w:jc w:val="center"/>
              <w:ind w:left="311"/>
              <w:spacing w:after="0" w:line="182" w:lineRule="exact"/>
              <w:rPr>
                <w:sz w:val="20"/>
                <w:szCs w:val="20"/>
                <w:color w:val="auto"/>
              </w:rPr>
            </w:pPr>
            <w:r>
              <w:rPr>
                <w:rFonts w:ascii="Arial" w:cs="Arial" w:eastAsia="Arial" w:hAnsi="Arial"/>
                <w:sz w:val="18"/>
                <w:szCs w:val="18"/>
                <w:color w:val="auto"/>
                <w:w w:val="99"/>
              </w:rPr>
              <w:t>(Principal Financial Officer and Principal Accounting</w:t>
            </w:r>
          </w:p>
        </w:tc>
      </w:tr>
      <w:tr>
        <w:trPr>
          <w:trHeight w:val="217"/>
        </w:trPr>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20" w:type="dxa"/>
            <w:vAlign w:val="bottom"/>
            <w:gridSpan w:val="3"/>
          </w:tcPr>
          <w:p>
            <w:pPr>
              <w:jc w:val="center"/>
              <w:ind w:left="291"/>
              <w:spacing w:after="0"/>
              <w:rPr>
                <w:sz w:val="20"/>
                <w:szCs w:val="20"/>
                <w:color w:val="auto"/>
              </w:rPr>
            </w:pPr>
            <w:r>
              <w:rPr>
                <w:rFonts w:ascii="Arial" w:cs="Arial" w:eastAsia="Arial" w:hAnsi="Arial"/>
                <w:sz w:val="18"/>
                <w:szCs w:val="18"/>
                <w:color w:val="auto"/>
                <w:w w:val="98"/>
              </w:rPr>
              <w:t>Officer)</w:t>
            </w:r>
          </w:p>
        </w:tc>
      </w:tr>
      <w:tr>
        <w:trPr>
          <w:trHeight w:val="405"/>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Chairman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w w:val="99"/>
              </w:rPr>
              <w:t>Peter Fellner, Ph.D.</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Peter Bains</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Paul Blackburn</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Anders Ekblom, M.D., Ph.D.</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Kunal Kashyap</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32"/>
              <w:spacing w:after="0"/>
              <w:rPr>
                <w:sz w:val="20"/>
                <w:szCs w:val="20"/>
                <w:color w:val="auto"/>
              </w:rPr>
            </w:pPr>
            <w:r>
              <w:rPr>
                <w:rFonts w:ascii="Arial" w:cs="Arial" w:eastAsia="Arial" w:hAnsi="Arial"/>
                <w:sz w:val="18"/>
                <w:szCs w:val="18"/>
                <w:color w:val="auto"/>
              </w:rPr>
              <w:t>Deepika R. Pakianathan, Ph.D.</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8"/>
        </w:trPr>
        <w:tc>
          <w:tcPr>
            <w:tcW w:w="3340" w:type="dxa"/>
            <w:vAlign w:val="bottom"/>
            <w:gridSpan w:val="3"/>
          </w:tcPr>
          <w:p>
            <w:pPr>
              <w:jc w:val="center"/>
              <w:ind w:left="2830"/>
              <w:spacing w:after="0"/>
              <w:rPr>
                <w:sz w:val="20"/>
                <w:szCs w:val="20"/>
                <w:color w:val="auto"/>
              </w:rPr>
            </w:pPr>
            <w:r>
              <w:rPr>
                <w:rFonts w:ascii="Arial" w:cs="Arial" w:eastAsia="Arial" w:hAnsi="Arial"/>
                <w:sz w:val="18"/>
                <w:szCs w:val="18"/>
                <w:color w:val="auto"/>
                <w:w w:val="84"/>
              </w:rPr>
              <w:t>*</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gridSpan w:val="3"/>
          </w:tcPr>
          <w:p>
            <w:pPr>
              <w:jc w:val="center"/>
              <w:ind w:left="311"/>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gridSpan w:val="3"/>
          </w:tcPr>
          <w:p>
            <w:pPr>
              <w:jc w:val="center"/>
              <w:ind w:left="652"/>
              <w:spacing w:after="0"/>
              <w:rPr>
                <w:sz w:val="20"/>
                <w:szCs w:val="20"/>
                <w:color w:val="auto"/>
              </w:rPr>
            </w:pPr>
            <w:r>
              <w:rPr>
                <w:rFonts w:ascii="Arial" w:cs="Arial" w:eastAsia="Arial" w:hAnsi="Arial"/>
                <w:sz w:val="18"/>
                <w:szCs w:val="18"/>
                <w:color w:val="auto"/>
                <w:w w:val="99"/>
              </w:rPr>
              <w:t>Michael S. Wyzga</w:t>
            </w:r>
          </w:p>
        </w:tc>
        <w:tc>
          <w:tcPr>
            <w:tcW w:w="74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660"/>
        </w:trPr>
        <w:tc>
          <w:tcPr>
            <w:tcW w:w="4880" w:type="dxa"/>
            <w:vAlign w:val="bottom"/>
            <w:gridSpan w:val="4"/>
          </w:tcPr>
          <w:p>
            <w:pPr>
              <w:spacing w:after="0"/>
              <w:rPr>
                <w:sz w:val="20"/>
                <w:szCs w:val="20"/>
                <w:color w:val="auto"/>
              </w:rPr>
            </w:pPr>
            <w:r>
              <w:rPr>
                <w:rFonts w:ascii="Arial" w:cs="Arial" w:eastAsia="Arial" w:hAnsi="Arial"/>
                <w:sz w:val="18"/>
                <w:szCs w:val="18"/>
                <w:color w:val="auto"/>
              </w:rPr>
              <w:t>*By: /s/ Denise Scots-Knight, Ph.D.</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2"/>
        </w:trPr>
        <w:tc>
          <w:tcPr>
            <w:tcW w:w="488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Name:  Denise Scots-Knight, Ph.D.</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4880" w:type="dxa"/>
            <w:vAlign w:val="bottom"/>
            <w:gridSpan w:val="4"/>
          </w:tcPr>
          <w:p>
            <w:pPr>
              <w:ind w:left="440"/>
              <w:spacing w:after="0"/>
              <w:rPr>
                <w:sz w:val="20"/>
                <w:szCs w:val="20"/>
                <w:color w:val="auto"/>
              </w:rPr>
            </w:pPr>
            <w:r>
              <w:rPr>
                <w:rFonts w:ascii="Arial" w:cs="Arial" w:eastAsia="Arial" w:hAnsi="Arial"/>
                <w:sz w:val="18"/>
                <w:szCs w:val="18"/>
                <w:color w:val="auto"/>
              </w:rPr>
              <w:t>Title:   Attorney-in-fact</w:t>
            </w:r>
          </w:p>
        </w:tc>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51"/>
        </w:trPr>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60" w:type="dxa"/>
            <w:vAlign w:val="bottom"/>
            <w:gridSpan w:val="4"/>
          </w:tcPr>
          <w:p>
            <w:pPr>
              <w:ind w:left="50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March 6, 2020.</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US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-1905</wp:posOffset>
            </wp:positionV>
            <wp:extent cx="25717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Denise Scots-Knight, Ph.D.</w:t>
      </w:r>
    </w:p>
    <w:p>
      <w:pPr>
        <w:ind w:left="7080"/>
        <w:spacing w:after="0"/>
        <w:tabs>
          <w:tab w:leader="none" w:pos="7720" w:val="left"/>
        </w:tabs>
        <w:rPr>
          <w:sz w:val="20"/>
          <w:szCs w:val="20"/>
          <w:color w:val="auto"/>
        </w:rPr>
      </w:pPr>
      <w:r>
        <w:rPr>
          <w:rFonts w:ascii="Arial" w:cs="Arial" w:eastAsia="Arial" w:hAnsi="Arial"/>
          <w:sz w:val="18"/>
          <w:szCs w:val="18"/>
          <w:color w:val="auto"/>
        </w:rPr>
        <w:t>Title:</w:t>
        <w:tab/>
        <w:t>President</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960"/>
          </w:cols>
          <w:pgMar w:left="320" w:top="459" w:right="6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34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Unaudited Interim Financial Results of Mereo BioPharma Group plc</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340" w:type="dxa"/>
            <w:vAlign w:val="bottom"/>
            <w:gridSpan w:val="24"/>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340" w:type="dxa"/>
            <w:vAlign w:val="bottom"/>
            <w:gridSpan w:val="24"/>
          </w:tcPr>
          <w:p>
            <w:pPr>
              <w:spacing w:after="0" w:line="176" w:lineRule="exact"/>
              <w:rPr>
                <w:rFonts w:ascii="Arial" w:cs="Arial" w:eastAsia="Arial" w:hAnsi="Arial"/>
                <w:sz w:val="18"/>
                <w:szCs w:val="18"/>
                <w:color w:val="0000EE"/>
              </w:rPr>
            </w:pPr>
            <w:hyperlink w:anchor="page286">
              <w:r>
                <w:rPr>
                  <w:rFonts w:ascii="Arial" w:cs="Arial" w:eastAsia="Arial" w:hAnsi="Arial"/>
                  <w:sz w:val="18"/>
                  <w:szCs w:val="18"/>
                  <w:color w:val="0000EE"/>
                </w:rPr>
                <w:t>Consolidated Statements of Comprehensive Loss for the years ended June 30, 2018 and 2019 (unaudited)</w:t>
              </w:r>
            </w:hyperlink>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3"/>
        </w:trPr>
        <w:tc>
          <w:tcPr>
            <w:tcW w:w="56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287">
              <w:r>
                <w:rPr>
                  <w:rFonts w:ascii="Arial" w:cs="Arial" w:eastAsia="Arial" w:hAnsi="Arial"/>
                  <w:sz w:val="18"/>
                  <w:szCs w:val="18"/>
                  <w:color w:val="0000EE"/>
                  <w:w w:val="99"/>
                </w:rPr>
                <w:t>Consolidated Balance Sheet as at June 30, 2018 and 2019 (unaudited)</w:t>
              </w:r>
            </w:hyperlink>
          </w:p>
        </w:tc>
        <w:tc>
          <w:tcPr>
            <w:tcW w:w="2880" w:type="dxa"/>
            <w:vAlign w:val="bottom"/>
            <w:tcBorders>
              <w:top w:val="single" w:sz="8" w:color="0000EE"/>
            </w:tcBorders>
            <w:gridSpan w:val="12"/>
          </w:tcPr>
          <w:p>
            <w:pPr>
              <w:spacing w:after="0"/>
              <w:rPr>
                <w:sz w:val="15"/>
                <w:szCs w:val="15"/>
                <w:color w:val="auto"/>
              </w:rPr>
            </w:pPr>
          </w:p>
        </w:tc>
        <w:tc>
          <w:tcPr>
            <w:tcW w:w="180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288">
              <w:r>
                <w:rPr>
                  <w:rFonts w:ascii="Arial" w:cs="Arial" w:eastAsia="Arial" w:hAnsi="Arial"/>
                  <w:sz w:val="18"/>
                  <w:szCs w:val="18"/>
                  <w:color w:val="0000EE"/>
                  <w:w w:val="99"/>
                </w:rPr>
                <w:t>Consolidated Statement of Cash Flows for the six months ended June 30, 2019</w:t>
              </w:r>
            </w:hyperlink>
          </w:p>
        </w:tc>
        <w:tc>
          <w:tcPr>
            <w:tcW w:w="4020" w:type="dxa"/>
            <w:vAlign w:val="bottom"/>
            <w:gridSpan w:val="1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83"/>
        </w:trPr>
        <w:tc>
          <w:tcPr>
            <w:tcW w:w="684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89">
              <w:r>
                <w:rPr>
                  <w:rFonts w:ascii="Arial" w:cs="Arial" w:eastAsia="Arial" w:hAnsi="Arial"/>
                  <w:sz w:val="18"/>
                  <w:szCs w:val="18"/>
                  <w:color w:val="0000EE"/>
                  <w:w w:val="99"/>
                </w:rPr>
                <w:t>Consolidated Statement of Changes in Equity for the six months ended June 30, 2019</w:t>
              </w:r>
            </w:hyperlink>
          </w:p>
        </w:tc>
        <w:tc>
          <w:tcPr>
            <w:tcW w:w="3500" w:type="dxa"/>
            <w:vAlign w:val="bottom"/>
            <w:gridSpan w:val="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290">
              <w:r>
                <w:rPr>
                  <w:rFonts w:ascii="Arial" w:cs="Arial" w:eastAsia="Arial" w:hAnsi="Arial"/>
                  <w:sz w:val="18"/>
                  <w:szCs w:val="18"/>
                  <w:color w:val="0000EE"/>
                </w:rPr>
                <w:t>Notes to the Interim Financial Results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340" w:type="dxa"/>
            <w:vAlign w:val="bottom"/>
            <w:gridSpan w:val="24"/>
          </w:tcPr>
          <w:p>
            <w:pPr>
              <w:spacing w:after="0"/>
              <w:rPr>
                <w:sz w:val="20"/>
                <w:szCs w:val="20"/>
                <w:color w:val="auto"/>
              </w:rPr>
            </w:pPr>
            <w:r>
              <w:rPr>
                <w:rFonts w:ascii="Arial" w:cs="Arial" w:eastAsia="Arial" w:hAnsi="Arial"/>
                <w:sz w:val="18"/>
                <w:szCs w:val="18"/>
                <w:b w:val="1"/>
                <w:bCs w:val="1"/>
                <w:color w:val="auto"/>
              </w:rPr>
              <w:t>Audited Financial Statements of Mereo BioPharma Group plc</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20" w:type="dxa"/>
            <w:vAlign w:val="bottom"/>
            <w:tcBorders>
              <w:bottom w:val="single" w:sz="8" w:color="0000EE"/>
            </w:tcBorders>
            <w:gridSpan w:val="8"/>
          </w:tcPr>
          <w:p>
            <w:pPr>
              <w:spacing w:after="0" w:line="176" w:lineRule="exact"/>
              <w:rPr>
                <w:rFonts w:ascii="Arial" w:cs="Arial" w:eastAsia="Arial" w:hAnsi="Arial"/>
                <w:sz w:val="18"/>
                <w:szCs w:val="18"/>
                <w:color w:val="0000EE"/>
                <w:w w:val="99"/>
              </w:rPr>
            </w:pPr>
            <w:hyperlink w:anchor="page306">
              <w:r>
                <w:rPr>
                  <w:rFonts w:ascii="Arial" w:cs="Arial" w:eastAsia="Arial" w:hAnsi="Arial"/>
                  <w:sz w:val="18"/>
                  <w:szCs w:val="18"/>
                  <w:color w:val="0000EE"/>
                  <w:w w:val="99"/>
                </w:rPr>
                <w:t>Report of Independent Registered Public Accounting Firm</w:t>
              </w:r>
            </w:hyperlink>
          </w:p>
        </w:tc>
        <w:tc>
          <w:tcPr>
            <w:tcW w:w="5720" w:type="dxa"/>
            <w:vAlign w:val="bottom"/>
            <w:gridSpan w:val="16"/>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07">
              <w:r>
                <w:rPr>
                  <w:rFonts w:ascii="Arial" w:cs="Arial" w:eastAsia="Arial" w:hAnsi="Arial"/>
                  <w:sz w:val="18"/>
                  <w:szCs w:val="18"/>
                  <w:color w:val="0000EE"/>
                </w:rPr>
                <w:t>Consolidated Statements of Comprehensive Loss for the years ended December 31, 2016,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83"/>
        </w:trPr>
        <w:tc>
          <w:tcPr>
            <w:tcW w:w="51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308">
              <w:r>
                <w:rPr>
                  <w:rFonts w:ascii="Arial" w:cs="Arial" w:eastAsia="Arial" w:hAnsi="Arial"/>
                  <w:sz w:val="18"/>
                  <w:szCs w:val="18"/>
                  <w:color w:val="0000EE"/>
                  <w:w w:val="99"/>
                </w:rPr>
                <w:t>Consolidated Balance Sheet as at December 31, 2017 and 2018</w:t>
              </w:r>
            </w:hyperlink>
          </w:p>
        </w:tc>
        <w:tc>
          <w:tcPr>
            <w:tcW w:w="3380" w:type="dxa"/>
            <w:vAlign w:val="bottom"/>
            <w:tcBorders>
              <w:top w:val="single" w:sz="8" w:color="0000EE"/>
            </w:tcBorders>
            <w:gridSpan w:val="12"/>
          </w:tcPr>
          <w:p>
            <w:pPr>
              <w:spacing w:after="0"/>
              <w:rPr>
                <w:sz w:val="15"/>
                <w:szCs w:val="15"/>
                <w:color w:val="auto"/>
              </w:rPr>
            </w:pPr>
          </w:p>
        </w:tc>
        <w:tc>
          <w:tcPr>
            <w:tcW w:w="18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182"/>
        </w:trPr>
        <w:tc>
          <w:tcPr>
            <w:tcW w:w="10340" w:type="dxa"/>
            <w:vAlign w:val="bottom"/>
            <w:gridSpan w:val="24"/>
          </w:tcPr>
          <w:p>
            <w:pPr>
              <w:spacing w:after="0" w:line="182" w:lineRule="exact"/>
              <w:rPr>
                <w:rFonts w:ascii="Arial" w:cs="Arial" w:eastAsia="Arial" w:hAnsi="Arial"/>
                <w:sz w:val="18"/>
                <w:szCs w:val="18"/>
                <w:color w:val="0000EE"/>
              </w:rPr>
            </w:pPr>
            <w:hyperlink w:anchor="page309">
              <w:r>
                <w:rPr>
                  <w:rFonts w:ascii="Arial" w:cs="Arial" w:eastAsia="Arial" w:hAnsi="Arial"/>
                  <w:sz w:val="18"/>
                  <w:szCs w:val="18"/>
                  <w:color w:val="0000EE"/>
                </w:rPr>
                <w:t>Consolidated Statement of Cash Flows for the years ended December 31, 2016,</w:t>
              </w:r>
            </w:hyperlink>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2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309">
              <w:r>
                <w:rPr>
                  <w:rFonts w:ascii="Arial" w:cs="Arial" w:eastAsia="Arial" w:hAnsi="Arial"/>
                  <w:sz w:val="18"/>
                  <w:szCs w:val="18"/>
                  <w:color w:val="0000EE"/>
                  <w:w w:val="98"/>
                </w:rPr>
                <w:t>2017 and 2018</w:t>
              </w:r>
            </w:hyperlink>
          </w:p>
        </w:tc>
        <w:tc>
          <w:tcPr>
            <w:tcW w:w="5000" w:type="dxa"/>
            <w:vAlign w:val="bottom"/>
            <w:tcBorders>
              <w:top w:val="single" w:sz="8" w:color="0000EE"/>
            </w:tcBorders>
            <w:gridSpan w:val="10"/>
          </w:tcPr>
          <w:p>
            <w:pPr>
              <w:spacing w:after="0"/>
              <w:rPr>
                <w:sz w:val="15"/>
                <w:szCs w:val="15"/>
                <w:color w:val="auto"/>
              </w:rPr>
            </w:pPr>
          </w:p>
        </w:tc>
        <w:tc>
          <w:tcPr>
            <w:tcW w:w="3960" w:type="dxa"/>
            <w:vAlign w:val="bottom"/>
            <w:gridSpan w:val="1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10">
              <w:r>
                <w:rPr>
                  <w:rFonts w:ascii="Arial" w:cs="Arial" w:eastAsia="Arial" w:hAnsi="Arial"/>
                  <w:sz w:val="18"/>
                  <w:szCs w:val="18"/>
                  <w:color w:val="0000EE"/>
                </w:rPr>
                <w:t>Consolidated Statement of Changes in Equity for the years ended December 31, 2016,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83"/>
        </w:trPr>
        <w:tc>
          <w:tcPr>
            <w:tcW w:w="38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312">
              <w:r>
                <w:rPr>
                  <w:rFonts w:ascii="Arial" w:cs="Arial" w:eastAsia="Arial" w:hAnsi="Arial"/>
                  <w:sz w:val="18"/>
                  <w:szCs w:val="18"/>
                  <w:color w:val="0000EE"/>
                  <w:w w:val="99"/>
                </w:rPr>
                <w:t>Notes to the Consolidated Financial Statements</w:t>
              </w:r>
            </w:hyperlink>
          </w:p>
        </w:tc>
        <w:tc>
          <w:tcPr>
            <w:tcW w:w="4400" w:type="dxa"/>
            <w:vAlign w:val="bottom"/>
            <w:tcBorders>
              <w:top w:val="single" w:sz="8" w:color="0000EE"/>
            </w:tcBorders>
            <w:gridSpan w:val="14"/>
          </w:tcPr>
          <w:p>
            <w:pPr>
              <w:spacing w:after="0"/>
              <w:rPr>
                <w:sz w:val="15"/>
                <w:szCs w:val="15"/>
                <w:color w:val="auto"/>
              </w:rPr>
            </w:pPr>
          </w:p>
        </w:tc>
        <w:tc>
          <w:tcPr>
            <w:tcW w:w="2140" w:type="dxa"/>
            <w:vAlign w:val="bottom"/>
            <w:gridSpan w:val="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425"/>
        </w:trPr>
        <w:tc>
          <w:tcPr>
            <w:tcW w:w="10340" w:type="dxa"/>
            <w:vAlign w:val="bottom"/>
            <w:gridSpan w:val="24"/>
          </w:tcPr>
          <w:p>
            <w:pPr>
              <w:spacing w:after="0"/>
              <w:rPr>
                <w:sz w:val="20"/>
                <w:szCs w:val="20"/>
                <w:color w:val="auto"/>
              </w:rPr>
            </w:pPr>
            <w:r>
              <w:rPr>
                <w:rFonts w:ascii="Arial" w:cs="Arial" w:eastAsia="Arial" w:hAnsi="Arial"/>
                <w:sz w:val="18"/>
                <w:szCs w:val="18"/>
                <w:b w:val="1"/>
                <w:bCs w:val="1"/>
                <w:color w:val="auto"/>
              </w:rPr>
              <w:t>Audited Financial Statements of OncoMed Pharmaceuticals, Inc.</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00" w:type="dxa"/>
            <w:vAlign w:val="bottom"/>
            <w:tcBorders>
              <w:bottom w:val="single" w:sz="8" w:color="0000EE"/>
            </w:tcBorders>
            <w:gridSpan w:val="7"/>
          </w:tcPr>
          <w:p>
            <w:pPr>
              <w:spacing w:after="0" w:line="176" w:lineRule="exact"/>
              <w:rPr>
                <w:rFonts w:ascii="Arial" w:cs="Arial" w:eastAsia="Arial" w:hAnsi="Arial"/>
                <w:sz w:val="18"/>
                <w:szCs w:val="18"/>
                <w:color w:val="0000EE"/>
                <w:w w:val="99"/>
              </w:rPr>
            </w:pPr>
            <w:hyperlink w:anchor="page356">
              <w:r>
                <w:rPr>
                  <w:rFonts w:ascii="Arial" w:cs="Arial" w:eastAsia="Arial" w:hAnsi="Arial"/>
                  <w:sz w:val="18"/>
                  <w:szCs w:val="18"/>
                  <w:color w:val="0000EE"/>
                  <w:w w:val="99"/>
                </w:rPr>
                <w:t>Report of Independent Registered Public Accounting Firm</w:t>
              </w:r>
            </w:hyperlink>
          </w:p>
        </w:tc>
        <w:tc>
          <w:tcPr>
            <w:tcW w:w="5740" w:type="dxa"/>
            <w:vAlign w:val="bottom"/>
            <w:gridSpan w:val="17"/>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57">
              <w:r>
                <w:rPr>
                  <w:rFonts w:ascii="Arial" w:cs="Arial" w:eastAsia="Arial" w:hAnsi="Arial"/>
                  <w:sz w:val="18"/>
                  <w:szCs w:val="18"/>
                  <w:color w:val="0000EE"/>
                </w:rPr>
                <w:t>Balance Sheets as of December 31,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F-73</w:t>
            </w:r>
          </w:p>
        </w:tc>
        <w:tc>
          <w:tcPr>
            <w:tcW w:w="0" w:type="dxa"/>
            <w:vAlign w:val="bottom"/>
          </w:tcPr>
          <w:p>
            <w:pPr>
              <w:spacing w:after="0"/>
              <w:rPr>
                <w:sz w:val="1"/>
                <w:szCs w:val="1"/>
                <w:color w:val="auto"/>
              </w:rPr>
            </w:pP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58">
              <w:r>
                <w:rPr>
                  <w:rFonts w:ascii="Arial" w:cs="Arial" w:eastAsia="Arial" w:hAnsi="Arial"/>
                  <w:sz w:val="18"/>
                  <w:szCs w:val="18"/>
                  <w:color w:val="0000EE"/>
                </w:rPr>
                <w:t>Statements of Operations for the years ended December 31, 2016,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3780" w:type="dxa"/>
            <w:vAlign w:val="bottom"/>
            <w:gridSpan w:val="10"/>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59">
              <w:r>
                <w:rPr>
                  <w:rFonts w:ascii="Arial" w:cs="Arial" w:eastAsia="Arial" w:hAnsi="Arial"/>
                  <w:sz w:val="18"/>
                  <w:szCs w:val="18"/>
                  <w:color w:val="0000EE"/>
                </w:rPr>
                <w:t>Statements of Comprehensive Loss for the years ended December 31,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3780" w:type="dxa"/>
            <w:vAlign w:val="bottom"/>
            <w:gridSpan w:val="10"/>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tcBorders>
              <w:bottom w:val="single" w:sz="8" w:color="0000EE"/>
            </w:tcBorders>
            <w:gridSpan w:val="18"/>
          </w:tcPr>
          <w:p>
            <w:pPr>
              <w:spacing w:after="0" w:line="182" w:lineRule="exact"/>
              <w:rPr>
                <w:rFonts w:ascii="Arial" w:cs="Arial" w:eastAsia="Arial" w:hAnsi="Arial"/>
                <w:sz w:val="18"/>
                <w:szCs w:val="18"/>
                <w:color w:val="0000EE"/>
              </w:rPr>
            </w:pPr>
            <w:hyperlink w:anchor="page360">
              <w:r>
                <w:rPr>
                  <w:rFonts w:ascii="Arial" w:cs="Arial" w:eastAsia="Arial" w:hAnsi="Arial"/>
                  <w:sz w:val="18"/>
                  <w:szCs w:val="18"/>
                  <w:color w:val="0000EE"/>
                </w:rPr>
                <w:t>Statements of Stockholders’ Equity (Deficit) for the years ended December 31, 2016, 2017 and 2018</w:t>
              </w:r>
            </w:hyperlink>
          </w:p>
        </w:tc>
        <w:tc>
          <w:tcPr>
            <w:tcW w:w="2300" w:type="dxa"/>
            <w:vAlign w:val="bottom"/>
            <w:gridSpan w:val="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182"/>
        </w:trPr>
        <w:tc>
          <w:tcPr>
            <w:tcW w:w="10340" w:type="dxa"/>
            <w:vAlign w:val="bottom"/>
            <w:gridSpan w:val="24"/>
          </w:tcPr>
          <w:p>
            <w:pPr>
              <w:spacing w:after="0" w:line="182" w:lineRule="exact"/>
              <w:rPr>
                <w:rFonts w:ascii="Arial" w:cs="Arial" w:eastAsia="Arial" w:hAnsi="Arial"/>
                <w:sz w:val="18"/>
                <w:szCs w:val="18"/>
                <w:color w:val="0000EE"/>
              </w:rPr>
            </w:pPr>
            <w:hyperlink w:anchor="page361">
              <w:r>
                <w:rPr>
                  <w:rFonts w:ascii="Arial" w:cs="Arial" w:eastAsia="Arial" w:hAnsi="Arial"/>
                  <w:sz w:val="18"/>
                  <w:szCs w:val="18"/>
                  <w:color w:val="0000EE"/>
                </w:rPr>
                <w:t>Statements of Cash Flows for the years ended December 31, 2016, 2017 and 2018</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183"/>
        </w:trPr>
        <w:tc>
          <w:tcPr>
            <w:tcW w:w="27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362">
              <w:r>
                <w:rPr>
                  <w:rFonts w:ascii="Arial" w:cs="Arial" w:eastAsia="Arial" w:hAnsi="Arial"/>
                  <w:sz w:val="18"/>
                  <w:szCs w:val="18"/>
                  <w:color w:val="0000EE"/>
                  <w:w w:val="99"/>
                </w:rPr>
                <w:t>Notes to the Financial Statements</w:t>
              </w:r>
            </w:hyperlink>
          </w:p>
        </w:tc>
        <w:tc>
          <w:tcPr>
            <w:tcW w:w="3920" w:type="dxa"/>
            <w:vAlign w:val="bottom"/>
            <w:tcBorders>
              <w:top w:val="single" w:sz="8" w:color="0000EE"/>
            </w:tcBorders>
            <w:gridSpan w:val="12"/>
          </w:tcPr>
          <w:p>
            <w:pPr>
              <w:spacing w:after="0"/>
              <w:rPr>
                <w:sz w:val="15"/>
                <w:szCs w:val="15"/>
                <w:color w:val="auto"/>
              </w:rPr>
            </w:pPr>
          </w:p>
        </w:tc>
        <w:tc>
          <w:tcPr>
            <w:tcW w:w="3720" w:type="dxa"/>
            <w:vAlign w:val="bottom"/>
            <w:gridSpan w:val="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F-78</w:t>
            </w:r>
          </w:p>
        </w:tc>
        <w:tc>
          <w:tcPr>
            <w:tcW w:w="0" w:type="dxa"/>
            <w:vAlign w:val="bottom"/>
          </w:tcPr>
          <w:p>
            <w:pPr>
              <w:spacing w:after="0"/>
              <w:rPr>
                <w:sz w:val="1"/>
                <w:szCs w:val="1"/>
                <w:color w:val="auto"/>
              </w:rPr>
            </w:pPr>
          </w:p>
        </w:tc>
      </w:tr>
      <w:tr>
        <w:trPr>
          <w:trHeight w:val="425"/>
        </w:trPr>
        <w:tc>
          <w:tcPr>
            <w:tcW w:w="10340" w:type="dxa"/>
            <w:vAlign w:val="bottom"/>
            <w:gridSpan w:val="24"/>
          </w:tcPr>
          <w:p>
            <w:pPr>
              <w:spacing w:after="0"/>
              <w:rPr>
                <w:sz w:val="20"/>
                <w:szCs w:val="20"/>
                <w:color w:val="auto"/>
              </w:rPr>
            </w:pPr>
            <w:r>
              <w:rPr>
                <w:rFonts w:ascii="Arial" w:cs="Arial" w:eastAsia="Arial" w:hAnsi="Arial"/>
                <w:sz w:val="18"/>
                <w:szCs w:val="18"/>
                <w:b w:val="1"/>
                <w:bCs w:val="1"/>
                <w:color w:val="auto"/>
              </w:rPr>
              <w:t>Unaudited Pro Forma Condensed Combined Financial Information of Mereo BioPharma Group plc</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700" w:type="dxa"/>
            <w:vAlign w:val="bottom"/>
            <w:tcBorders>
              <w:bottom w:val="single" w:sz="8" w:color="0000EE"/>
            </w:tcBorders>
            <w:gridSpan w:val="23"/>
          </w:tcPr>
          <w:p>
            <w:pPr>
              <w:spacing w:after="0" w:line="176" w:lineRule="exact"/>
              <w:rPr>
                <w:rFonts w:ascii="Arial" w:cs="Arial" w:eastAsia="Arial" w:hAnsi="Arial"/>
                <w:sz w:val="18"/>
                <w:szCs w:val="18"/>
                <w:color w:val="0000EE"/>
                <w:w w:val="99"/>
              </w:rPr>
            </w:pPr>
            <w:hyperlink w:anchor="page391">
              <w:r>
                <w:rPr>
                  <w:rFonts w:ascii="Arial" w:cs="Arial" w:eastAsia="Arial" w:hAnsi="Arial"/>
                  <w:sz w:val="18"/>
                  <w:szCs w:val="18"/>
                  <w:color w:val="0000EE"/>
                  <w:w w:val="99"/>
                </w:rPr>
                <w:t>Unaudited Pro Forma Condensed Combined Statement of Operations for the year ended December 31, 2018</w:t>
              </w:r>
            </w:hyperlink>
          </w:p>
        </w:tc>
        <w:tc>
          <w:tcPr>
            <w:tcW w:w="16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F-107</w:t>
            </w:r>
          </w:p>
        </w:tc>
        <w:tc>
          <w:tcPr>
            <w:tcW w:w="0" w:type="dxa"/>
            <w:vAlign w:val="bottom"/>
          </w:tcPr>
          <w:p>
            <w:pPr>
              <w:spacing w:after="0"/>
              <w:rPr>
                <w:sz w:val="1"/>
                <w:szCs w:val="1"/>
                <w:color w:val="auto"/>
              </w:rPr>
            </w:pPr>
          </w:p>
        </w:tc>
      </w:tr>
      <w:tr>
        <w:trPr>
          <w:trHeight w:val="183"/>
        </w:trPr>
        <w:tc>
          <w:tcPr>
            <w:tcW w:w="10340" w:type="dxa"/>
            <w:vAlign w:val="bottom"/>
            <w:gridSpan w:val="24"/>
          </w:tcPr>
          <w:p>
            <w:pPr>
              <w:spacing w:after="0" w:line="182" w:lineRule="exact"/>
              <w:rPr>
                <w:rFonts w:ascii="Arial" w:cs="Arial" w:eastAsia="Arial" w:hAnsi="Arial"/>
                <w:sz w:val="18"/>
                <w:szCs w:val="18"/>
                <w:color w:val="0000EE"/>
              </w:rPr>
            </w:pPr>
            <w:hyperlink w:anchor="page392">
              <w:r>
                <w:rPr>
                  <w:rFonts w:ascii="Arial" w:cs="Arial" w:eastAsia="Arial" w:hAnsi="Arial"/>
                  <w:sz w:val="18"/>
                  <w:szCs w:val="18"/>
                  <w:color w:val="0000EE"/>
                </w:rPr>
                <w:t>Unaudited Pro Forma Condensed Combined Statement of Operations for the period ended June 30, 2019</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F-108</w:t>
            </w:r>
          </w:p>
        </w:tc>
        <w:tc>
          <w:tcPr>
            <w:tcW w:w="0" w:type="dxa"/>
            <w:vAlign w:val="bottom"/>
          </w:tcPr>
          <w:p>
            <w:pPr>
              <w:spacing w:after="0"/>
              <w:rPr>
                <w:sz w:val="1"/>
                <w:szCs w:val="1"/>
                <w:color w:val="auto"/>
              </w:rPr>
            </w:pPr>
          </w:p>
        </w:tc>
      </w:tr>
      <w:tr>
        <w:trPr>
          <w:trHeight w:val="183"/>
        </w:trPr>
        <w:tc>
          <w:tcPr>
            <w:tcW w:w="84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393">
              <w:r>
                <w:rPr>
                  <w:rFonts w:ascii="Arial" w:cs="Arial" w:eastAsia="Arial" w:hAnsi="Arial"/>
                  <w:sz w:val="18"/>
                  <w:szCs w:val="18"/>
                  <w:color w:val="0000EE"/>
                </w:rPr>
                <w:t>Note to the Unaudited Pro Forma Condensed Combined Statement of Operations</w:t>
              </w:r>
            </w:hyperlink>
          </w:p>
        </w:tc>
        <w:tc>
          <w:tcPr>
            <w:tcW w:w="1940" w:type="dxa"/>
            <w:vAlign w:val="bottom"/>
            <w:gridSpan w:val="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F-109</w:t>
            </w:r>
          </w:p>
        </w:tc>
        <w:tc>
          <w:tcPr>
            <w:tcW w:w="0" w:type="dxa"/>
            <w:vAlign w:val="bottom"/>
          </w:tcPr>
          <w:p>
            <w:pPr>
              <w:spacing w:after="0"/>
              <w:rPr>
                <w:sz w:val="1"/>
                <w:szCs w:val="1"/>
                <w:color w:val="auto"/>
              </w:rPr>
            </w:pPr>
          </w:p>
        </w:tc>
      </w:tr>
      <w:tr>
        <w:trPr>
          <w:trHeight w:val="372"/>
        </w:trPr>
        <w:tc>
          <w:tcPr>
            <w:tcW w:w="1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gridSpan w:val="4"/>
          </w:tcPr>
          <w:p>
            <w:pPr>
              <w:ind w:left="220"/>
              <w:spacing w:after="0"/>
              <w:rPr>
                <w:sz w:val="20"/>
                <w:szCs w:val="20"/>
                <w:color w:val="auto"/>
              </w:rPr>
            </w:pPr>
            <w:r>
              <w:rPr>
                <w:rFonts w:ascii="Arial" w:cs="Arial" w:eastAsia="Arial" w:hAnsi="Arial"/>
                <w:sz w:val="18"/>
                <w:szCs w:val="18"/>
                <w:color w:val="auto"/>
              </w:rPr>
              <w:t>F-1</w:t>
            </w:r>
          </w:p>
        </w:tc>
        <w:tc>
          <w:tcPr>
            <w:tcW w:w="386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6260" w:type="dxa"/>
            <w:vAlign w:val="bottom"/>
          </w:tcPr>
          <w:p>
            <w:pPr>
              <w:spacing w:after="0"/>
              <w:rPr>
                <w:sz w:val="15"/>
                <w:szCs w:val="15"/>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Notes</w:t>
            </w:r>
          </w:p>
        </w:tc>
        <w:tc>
          <w:tcPr>
            <w:tcW w:w="28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8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tcBorders>
              <w:top w:val="single" w:sz="8" w:color="auto"/>
              <w:bottom w:val="single" w:sz="8" w:color="auto"/>
            </w:tcBorders>
            <w:gridSpan w:val="3"/>
          </w:tcPr>
          <w:p>
            <w:pPr>
              <w:jc w:val="right"/>
              <w:ind w:right="813"/>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Borders>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(in £)</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(11,918,484)</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(10,864,310)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(22,703,553)</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Administrative expenses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(6,461,759)</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(7,101,760)</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(12,504,887)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(18,380,243)</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(17,966,070)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(35,208,440)</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Net income recognised on acquisition of subsidiary</w:t>
            </w:r>
          </w:p>
        </w:tc>
        <w:tc>
          <w:tcPr>
            <w:tcW w:w="440" w:type="dxa"/>
            <w:vAlign w:val="bottom"/>
          </w:tcPr>
          <w:p>
            <w:pPr>
              <w:jc w:val="right"/>
              <w:ind w:right="99"/>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1,035,379</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137,014</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151,467</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306,831</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(1,454,222)</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(1,587,150)</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(2,360,648)</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(20,127)</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49,305</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Loss before tax</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(18,682,199)</w:t>
            </w:r>
          </w:p>
        </w:tc>
        <w:tc>
          <w:tcPr>
            <w:tcW w:w="340" w:type="dxa"/>
            <w:vAlign w:val="bottom"/>
            <w:vMerge w:val="continue"/>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(19,352,448)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(37,306,120)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2,458,567</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2,364,904</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5,277,380</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Loss for the period, attributable to equity holders of the parent</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(16,223,632)</w:t>
            </w:r>
          </w:p>
        </w:tc>
        <w:tc>
          <w:tcPr>
            <w:tcW w:w="340" w:type="dxa"/>
            <w:vAlign w:val="bottom"/>
            <w:vMerge w:val="continue"/>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(16,987,544)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(32,028,740)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and diluted loss per share for the period</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(0.22)</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(0.24)</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rPr>
          <w:sz w:val="20"/>
          <w:szCs w:val="20"/>
          <w:color w:val="auto"/>
        </w:rPr>
      </w:pPr>
      <w:r>
        <w:rPr>
          <w:rFonts w:ascii="Arial" w:cs="Arial" w:eastAsia="Arial" w:hAnsi="Arial"/>
          <w:sz w:val="18"/>
          <w:szCs w:val="18"/>
          <w:b w:val="1"/>
          <w:bCs w:val="1"/>
          <w:color w:val="auto"/>
        </w:rPr>
        <w:t>Other comprehensive income/(loss)</w:t>
      </w:r>
    </w:p>
    <w:p>
      <w:pPr>
        <w:spacing w:after="0" w:line="8" w:lineRule="exact"/>
        <w:rPr>
          <w:sz w:val="20"/>
          <w:szCs w:val="20"/>
          <w:color w:val="auto"/>
        </w:rPr>
      </w:pPr>
    </w:p>
    <w:p>
      <w:pPr>
        <w:ind w:left="120" w:right="840"/>
        <w:spacing w:after="0" w:line="273" w:lineRule="auto"/>
        <w:rPr>
          <w:sz w:val="20"/>
          <w:szCs w:val="20"/>
          <w:color w:val="auto"/>
        </w:rPr>
      </w:pPr>
      <w:r>
        <w:rPr>
          <w:rFonts w:ascii="Arial" w:cs="Arial" w:eastAsia="Arial" w:hAnsi="Arial"/>
          <w:sz w:val="17"/>
          <w:szCs w:val="17"/>
          <w:i w:val="1"/>
          <w:iCs w:val="1"/>
          <w:color w:val="auto"/>
        </w:rPr>
        <w:t xml:space="preserve">Items that may be subsequently reclassified to the income statement </w:t>
      </w:r>
      <w:r>
        <w:rPr>
          <w:rFonts w:ascii="Arial" w:cs="Arial" w:eastAsia="Arial" w:hAnsi="Arial"/>
          <w:sz w:val="17"/>
          <w:szCs w:val="17"/>
          <w:color w:val="auto"/>
        </w:rPr>
        <w:t>Fair value changes on investments held at fair value through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-281305</wp:posOffset>
            </wp:positionV>
            <wp:extent cx="6995160" cy="1289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Currency translation of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right="320" w:hanging="179"/>
        <w:spacing w:after="0" w:line="271" w:lineRule="auto"/>
        <w:rPr>
          <w:sz w:val="20"/>
          <w:szCs w:val="20"/>
          <w:color w:val="auto"/>
        </w:rPr>
      </w:pPr>
      <w:r>
        <w:rPr>
          <w:rFonts w:ascii="Arial" w:cs="Arial" w:eastAsia="Arial" w:hAnsi="Arial"/>
          <w:sz w:val="18"/>
          <w:szCs w:val="18"/>
          <w:b w:val="1"/>
          <w:bCs w:val="1"/>
          <w:color w:val="auto"/>
        </w:rPr>
        <w:t>Total comprehensive loss for the period, attributable to equity holders of the parent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420"/>
        <w:spacing w:after="0"/>
        <w:tabs>
          <w:tab w:leader="none" w:pos="2100" w:val="left"/>
          <w:tab w:leader="none" w:pos="3560" w:val="left"/>
        </w:tabs>
        <w:rPr>
          <w:sz w:val="20"/>
          <w:szCs w:val="20"/>
          <w:color w:val="auto"/>
        </w:rPr>
      </w:pPr>
      <w:r>
        <w:rPr>
          <w:rFonts w:ascii="Arial" w:cs="Arial" w:eastAsia="Arial" w:hAnsi="Arial"/>
          <w:sz w:val="18"/>
          <w:szCs w:val="18"/>
          <w:b w:val="1"/>
          <w:bCs w:val="1"/>
          <w:color w:val="auto"/>
        </w:rPr>
        <w:t>88,033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11430</wp:posOffset>
            </wp:positionV>
            <wp:extent cx="252031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6" w:lineRule="exact"/>
        <w:rPr>
          <w:sz w:val="20"/>
          <w:szCs w:val="20"/>
          <w:color w:val="auto"/>
        </w:rPr>
      </w:pPr>
    </w:p>
    <w:p>
      <w:pPr>
        <w:ind w:left="320"/>
        <w:spacing w:after="0"/>
        <w:tabs>
          <w:tab w:leader="none" w:pos="2100" w:val="left"/>
          <w:tab w:leader="none" w:pos="3560" w:val="left"/>
        </w:tabs>
        <w:rPr>
          <w:sz w:val="20"/>
          <w:szCs w:val="20"/>
          <w:color w:val="auto"/>
        </w:rPr>
      </w:pPr>
      <w:r>
        <w:rPr>
          <w:rFonts w:ascii="Arial" w:cs="Arial" w:eastAsia="Arial" w:hAnsi="Arial"/>
          <w:sz w:val="18"/>
          <w:szCs w:val="18"/>
          <w:b w:val="1"/>
          <w:bCs w:val="1"/>
          <w:color w:val="auto"/>
        </w:rPr>
        <w:t>710,830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11430</wp:posOffset>
            </wp:positionV>
            <wp:extent cx="252031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5" w:lineRule="exact"/>
        <w:rPr>
          <w:sz w:val="20"/>
          <w:szCs w:val="20"/>
          <w:color w:val="auto"/>
        </w:rPr>
      </w:pPr>
    </w:p>
    <w:p>
      <w:pPr>
        <w:spacing w:after="0"/>
        <w:tabs>
          <w:tab w:leader="none" w:pos="1420" w:val="left"/>
          <w:tab w:leader="none" w:pos="2880" w:val="left"/>
        </w:tabs>
        <w:rPr>
          <w:sz w:val="20"/>
          <w:szCs w:val="20"/>
          <w:color w:val="auto"/>
        </w:rPr>
      </w:pPr>
      <w:r>
        <w:rPr>
          <w:rFonts w:ascii="Arial" w:cs="Arial" w:eastAsia="Arial" w:hAnsi="Arial"/>
          <w:sz w:val="18"/>
          <w:szCs w:val="18"/>
          <w:b w:val="1"/>
          <w:bCs w:val="1"/>
          <w:u w:val="single" w:color="auto"/>
          <w:color w:val="auto"/>
        </w:rPr>
        <w:t>(15,424,769</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u w:val="single" w:color="auto"/>
          <w:color w:val="auto"/>
        </w:rPr>
        <w:t>(16,987,544</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(32,028,740)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11430</wp:posOffset>
            </wp:positionV>
            <wp:extent cx="252031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2520315" cy="26035"/>
                    </a:xfrm>
                    <a:prstGeom prst="rect">
                      <a:avLst/>
                    </a:prstGeom>
                    <a:noFill/>
                  </pic:spPr>
                </pic:pic>
              </a:graphicData>
            </a:graphic>
          </wp:anchor>
        </w:drawing>
      </w:r>
    </w:p>
    <w:p>
      <w:pPr>
        <w:sectPr>
          <w:pgSz w:w="11900" w:h="16838" w:orient="portrait"/>
          <w:cols w:equalWidth="0" w:num="2">
            <w:col w:w="6420" w:space="720"/>
            <w:col w:w="4000"/>
          </w:cols>
          <w:pgMar w:left="320" w:top="459" w:right="439" w:bottom="1440" w:gutter="0" w:footer="0" w:header="0"/>
          <w:type w:val="continuous"/>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at June 30,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3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 June 30,</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Borders>
              <w:top w:val="single" w:sz="8" w:color="auto"/>
              <w:bottom w:val="single" w:sz="8" w:color="auto"/>
            </w:tcBorders>
            <w:gridSpan w:val="3"/>
          </w:tcPr>
          <w:p>
            <w:pPr>
              <w:jc w:val="center"/>
              <w:ind w:left="912"/>
              <w:spacing w:after="0" w:line="155" w:lineRule="exact"/>
              <w:rPr>
                <w:sz w:val="20"/>
                <w:szCs w:val="20"/>
                <w:color w:val="auto"/>
              </w:rPr>
            </w:pPr>
            <w:r>
              <w:rPr>
                <w:rFonts w:ascii="Arial" w:cs="Arial" w:eastAsia="Arial" w:hAnsi="Arial"/>
                <w:sz w:val="14"/>
                <w:szCs w:val="14"/>
                <w:b w:val="1"/>
                <w:bCs w:val="1"/>
                <w:color w:val="auto"/>
              </w:rPr>
              <w:t>Unaudited</w:t>
            </w:r>
          </w:p>
        </w:tc>
        <w:tc>
          <w:tcPr>
            <w:tcW w:w="100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Audited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(in £)</w:t>
            </w: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160" w:type="dxa"/>
            <w:vAlign w:val="bottom"/>
            <w:gridSpan w:val="2"/>
            <w:shd w:val="clear" w:color="auto" w:fill="CCEEFF"/>
          </w:tcPr>
          <w:p>
            <w:pPr>
              <w:jc w:val="center"/>
              <w:ind w:left="1650"/>
              <w:spacing w:after="0" w:line="202" w:lineRule="exact"/>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13,100,261</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151,996</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148,935</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45,156,708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32,690,229</w:t>
            </w:r>
          </w:p>
        </w:tc>
        <w:tc>
          <w:tcPr>
            <w:tcW w:w="340" w:type="dxa"/>
            <w:vAlign w:val="bottom"/>
          </w:tcPr>
          <w:p>
            <w:pPr>
              <w:spacing w:after="0"/>
              <w:rPr>
                <w:sz w:val="17"/>
                <w:szCs w:val="17"/>
                <w:color w:val="auto"/>
              </w:rPr>
            </w:pP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32,632,229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58,256,969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32,842,225</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32,781,164</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3,068,326</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1,225,744</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1,066,932</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7,744,634</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10,516,989</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5,277,380</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1,953,886</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584,821</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608,893</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7,828,066</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2,500,000</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28,289,504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34,412,363</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25,041,945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48,884,416</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49,239,917</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34,495,150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107,141,385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82,082,142</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67,276,314</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293,879</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213,435</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213,721</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2160" w:type="dxa"/>
            <w:vAlign w:val="bottom"/>
            <w:gridSpan w:val="2"/>
            <w:shd w:val="clear" w:color="auto" w:fill="CCEEFF"/>
          </w:tcPr>
          <w:p>
            <w:pPr>
              <w:jc w:val="center"/>
              <w:ind w:left="1650"/>
              <w:spacing w:after="0" w:line="202" w:lineRule="exact"/>
              <w:rPr>
                <w:sz w:val="20"/>
                <w:szCs w:val="20"/>
                <w:color w:val="auto"/>
              </w:rPr>
            </w:pPr>
            <w:r>
              <w:rPr>
                <w:rFonts w:ascii="Arial" w:cs="Arial" w:eastAsia="Arial" w:hAnsi="Arial"/>
                <w:sz w:val="18"/>
                <w:szCs w:val="18"/>
                <w:color w:val="auto"/>
                <w:w w:val="99"/>
              </w:rPr>
              <w:t>8</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121,684,154</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118,369,523</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118,492,073</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58,003,847</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17,746,031</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18,592,618</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 Trust shares</w:t>
            </w:r>
          </w:p>
        </w:tc>
        <w:tc>
          <w:tcPr>
            <w:tcW w:w="2160" w:type="dxa"/>
            <w:vAlign w:val="bottom"/>
            <w:gridSpan w:val="2"/>
            <w:shd w:val="clear" w:color="auto" w:fill="CCEEFF"/>
          </w:tcPr>
          <w:p>
            <w:pPr>
              <w:jc w:val="center"/>
              <w:ind w:left="1670"/>
              <w:spacing w:after="0" w:line="202" w:lineRule="exact"/>
              <w:rPr>
                <w:sz w:val="20"/>
                <w:szCs w:val="20"/>
                <w:color w:val="auto"/>
              </w:rPr>
            </w:pPr>
            <w:r>
              <w:rPr>
                <w:rFonts w:ascii="Arial" w:cs="Arial" w:eastAsia="Arial" w:hAnsi="Arial"/>
                <w:sz w:val="18"/>
                <w:szCs w:val="18"/>
                <w:color w:val="auto"/>
                <w:w w:val="99"/>
              </w:rPr>
              <w:t>11</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(1,304,842)</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(306,838)</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Other reserves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7,000,000</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7,000,000</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loss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(127,356,393)</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(96,179,599)</w:t>
            </w: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(111,220,794)</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Translation reserve</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710,830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59,031,475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47,149,390</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32,770,780</w:t>
            </w:r>
          </w:p>
        </w:tc>
        <w:tc>
          <w:tcPr>
            <w:tcW w:w="0" w:type="dxa"/>
            <w:vAlign w:val="bottom"/>
          </w:tcPr>
          <w:p>
            <w:pPr>
              <w:spacing w:after="0"/>
              <w:rPr>
                <w:sz w:val="1"/>
                <w:szCs w:val="1"/>
                <w:color w:val="auto"/>
              </w:rPr>
            </w:pPr>
          </w:p>
        </w:tc>
      </w:tr>
      <w:tr>
        <w:trPr>
          <w:trHeight w:val="318"/>
        </w:trPr>
        <w:tc>
          <w:tcPr>
            <w:tcW w:w="42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2160" w:type="dxa"/>
            <w:vAlign w:val="bottom"/>
            <w:gridSpan w:val="2"/>
            <w:shd w:val="clear" w:color="auto" w:fill="CCEEFF"/>
          </w:tcPr>
          <w:p>
            <w:pPr>
              <w:jc w:val="center"/>
              <w:ind w:left="1650"/>
              <w:spacing w:after="0" w:line="202" w:lineRule="exact"/>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1,926,916</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3,993,058</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2,641,353</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11,720,999</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15,260,753</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14,646.753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34,289</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34,289</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2160" w:type="dxa"/>
            <w:vAlign w:val="bottom"/>
            <w:gridSpan w:val="2"/>
          </w:tcPr>
          <w:p>
            <w:pPr>
              <w:jc w:val="center"/>
              <w:ind w:left="1670"/>
              <w:spacing w:after="0" w:line="202" w:lineRule="exact"/>
              <w:rPr>
                <w:sz w:val="20"/>
                <w:szCs w:val="20"/>
                <w:color w:val="auto"/>
              </w:rPr>
            </w:pPr>
            <w:r>
              <w:rPr>
                <w:rFonts w:ascii="Arial" w:cs="Arial" w:eastAsia="Arial" w:hAnsi="Arial"/>
                <w:sz w:val="18"/>
                <w:szCs w:val="18"/>
                <w:color w:val="auto"/>
                <w:w w:val="99"/>
              </w:rPr>
              <w:t>10</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225,473</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1,534,964</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1,005,613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liability</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13,138,521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27,046,198</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20,788,775</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18,328,008</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6,758,235</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4,983,626</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4,570,307</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5,960,684</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3,222,982</w:t>
            </w: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4,437,321</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2160" w:type="dxa"/>
            <w:vAlign w:val="bottom"/>
            <w:gridSpan w:val="2"/>
          </w:tcPr>
          <w:p>
            <w:pPr>
              <w:jc w:val="center"/>
              <w:ind w:left="1650"/>
              <w:spacing w:after="0" w:line="202" w:lineRule="exact"/>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333,556</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293,000</w:t>
            </w: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332,014</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2160" w:type="dxa"/>
            <w:vAlign w:val="bottom"/>
            <w:gridSpan w:val="2"/>
            <w:shd w:val="clear" w:color="auto" w:fill="CCEEFF"/>
          </w:tcPr>
          <w:p>
            <w:pPr>
              <w:jc w:val="center"/>
              <w:ind w:left="1650"/>
              <w:spacing w:after="0" w:line="202" w:lineRule="exact"/>
              <w:rPr>
                <w:sz w:val="20"/>
                <w:szCs w:val="20"/>
                <w:color w:val="auto"/>
              </w:rPr>
            </w:pPr>
            <w:r>
              <w:rPr>
                <w:rFonts w:ascii="Arial" w:cs="Arial" w:eastAsia="Arial" w:hAnsi="Arial"/>
                <w:sz w:val="18"/>
                <w:szCs w:val="18"/>
                <w:color w:val="auto"/>
                <w:w w:val="99"/>
              </w:rPr>
              <w:t>7</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8,011,237</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5,644,369</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6,837,884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21,063,712</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14,143,977</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16,177,526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1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48,109,910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34,932,752</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34,505,534</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Total equity and liabilities</w:t>
            </w: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107,141,385</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82,082,142</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67,276,314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80" w:type="dxa"/>
            <w:vAlign w:val="bottom"/>
            <w:gridSpan w:val="3"/>
            <w:vMerge w:val="restart"/>
          </w:tcPr>
          <w:p>
            <w:pPr>
              <w:ind w:left="1160"/>
              <w:spacing w:after="0"/>
              <w:rPr>
                <w:sz w:val="20"/>
                <w:szCs w:val="20"/>
                <w:color w:val="auto"/>
              </w:rPr>
            </w:pPr>
            <w:r>
              <w:rPr>
                <w:rFonts w:ascii="Arial" w:cs="Arial" w:eastAsia="Arial" w:hAnsi="Arial"/>
                <w:sz w:val="18"/>
                <w:szCs w:val="18"/>
                <w:color w:val="auto"/>
              </w:rPr>
              <w:t>F-3</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38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Six months ended</w:t>
            </w:r>
          </w:p>
        </w:tc>
        <w:tc>
          <w:tcPr>
            <w:tcW w:w="18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June 30, 2019</w:t>
            </w:r>
          </w:p>
        </w:tc>
        <w:tc>
          <w:tcPr>
            <w:tcW w:w="18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June 30, 2018</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Unaudited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Notes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Operating activities</w:t>
            </w:r>
          </w:p>
        </w:tc>
        <w:tc>
          <w:tcPr>
            <w:tcW w:w="4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Loss before tax</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600"/>
              <w:spacing w:after="0" w:line="162" w:lineRule="exact"/>
              <w:rPr>
                <w:sz w:val="20"/>
                <w:szCs w:val="20"/>
                <w:color w:val="auto"/>
              </w:rPr>
            </w:pPr>
            <w:r>
              <w:rPr>
                <w:rFonts w:ascii="Arial" w:cs="Arial" w:eastAsia="Arial" w:hAnsi="Arial"/>
                <w:sz w:val="15"/>
                <w:szCs w:val="15"/>
                <w:b w:val="1"/>
                <w:bCs w:val="1"/>
                <w:color w:val="auto"/>
              </w:rPr>
              <w:t>(18,682,199)</w:t>
            </w:r>
          </w:p>
        </w:tc>
        <w:tc>
          <w:tcPr>
            <w:tcW w:w="188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(19,352,448)</w:t>
            </w:r>
          </w:p>
        </w:tc>
        <w:tc>
          <w:tcPr>
            <w:tcW w:w="14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(37,306,120)</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Adjustments to reconcile loss before tax to net cash flows from</w:t>
            </w: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rPr>
              <w:t>operating activities: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20" w:type="dxa"/>
            <w:vAlign w:val="bottom"/>
          </w:tcPr>
          <w:p>
            <w:pPr>
              <w:spacing w:after="0" w:line="159" w:lineRule="exact"/>
              <w:rPr>
                <w:sz w:val="20"/>
                <w:szCs w:val="20"/>
                <w:color w:val="auto"/>
              </w:rPr>
            </w:pPr>
            <w:r>
              <w:rPr>
                <w:rFonts w:ascii="Arial" w:cs="Arial" w:eastAsia="Arial" w:hAnsi="Arial"/>
                <w:sz w:val="15"/>
                <w:szCs w:val="15"/>
                <w:color w:val="auto"/>
              </w:rPr>
              <w:t>– Depreciation and impairment of property, plant and</w:t>
            </w: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auto"/>
              </w:rPr>
              <w:t>724,221</w:t>
            </w: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tcPr>
          <w:p>
            <w:pPr>
              <w:ind w:left="140"/>
              <w:spacing w:after="0" w:line="166" w:lineRule="exact"/>
              <w:rPr>
                <w:sz w:val="20"/>
                <w:szCs w:val="20"/>
                <w:color w:val="auto"/>
              </w:rPr>
            </w:pPr>
            <w:r>
              <w:rPr>
                <w:rFonts w:ascii="Arial" w:cs="Arial" w:eastAsia="Arial" w:hAnsi="Arial"/>
                <w:sz w:val="15"/>
                <w:szCs w:val="15"/>
                <w:color w:val="auto"/>
              </w:rPr>
              <w:t>equipment</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gridSpan w:val="2"/>
          </w:tcPr>
          <w:p>
            <w:pPr>
              <w:jc w:val="right"/>
              <w:ind w:right="640"/>
              <w:spacing w:after="0" w:line="166" w:lineRule="exact"/>
              <w:rPr>
                <w:sz w:val="20"/>
                <w:szCs w:val="20"/>
                <w:color w:val="auto"/>
              </w:rPr>
            </w:pPr>
            <w:r>
              <w:rPr>
                <w:rFonts w:ascii="Arial" w:cs="Arial" w:eastAsia="Arial" w:hAnsi="Arial"/>
                <w:sz w:val="15"/>
                <w:szCs w:val="15"/>
                <w:color w:val="auto"/>
              </w:rPr>
              <w:t>20,196</w:t>
            </w:r>
          </w:p>
        </w:tc>
        <w:tc>
          <w:tcPr>
            <w:tcW w:w="140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37,796</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 Share-based payment expense</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b w:val="1"/>
                <w:bCs w:val="1"/>
                <w:color w:val="auto"/>
              </w:rPr>
              <w:t>492,801</w:t>
            </w:r>
          </w:p>
        </w:tc>
        <w:tc>
          <w:tcPr>
            <w:tcW w:w="64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640"/>
              <w:spacing w:after="0" w:line="162" w:lineRule="exact"/>
              <w:rPr>
                <w:sz w:val="20"/>
                <w:szCs w:val="20"/>
                <w:color w:val="auto"/>
              </w:rPr>
            </w:pPr>
            <w:r>
              <w:rPr>
                <w:rFonts w:ascii="Arial" w:cs="Arial" w:eastAsia="Arial" w:hAnsi="Arial"/>
                <w:sz w:val="15"/>
                <w:szCs w:val="15"/>
                <w:color w:val="auto"/>
              </w:rPr>
              <w:t>1,386,862</w:t>
            </w:r>
          </w:p>
        </w:tc>
        <w:tc>
          <w:tcPr>
            <w:tcW w:w="14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2,189,293</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Net foreign exchange (gain)/loss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20,127</w:t>
            </w:r>
          </w:p>
        </w:tc>
        <w:tc>
          <w:tcPr>
            <w:tcW w:w="640" w:type="dxa"/>
            <w:vAlign w:val="bottom"/>
          </w:tcPr>
          <w:p>
            <w:pPr>
              <w:spacing w:after="0"/>
              <w:rPr>
                <w:sz w:val="14"/>
                <w:szCs w:val="14"/>
                <w:color w:val="auto"/>
              </w:rPr>
            </w:pPr>
          </w:p>
        </w:tc>
        <w:tc>
          <w:tcPr>
            <w:tcW w:w="188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(49,305)</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43,863</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 Provision for social security contributions on employee share</w:t>
            </w: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900" w:type="dxa"/>
            <w:vAlign w:val="bottom"/>
            <w:gridSpan w:val="3"/>
            <w:vMerge w:val="restart"/>
            <w:shd w:val="clear" w:color="auto" w:fill="CCEEFF"/>
          </w:tcPr>
          <w:p>
            <w:pPr>
              <w:jc w:val="right"/>
              <w:ind w:right="600"/>
              <w:spacing w:after="0"/>
              <w:rPr>
                <w:sz w:val="20"/>
                <w:szCs w:val="20"/>
                <w:color w:val="auto"/>
              </w:rPr>
            </w:pPr>
            <w:r>
              <w:rPr>
                <w:rFonts w:ascii="Arial" w:cs="Arial" w:eastAsia="Arial" w:hAnsi="Arial"/>
                <w:sz w:val="15"/>
                <w:szCs w:val="15"/>
                <w:b w:val="1"/>
                <w:bCs w:val="1"/>
                <w:color w:val="auto"/>
              </w:rPr>
              <w:t>(722,895)</w:t>
            </w:r>
          </w:p>
        </w:tc>
        <w:tc>
          <w:tcPr>
            <w:tcW w:w="1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rPr>
              <w:t>options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vMerge w:val="continue"/>
            <w:shd w:val="clear" w:color="auto" w:fill="CCEEFF"/>
          </w:tcPr>
          <w:p>
            <w:pPr>
              <w:spacing w:after="0"/>
              <w:rPr>
                <w:sz w:val="14"/>
                <w:szCs w:val="14"/>
                <w:color w:val="auto"/>
              </w:rPr>
            </w:pPr>
          </w:p>
        </w:tc>
        <w:tc>
          <w:tcPr>
            <w:tcW w:w="1880" w:type="dxa"/>
            <w:vAlign w:val="bottom"/>
            <w:gridSpan w:val="2"/>
            <w:shd w:val="clear" w:color="auto" w:fill="CCEEFF"/>
          </w:tcPr>
          <w:p>
            <w:pPr>
              <w:jc w:val="right"/>
              <w:ind w:right="640"/>
              <w:spacing w:after="0" w:line="166" w:lineRule="exact"/>
              <w:rPr>
                <w:sz w:val="20"/>
                <w:szCs w:val="20"/>
                <w:color w:val="auto"/>
              </w:rPr>
            </w:pPr>
            <w:r>
              <w:rPr>
                <w:rFonts w:ascii="Arial" w:cs="Arial" w:eastAsia="Arial" w:hAnsi="Arial"/>
                <w:sz w:val="15"/>
                <w:szCs w:val="15"/>
                <w:color w:val="auto"/>
              </w:rPr>
              <w:t>29,672</w:t>
            </w:r>
          </w:p>
        </w:tc>
        <w:tc>
          <w:tcPr>
            <w:tcW w:w="140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(1,446,019)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Provision for deferred cash consideration</w:t>
            </w:r>
          </w:p>
        </w:tc>
        <w:tc>
          <w:tcPr>
            <w:tcW w:w="102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9</w:t>
            </w: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179,000</w:t>
            </w:r>
          </w:p>
        </w:tc>
        <w:tc>
          <w:tcPr>
            <w:tcW w:w="640" w:type="dxa"/>
            <w:vAlign w:val="bottom"/>
          </w:tcPr>
          <w:p>
            <w:pPr>
              <w:spacing w:after="0"/>
              <w:rPr>
                <w:sz w:val="14"/>
                <w:szCs w:val="14"/>
                <w:color w:val="auto"/>
              </w:rPr>
            </w:pP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222,000</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443,000</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 Interest earned</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(137,014)</w:t>
            </w: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(151,467)</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(306,831)</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Finance Charges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1,275,222</w:t>
            </w:r>
          </w:p>
        </w:tc>
        <w:tc>
          <w:tcPr>
            <w:tcW w:w="640" w:type="dxa"/>
            <w:vAlign w:val="bottom"/>
          </w:tcPr>
          <w:p>
            <w:pPr>
              <w:spacing w:after="0"/>
              <w:rPr>
                <w:sz w:val="14"/>
                <w:szCs w:val="14"/>
                <w:color w:val="auto"/>
              </w:rPr>
            </w:pP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1,005,253</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1,917,649</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 Modification loss on bank loan</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shd w:val="clear" w:color="auto" w:fill="CCEEFF"/>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730,037</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Gain on bargain purchase</w:t>
            </w:r>
          </w:p>
        </w:tc>
        <w:tc>
          <w:tcPr>
            <w:tcW w:w="102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4</w:t>
            </w:r>
          </w:p>
        </w:tc>
        <w:tc>
          <w:tcPr>
            <w:tcW w:w="1900" w:type="dxa"/>
            <w:vAlign w:val="bottom"/>
            <w:gridSpan w:val="3"/>
          </w:tcPr>
          <w:p>
            <w:pPr>
              <w:jc w:val="right"/>
              <w:ind w:right="600"/>
              <w:spacing w:after="0" w:line="162" w:lineRule="exact"/>
              <w:rPr>
                <w:sz w:val="20"/>
                <w:szCs w:val="20"/>
                <w:color w:val="auto"/>
              </w:rPr>
            </w:pPr>
            <w:r>
              <w:rPr>
                <w:rFonts w:ascii="Arial" w:cs="Arial" w:eastAsia="Arial" w:hAnsi="Arial"/>
                <w:sz w:val="15"/>
                <w:szCs w:val="15"/>
                <w:b w:val="1"/>
                <w:bCs w:val="1"/>
                <w:color w:val="auto"/>
              </w:rPr>
              <w:t>(3,680,053)</w:t>
            </w: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Working capital adjustments: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 (Increase) / decrease in trade and other receivables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600"/>
              <w:spacing w:after="0" w:line="162" w:lineRule="exact"/>
              <w:rPr>
                <w:sz w:val="20"/>
                <w:szCs w:val="20"/>
                <w:color w:val="auto"/>
              </w:rPr>
            </w:pPr>
            <w:r>
              <w:rPr>
                <w:rFonts w:ascii="Arial" w:cs="Arial" w:eastAsia="Arial" w:hAnsi="Arial"/>
                <w:sz w:val="15"/>
                <w:szCs w:val="15"/>
                <w:b w:val="1"/>
                <w:bCs w:val="1"/>
                <w:color w:val="auto"/>
              </w:rPr>
              <w:t>(1,483,344)</w:t>
            </w: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720,819</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804,306</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 Increase / (decrease) in trade and other payables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(5,619,217)</w:t>
            </w:r>
          </w:p>
        </w:tc>
        <w:tc>
          <w:tcPr>
            <w:tcW w:w="1880" w:type="dxa"/>
            <w:vAlign w:val="bottom"/>
            <w:gridSpan w:val="2"/>
            <w:shd w:val="clear" w:color="auto" w:fill="CCEEFF"/>
          </w:tcPr>
          <w:p>
            <w:pPr>
              <w:jc w:val="right"/>
              <w:ind w:right="640"/>
              <w:spacing w:after="0" w:line="162" w:lineRule="exact"/>
              <w:rPr>
                <w:sz w:val="20"/>
                <w:szCs w:val="20"/>
                <w:color w:val="auto"/>
              </w:rPr>
            </w:pPr>
            <w:r>
              <w:rPr>
                <w:rFonts w:ascii="Arial" w:cs="Arial" w:eastAsia="Arial" w:hAnsi="Arial"/>
                <w:sz w:val="15"/>
                <w:szCs w:val="15"/>
                <w:color w:val="auto"/>
              </w:rPr>
              <w:t>1,137,082</w:t>
            </w:r>
          </w:p>
        </w:tc>
        <w:tc>
          <w:tcPr>
            <w:tcW w:w="14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1,603,828</w:t>
            </w:r>
          </w:p>
        </w:tc>
        <w:tc>
          <w:tcPr>
            <w:tcW w:w="0" w:type="dxa"/>
            <w:vAlign w:val="bottom"/>
          </w:tcPr>
          <w:p>
            <w:pPr>
              <w:spacing w:after="0"/>
              <w:rPr>
                <w:sz w:val="1"/>
                <w:szCs w:val="1"/>
                <w:color w:val="auto"/>
              </w:rPr>
            </w:pPr>
          </w:p>
        </w:tc>
      </w:tr>
      <w:tr>
        <w:trPr>
          <w:trHeight w:val="169"/>
        </w:trPr>
        <w:tc>
          <w:tcPr>
            <w:tcW w:w="4820" w:type="dxa"/>
            <w:vAlign w:val="bottom"/>
          </w:tcPr>
          <w:p>
            <w:pPr>
              <w:spacing w:after="0" w:line="162" w:lineRule="exact"/>
              <w:rPr>
                <w:sz w:val="20"/>
                <w:szCs w:val="20"/>
                <w:color w:val="auto"/>
              </w:rPr>
            </w:pPr>
            <w:r>
              <w:rPr>
                <w:rFonts w:ascii="Arial" w:cs="Arial" w:eastAsia="Arial" w:hAnsi="Arial"/>
                <w:sz w:val="15"/>
                <w:szCs w:val="15"/>
                <w:color w:val="auto"/>
              </w:rPr>
              <w:t>– Tax received</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660" w:type="dxa"/>
            <w:vAlign w:val="bottom"/>
            <w:gridSpan w:val="2"/>
          </w:tcPr>
          <w:p>
            <w:pPr>
              <w:spacing w:after="0"/>
              <w:rPr>
                <w:sz w:val="14"/>
                <w:szCs w:val="14"/>
                <w:color w:val="auto"/>
              </w:rPr>
            </w:pPr>
          </w:p>
        </w:tc>
        <w:tc>
          <w:tcPr>
            <w:tcW w:w="1240" w:type="dxa"/>
            <w:vAlign w:val="bottom"/>
            <w:tcBorders>
              <w:bottom w:val="single" w:sz="8" w:color="auto"/>
            </w:tcBorders>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spacing w:after="0"/>
              <w:rPr>
                <w:sz w:val="14"/>
                <w:szCs w:val="14"/>
                <w:color w:val="auto"/>
              </w:rPr>
            </w:pPr>
          </w:p>
        </w:tc>
        <w:tc>
          <w:tcPr>
            <w:tcW w:w="13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8,152,085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flows from operating activities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(27,633,350)</w:t>
            </w: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(15,031,336)</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(23,137,113)</w:t>
            </w:r>
          </w:p>
        </w:tc>
        <w:tc>
          <w:tcPr>
            <w:tcW w:w="0" w:type="dxa"/>
            <w:vAlign w:val="bottom"/>
          </w:tcPr>
          <w:p>
            <w:pPr>
              <w:spacing w:after="0"/>
              <w:rPr>
                <w:sz w:val="1"/>
                <w:szCs w:val="1"/>
                <w:color w:val="auto"/>
              </w:rPr>
            </w:pP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property, plant and equipment</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(19,917)</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(35,536)</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Purchase of license</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Disposal of property, plant and equipment</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shd w:val="clear" w:color="auto" w:fill="CCEEFF"/>
          </w:tcPr>
          <w:p>
            <w:pPr>
              <w:jc w:val="right"/>
              <w:ind w:right="640"/>
              <w:spacing w:after="0" w:line="162" w:lineRule="exact"/>
              <w:rPr>
                <w:sz w:val="20"/>
                <w:szCs w:val="20"/>
                <w:color w:val="auto"/>
              </w:rPr>
            </w:pPr>
            <w:r>
              <w:rPr>
                <w:rFonts w:ascii="Arial" w:cs="Arial" w:eastAsia="Arial" w:hAnsi="Arial"/>
                <w:sz w:val="15"/>
                <w:szCs w:val="15"/>
                <w:color w:val="auto"/>
              </w:rPr>
              <w:t>1,084</w:t>
            </w:r>
          </w:p>
        </w:tc>
        <w:tc>
          <w:tcPr>
            <w:tcW w:w="14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2,166</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Proceeds from sale of short-term investments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12,463,487</w:t>
            </w:r>
          </w:p>
        </w:tc>
        <w:tc>
          <w:tcPr>
            <w:tcW w:w="640" w:type="dxa"/>
            <w:vAlign w:val="bottom"/>
          </w:tcPr>
          <w:p>
            <w:pPr>
              <w:spacing w:after="0"/>
              <w:rPr>
                <w:sz w:val="14"/>
                <w:szCs w:val="14"/>
                <w:color w:val="auto"/>
              </w:rPr>
            </w:pP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Conversion of short-term investments into cash and cash</w:t>
            </w: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11,428,963</w:t>
            </w:r>
          </w:p>
        </w:tc>
        <w:tc>
          <w:tcPr>
            <w:tcW w:w="6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rPr>
              <w:t>equivalents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740"/>
              <w:spacing w:after="0" w:line="166"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80"/>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Acquisition of subsidiary</w:t>
            </w:r>
          </w:p>
        </w:tc>
        <w:tc>
          <w:tcPr>
            <w:tcW w:w="102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4</w:t>
            </w: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10,074,297</w:t>
            </w:r>
          </w:p>
        </w:tc>
        <w:tc>
          <w:tcPr>
            <w:tcW w:w="640" w:type="dxa"/>
            <w:vAlign w:val="bottom"/>
          </w:tcPr>
          <w:p>
            <w:pPr>
              <w:spacing w:after="0"/>
              <w:rPr>
                <w:sz w:val="14"/>
                <w:szCs w:val="14"/>
                <w:color w:val="auto"/>
              </w:rPr>
            </w:pP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earned</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42,633</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125,838</w:t>
            </w:r>
          </w:p>
        </w:tc>
        <w:tc>
          <w:tcPr>
            <w:tcW w:w="64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284,928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flows received / (used) in investing activities</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34,009,380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80" w:type="dxa"/>
            <w:vAlign w:val="bottom"/>
            <w:gridSpan w:val="2"/>
          </w:tcPr>
          <w:p>
            <w:pPr>
              <w:jc w:val="right"/>
              <w:ind w:right="640"/>
              <w:spacing w:after="0" w:line="169" w:lineRule="exact"/>
              <w:rPr>
                <w:sz w:val="20"/>
                <w:szCs w:val="20"/>
                <w:color w:val="auto"/>
              </w:rPr>
            </w:pPr>
            <w:r>
              <w:rPr>
                <w:rFonts w:ascii="Arial" w:cs="Arial" w:eastAsia="Arial" w:hAnsi="Arial"/>
                <w:sz w:val="15"/>
                <w:szCs w:val="15"/>
                <w:color w:val="auto"/>
              </w:rPr>
              <w:t>107,005</w:t>
            </w:r>
          </w:p>
        </w:tc>
        <w:tc>
          <w:tcPr>
            <w:tcW w:w="14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251,558</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Financing activities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Proceeds from issue of ordinary shares</w:t>
            </w:r>
          </w:p>
        </w:tc>
        <w:tc>
          <w:tcPr>
            <w:tcW w:w="102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8</w:t>
            </w:r>
          </w:p>
        </w:tc>
        <w:tc>
          <w:tcPr>
            <w:tcW w:w="1900" w:type="dxa"/>
            <w:vAlign w:val="bottom"/>
            <w:gridSpan w:val="3"/>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150,228</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273,064</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Transaction costs on issue of shares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(760,692)</w:t>
            </w: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(7,511)</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(7,511)</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Proceeds from issue of bank loan</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455,000</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Transaction costs on bank loan</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shd w:val="clear" w:color="auto" w:fill="CCEEFF"/>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(920,859)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Proceeds from TAP agreement</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740"/>
              <w:spacing w:after="0" w:line="162" w:lineRule="exact"/>
              <w:rPr>
                <w:sz w:val="20"/>
                <w:szCs w:val="20"/>
                <w:color w:val="auto"/>
              </w:rPr>
            </w:pPr>
            <w:r>
              <w:rPr>
                <w:rFonts w:ascii="Arial" w:cs="Arial" w:eastAsia="Arial" w:hAnsi="Arial"/>
                <w:sz w:val="15"/>
                <w:szCs w:val="15"/>
                <w:b w:val="1"/>
                <w:bCs w:val="1"/>
                <w:color w:val="auto"/>
              </w:rPr>
              <w:t>—</w:t>
            </w:r>
          </w:p>
        </w:tc>
        <w:tc>
          <w:tcPr>
            <w:tcW w:w="188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78,445</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treasury shares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(998,004)</w:t>
            </w:r>
          </w:p>
        </w:tc>
        <w:tc>
          <w:tcPr>
            <w:tcW w:w="1880" w:type="dxa"/>
            <w:vAlign w:val="bottom"/>
            <w:gridSpan w:val="2"/>
            <w:shd w:val="clear" w:color="auto" w:fill="CCEEFF"/>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(306,838)</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Interest paid on bank loan</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600"/>
              <w:spacing w:after="0" w:line="162" w:lineRule="exact"/>
              <w:rPr>
                <w:sz w:val="20"/>
                <w:szCs w:val="20"/>
                <w:color w:val="auto"/>
              </w:rPr>
            </w:pPr>
            <w:r>
              <w:rPr>
                <w:rFonts w:ascii="Arial" w:cs="Arial" w:eastAsia="Arial" w:hAnsi="Arial"/>
                <w:sz w:val="15"/>
                <w:szCs w:val="15"/>
                <w:b w:val="1"/>
                <w:bCs w:val="1"/>
                <w:color w:val="auto"/>
              </w:rPr>
              <w:t>(864,509)</w:t>
            </w:r>
          </w:p>
        </w:tc>
        <w:tc>
          <w:tcPr>
            <w:tcW w:w="188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(900,000)</w:t>
            </w:r>
          </w:p>
        </w:tc>
        <w:tc>
          <w:tcPr>
            <w:tcW w:w="14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(1,644,610)</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 of lease liabilities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600"/>
              <w:spacing w:after="0" w:line="162" w:lineRule="exact"/>
              <w:rPr>
                <w:sz w:val="20"/>
                <w:szCs w:val="20"/>
                <w:color w:val="auto"/>
              </w:rPr>
            </w:pPr>
            <w:r>
              <w:rPr>
                <w:rFonts w:ascii="Arial" w:cs="Arial" w:eastAsia="Arial" w:hAnsi="Arial"/>
                <w:sz w:val="15"/>
                <w:szCs w:val="15"/>
                <w:b w:val="1"/>
                <w:bCs w:val="1"/>
                <w:color w:val="auto"/>
              </w:rPr>
              <w:t>(776,000)</w:t>
            </w:r>
          </w:p>
        </w:tc>
        <w:tc>
          <w:tcPr>
            <w:tcW w:w="1880" w:type="dxa"/>
            <w:vAlign w:val="bottom"/>
            <w:gridSpan w:val="2"/>
            <w:shd w:val="clear" w:color="auto" w:fill="CCEEFF"/>
          </w:tcPr>
          <w:p>
            <w:pPr>
              <w:jc w:val="right"/>
              <w:ind w:right="740"/>
              <w:spacing w:after="0" w:line="162" w:lineRule="exact"/>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Net cash flows from financing activities</w:t>
            </w: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(3,399,205)</w:t>
            </w:r>
          </w:p>
        </w:tc>
        <w:tc>
          <w:tcPr>
            <w:tcW w:w="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8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(757,283)</w:t>
            </w:r>
          </w:p>
        </w:tc>
        <w:tc>
          <w:tcPr>
            <w:tcW w:w="14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(2,073,309)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increase / (decrease) in cash and cash equivalents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2,976,825</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600"/>
              <w:spacing w:after="0" w:line="162" w:lineRule="exact"/>
              <w:rPr>
                <w:sz w:val="20"/>
                <w:szCs w:val="20"/>
                <w:color w:val="auto"/>
              </w:rPr>
            </w:pPr>
            <w:r>
              <w:rPr>
                <w:rFonts w:ascii="Arial" w:cs="Arial" w:eastAsia="Arial" w:hAnsi="Arial"/>
                <w:sz w:val="15"/>
                <w:szCs w:val="15"/>
                <w:color w:val="auto"/>
              </w:rPr>
              <w:t>(15,681,614)</w:t>
            </w: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(24,958,864)</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the beginning of the period</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0"/>
              <w:spacing w:after="0" w:line="162" w:lineRule="exact"/>
              <w:rPr>
                <w:sz w:val="20"/>
                <w:szCs w:val="20"/>
                <w:color w:val="auto"/>
              </w:rPr>
            </w:pPr>
            <w:r>
              <w:rPr>
                <w:rFonts w:ascii="Arial" w:cs="Arial" w:eastAsia="Arial" w:hAnsi="Arial"/>
                <w:sz w:val="15"/>
                <w:szCs w:val="15"/>
                <w:b w:val="1"/>
                <w:bCs w:val="1"/>
                <w:color w:val="auto"/>
              </w:rPr>
              <w:t>25,041,945</w:t>
            </w:r>
          </w:p>
        </w:tc>
        <w:tc>
          <w:tcPr>
            <w:tcW w:w="640" w:type="dxa"/>
            <w:vAlign w:val="bottom"/>
          </w:tcPr>
          <w:p>
            <w:pPr>
              <w:spacing w:after="0"/>
              <w:rPr>
                <w:sz w:val="14"/>
                <w:szCs w:val="14"/>
                <w:color w:val="auto"/>
              </w:rPr>
            </w:pPr>
          </w:p>
        </w:tc>
        <w:tc>
          <w:tcPr>
            <w:tcW w:w="1880" w:type="dxa"/>
            <w:vAlign w:val="bottom"/>
            <w:gridSpan w:val="2"/>
          </w:tcPr>
          <w:p>
            <w:pPr>
              <w:jc w:val="right"/>
              <w:ind w:right="640"/>
              <w:spacing w:after="0" w:line="162" w:lineRule="exact"/>
              <w:rPr>
                <w:sz w:val="20"/>
                <w:szCs w:val="20"/>
                <w:color w:val="auto"/>
              </w:rPr>
            </w:pPr>
            <w:r>
              <w:rPr>
                <w:rFonts w:ascii="Arial" w:cs="Arial" w:eastAsia="Arial" w:hAnsi="Arial"/>
                <w:sz w:val="15"/>
                <w:szCs w:val="15"/>
                <w:color w:val="auto"/>
              </w:rPr>
              <w:t>50,044,672</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50,044,672</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Effect of exchange rate changes on cash and cash equivalents</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270,734</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49,305</w:t>
            </w:r>
          </w:p>
        </w:tc>
        <w:tc>
          <w:tcPr>
            <w:tcW w:w="6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(43,863)</w:t>
            </w:r>
          </w:p>
        </w:tc>
        <w:tc>
          <w:tcPr>
            <w:tcW w:w="0" w:type="dxa"/>
            <w:vAlign w:val="bottom"/>
          </w:tcPr>
          <w:p>
            <w:pPr>
              <w:spacing w:after="0"/>
              <w:rPr>
                <w:sz w:val="1"/>
                <w:szCs w:val="1"/>
                <w:color w:val="auto"/>
              </w:rPr>
            </w:pP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Cash and cash equivalents at the end of the period</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28,289,504</w:t>
            </w:r>
          </w:p>
        </w:tc>
        <w:tc>
          <w:tcPr>
            <w:tcW w:w="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34,412,363</w:t>
            </w:r>
          </w:p>
        </w:tc>
        <w:tc>
          <w:tcPr>
            <w:tcW w:w="64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25,041,945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Issued</w:t>
            </w: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Share</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capital</w:t>
            </w:r>
          </w:p>
        </w:tc>
        <w:tc>
          <w:tcPr>
            <w:tcW w:w="94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Other</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capital</w:t>
            </w: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premium</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reserves</w:t>
            </w:r>
          </w:p>
        </w:tc>
        <w:tc>
          <w:tcPr>
            <w:tcW w:w="9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reserves</w:t>
            </w:r>
          </w:p>
        </w:tc>
        <w:tc>
          <w:tcPr>
            <w:tcW w:w="10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Own</w:t>
            </w: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losses</w:t>
            </w: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Translation</w:t>
            </w:r>
          </w:p>
        </w:tc>
        <w:tc>
          <w:tcPr>
            <w:tcW w:w="11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00" w:type="dxa"/>
            <w:vAlign w:val="bottom"/>
          </w:tcPr>
          <w:p>
            <w:pPr>
              <w:ind w:left="3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reserve</w:t>
            </w:r>
          </w:p>
        </w:tc>
        <w:tc>
          <w:tcPr>
            <w:tcW w:w="980" w:type="dxa"/>
            <w:vAlign w:val="bottom"/>
          </w:tcPr>
          <w:p>
            <w:pPr>
              <w:jc w:val="right"/>
              <w:ind w:right="389"/>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At January 1, 2018—Audited</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213,285</w:t>
            </w:r>
          </w:p>
        </w:tc>
        <w:tc>
          <w:tcPr>
            <w:tcW w:w="1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118,226,956</w:t>
            </w: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16,359,169</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b w:val="1"/>
                <w:bCs w:val="1"/>
                <w:color w:val="auto"/>
                <w:w w:val="99"/>
              </w:rPr>
              <w:t>7,000,000</w:t>
            </w: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62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(79,315,920)</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62,483,490</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Loss for the period</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(16,987,545)</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(16,987,545)</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IFRS 9 restatement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123,866</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123,866</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payments—share options</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1,136,916</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1,136,916</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 - LTIPS</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159,669</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159,669</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Share-based payments—deferred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bonus shares</w:t>
            </w:r>
          </w:p>
        </w:tc>
        <w:tc>
          <w:tcPr>
            <w:tcW w:w="80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90,277</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90,277</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June 1, 2018</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(Note 8)</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150</w:t>
            </w:r>
          </w:p>
        </w:tc>
        <w:tc>
          <w:tcPr>
            <w:tcW w:w="12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150,078</w:t>
            </w:r>
          </w:p>
        </w:tc>
        <w:tc>
          <w:tcPr>
            <w:tcW w:w="11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150,227</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Transaction costs on issuance of 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capital (Note 8)</w:t>
            </w:r>
          </w:p>
        </w:tc>
        <w:tc>
          <w:tcPr>
            <w:tcW w:w="660" w:type="dxa"/>
            <w:vAlign w:val="bottom"/>
          </w:tcPr>
          <w:p>
            <w:pPr>
              <w:ind w:left="4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(7,511)</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(7,511)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June 30, 2018—Unaudited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213,435</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118,369,523</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17,746,031</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7,000,000</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(96,179,599)</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47,149,390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Pr>
          <w:p>
            <w:pPr>
              <w:spacing w:after="0"/>
              <w:rPr>
                <w:sz w:val="20"/>
                <w:szCs w:val="20"/>
                <w:color w:val="auto"/>
              </w:rPr>
            </w:pPr>
            <w:r>
              <w:rPr>
                <w:rFonts w:ascii="Arial" w:cs="Arial" w:eastAsia="Arial" w:hAnsi="Arial"/>
                <w:sz w:val="14"/>
                <w:szCs w:val="14"/>
                <w:color w:val="auto"/>
              </w:rPr>
              <w:t>Loss for the period</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(15,041,195)</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(15,041,195)</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payments—share options</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733,039</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733,039</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 - LTIPS</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159,669</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159,669</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payments—deferred</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bonus shares</w:t>
            </w:r>
          </w:p>
        </w:tc>
        <w:tc>
          <w:tcPr>
            <w:tcW w:w="800" w:type="dxa"/>
            <w:vAlign w:val="bottom"/>
            <w:gridSpan w:val="2"/>
            <w:shd w:val="clear" w:color="auto" w:fill="CCEEFF"/>
          </w:tcPr>
          <w:p>
            <w:pPr>
              <w:ind w:left="44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(90,277)</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(90,277)</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Issue of share capital on August 3,</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2018 on exercise of options (Note 8)</w:t>
            </w: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30</w:t>
            </w: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12,870</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12,900</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October 22,</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2018 on exercise of options (Note 8)</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256</w:t>
            </w:r>
          </w:p>
        </w:tc>
        <w:tc>
          <w:tcPr>
            <w:tcW w:w="12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109,680</w:t>
            </w:r>
          </w:p>
        </w:tc>
        <w:tc>
          <w:tcPr>
            <w:tcW w:w="11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109,936</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Issue of warrants for TAP agreement</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44,156</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44,156</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Purchase of treasury shares</w:t>
            </w: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(306,838)</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(306,838)</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 2018—Audited</w:t>
            </w: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213,721</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118,492,073</w:t>
            </w:r>
          </w:p>
        </w:tc>
        <w:tc>
          <w:tcPr>
            <w:tcW w:w="2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18,592,618</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7,000,000</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(306,838)</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(111,220,794)</w:t>
            </w:r>
          </w:p>
        </w:tc>
        <w:tc>
          <w:tcPr>
            <w:tcW w:w="94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32,770,780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Loss for the period</w:t>
            </w: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(16,223,632)</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(16,223,632)</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88,033</w:t>
            </w:r>
          </w:p>
        </w:tc>
        <w:tc>
          <w:tcPr>
            <w:tcW w:w="940" w:type="dxa"/>
            <w:vAlign w:val="bottom"/>
            <w:gridSpan w:val="2"/>
          </w:tcPr>
          <w:p>
            <w:pPr>
              <w:ind w:left="280"/>
              <w:spacing w:after="0"/>
              <w:rPr>
                <w:sz w:val="20"/>
                <w:szCs w:val="20"/>
                <w:color w:val="auto"/>
              </w:rPr>
            </w:pPr>
            <w:r>
              <w:rPr>
                <w:rFonts w:ascii="Arial" w:cs="Arial" w:eastAsia="Arial" w:hAnsi="Arial"/>
                <w:sz w:val="14"/>
                <w:szCs w:val="14"/>
                <w:color w:val="auto"/>
              </w:rPr>
              <w:t>710,830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798,863</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payments—share options</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354,128</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354,128</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 - LTIPS</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138,673</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138,673</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April 23, 2019</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 acquisition of OncoMed</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Pharmaceuticals Inc (Note 8)</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74,350</w:t>
            </w:r>
          </w:p>
        </w:tc>
        <w:tc>
          <w:tcPr>
            <w:tcW w:w="12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40,818,128</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40,892,478</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Issue of share capital on conversion of</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loan note</w:t>
            </w: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3,213</w:t>
            </w: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2,363,790</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2,367,003</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for Novartis</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bonus shares</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2,595</w:t>
            </w:r>
          </w:p>
        </w:tc>
        <w:tc>
          <w:tcPr>
            <w:tcW w:w="12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1,588,983</w:t>
            </w:r>
          </w:p>
        </w:tc>
        <w:tc>
          <w:tcPr>
            <w:tcW w:w="11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(1,591,578)</w:t>
            </w:r>
          </w:p>
        </w:tc>
        <w:tc>
          <w:tcPr>
            <w:tcW w:w="940" w:type="dxa"/>
            <w:vAlign w:val="bottom"/>
            <w:gridSpan w:val="2"/>
            <w:shd w:val="clear" w:color="auto" w:fill="CCEEFF"/>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Transaction costs on issuance of 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capital (Note 8)</w:t>
            </w:r>
          </w:p>
        </w:tc>
        <w:tc>
          <w:tcPr>
            <w:tcW w:w="80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(760,692)</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(760,692)</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Equity element of convertible loan</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(308,122)</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(308,122)</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(998,004)</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(998,004)</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June 30, 2019—Unaudited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293,879</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121,684,154</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58,003,847</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7,000,000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(1,304,842)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(127,356,393)</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710,830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59,031,475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interim report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financial statements are the unaudited interim consolidated financial statements of Mereo BioPharma Group plc and its</w:t>
      </w:r>
    </w:p>
    <w:p>
      <w:pPr>
        <w:ind w:left="120"/>
        <w:spacing w:after="0" w:line="234" w:lineRule="auto"/>
        <w:rPr>
          <w:sz w:val="20"/>
          <w:szCs w:val="20"/>
          <w:color w:val="auto"/>
        </w:rPr>
      </w:pPr>
      <w:r>
        <w:rPr>
          <w:rFonts w:ascii="Arial" w:cs="Arial" w:eastAsia="Arial" w:hAnsi="Arial"/>
          <w:sz w:val="18"/>
          <w:szCs w:val="18"/>
          <w:color w:val="auto"/>
        </w:rPr>
        <w:t>subsidiaries (collectively, the “Group”) for the six months ended June 30, 2019 were authorised for issue by the Directors 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September 13, 2019. Mereo BioPharma Group plc (the “Company” or the “parent”) is a public limited company incorporated and domiciled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United Kingdom and whose shares are publicly traded on the AIM Market of the London Stock Exchange with a secondary listing of</w:t>
      </w:r>
    </w:p>
    <w:p>
      <w:pPr>
        <w:ind w:left="120"/>
        <w:spacing w:after="0"/>
        <w:rPr>
          <w:sz w:val="20"/>
          <w:szCs w:val="20"/>
          <w:color w:val="auto"/>
        </w:rPr>
      </w:pPr>
      <w:r>
        <w:rPr>
          <w:rFonts w:ascii="Arial" w:cs="Arial" w:eastAsia="Arial" w:hAnsi="Arial"/>
          <w:sz w:val="18"/>
          <w:szCs w:val="18"/>
          <w:color w:val="auto"/>
        </w:rPr>
        <w:t>its American Depositary Receipts (ADR’s) on the Nasdaq Global Market.</w:t>
      </w:r>
    </w:p>
    <w:p>
      <w:pPr>
        <w:spacing w:after="0" w:line="212" w:lineRule="exact"/>
        <w:rPr>
          <w:sz w:val="20"/>
          <w:szCs w:val="20"/>
          <w:color w:val="auto"/>
        </w:rPr>
      </w:pPr>
    </w:p>
    <w:p>
      <w:pPr>
        <w:jc w:val="both"/>
        <w:ind w:left="120" w:right="420" w:firstLine="440"/>
        <w:spacing w:after="0"/>
        <w:rPr>
          <w:sz w:val="20"/>
          <w:szCs w:val="20"/>
          <w:color w:val="auto"/>
        </w:rPr>
      </w:pPr>
      <w:r>
        <w:rPr>
          <w:rFonts w:ascii="Arial" w:cs="Arial" w:eastAsia="Arial" w:hAnsi="Arial"/>
          <w:sz w:val="18"/>
          <w:szCs w:val="18"/>
          <w:color w:val="auto"/>
        </w:rPr>
        <w:t>On April 23, 2019 the Group completed the acquisition of OncoMed Pharmaceuticals, Inc. (“OncoMed”) a California-based and Nasdaq-listed company at which time OncoMed became a US subsidiary of Mereo. The registered office is located at Fourth Floor, 1 Cavendish Place, London W1G 0QF.</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is principally engaged in the research and development of novel pharmaceuticals.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preparation</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 xml:space="preserve">The interim condensed consolidated financial statements for the six-month period ended June 30, 2019 have been prepared in accordance with International Accounting Standards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They do not include all the information required for a complete set of IFRS financial statements. However, selected explanatory notes are included to explain events and transactions that are significant to an understanding of the changes in the Group since the most recent annual financial statements (December 31, 2018). For comparative purposes a consolidated balance sheet as at June 30, 2018 has also been presented.</w:t>
      </w:r>
    </w:p>
    <w:p>
      <w:pPr>
        <w:spacing w:after="0" w:line="202" w:lineRule="exact"/>
        <w:rPr>
          <w:sz w:val="20"/>
          <w:szCs w:val="20"/>
          <w:color w:val="auto"/>
        </w:rPr>
      </w:pPr>
    </w:p>
    <w:p>
      <w:pPr>
        <w:jc w:val="both"/>
        <w:ind w:left="120" w:right="160" w:firstLine="440"/>
        <w:spacing w:after="0" w:line="261" w:lineRule="auto"/>
        <w:rPr>
          <w:sz w:val="20"/>
          <w:szCs w:val="20"/>
          <w:color w:val="auto"/>
        </w:rPr>
      </w:pPr>
      <w:r>
        <w:rPr>
          <w:rFonts w:ascii="Arial" w:cs="Arial" w:eastAsia="Arial" w:hAnsi="Arial"/>
          <w:sz w:val="17"/>
          <w:szCs w:val="17"/>
          <w:color w:val="auto"/>
        </w:rPr>
        <w:t>The accounting policies adopted in the preparation of the interim condensed consolidated financial statements are consistent with those followed in the preparation of the Group’s consolidated financial statements for the year ended December 31, 2018, except for the new accounting polices described in Note 3 (Changes in accounting policies) below. The financial information is presented in Sterling.</w:t>
      </w:r>
    </w:p>
    <w:p>
      <w:pPr>
        <w:spacing w:after="0" w:line="186"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These condensed interim financial statements are unaudited and do not constitute statutory accounts of the Group as defined in section 434 of the Companies Act 2006.</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financial information for the year ended December 31, 2018 has been extracted from the Group’s published financial statements for that year, and a copy of the statutory accounts for that financial year has been delivered to the Registrar of Companies. The auditors reported on those accounts and their report was unqualified, did not draw attention to any matters by way of emphasis and did not contain a statement under section 498(2) or (3) of the Companies Act 2006.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Segmental information</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Management views the business as a single portfolio of product candidates. Only R&amp;D expenses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U.K. and U.S.</w:t>
      </w:r>
    </w:p>
    <w:p>
      <w:pPr>
        <w:spacing w:after="0" w:line="205"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The Group’s CODM is the executive management team (comprised of the Chief Executive Officer, Chief Financial Officer, Chief Medical Officer, General Counsel, the Head of Corporate Development and the Head of Patient Access and Commercial Planning) which manages the operating results of the business.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9" w:right="49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operations of the Group are not prone to seasonal or cyclical variations.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26"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These consolidated interim financial statements have been prepared on a going concern basis, which contemplates the realisation of assets and the payment of liabilities in the ordinary course of business. The Group incurred net losses of £16.2 million and £17.0 million for the periods ended 30 June 2019 and 30 June 2018 respectively. As at 30 June 2019, the Group had total cash resources</w:t>
      </w:r>
      <w:r>
        <w:rPr>
          <w:rFonts w:ascii="Arial" w:cs="Arial" w:eastAsia="Arial" w:hAnsi="Arial"/>
          <w:sz w:val="15"/>
          <w:szCs w:val="15"/>
          <w:color w:val="auto"/>
        </w:rPr>
        <w:t>1</w:t>
      </w:r>
      <w:r>
        <w:rPr>
          <w:rFonts w:ascii="Arial" w:cs="Arial" w:eastAsia="Arial" w:hAnsi="Arial"/>
          <w:sz w:val="18"/>
          <w:szCs w:val="18"/>
          <w:color w:val="auto"/>
        </w:rPr>
        <w:t xml:space="preserve"> of</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£36.1 million and net current assets of £27.8 million.</w:t>
      </w:r>
    </w:p>
    <w:p>
      <w:pPr>
        <w:spacing w:after="0" w:line="21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As part of the going concern review, the Directors have considered the funding requirements of the Group through consideration of the Group’s current business plan and the preparation of detailed cash flow forecasts. The going concern review prepared by the Directors extends through to December 2022 from the date of approval of these consolidated interim financial statements.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Under the current business plan and detailed cash flow forecasts, with ongoing R&amp;D efforts focused on our rare disease products, setrusumab and alvelestat, we expect that our current on-hand cash resources will extend to the end of Q2 2020. Therefore, the Group requires additional external funding within the next 12 months to be able to continue as a going concern. Principally, this funding will be required to complete our current trials, fund our ongoing administrative costs and other general working capital and contractual financing requirements (see Note 7(b) below) and to commence our pivotal pediatric study and the manufacturing scale up activities for setrusumab as we progress with our development plans for that program.</w:t>
      </w:r>
    </w:p>
    <w:p>
      <w:pPr>
        <w:spacing w:after="0" w:line="20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Further funding to continue to develop our rare disease products is most likely to come from a mix of additional equity funding and partnering transactions with third parties, where discussions with a wide range of partners is already underway. The Directors remain confident of raising additional funding through either or both of these routes by mid-2020 which will provide the Group with additional funding to enable it to continue as a going concern. In terms of further equity finance, the Company has the existing approval to issue new shares on a non-pre-emptive basis and whilst it is not possible to predict market conditions and noting that 19.6% of our issued share capital is held by the Woodford Equity Income Fund, the Directors and its advisors believe sufficient progress is being made with our development programs to be able to complete an equity raise. In addition, the upcoming newsflow from the Phase 2b top-line data in adults for setrusumab in Q4 2019 should provide an enhanced opportunity to raise further equity finance if the data is positive. Because the additional finance that may result from partnering and/or further equity funding is not committed at the date of approval of these consolidated interim financial statements, these circumstances represent a material uncertainty as to the Group’s ability to continue as a going concern.</w:t>
      </w:r>
    </w:p>
    <w:p>
      <w:pPr>
        <w:spacing w:after="0" w:line="205" w:lineRule="exact"/>
        <w:rPr>
          <w:sz w:val="20"/>
          <w:szCs w:val="20"/>
          <w:color w:val="auto"/>
        </w:rPr>
      </w:pPr>
    </w:p>
    <w:p>
      <w:pPr>
        <w:jc w:val="both"/>
        <w:ind w:left="120" w:right="20" w:firstLine="440"/>
        <w:spacing w:after="0" w:line="238" w:lineRule="auto"/>
        <w:rPr>
          <w:sz w:val="20"/>
          <w:szCs w:val="20"/>
          <w:color w:val="auto"/>
        </w:rPr>
      </w:pPr>
      <w:r>
        <w:rPr>
          <w:rFonts w:ascii="Arial" w:cs="Arial" w:eastAsia="Arial" w:hAnsi="Arial"/>
          <w:sz w:val="18"/>
          <w:szCs w:val="18"/>
          <w:color w:val="auto"/>
        </w:rPr>
        <w:t>These consolidated interim financial statements do not include the adjustments that would arise if the Group were unable to continue as a going concern. Should the Group be unable to obtain further finance such that the going concern basis of preparation were no longer appropriate, adjustments would be required which would include reducing the balance sheet values of assets to their recoverable amounts and to provide for further liabilities that might arise.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Changes in accounting policies</w:t>
      </w:r>
    </w:p>
    <w:p>
      <w:pPr>
        <w:spacing w:after="0" w:line="126"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Except as noted below, these interim consolidated financial statements have been prepared using the same accounting policies and methods of computation as compared with the most recent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2" w:lineRule="exact"/>
        <w:rPr>
          <w:sz w:val="20"/>
          <w:szCs w:val="20"/>
          <w:color w:val="auto"/>
        </w:rPr>
      </w:pPr>
    </w:p>
    <w:p>
      <w:pPr>
        <w:ind w:left="540" w:hanging="424"/>
        <w:spacing w:after="0"/>
        <w:tabs>
          <w:tab w:leader="none" w:pos="540" w:val="left"/>
        </w:tabs>
        <w:numPr>
          <w:ilvl w:val="0"/>
          <w:numId w:val="175"/>
        </w:numPr>
        <w:rPr>
          <w:rFonts w:ascii="Arial" w:cs="Arial" w:eastAsia="Arial" w:hAnsi="Arial"/>
          <w:sz w:val="24"/>
          <w:szCs w:val="24"/>
          <w:color w:val="auto"/>
          <w:vertAlign w:val="superscript"/>
        </w:rPr>
      </w:pPr>
      <w:r>
        <w:rPr>
          <w:rFonts w:ascii="Arial" w:cs="Arial" w:eastAsia="Arial" w:hAnsi="Arial"/>
          <w:sz w:val="14"/>
          <w:szCs w:val="14"/>
          <w:color w:val="auto"/>
        </w:rPr>
        <w:t>Cash resources is defined as the aggregate of cash and short-term deposits and short-term investments</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On January 1, 2019 the Group adopted IFRS 16 (Leases). The nature and effect of the changes from implementing IFRS 16 (Leases) most relevant to the Group’s financial statements are given below.</w:t>
      </w:r>
    </w:p>
    <w:p>
      <w:pPr>
        <w:spacing w:after="0" w:line="197"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Where relevant the Group has also implemented other amendments to existing standards and interpretations which became effective in the six-month period ended June 30, 2019. This included IFRIC 23 (Uncertainty over Income Tax Treatments). None of these amendments had a material impact on the Group’s overall result and financial position.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 IFRS 16 Leases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impact of application of IFRS 16</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In the current year, the Group, for the first time, has applied IFRS 16 Leases. The date of initial application of IFRS 16 for the Group is January 1, 2019.</w:t>
      </w:r>
    </w:p>
    <w:p>
      <w:pPr>
        <w:spacing w:after="0" w:line="197" w:lineRule="exact"/>
        <w:rPr>
          <w:sz w:val="20"/>
          <w:szCs w:val="20"/>
          <w:color w:val="auto"/>
        </w:rPr>
      </w:pPr>
    </w:p>
    <w:p>
      <w:pPr>
        <w:jc w:val="both"/>
        <w:ind w:left="120" w:right="80" w:firstLine="440"/>
        <w:spacing w:after="0" w:line="238" w:lineRule="auto"/>
        <w:rPr>
          <w:sz w:val="20"/>
          <w:szCs w:val="20"/>
          <w:color w:val="auto"/>
        </w:rPr>
      </w:pPr>
      <w:r>
        <w:rPr>
          <w:rFonts w:ascii="Arial" w:cs="Arial" w:eastAsia="Arial" w:hAnsi="Arial"/>
          <w:sz w:val="18"/>
          <w:szCs w:val="18"/>
          <w:color w:val="auto"/>
        </w:rPr>
        <w:t>IFRS 16 introduces new or amended requirements with respect to lease accounting. It introduces significant changes to the lessee accounting by removing the distinction between operating and finance lease, requiring the recognition of a right-of-use asset and a lease liability at commencement for all leases, except for short-term leases and leases of low value assets. In contrast to lessee accounting, the requirements for lessor accounting have remained largely unchanged.</w:t>
      </w:r>
    </w:p>
    <w:p>
      <w:pPr>
        <w:spacing w:after="0" w:line="205" w:lineRule="exact"/>
        <w:rPr>
          <w:sz w:val="20"/>
          <w:szCs w:val="20"/>
          <w:color w:val="auto"/>
        </w:rPr>
      </w:pPr>
    </w:p>
    <w:p>
      <w:pPr>
        <w:jc w:val="both"/>
        <w:ind w:left="120" w:right="100" w:firstLine="440"/>
        <w:spacing w:after="0" w:line="246" w:lineRule="auto"/>
        <w:rPr>
          <w:sz w:val="20"/>
          <w:szCs w:val="20"/>
          <w:color w:val="auto"/>
        </w:rPr>
      </w:pPr>
      <w:r>
        <w:rPr>
          <w:rFonts w:ascii="Arial" w:cs="Arial" w:eastAsia="Arial" w:hAnsi="Arial"/>
          <w:sz w:val="18"/>
          <w:szCs w:val="18"/>
          <w:color w:val="auto"/>
        </w:rPr>
        <w:t>The Group is lessee under a number of property and equipment leases, and also acts as the sublessor of two sublease agreements under one of its property leases. Details of the Group’s accounting policies under IFRS 16 are set out below.</w:t>
      </w:r>
    </w:p>
    <w:p>
      <w:pPr>
        <w:spacing w:after="0" w:line="197"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Significant judgements and estimates applied in the adoption of IFRS 16 included determining the lease term for those leases with termination or extension options, the classification of subleases as operating or finance subleases, and the incremental borrowing rate where the rate implicit in a lease could not be readily determined.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Approach to transition</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The Group has applied IFRS 16 using the modified retrospective approach, without restatement of the comparative information. In respect of those leases the Group previously treated as operating leases, the Group has elected to measure its right of use assets using the approach set out in IFRS 16.C8(b)(ii). Under IFRS 16.C8(b)(ii) right of use assets are set equal to the lease liability, adjusted for prepaid or accrued lease payments.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Group’s weighted average incremental borrowing rate applied to lease liabilities as at January 1, 2019 is 15%.</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of a lease</w:t>
      </w:r>
    </w:p>
    <w:p>
      <w:pPr>
        <w:spacing w:after="0" w:line="108"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 xml:space="preserve">Previously, the Group determined at contract inception whether an arrangement was or contained a lease under IFRC 4 </w:t>
      </w:r>
      <w:r>
        <w:rPr>
          <w:rFonts w:ascii="Arial" w:cs="Arial" w:eastAsia="Arial" w:hAnsi="Arial"/>
          <w:sz w:val="18"/>
          <w:szCs w:val="18"/>
          <w:i w:val="1"/>
          <w:iCs w:val="1"/>
          <w:color w:val="auto"/>
        </w:rPr>
        <w:t>Determining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Whether an Arrangement contains a Lease. </w:t>
      </w:r>
      <w:r>
        <w:rPr>
          <w:rFonts w:ascii="Arial" w:cs="Arial" w:eastAsia="Arial" w:hAnsi="Arial"/>
          <w:sz w:val="18"/>
          <w:szCs w:val="18"/>
          <w:color w:val="auto"/>
        </w:rPr>
        <w:t>The Group now assesses whether a contract is or contains a lease based on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lease under IFRS 16. Under IFRS 16, a contract is or contains a lease, if the contract conveys a right to control the use of an identified asset in exchange for consideration.</w:t>
      </w:r>
    </w:p>
    <w:p>
      <w:pPr>
        <w:spacing w:after="0" w:line="199"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On transition to IFRS 16, the Group elected to apply the practical expedient to grandfather the assessment of which transactions are leases. It applied IFRS 16 only to contracts that were previously not identified as leases. Contracts that were not identified as leases under IAS 17 and IFRIC 4 were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not reassessed. In preparation for the first-time application of IFRS 16, the Group has carried out an implementation project. The new definition in IFRS 16 will not significantly change the scope of contracts that meet the definition of a lease for the Group.</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At inception or on reassessment of a contract that contains a lease component, the Group allocates the consideration in the contract to each lease and non-lease component on the basis of their relative stand-alone prices.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Practical expedients adopted on transition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practical expedients permitted by IFRS 16 are used by the Group, notably:</w:t>
      </w:r>
    </w:p>
    <w:p>
      <w:pPr>
        <w:spacing w:after="0" w:line="117" w:lineRule="exact"/>
        <w:rPr>
          <w:sz w:val="20"/>
          <w:szCs w:val="20"/>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not reassess upon transition whether an existing contract contains a lease (grandfather the previous assessment of whether a transaction was a lease under IAS 17 or IFRIC 4). The definition of a lease under IFRS 16 has been applied only to contracts entered into or changed on or after 1 January 2019;</w:t>
      </w:r>
    </w:p>
    <w:p>
      <w:pPr>
        <w:spacing w:after="0" w:line="108"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recognition exemptions for short-term leases (less than 12 months of lease term) and leases of low-value assets;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Used hindsight when determining the lease term if the contract contains options to extend or terminate the lease.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lessee accounting</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Former operating leases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Applying IFRS 16, for all leases, the Group:</w:t>
      </w:r>
    </w:p>
    <w:p>
      <w:pPr>
        <w:spacing w:after="0" w:line="117" w:lineRule="exact"/>
        <w:rPr>
          <w:sz w:val="20"/>
          <w:szCs w:val="20"/>
          <w:color w:val="auto"/>
        </w:rPr>
      </w:pPr>
    </w:p>
    <w:p>
      <w:pPr>
        <w:ind w:left="1080" w:hanging="532"/>
        <w:spacing w:after="0" w:line="246"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Recognises right-of-use assets and lease liabilities in the consolidated statement of financial position, initially measured at the present value of future lease payments;</w:t>
      </w:r>
    </w:p>
    <w:p>
      <w:pPr>
        <w:spacing w:after="0" w:line="102" w:lineRule="exact"/>
        <w:rPr>
          <w:rFonts w:ascii="Arial" w:cs="Arial" w:eastAsia="Arial" w:hAnsi="Arial"/>
          <w:sz w:val="18"/>
          <w:szCs w:val="18"/>
          <w:color w:val="auto"/>
        </w:rPr>
      </w:pPr>
    </w:p>
    <w:p>
      <w:pPr>
        <w:ind w:left="1080" w:right="180" w:hanging="532"/>
        <w:spacing w:after="0" w:line="246"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Recognises depreciation of right-of-use assets and interest on lease liabilities in the consolidated statement of profit or loss; and</w:t>
      </w:r>
    </w:p>
    <w:p>
      <w:pPr>
        <w:spacing w:after="0" w:line="102" w:lineRule="exact"/>
        <w:rPr>
          <w:rFonts w:ascii="Arial" w:cs="Arial" w:eastAsia="Arial" w:hAnsi="Arial"/>
          <w:sz w:val="18"/>
          <w:szCs w:val="18"/>
          <w:color w:val="auto"/>
        </w:rPr>
      </w:pPr>
    </w:p>
    <w:p>
      <w:pPr>
        <w:ind w:left="1080" w:right="120" w:hanging="532"/>
        <w:spacing w:after="0" w:line="246"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Separates the total amount of cash paid into a principal portion (presented within financing activities) and interest (presented within operating activities) in the consolidated statement of cash flows.</w:t>
      </w:r>
    </w:p>
    <w:p>
      <w:pPr>
        <w:spacing w:after="0" w:line="197"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Lease incentives (e.g. rent-free periods) are recognised as part of the measurement of the right-of-use assets and lease liabilities whereas under IAS 17 they resulted in the recognition of a lease incentive liability, amortised as a reduction of rental expenses on a straight-line basis.</w:t>
      </w:r>
    </w:p>
    <w:p>
      <w:pPr>
        <w:spacing w:after="0" w:line="203"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Under IFRS 16, right-of-use assets will be tested for impairment in accordance with IAS 36 Impairment of Assets. This replaces the previous requirement to recognise a provision for onerous lease contracts.</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short-term leases (lease term of 12 months or less) and leases of low-value assets (such as those with a value less than</w:t>
      </w:r>
    </w:p>
    <w:p>
      <w:pPr>
        <w:ind w:left="120" w:right="180"/>
        <w:spacing w:after="0" w:line="246" w:lineRule="auto"/>
        <w:rPr>
          <w:sz w:val="20"/>
          <w:szCs w:val="20"/>
          <w:color w:val="auto"/>
        </w:rPr>
      </w:pPr>
      <w:r>
        <w:rPr>
          <w:rFonts w:ascii="Arial" w:cs="Arial" w:eastAsia="Arial" w:hAnsi="Arial"/>
          <w:sz w:val="18"/>
          <w:szCs w:val="18"/>
          <w:color w:val="auto"/>
        </w:rPr>
        <w:t>£5,000), the Group has opted to recognise a lease expense on a straight-line basis as permitted by IFRS 16. This expense is presented within Other operating expenses in the consolidated income statement.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at December 31, 2018, the Group did not hold any finance leases.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Lessor Accounting</w:t>
      </w:r>
    </w:p>
    <w:p>
      <w:pPr>
        <w:spacing w:after="0" w:line="126"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IFRS 16 does not change substantially how a lessor accounts for leases. Under IFRS 16, a lessor continues to classify leases as either finance leases or operating leases and account for those two types of leases differently. However, IFRS 16 has changed and expanded the disclosures required, in particular regarding how a lessor manages the risks arising from its residual interest in leased assets.</w:t>
      </w:r>
    </w:p>
    <w:p>
      <w:pPr>
        <w:spacing w:after="0" w:line="20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Under IFRS 16, an intermediate lessor accounts for the head lease and the sublease as two separate contracts. The intermediate lessor is required to classify the sublease as a finance or operating lease by reference to the right-of-use asset arising from the head lease (and not by reference to the underlying asset as was the case under IAS 17).</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As the Group continues to account for its subleases as operating leases, there has been no material impact as a result of this change.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impact</w:t>
      </w:r>
    </w:p>
    <w:p>
      <w:pPr>
        <w:spacing w:after="0" w:line="12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application of IFRS 16 to leases previously classified as operating leases under IAS 17 resulted in the recognition of right-of-use assets and lease liabilities. Prepaid rental previously recognised as assets and accrued rental previously recognised as liabilities have been derecognised and factored into the measurement of the right-of-use assets.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has chosen to use the table below to set out the adjustments recognised at the date of initial application of IFRS 16.</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previously</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680" w:type="dxa"/>
            <w:vAlign w:val="bottom"/>
          </w:tcPr>
          <w:p>
            <w:pPr>
              <w:spacing w:after="0"/>
              <w:rPr>
                <w:sz w:val="14"/>
                <w:szCs w:val="1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reported at</w:t>
            </w: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Impact of</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As restated at</w:t>
            </w:r>
          </w:p>
        </w:tc>
      </w:tr>
      <w:tr>
        <w:trPr>
          <w:trHeight w:val="162"/>
        </w:trPr>
        <w:tc>
          <w:tcPr>
            <w:tcW w:w="6680" w:type="dxa"/>
            <w:vAlign w:val="bottom"/>
          </w:tcPr>
          <w:p>
            <w:pPr>
              <w:spacing w:after="0"/>
              <w:rPr>
                <w:sz w:val="14"/>
                <w:szCs w:val="1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December 31, 2018</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IFRS 16</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January 1, 2019</w:t>
            </w:r>
          </w:p>
        </w:tc>
      </w:tr>
      <w:tr>
        <w:trPr>
          <w:trHeight w:val="175"/>
        </w:trPr>
        <w:tc>
          <w:tcPr>
            <w:tcW w:w="66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83"/>
        </w:trPr>
        <w:tc>
          <w:tcPr>
            <w:tcW w:w="66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Non-current assets</w:t>
            </w:r>
          </w:p>
        </w:tc>
        <w:tc>
          <w:tcPr>
            <w:tcW w:w="1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7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148,935</w:t>
            </w: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2,551,810</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2,700,745</w:t>
            </w:r>
          </w:p>
        </w:tc>
      </w:tr>
      <w:tr>
        <w:trPr>
          <w:trHeight w:val="202"/>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 and other</w:t>
            </w:r>
          </w:p>
        </w:tc>
        <w:tc>
          <w:tcPr>
            <w:tcW w:w="17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1,066,932</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(50,253)</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1,016,679</w:t>
            </w:r>
          </w:p>
        </w:tc>
      </w:tr>
      <w:tr>
        <w:trPr>
          <w:trHeight w:val="217"/>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impact on assets</w:t>
            </w: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2,051,557</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17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4,570,307</w:t>
            </w:r>
          </w:p>
        </w:tc>
        <w:tc>
          <w:tcPr>
            <w:tcW w:w="14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4,570,307</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liabilities</w:t>
            </w:r>
          </w:p>
        </w:tc>
        <w:tc>
          <w:tcPr>
            <w:tcW w:w="1780" w:type="dxa"/>
            <w:vAlign w:val="bottom"/>
            <w:gridSpan w:val="2"/>
            <w:shd w:val="clear" w:color="auto" w:fill="CCEEFF"/>
          </w:tcPr>
          <w:p>
            <w:pPr>
              <w:ind w:left="10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606,525</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606,525</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liabilities</w:t>
            </w:r>
          </w:p>
        </w:tc>
        <w:tc>
          <w:tcPr>
            <w:tcW w:w="1780" w:type="dxa"/>
            <w:vAlign w:val="bottom"/>
            <w:gridSpan w:val="2"/>
            <w:shd w:val="clear" w:color="auto" w:fill="CCEEFF"/>
          </w:tcPr>
          <w:p>
            <w:pPr>
              <w:ind w:left="10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1,927,122</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1,927,122</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17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4,437,321</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(32,090)</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4,405,231</w:t>
            </w:r>
          </w:p>
        </w:tc>
      </w:tr>
      <w:tr>
        <w:trPr>
          <w:trHeight w:val="27"/>
        </w:trPr>
        <w:tc>
          <w:tcPr>
            <w:tcW w:w="6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impact on liabilities</w:t>
            </w: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b w:val="1"/>
                <w:bCs w:val="1"/>
                <w:color w:val="auto"/>
              </w:rPr>
              <w:t>2,051,557</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impact on retained earnings</w:t>
            </w: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2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Of the total right-of-use assets of £2,551,810 recognised at January 1, 2019, £1,236,613 related to leases of building and £1,315,197 to leases of equipment. On April 23, 2019, the Group acquired OncoMed Pharmaceuticals Inc. (“OncoMed”) (see Note 4). On acquisition, the Group recognised a right-of-use asset of £10,755,475 relating to an acquired property lease.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The table below presents a reconciliation from operating lease commitments disclosed at December 31, 2018 to lease liabilities recognised at January 1,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9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196"/>
        </w:trPr>
        <w:tc>
          <w:tcPr>
            <w:tcW w:w="9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commitments disclosed under IAS 17 at December 31, 2018</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535,665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Effect of discounting</w:t>
            </w: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(944,186)</w:t>
            </w: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Reassessment of lease term under IFRS 16</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2,942,168</w:t>
            </w:r>
          </w:p>
        </w:tc>
        <w:tc>
          <w:tcPr>
            <w:tcW w:w="140" w:type="dxa"/>
            <w:vAlign w:val="bottom"/>
            <w:shd w:val="clear" w:color="auto" w:fill="CCEEFF"/>
          </w:tcPr>
          <w:p>
            <w:pPr>
              <w:spacing w:after="0"/>
              <w:rPr>
                <w:sz w:val="17"/>
                <w:szCs w:val="17"/>
                <w:color w:val="auto"/>
              </w:rPr>
            </w:pPr>
          </w:p>
        </w:tc>
      </w:tr>
      <w:tr>
        <w:trPr>
          <w:trHeight w:val="210"/>
        </w:trPr>
        <w:tc>
          <w:tcPr>
            <w:tcW w:w="9900" w:type="dxa"/>
            <w:vAlign w:val="bottom"/>
          </w:tcPr>
          <w:p>
            <w:pPr>
              <w:spacing w:after="0"/>
              <w:rPr>
                <w:sz w:val="20"/>
                <w:szCs w:val="20"/>
                <w:color w:val="auto"/>
              </w:rPr>
            </w:pPr>
            <w:r>
              <w:rPr>
                <w:rFonts w:ascii="Arial" w:cs="Arial" w:eastAsia="Arial" w:hAnsi="Arial"/>
                <w:sz w:val="18"/>
                <w:szCs w:val="18"/>
                <w:color w:val="auto"/>
              </w:rPr>
              <w:t>Lease liabilities recognised at January 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2,533,647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bl>
    <w:p>
      <w:pPr>
        <w:spacing w:after="0" w:line="229"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In terms of the income statement impact, the application of IFRS 16 resulted in a decrease in other operating expenses and an increase in depreciation and interest expense compared to IAS 17.</w:t>
      </w:r>
    </w:p>
    <w:p>
      <w:pPr>
        <w:spacing w:after="0" w:line="197"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During the six months ended June 30, 2019, in relation to leases under IFRS 16 the Group recognised the following amounts in the consolidated income statement:</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0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Six months to</w:t>
            </w:r>
          </w:p>
        </w:tc>
      </w:tr>
      <w:tr>
        <w:trPr>
          <w:trHeight w:val="162"/>
        </w:trPr>
        <w:tc>
          <w:tcPr>
            <w:tcW w:w="1000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June 30, 2019</w:t>
            </w:r>
          </w:p>
        </w:tc>
      </w:tr>
      <w:tr>
        <w:trPr>
          <w:trHeight w:val="175"/>
        </w:trPr>
        <w:tc>
          <w:tcPr>
            <w:tcW w:w="100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96"/>
        </w:trPr>
        <w:tc>
          <w:tcPr>
            <w:tcW w:w="10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552,017</w:t>
            </w:r>
          </w:p>
        </w:tc>
        <w:tc>
          <w:tcPr>
            <w:tcW w:w="60" w:type="dxa"/>
            <w:vAlign w:val="bottom"/>
            <w:shd w:val="clear" w:color="auto" w:fill="CCEEFF"/>
          </w:tcPr>
          <w:p>
            <w:pPr>
              <w:spacing w:after="0"/>
              <w:rPr>
                <w:sz w:val="17"/>
                <w:szCs w:val="17"/>
                <w:color w:val="auto"/>
              </w:rPr>
            </w:pPr>
          </w:p>
        </w:tc>
      </w:tr>
      <w:tr>
        <w:trPr>
          <w:trHeight w:val="203"/>
        </w:trPr>
        <w:tc>
          <w:tcPr>
            <w:tcW w:w="100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427,943</w:t>
            </w:r>
          </w:p>
        </w:tc>
      </w:tr>
      <w:tr>
        <w:trPr>
          <w:trHeight w:val="203"/>
        </w:trPr>
        <w:tc>
          <w:tcPr>
            <w:tcW w:w="10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3,222</w:t>
            </w:r>
          </w:p>
        </w:tc>
      </w:tr>
    </w:tbl>
    <w:p>
      <w:pPr>
        <w:spacing w:after="0" w:line="215"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The amounts recognised in the consolidated income statement relating to short-term leases and low-value leases, where the relevant practical expedients have been applied, is not significant.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Acquisition of subsidiary</w:t>
      </w:r>
    </w:p>
    <w:p>
      <w:pPr>
        <w:spacing w:after="0" w:line="126"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On April 23, 2019, the Group obtained a 100% controlling interest in OncoMed Pharmaceuticals Inc. (“OncoMed”), a US company based in Redwood City, California, that had been publicly listed on NASDAQ.</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OncoMed is a clinical-stage biopharmaceutical company focused on discovering and developing novel therapeutics that address the fundamental biology driving cancer’s growth, resistance, recurrence and metastasis. OncoMed was acquired in order to broaden the Group’s asset base, strengthen its cash position and obtain a NASDAQ listing to diversify international shareholder base of the combined group.</w:t>
      </w:r>
    </w:p>
    <w:p>
      <w:pPr>
        <w:spacing w:after="0" w:line="20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acquisition has been accounted for using the acquisition method of accounting. A provisional assessment has been made of the fair value to the Group of the assets and liabilities acquired along with the contingent consideration as they are based on preliminary information received at this point and therefore subject to adjustment through December 31, 2019.</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subsidiary—2019: net assets acquired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r>
      <w:tr>
        <w:trPr>
          <w:trHeight w:val="196"/>
        </w:trPr>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short-term deposits</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10,074,297</w:t>
            </w:r>
          </w:p>
        </w:tc>
        <w:tc>
          <w:tcPr>
            <w:tcW w:w="160" w:type="dxa"/>
            <w:vAlign w:val="bottom"/>
            <w:shd w:val="clear" w:color="auto" w:fill="CCEEFF"/>
          </w:tcPr>
          <w:p>
            <w:pPr>
              <w:spacing w:after="0"/>
              <w:rPr>
                <w:sz w:val="17"/>
                <w:szCs w:val="17"/>
                <w:color w:val="auto"/>
              </w:rPr>
            </w:pP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29,019,206</w:t>
            </w: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154,529</w:t>
            </w: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Prepayments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1,696,933</w:t>
            </w: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81,985</w:t>
            </w: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10,755,475</w:t>
            </w: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12,693,479</w:t>
            </w: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(9,214,785)</w:t>
            </w: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liabilities</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(10,688,588)</w:t>
            </w:r>
          </w:p>
        </w:tc>
      </w:tr>
      <w:tr>
        <w:trPr>
          <w:trHeight w:val="217"/>
        </w:trPr>
        <w:tc>
          <w:tcPr>
            <w:tcW w:w="9680" w:type="dxa"/>
            <w:vAlign w:val="bottom"/>
          </w:tcPr>
          <w:p>
            <w:pPr>
              <w:spacing w:after="0"/>
              <w:rPr>
                <w:sz w:val="20"/>
                <w:szCs w:val="20"/>
                <w:color w:val="auto"/>
              </w:rPr>
            </w:pPr>
            <w:r>
              <w:rPr>
                <w:rFonts w:ascii="Arial" w:cs="Arial" w:eastAsia="Arial" w:hAnsi="Arial"/>
                <w:sz w:val="18"/>
                <w:szCs w:val="18"/>
                <w:b w:val="1"/>
                <w:bCs w:val="1"/>
                <w:color w:val="auto"/>
              </w:rPr>
              <w:t>Net identifiable assets</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44,572,531</w:t>
            </w:r>
          </w:p>
        </w:tc>
        <w:tc>
          <w:tcPr>
            <w:tcW w:w="160" w:type="dxa"/>
            <w:vAlign w:val="bottom"/>
          </w:tcPr>
          <w:p>
            <w:pPr>
              <w:spacing w:after="0"/>
              <w:rPr>
                <w:sz w:val="18"/>
                <w:szCs w:val="18"/>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Bargain purchase</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(3,680,053)</w:t>
            </w:r>
          </w:p>
        </w:tc>
      </w:tr>
      <w:tr>
        <w:trPr>
          <w:trHeight w:val="217"/>
        </w:trPr>
        <w:tc>
          <w:tcPr>
            <w:tcW w:w="9680" w:type="dxa"/>
            <w:vAlign w:val="bottom"/>
          </w:tcPr>
          <w:p>
            <w:pPr>
              <w:spacing w:after="0"/>
              <w:rPr>
                <w:sz w:val="20"/>
                <w:szCs w:val="20"/>
                <w:color w:val="auto"/>
              </w:rPr>
            </w:pPr>
            <w:r>
              <w:rPr>
                <w:rFonts w:ascii="Arial" w:cs="Arial" w:eastAsia="Arial" w:hAnsi="Arial"/>
                <w:sz w:val="18"/>
                <w:szCs w:val="18"/>
                <w:b w:val="1"/>
                <w:bCs w:val="1"/>
                <w:color w:val="auto"/>
              </w:rPr>
              <w:t>Total consideration</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40,892,478</w:t>
            </w:r>
          </w:p>
        </w:tc>
        <w:tc>
          <w:tcPr>
            <w:tcW w:w="160" w:type="dxa"/>
            <w:vAlign w:val="bottom"/>
          </w:tcPr>
          <w:p>
            <w:pPr>
              <w:spacing w:after="0"/>
              <w:rPr>
                <w:sz w:val="18"/>
                <w:szCs w:val="18"/>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Satisfied by:</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9680" w:type="dxa"/>
            <w:vAlign w:val="bottom"/>
          </w:tcPr>
          <w:p>
            <w:pPr>
              <w:ind w:left="360"/>
              <w:spacing w:after="0" w:line="202" w:lineRule="exact"/>
              <w:rPr>
                <w:sz w:val="20"/>
                <w:szCs w:val="20"/>
                <w:color w:val="auto"/>
              </w:rPr>
            </w:pPr>
            <w:r>
              <w:rPr>
                <w:rFonts w:ascii="Arial" w:cs="Arial" w:eastAsia="Arial" w:hAnsi="Arial"/>
                <w:sz w:val="18"/>
                <w:szCs w:val="18"/>
                <w:color w:val="auto"/>
              </w:rPr>
              <w:t>Issuance of own-equity instruments (24,783,320 ordinary shares)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40,892,478</w:t>
            </w:r>
          </w:p>
        </w:tc>
      </w:tr>
      <w:tr>
        <w:trPr>
          <w:trHeight w:val="203"/>
        </w:trPr>
        <w:tc>
          <w:tcPr>
            <w:tcW w:w="9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Contingent consideration</w:t>
            </w: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17"/>
        </w:trPr>
        <w:tc>
          <w:tcPr>
            <w:tcW w:w="9680" w:type="dxa"/>
            <w:vAlign w:val="bottom"/>
          </w:tcPr>
          <w:p>
            <w:pPr>
              <w:spacing w:after="0"/>
              <w:rPr>
                <w:sz w:val="20"/>
                <w:szCs w:val="20"/>
                <w:color w:val="auto"/>
              </w:rPr>
            </w:pPr>
            <w:r>
              <w:rPr>
                <w:rFonts w:ascii="Arial" w:cs="Arial" w:eastAsia="Arial" w:hAnsi="Arial"/>
                <w:sz w:val="18"/>
                <w:szCs w:val="18"/>
                <w:b w:val="1"/>
                <w:bCs w:val="1"/>
                <w:color w:val="auto"/>
              </w:rPr>
              <w:t>Total consideration transferred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40,892,478</w:t>
            </w:r>
          </w:p>
        </w:tc>
        <w:tc>
          <w:tcPr>
            <w:tcW w:w="160" w:type="dxa"/>
            <w:vAlign w:val="bottom"/>
          </w:tcPr>
          <w:p>
            <w:pPr>
              <w:spacing w:after="0"/>
              <w:rPr>
                <w:sz w:val="18"/>
                <w:szCs w:val="18"/>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inflow arising on acquisition</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9680" w:type="dxa"/>
            <w:vAlign w:val="bottom"/>
          </w:tcPr>
          <w:p>
            <w:pPr>
              <w:ind w:left="360"/>
              <w:spacing w:after="0" w:line="202" w:lineRule="exact"/>
              <w:rPr>
                <w:sz w:val="20"/>
                <w:szCs w:val="20"/>
                <w:color w:val="auto"/>
              </w:rPr>
            </w:pPr>
            <w:r>
              <w:rPr>
                <w:rFonts w:ascii="Arial" w:cs="Arial" w:eastAsia="Arial" w:hAnsi="Arial"/>
                <w:sz w:val="18"/>
                <w:szCs w:val="18"/>
                <w:color w:val="auto"/>
              </w:rPr>
              <w:t>Cash consideration</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9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cash and short-term deposits acquired</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(10,074,297)</w:t>
            </w:r>
          </w:p>
        </w:tc>
      </w:tr>
      <w:tr>
        <w:trPr>
          <w:trHeight w:val="209"/>
        </w:trPr>
        <w:tc>
          <w:tcPr>
            <w:tcW w:w="96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(10,074,297)</w:t>
            </w:r>
          </w:p>
        </w:tc>
        <w:tc>
          <w:tcPr>
            <w:tcW w:w="160" w:type="dxa"/>
            <w:vAlign w:val="bottom"/>
          </w:tcPr>
          <w:p>
            <w:pPr>
              <w:spacing w:after="0"/>
              <w:rPr>
                <w:sz w:val="18"/>
                <w:szCs w:val="18"/>
                <w:color w:val="auto"/>
              </w:rPr>
            </w:pPr>
          </w:p>
        </w:tc>
      </w:tr>
    </w:tbl>
    <w:p>
      <w:pPr>
        <w:spacing w:after="0" w:line="229" w:lineRule="exact"/>
        <w:rPr>
          <w:sz w:val="20"/>
          <w:szCs w:val="20"/>
          <w:color w:val="auto"/>
        </w:rPr>
      </w:pPr>
    </w:p>
    <w:p>
      <w:pPr>
        <w:jc w:val="both"/>
        <w:ind w:left="120" w:right="100" w:firstLine="440"/>
        <w:spacing w:after="0" w:line="246" w:lineRule="auto"/>
        <w:rPr>
          <w:sz w:val="20"/>
          <w:szCs w:val="20"/>
          <w:color w:val="auto"/>
        </w:rPr>
      </w:pPr>
      <w:r>
        <w:rPr>
          <w:rFonts w:ascii="Arial" w:cs="Arial" w:eastAsia="Arial" w:hAnsi="Arial"/>
          <w:sz w:val="18"/>
          <w:szCs w:val="18"/>
          <w:color w:val="auto"/>
        </w:rPr>
        <w:t>The fair value of the 24,783,320 ordinary shares issued as part of the consideration paid for OncoMed (£40,892,478) was measured on the basis of the Group’s quoted share price as at the date of acquisition (i.e. April 23, 2019).</w:t>
      </w:r>
    </w:p>
    <w:p>
      <w:pPr>
        <w:spacing w:after="0" w:line="197"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As the Group acquired OncoMed for an amount less than the fair market value of the net assets acquired on the date of acquisition, a gain on bargain purchase of £3,680,053 was realised (recognised net against the acquisition transaction costs within the consolidated statement of comprehensive loss). This was attributable to the following factors:</w:t>
      </w:r>
    </w:p>
    <w:p>
      <w:pPr>
        <w:spacing w:after="0" w:line="108" w:lineRule="exact"/>
        <w:rPr>
          <w:sz w:val="20"/>
          <w:szCs w:val="20"/>
          <w:color w:val="auto"/>
        </w:rPr>
      </w:pPr>
    </w:p>
    <w:p>
      <w:pPr>
        <w:ind w:left="1080" w:right="160" w:hanging="532"/>
        <w:spacing w:after="0" w:line="238"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Subject to a working capital adjustment, the immediately pre-closing proportion of shares in Mereo due to be issued to OncoMed’s shareholders as equity consideration was agreed in December 2018 based on the Group’s 90-day volume-weighted average price ending on December 4, 2018 (the “reference share price”). Following a movement downward in the Group’s quoted share price on the completion date (23 April 2019) in comparison with the reference share price this reduced the fair value of the consideration paid. The impact in the reduction in the total consideration paid was partly offset by; and</w:t>
      </w:r>
    </w:p>
    <w:p>
      <w:pPr>
        <w:spacing w:after="0" w:line="107" w:lineRule="exact"/>
        <w:rPr>
          <w:rFonts w:ascii="Arial" w:cs="Arial" w:eastAsia="Arial" w:hAnsi="Arial"/>
          <w:sz w:val="18"/>
          <w:szCs w:val="18"/>
          <w:color w:val="auto"/>
        </w:rPr>
      </w:pPr>
    </w:p>
    <w:p>
      <w:pPr>
        <w:ind w:left="1080" w:right="10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period from announcement of the deal and the date of acquisition (April 23, 2019), a period of approximately five months, OncoMed continued to generate losses reflecting continued R&amp;D activity together with expenditure on its overheads. This had the effect of reducing net assets acquired.</w:t>
      </w:r>
    </w:p>
    <w:p>
      <w:pPr>
        <w:spacing w:after="0" w:line="203" w:lineRule="exact"/>
        <w:rPr>
          <w:sz w:val="20"/>
          <w:szCs w:val="20"/>
          <w:color w:val="auto"/>
        </w:rPr>
      </w:pPr>
    </w:p>
    <w:p>
      <w:pPr>
        <w:ind w:left="120" w:right="880" w:firstLine="440"/>
        <w:spacing w:after="0" w:line="246" w:lineRule="auto"/>
        <w:rPr>
          <w:sz w:val="20"/>
          <w:szCs w:val="20"/>
          <w:color w:val="auto"/>
        </w:rPr>
      </w:pPr>
      <w:r>
        <w:rPr>
          <w:rFonts w:ascii="Arial" w:cs="Arial" w:eastAsia="Arial" w:hAnsi="Arial"/>
          <w:sz w:val="18"/>
          <w:szCs w:val="18"/>
          <w:color w:val="auto"/>
        </w:rPr>
        <w:t>The contingent consideration arrangement requires the Group to make additional cash payments and issue new American Depositary Shares (“ADSs”) if specified milestones are achieved within agreed time periods.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Additional cash consideration becomes payable, if, within eighteen months following the completion date, the Group enters into eligible partnership or investment transactions in relation to OncoMed’s navicixizumab product and, within five years of the completion date, the Group receives certain eligible cash milestone payment (“NAVI Milestone”). The potential undiscounted amount of the Navi Milestone payment is subject to an aggregate cap of approximately $80 million.</w:t>
      </w:r>
    </w:p>
    <w:p>
      <w:pPr>
        <w:spacing w:after="0" w:line="205" w:lineRule="exact"/>
        <w:rPr>
          <w:sz w:val="20"/>
          <w:szCs w:val="20"/>
          <w:color w:val="auto"/>
        </w:rPr>
      </w:pPr>
    </w:p>
    <w:p>
      <w:pPr>
        <w:jc w:val="both"/>
        <w:ind w:left="120" w:right="440" w:firstLine="440"/>
        <w:spacing w:after="0"/>
        <w:rPr>
          <w:sz w:val="20"/>
          <w:szCs w:val="20"/>
          <w:color w:val="auto"/>
        </w:rPr>
      </w:pPr>
      <w:r>
        <w:rPr>
          <w:rFonts w:ascii="Arial" w:cs="Arial" w:eastAsia="Arial" w:hAnsi="Arial"/>
          <w:sz w:val="18"/>
          <w:szCs w:val="18"/>
          <w:color w:val="auto"/>
        </w:rPr>
        <w:t>Contingent consideration in the form of new ADSs was also due in the event that Celgene Corporation (“Celgene”) exercised its option in relation to OncoMed’s etigilimab product. As announced in June 2019, Celgene did not exercise its option and therefore the Group will not be required to issue any ADSs under this contingent consideration arrangement.</w:t>
      </w:r>
    </w:p>
    <w:p>
      <w:pPr>
        <w:spacing w:after="0" w:line="20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After consideration of the significant inherent uncertainties related to the Navi milestones, the preliminary fair value of the CVRs as of the completion date was estimated to be minimal (i.e. approximates £Nil). In determining that the preliminary CVR fair value approximated nil, the following information and factors were considered:</w:t>
      </w:r>
    </w:p>
    <w:p>
      <w:pPr>
        <w:spacing w:after="0" w:line="108" w:lineRule="exact"/>
        <w:rPr>
          <w:sz w:val="20"/>
          <w:szCs w:val="20"/>
          <w:color w:val="auto"/>
        </w:rPr>
      </w:pPr>
    </w:p>
    <w:p>
      <w:pPr>
        <w:ind w:left="1080" w:right="60" w:hanging="532"/>
        <w:spacing w:after="0" w:line="246"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likelihood of Celgene exercising the exclusive option granted by OncoMed to Celgene in relation to OncoMed’s etigilimab product, particularly given Bristol-Myers Squibb’s proposed acquisition of Celgene;</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uncertain outcomes of current clinical studies;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level of uncertainty regarding the availability of future funding partners;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level of uncertainty relating to the success of future development of such products; as well as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dependency of the CVR milestones on the occurrence of events that are outside of the control of the Group.</w:t>
      </w:r>
    </w:p>
    <w:p>
      <w:pPr>
        <w:spacing w:after="0" w:line="21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fair value of the financial assets includes receivables from the landlord under OncoMed’s office lease arrangement in relation to tenant improvements with a fair value and a gross contractual value of £154,529. It is estimated at acquisition date that all contractual cash flows are collectable in full. Short-term investments acquired with OncoMed were treasury bills (recognised at fair value through OCI).</w:t>
      </w:r>
    </w:p>
    <w:p>
      <w:pPr>
        <w:spacing w:after="0" w:line="20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Acquisition-related-costs (recognised net against the gain on bargain purchase within the consolidated statement of comprehensive loss) amounted to £2,644,674.</w:t>
      </w:r>
    </w:p>
    <w:p>
      <w:pPr>
        <w:spacing w:after="0" w:line="19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OncoMed contributed £nil revenue and £2,283,341 to the Group’s loss for the period between the date of acquisition and the balance sheet date.</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If the acquisition of OncoMed had been completed on the first day of the financial year, group revenues for the period would have been £4,255,178 and the Group’s loss would have been £24,340,108. This information is provided for illustrative purposes only and is not necessarily indicative of the results that the Group would have occurred had OncoMed actually been acquired at the beginning of the year, or indicative of future results of the Group.</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plant and equipment</w:t>
      </w:r>
    </w:p>
    <w:p>
      <w:pPr>
        <w:spacing w:after="0" w:line="126"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On initial application of IFRS 16 the Group recognised right-of-use assets of £2,551,810. Subsequently, following the acquisition of OncoMed (Note 4), the Group recognised a right-of-use asset of £10,755,475 relating to an acquired property lease.</w:t>
      </w:r>
    </w:p>
    <w:p>
      <w:pPr>
        <w:spacing w:after="0" w:line="197"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Further details on the initial application of IFRS 16 are presented in Note 3. The Group has decided to present right-of-use assets within property, plant and equipment.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9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At December 31, 2018—Audited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2"/>
        </w:trPr>
        <w:tc>
          <w:tcPr>
            <w:tcW w:w="9800" w:type="dxa"/>
            <w:vAlign w:val="bottom"/>
            <w:gridSpan w:val="4"/>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6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Cost</w:t>
            </w:r>
          </w:p>
        </w:tc>
        <w:tc>
          <w:tcPr>
            <w:tcW w:w="7640" w:type="dxa"/>
            <w:vAlign w:val="bottom"/>
            <w:tcBorders>
              <w:top w:val="single" w:sz="8" w:color="CCEEFF"/>
            </w:tcBorders>
            <w:gridSpan w:val="2"/>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33,005,229</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800" w:type="dxa"/>
            <w:vAlign w:val="bottom"/>
            <w:gridSpan w:val="4"/>
          </w:tcPr>
          <w:p>
            <w:pPr>
              <w:spacing w:after="0" w:line="202" w:lineRule="exact"/>
              <w:rPr>
                <w:sz w:val="20"/>
                <w:szCs w:val="20"/>
                <w:color w:val="auto"/>
              </w:rPr>
            </w:pPr>
            <w:r>
              <w:rPr>
                <w:rFonts w:ascii="Arial" w:cs="Arial" w:eastAsia="Arial" w:hAnsi="Arial"/>
                <w:sz w:val="18"/>
                <w:szCs w:val="18"/>
                <w:color w:val="auto"/>
              </w:rPr>
              <w:t>Accumulated revision to estimated value</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(373,000)</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amount</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32,632,229</w:t>
            </w:r>
          </w:p>
        </w:tc>
        <w:tc>
          <w:tcPr>
            <w:tcW w:w="0" w:type="dxa"/>
            <w:vAlign w:val="bottom"/>
          </w:tcPr>
          <w:p>
            <w:pPr>
              <w:spacing w:after="0"/>
              <w:rPr>
                <w:sz w:val="1"/>
                <w:szCs w:val="1"/>
                <w:color w:val="auto"/>
              </w:rPr>
            </w:pPr>
          </w:p>
        </w:tc>
      </w:tr>
      <w:tr>
        <w:trPr>
          <w:trHeight w:val="20"/>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2019—Unaudited</w:t>
            </w:r>
          </w:p>
        </w:tc>
        <w:tc>
          <w:tcPr>
            <w:tcW w:w="6740" w:type="dxa"/>
            <w:vAlign w:val="bottom"/>
            <w:vMerge w:val="restart"/>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060" w:type="dxa"/>
            <w:vAlign w:val="bottom"/>
            <w:tcBorders>
              <w:bottom w:val="single" w:sz="8" w:color="auto"/>
            </w:tcBorders>
            <w:gridSpan w:val="3"/>
            <w:vMerge w:val="continue"/>
          </w:tcPr>
          <w:p>
            <w:pPr>
              <w:spacing w:after="0"/>
              <w:rPr>
                <w:sz w:val="24"/>
                <w:szCs w:val="24"/>
                <w:color w:val="auto"/>
              </w:rPr>
            </w:pPr>
          </w:p>
        </w:tc>
        <w:tc>
          <w:tcPr>
            <w:tcW w:w="67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At January 1, 2019</w:t>
            </w: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32,632,229</w:t>
            </w:r>
          </w:p>
        </w:tc>
        <w:tc>
          <w:tcPr>
            <w:tcW w:w="0" w:type="dxa"/>
            <w:vAlign w:val="bottom"/>
          </w:tcPr>
          <w:p>
            <w:pPr>
              <w:spacing w:after="0"/>
              <w:rPr>
                <w:sz w:val="1"/>
                <w:szCs w:val="1"/>
                <w:color w:val="auto"/>
              </w:rPr>
            </w:pPr>
          </w:p>
        </w:tc>
      </w:tr>
      <w:tr>
        <w:trPr>
          <w:trHeight w:val="310"/>
        </w:trPr>
        <w:tc>
          <w:tcPr>
            <w:tcW w:w="9800" w:type="dxa"/>
            <w:vAlign w:val="bottom"/>
            <w:gridSpan w:val="4"/>
          </w:tcPr>
          <w:p>
            <w:pPr>
              <w:spacing w:after="0"/>
              <w:rPr>
                <w:sz w:val="20"/>
                <w:szCs w:val="20"/>
                <w:color w:val="auto"/>
              </w:rPr>
            </w:pPr>
            <w:r>
              <w:rPr>
                <w:rFonts w:ascii="Arial" w:cs="Arial" w:eastAsia="Arial" w:hAnsi="Arial"/>
                <w:sz w:val="18"/>
                <w:szCs w:val="18"/>
                <w:color w:val="auto"/>
              </w:rPr>
              <w:t>Acquisition of subsidiary (Note 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12,693,479</w:t>
            </w:r>
          </w:p>
        </w:tc>
        <w:tc>
          <w:tcPr>
            <w:tcW w:w="0" w:type="dxa"/>
            <w:vAlign w:val="bottom"/>
          </w:tcPr>
          <w:p>
            <w:pPr>
              <w:spacing w:after="0"/>
              <w:rPr>
                <w:sz w:val="1"/>
                <w:szCs w:val="1"/>
                <w:color w:val="auto"/>
              </w:rPr>
            </w:pPr>
          </w:p>
        </w:tc>
      </w:tr>
      <w:tr>
        <w:trPr>
          <w:trHeight w:val="203"/>
        </w:trPr>
        <w:tc>
          <w:tcPr>
            <w:tcW w:w="9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Revision to estimated value</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(169,000)</w:t>
            </w:r>
          </w:p>
        </w:tc>
        <w:tc>
          <w:tcPr>
            <w:tcW w:w="0" w:type="dxa"/>
            <w:vAlign w:val="bottom"/>
          </w:tcPr>
          <w:p>
            <w:pPr>
              <w:spacing w:after="0"/>
              <w:rPr>
                <w:sz w:val="1"/>
                <w:szCs w:val="1"/>
                <w:color w:val="auto"/>
              </w:rPr>
            </w:pPr>
          </w:p>
        </w:tc>
      </w:tr>
      <w:tr>
        <w:trPr>
          <w:trHeight w:val="20"/>
        </w:trPr>
        <w:tc>
          <w:tcPr>
            <w:tcW w:w="9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At June 30, 2019</w:t>
            </w: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4"/>
            <w:vMerge w:val="continue"/>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45,156,708</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At June 30, 2019—Unaudited</w:t>
            </w:r>
          </w:p>
        </w:tc>
        <w:tc>
          <w:tcPr>
            <w:tcW w:w="7820" w:type="dxa"/>
            <w:vAlign w:val="bottom"/>
            <w:gridSpan w:val="3"/>
            <w:vMerge w:val="restart"/>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980" w:type="dxa"/>
            <w:vAlign w:val="bottom"/>
            <w:tcBorders>
              <w:bottom w:val="single" w:sz="8" w:color="auto"/>
            </w:tcBorders>
            <w:vMerge w:val="continue"/>
          </w:tcPr>
          <w:p>
            <w:pPr>
              <w:spacing w:after="0"/>
              <w:rPr>
                <w:sz w:val="24"/>
                <w:szCs w:val="24"/>
                <w:color w:val="auto"/>
              </w:rPr>
            </w:pPr>
          </w:p>
        </w:tc>
        <w:tc>
          <w:tcPr>
            <w:tcW w:w="782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45,698,708</w:t>
            </w:r>
          </w:p>
        </w:tc>
        <w:tc>
          <w:tcPr>
            <w:tcW w:w="0" w:type="dxa"/>
            <w:vAlign w:val="bottom"/>
          </w:tcPr>
          <w:p>
            <w:pPr>
              <w:spacing w:after="0"/>
              <w:rPr>
                <w:sz w:val="1"/>
                <w:szCs w:val="1"/>
                <w:color w:val="auto"/>
              </w:rPr>
            </w:pPr>
          </w:p>
        </w:tc>
      </w:tr>
      <w:tr>
        <w:trPr>
          <w:trHeight w:val="203"/>
        </w:trPr>
        <w:tc>
          <w:tcPr>
            <w:tcW w:w="9800" w:type="dxa"/>
            <w:vAlign w:val="bottom"/>
            <w:gridSpan w:val="4"/>
          </w:tcPr>
          <w:p>
            <w:pPr>
              <w:spacing w:after="0" w:line="202" w:lineRule="exact"/>
              <w:rPr>
                <w:sz w:val="20"/>
                <w:szCs w:val="20"/>
                <w:color w:val="auto"/>
              </w:rPr>
            </w:pPr>
            <w:r>
              <w:rPr>
                <w:rFonts w:ascii="Arial" w:cs="Arial" w:eastAsia="Arial" w:hAnsi="Arial"/>
                <w:sz w:val="18"/>
                <w:szCs w:val="18"/>
                <w:color w:val="auto"/>
              </w:rPr>
              <w:t>Accumulated revision to estimated value</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(542,000)</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amount</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45,156,708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40" w:firstLine="440"/>
        <w:spacing w:after="0" w:line="261" w:lineRule="auto"/>
        <w:rPr>
          <w:sz w:val="20"/>
          <w:szCs w:val="20"/>
          <w:color w:val="auto"/>
        </w:rPr>
      </w:pPr>
      <w:r>
        <w:rPr>
          <w:rFonts w:ascii="Arial" w:cs="Arial" w:eastAsia="Arial" w:hAnsi="Arial"/>
          <w:sz w:val="17"/>
          <w:szCs w:val="17"/>
          <w:color w:val="auto"/>
        </w:rPr>
        <w:t>The present value of the provision for deferred cash consideration relating to the agreement with AstraZeneca was reviewed at June 30, 2019 (see Note 9). The decrease in present value due to changes in timelines and probability of contractual milestones being achieved was £169,000 (2018: £373,000) and is recognized as a reduction of the intangible asset in line with our accounting policies.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intangible asset acquired with the acquisition of subsidiary of £12,693,479 (2018: £nil) is further explained within Note 4.</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period the Group did not revise the value of any other intangible assets (2018: £nil). As the intangible assets remain</w:t>
      </w:r>
    </w:p>
    <w:p>
      <w:pPr>
        <w:ind w:left="120"/>
        <w:spacing w:after="0"/>
        <w:rPr>
          <w:sz w:val="20"/>
          <w:szCs w:val="20"/>
          <w:color w:val="auto"/>
        </w:rPr>
      </w:pPr>
      <w:r>
        <w:rPr>
          <w:rFonts w:ascii="Arial" w:cs="Arial" w:eastAsia="Arial" w:hAnsi="Arial"/>
          <w:sz w:val="18"/>
          <w:szCs w:val="18"/>
          <w:color w:val="auto"/>
        </w:rPr>
        <w:t>under development, no amortisation charge has been recognised (2018: £nil).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Interest bearing loans and borrowings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7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16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 2019</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31, 2018</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16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2018 Audited</w:t>
            </w:r>
          </w:p>
        </w:tc>
      </w:tr>
      <w:tr>
        <w:trPr>
          <w:trHeight w:val="175"/>
        </w:trPr>
        <w:tc>
          <w:tcPr>
            <w:tcW w:w="7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loan notes (see Note 7a)</w:t>
            </w:r>
          </w:p>
        </w:tc>
        <w:tc>
          <w:tcPr>
            <w:tcW w:w="112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1,943,235</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2,038,881</w:t>
            </w:r>
          </w:p>
        </w:tc>
        <w:tc>
          <w:tcPr>
            <w:tcW w:w="80" w:type="dxa"/>
            <w:vAlign w:val="bottom"/>
            <w:shd w:val="clear" w:color="auto" w:fill="CCEEFF"/>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Bank loan (see Note 7b)</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19,732,236</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18,961,887</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19,445,756</w:t>
            </w:r>
          </w:p>
        </w:tc>
      </w:tr>
      <w:tr>
        <w:trPr>
          <w:trHeight w:val="27"/>
        </w:trPr>
        <w:tc>
          <w:tcPr>
            <w:tcW w:w="7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19,732,236</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20,905,122</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21,484,637</w:t>
            </w:r>
          </w:p>
        </w:tc>
      </w:tr>
      <w:tr>
        <w:trPr>
          <w:trHeight w:val="20"/>
        </w:trPr>
        <w:tc>
          <w:tcPr>
            <w:tcW w:w="7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160" w:type="dxa"/>
            <w:vAlign w:val="bottom"/>
          </w:tcPr>
          <w:p>
            <w:pPr>
              <w:spacing w:after="0" w:line="196" w:lineRule="exact"/>
              <w:rPr>
                <w:sz w:val="20"/>
                <w:szCs w:val="20"/>
                <w:color w:val="auto"/>
              </w:rPr>
            </w:pPr>
            <w:r>
              <w:rPr>
                <w:rFonts w:ascii="Arial" w:cs="Arial" w:eastAsia="Arial" w:hAnsi="Arial"/>
                <w:sz w:val="18"/>
                <w:szCs w:val="18"/>
                <w:color w:val="auto"/>
              </w:rPr>
              <w:t>Current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8,011,237</w:t>
            </w:r>
          </w:p>
        </w:tc>
        <w:tc>
          <w:tcPr>
            <w:tcW w:w="160" w:type="dxa"/>
            <w:vAlign w:val="bottom"/>
          </w:tcPr>
          <w:p>
            <w:pPr>
              <w:spacing w:after="0"/>
              <w:rPr>
                <w:sz w:val="17"/>
                <w:szCs w:val="17"/>
                <w:color w:val="auto"/>
              </w:rPr>
            </w:pP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5,644,369</w:t>
            </w:r>
          </w:p>
        </w:tc>
        <w:tc>
          <w:tcPr>
            <w:tcW w:w="1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6,837,884</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11,720,999</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15,260,753</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14,646,753</w:t>
            </w:r>
          </w:p>
        </w:tc>
      </w:tr>
      <w:tr>
        <w:trPr>
          <w:trHeight w:val="20"/>
        </w:trPr>
        <w:tc>
          <w:tcPr>
            <w:tcW w:w="7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7a. Convertible loan note</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On June 21, 2019 Novartis converted the remaining balance of principal and interest of £2,367,004 of loan Notes (“Novartis Notes”) into 1,071,042 ordinary shares at the fixed conversion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price of £2.21 per share. This has been recorded as a £2,058,882 reduction in interest bearing loans and borrowings and a reduction in other capital reserves of £308,122. Under the terms of the Notes, Novartis also received 864,988 bonus shares.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value of the equity component of the Notes at December 31, 2018 was calculated as £308,122.</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7b. Bank loan</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On April 23, 2019, following completion of the acquisition of OncoMed, the Group agreed an amendment to the terms of its bank loan with the lenders. The new terms extended the interest-only period to December 31, 2019 followed by a 15-month capital and interest repayment period. The Group has undertaken an assessment under IFRS 9 and believe that the change in terms should not be accounted for as a modification under IFRS 9, but instead as a change in expected cash flows. The cash flows under the bank loan were revised from May 1, 2019. The gain as a result of the changes in the estimated cash flows is recognised as a true up in the total finance cost (i.e. together with the interest expense). Management estimated the revised carrying value of the loan as of May 1, 2019 to be £19,942,551 by discounting the revised cash flows at the original discount rate of 18%. The difference between the previous and revised carrying value of the loan as at May 1, 2019 in the amount of £456,430 is recognised as a gain in profit and loss as required under IFRS 9. Following the re-estimation, the financial liability continues to be accounted for at amortised cost using the original effective interest rate.</w:t>
      </w:r>
    </w:p>
    <w:p>
      <w:pPr>
        <w:spacing w:after="0" w:line="207" w:lineRule="exact"/>
        <w:rPr>
          <w:sz w:val="20"/>
          <w:szCs w:val="20"/>
          <w:color w:val="auto"/>
        </w:rPr>
      </w:pPr>
    </w:p>
    <w:p>
      <w:pPr>
        <w:jc w:val="both"/>
        <w:ind w:left="120" w:right="440" w:firstLine="440"/>
        <w:spacing w:after="0"/>
        <w:rPr>
          <w:sz w:val="20"/>
          <w:szCs w:val="20"/>
          <w:color w:val="auto"/>
        </w:rPr>
      </w:pPr>
      <w:r>
        <w:rPr>
          <w:rFonts w:ascii="Arial" w:cs="Arial" w:eastAsia="Arial" w:hAnsi="Arial"/>
          <w:sz w:val="18"/>
          <w:szCs w:val="18"/>
          <w:color w:val="auto"/>
        </w:rPr>
        <w:t>On May 3, 2019, under the terms of the loan agreement, Mereo issued 321,444 additional warrants (see Note 10) to its lenders giving them the right to subscribe for ordinary shares at an exercise price of £2.95. The fair value of the additional warrants as of their grant date (May 3, 2019) was £131,150.</w:t>
      </w:r>
    </w:p>
    <w:p>
      <w:pPr>
        <w:spacing w:after="0" w:line="203" w:lineRule="exact"/>
        <w:rPr>
          <w:sz w:val="20"/>
          <w:szCs w:val="20"/>
          <w:color w:val="auto"/>
        </w:rPr>
      </w:pPr>
    </w:p>
    <w:p>
      <w:pPr>
        <w:jc w:val="both"/>
        <w:ind w:left="120" w:right="460" w:firstLine="440"/>
        <w:spacing w:after="0"/>
        <w:rPr>
          <w:sz w:val="20"/>
          <w:szCs w:val="20"/>
          <w:color w:val="auto"/>
        </w:rPr>
      </w:pPr>
      <w:r>
        <w:rPr>
          <w:rFonts w:ascii="Arial" w:cs="Arial" w:eastAsia="Arial" w:hAnsi="Arial"/>
          <w:sz w:val="18"/>
          <w:szCs w:val="18"/>
          <w:color w:val="auto"/>
        </w:rPr>
        <w:t>The total carrying value of the loan at June 30, 2019 was £19,732,236 (2018: £18,961,887). £ 8,011,237 is a current liability and £11,720,999 is a non-current liability. A total of £742,909 (2018: £186,963) of non-cash interest has been charged to the statement of comprehensive loss in the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Issued capital and reserves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Six months</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Six months to</w:t>
            </w:r>
          </w:p>
        </w:tc>
        <w:tc>
          <w:tcPr>
            <w:tcW w:w="12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to June 30,</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 2019</w:t>
            </w:r>
          </w:p>
        </w:tc>
        <w:tc>
          <w:tcPr>
            <w:tcW w:w="780" w:type="dxa"/>
            <w:vAlign w:val="bottom"/>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Unaudited</w:t>
            </w: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Unaudited</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3540" w:type="dxa"/>
            <w:vAlign w:val="bottom"/>
            <w:gridSpan w:val="2"/>
          </w:tcPr>
          <w:p>
            <w:pPr>
              <w:jc w:val="center"/>
              <w:ind w:left="2496"/>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Ordinary share capital</w:t>
            </w:r>
          </w:p>
        </w:tc>
        <w:tc>
          <w:tcPr>
            <w:tcW w:w="25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righ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Balance at beginning of year/period</w:t>
            </w:r>
          </w:p>
        </w:tc>
        <w:tc>
          <w:tcPr>
            <w:tcW w:w="4020" w:type="dxa"/>
            <w:vAlign w:val="bottom"/>
            <w:gridSpan w:val="3"/>
          </w:tcPr>
          <w:p>
            <w:pPr>
              <w:jc w:val="right"/>
              <w:ind w:right="480"/>
              <w:spacing w:after="0" w:line="202" w:lineRule="exact"/>
              <w:rPr>
                <w:sz w:val="20"/>
                <w:szCs w:val="20"/>
                <w:color w:val="auto"/>
              </w:rPr>
            </w:pPr>
            <w:r>
              <w:rPr>
                <w:rFonts w:ascii="Arial" w:cs="Arial" w:eastAsia="Arial" w:hAnsi="Arial"/>
                <w:sz w:val="18"/>
                <w:szCs w:val="18"/>
                <w:b w:val="1"/>
                <w:bCs w:val="1"/>
                <w:color w:val="auto"/>
              </w:rPr>
              <w:t>213,721</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213,285</w:t>
            </w: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213,285</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Issuances in the period</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80,158</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5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Nominal share capital at end of year/period</w:t>
            </w:r>
          </w:p>
        </w:tc>
        <w:tc>
          <w:tcPr>
            <w:tcW w:w="258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293,879</w:t>
            </w:r>
          </w:p>
        </w:tc>
        <w:tc>
          <w:tcPr>
            <w:tcW w:w="480" w:type="dxa"/>
            <w:vAlign w:val="bottom"/>
            <w:vMerge w:val="continue"/>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213,435</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213,721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Ordinary shares issued and fully paid</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At January 1, 2019</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71,240,272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April 23, 2019 for OncoMed acquisition</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24,783,320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Issued on June 21, 2019 for conversion of loan note</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1,936,030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June 30, 2019</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97,959,622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Nominal value at June 30, 2019 (£)</w:t>
            </w:r>
          </w:p>
        </w:tc>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June 30, 2019 (£)</w:t>
            </w:r>
          </w:p>
        </w:tc>
        <w:tc>
          <w:tcPr>
            <w:tcW w:w="2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293,879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020" w:type="dxa"/>
            <w:vAlign w:val="bottom"/>
            <w:gridSpan w:val="3"/>
            <w:vMerge w:val="restart"/>
          </w:tcPr>
          <w:p>
            <w:pPr>
              <w:ind w:left="600"/>
              <w:spacing w:after="0"/>
              <w:rPr>
                <w:sz w:val="20"/>
                <w:szCs w:val="20"/>
                <w:color w:val="auto"/>
              </w:rPr>
            </w:pPr>
            <w:r>
              <w:rPr>
                <w:rFonts w:ascii="Arial" w:cs="Arial" w:eastAsia="Arial" w:hAnsi="Arial"/>
                <w:sz w:val="18"/>
                <w:szCs w:val="18"/>
                <w:color w:val="auto"/>
              </w:rPr>
              <w:t>F-15</w:t>
            </w: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402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At January 1, 2018</w:t>
      </w:r>
    </w:p>
    <w:p>
      <w:pPr>
        <w:ind w:left="120"/>
        <w:spacing w:after="0"/>
        <w:rPr>
          <w:sz w:val="20"/>
          <w:szCs w:val="20"/>
          <w:color w:val="auto"/>
        </w:rPr>
      </w:pPr>
      <w:r>
        <w:rPr>
          <w:rFonts w:ascii="Arial" w:cs="Arial" w:eastAsia="Arial" w:hAnsi="Arial"/>
          <w:sz w:val="18"/>
          <w:szCs w:val="18"/>
          <w:color w:val="auto"/>
        </w:rPr>
        <w:t>Issued on June 1, 2018 for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2018</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Nominal value at June 30, 2018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Issued capital at June 30, 2018 (£)</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At July 1, 2018</w:t>
      </w:r>
    </w:p>
    <w:p>
      <w:pPr>
        <w:ind w:left="120"/>
        <w:spacing w:after="0" w:line="234" w:lineRule="auto"/>
        <w:rPr>
          <w:sz w:val="20"/>
          <w:szCs w:val="20"/>
          <w:color w:val="auto"/>
        </w:rPr>
      </w:pPr>
      <w:r>
        <w:rPr>
          <w:rFonts w:ascii="Arial" w:cs="Arial" w:eastAsia="Arial" w:hAnsi="Arial"/>
          <w:sz w:val="18"/>
          <w:szCs w:val="18"/>
          <w:color w:val="auto"/>
        </w:rPr>
        <w:t>Issued on August 3, 2018 for exercise of share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2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Issued on October 22, 2018 for exercise of share options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Nominal value at December 31, 2018 (£)</w:t>
      </w:r>
    </w:p>
    <w:p>
      <w:pPr>
        <w:ind w:left="120"/>
        <w:spacing w:after="0"/>
        <w:rPr>
          <w:sz w:val="20"/>
          <w:szCs w:val="20"/>
          <w:color w:val="auto"/>
        </w:rPr>
      </w:pPr>
      <w:r>
        <w:rPr>
          <w:rFonts w:ascii="Arial" w:cs="Arial" w:eastAsia="Arial" w:hAnsi="Arial"/>
          <w:sz w:val="18"/>
          <w:szCs w:val="18"/>
          <w:color w:val="auto"/>
        </w:rPr>
        <w:t>Issued capital at December 31, 2018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Since January 1, 2019, the following alterations to the Company’s share capital have been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71,094,974</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50,076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71,145,050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5080</wp:posOffset>
            </wp:positionV>
            <wp:extent cx="7283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0.003</w:t>
      </w:r>
    </w:p>
    <w:p>
      <w:pPr>
        <w:jc w:val="right"/>
        <w:ind w:right="80"/>
        <w:spacing w:after="0"/>
        <w:rPr>
          <w:sz w:val="20"/>
          <w:szCs w:val="20"/>
          <w:color w:val="auto"/>
        </w:rPr>
      </w:pPr>
      <w:r>
        <w:rPr>
          <w:rFonts w:ascii="Arial" w:cs="Arial" w:eastAsia="Arial" w:hAnsi="Arial"/>
          <w:sz w:val="18"/>
          <w:szCs w:val="18"/>
          <w:color w:val="auto"/>
        </w:rPr>
        <w:t>213,435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14605</wp:posOffset>
            </wp:positionV>
            <wp:extent cx="72834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71,145,050</w:t>
      </w:r>
    </w:p>
    <w:p>
      <w:pPr>
        <w:spacing w:after="0" w:line="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10,000</w:t>
      </w:r>
    </w:p>
    <w:p>
      <w:pPr>
        <w:jc w:val="right"/>
        <w:ind w:right="80"/>
        <w:spacing w:after="0"/>
        <w:rPr>
          <w:sz w:val="20"/>
          <w:szCs w:val="20"/>
          <w:color w:val="auto"/>
        </w:rPr>
      </w:pPr>
      <w:r>
        <w:rPr>
          <w:rFonts w:ascii="Arial" w:cs="Arial" w:eastAsia="Arial" w:hAnsi="Arial"/>
          <w:sz w:val="18"/>
          <w:szCs w:val="18"/>
          <w:color w:val="auto"/>
        </w:rPr>
        <w:t>85,222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71,240,272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5080</wp:posOffset>
            </wp:positionV>
            <wp:extent cx="72834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0.003</w:t>
      </w:r>
    </w:p>
    <w:p>
      <w:pPr>
        <w:jc w:val="right"/>
        <w:ind w:right="80"/>
        <w:spacing w:after="0"/>
        <w:rPr>
          <w:sz w:val="20"/>
          <w:szCs w:val="20"/>
          <w:color w:val="auto"/>
        </w:rPr>
      </w:pPr>
      <w:r>
        <w:rPr>
          <w:rFonts w:ascii="Arial" w:cs="Arial" w:eastAsia="Arial" w:hAnsi="Arial"/>
          <w:sz w:val="18"/>
          <w:szCs w:val="18"/>
          <w:color w:val="auto"/>
        </w:rPr>
        <w:t>213,721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14605</wp:posOffset>
            </wp:positionV>
            <wp:extent cx="72834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9440" w:space="720"/>
            <w:col w:w="980"/>
          </w:cols>
          <w:pgMar w:left="320" w:top="459" w:right="439" w:bottom="1440" w:gutter="0" w:footer="0" w:header="0"/>
        </w:sectPr>
      </w:pPr>
    </w:p>
    <w:p>
      <w:pPr>
        <w:jc w:val="both"/>
        <w:ind w:left="1080" w:right="20" w:hanging="532"/>
        <w:spacing w:after="0" w:line="246"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April 23, 2019 the Company issued and allotted 24,783,320 ordinary shares of £0.003 in nominal value in the capital of the Company as consideration for the acquisition of OncoMed. The fair value of the ordinary shares was measured as £1.65; and</w:t>
      </w:r>
    </w:p>
    <w:p>
      <w:pPr>
        <w:spacing w:after="0" w:line="102" w:lineRule="exact"/>
        <w:rPr>
          <w:rFonts w:ascii="Arial" w:cs="Arial" w:eastAsia="Arial" w:hAnsi="Arial"/>
          <w:sz w:val="18"/>
          <w:szCs w:val="18"/>
          <w:color w:val="auto"/>
        </w:rPr>
      </w:pPr>
    </w:p>
    <w:p>
      <w:pPr>
        <w:jc w:val="both"/>
        <w:ind w:left="1080" w:right="14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June 21, 2019 Novartis converted £2,367,004 of loan notes dated June 3, 2016 into 1,071,042 ordinary shares of £0.003 in nominal value in the capital of the Company at the fixed conversion price of £2.21 per share. Under the terms of the notes, Novartis also received 864,988 bonus shares.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59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83"/>
        </w:trPr>
        <w:tc>
          <w:tcPr>
            <w:tcW w:w="4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Share premium</w:t>
            </w:r>
          </w:p>
        </w:tc>
        <w:tc>
          <w:tcPr>
            <w:tcW w:w="47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2019—Audited</w:t>
            </w:r>
          </w:p>
        </w:tc>
        <w:tc>
          <w:tcPr>
            <w:tcW w:w="61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118,492,073</w:t>
            </w:r>
          </w:p>
        </w:tc>
      </w:tr>
      <w:tr>
        <w:trPr>
          <w:trHeight w:val="202"/>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June 21, 2019 for conversion of loan note</w:t>
            </w:r>
          </w:p>
        </w:tc>
        <w:tc>
          <w:tcPr>
            <w:tcW w:w="6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3,952,773</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476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(760,692)</w:t>
            </w:r>
          </w:p>
        </w:tc>
      </w:tr>
      <w:tr>
        <w:trPr>
          <w:trHeight w:val="27"/>
        </w:trPr>
        <w:tc>
          <w:tcPr>
            <w:tcW w:w="49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2019—Unaudited</w:t>
            </w:r>
          </w:p>
        </w:tc>
        <w:tc>
          <w:tcPr>
            <w:tcW w:w="47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121,684,154</w:t>
            </w:r>
          </w:p>
        </w:tc>
      </w:tr>
      <w:tr>
        <w:trPr>
          <w:trHeight w:val="20"/>
        </w:trPr>
        <w:tc>
          <w:tcPr>
            <w:tcW w:w="4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4920" w:type="dxa"/>
            <w:vAlign w:val="bottom"/>
          </w:tcPr>
          <w:p>
            <w:pPr>
              <w:spacing w:after="0"/>
              <w:rPr>
                <w:sz w:val="24"/>
                <w:szCs w:val="24"/>
                <w:color w:val="auto"/>
              </w:rPr>
            </w:pPr>
          </w:p>
        </w:tc>
        <w:tc>
          <w:tcPr>
            <w:tcW w:w="59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r>
      <w:tr>
        <w:trPr>
          <w:trHeight w:val="183"/>
        </w:trPr>
        <w:tc>
          <w:tcPr>
            <w:tcW w:w="4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Share premium</w:t>
            </w:r>
          </w:p>
        </w:tc>
        <w:tc>
          <w:tcPr>
            <w:tcW w:w="47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02"/>
        </w:trPr>
        <w:tc>
          <w:tcPr>
            <w:tcW w:w="492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2018—Audited</w:t>
            </w:r>
          </w:p>
        </w:tc>
        <w:tc>
          <w:tcPr>
            <w:tcW w:w="61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118,226,956</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June 1, 2018 for placing for cash</w:t>
            </w:r>
          </w:p>
        </w:tc>
        <w:tc>
          <w:tcPr>
            <w:tcW w:w="6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150,078</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476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(7,511)</w:t>
            </w:r>
          </w:p>
        </w:tc>
      </w:tr>
      <w:tr>
        <w:trPr>
          <w:trHeight w:val="27"/>
        </w:trPr>
        <w:tc>
          <w:tcPr>
            <w:tcW w:w="49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2018—Unaudited</w:t>
            </w:r>
          </w:p>
        </w:tc>
        <w:tc>
          <w:tcPr>
            <w:tcW w:w="47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118,369,523</w:t>
            </w:r>
          </w:p>
        </w:tc>
      </w:tr>
      <w:tr>
        <w:trPr>
          <w:trHeight w:val="20"/>
        </w:trPr>
        <w:tc>
          <w:tcPr>
            <w:tcW w:w="4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920" w:type="dxa"/>
            <w:vAlign w:val="bottom"/>
          </w:tcPr>
          <w:p>
            <w:pPr>
              <w:spacing w:after="0" w:line="196" w:lineRule="exact"/>
              <w:rPr>
                <w:sz w:val="20"/>
                <w:szCs w:val="20"/>
                <w:color w:val="auto"/>
              </w:rPr>
            </w:pPr>
            <w:r>
              <w:rPr>
                <w:rFonts w:ascii="Arial" w:cs="Arial" w:eastAsia="Arial" w:hAnsi="Arial"/>
                <w:sz w:val="18"/>
                <w:szCs w:val="18"/>
                <w:color w:val="auto"/>
              </w:rPr>
              <w:t>Issued on August 3, 2018 for exercise of share options</w:t>
            </w:r>
          </w:p>
        </w:tc>
        <w:tc>
          <w:tcPr>
            <w:tcW w:w="610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12,870</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October 22, 2018 for exercise of share options</w:t>
            </w:r>
          </w:p>
        </w:tc>
        <w:tc>
          <w:tcPr>
            <w:tcW w:w="6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109,680</w:t>
            </w:r>
          </w:p>
        </w:tc>
      </w:tr>
      <w:tr>
        <w:trPr>
          <w:trHeight w:val="209"/>
        </w:trPr>
        <w:tc>
          <w:tcPr>
            <w:tcW w:w="4920" w:type="dxa"/>
            <w:vAlign w:val="bottom"/>
          </w:tcPr>
          <w:p>
            <w:pPr>
              <w:spacing w:after="0"/>
              <w:rPr>
                <w:sz w:val="20"/>
                <w:szCs w:val="20"/>
                <w:color w:val="auto"/>
              </w:rPr>
            </w:pPr>
            <w:r>
              <w:rPr>
                <w:rFonts w:ascii="Arial" w:cs="Arial" w:eastAsia="Arial" w:hAnsi="Arial"/>
                <w:sz w:val="18"/>
                <w:szCs w:val="18"/>
                <w:b w:val="1"/>
                <w:bCs w:val="1"/>
                <w:color w:val="auto"/>
              </w:rPr>
              <w:t>At December 31, 2018—Audited</w:t>
            </w:r>
          </w:p>
        </w:tc>
        <w:tc>
          <w:tcPr>
            <w:tcW w:w="47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118,492,073</w:t>
            </w:r>
          </w:p>
        </w:tc>
        <w:tc>
          <w:tcPr>
            <w:tcW w:w="16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6100" w:type="dxa"/>
            <w:vAlign w:val="bottom"/>
            <w:gridSpan w:val="3"/>
          </w:tcPr>
          <w:p>
            <w:pPr>
              <w:jc w:val="right"/>
              <w:ind w:right="5340"/>
              <w:spacing w:after="0"/>
              <w:rPr>
                <w:sz w:val="20"/>
                <w:szCs w:val="20"/>
                <w:color w:val="auto"/>
              </w:rPr>
            </w:pPr>
            <w:r>
              <w:rPr>
                <w:rFonts w:ascii="Arial" w:cs="Arial" w:eastAsia="Arial" w:hAnsi="Arial"/>
                <w:sz w:val="18"/>
                <w:szCs w:val="18"/>
                <w:color w:val="auto"/>
              </w:rPr>
              <w:t>F-16</w:t>
            </w:r>
          </w:p>
        </w:tc>
      </w:tr>
    </w:tbl>
    <w:p>
      <w:pPr>
        <w:sectPr>
          <w:pgSz w:w="11900" w:h="16838" w:orient="portrait"/>
          <w:cols w:equalWidth="0" w:num="1">
            <w:col w:w="11140"/>
          </w:cols>
          <w:pgMar w:left="320" w:top="459" w:right="439" w:bottom="1440" w:gutter="0" w:footer="0" w:header="0"/>
          <w:type w:val="continuous"/>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capital reserves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component of</w:t>
            </w:r>
          </w:p>
        </w:tc>
        <w:tc>
          <w:tcPr>
            <w:tcW w:w="14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 to</w:t>
            </w: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Share-based</w:t>
            </w: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convertible</w:t>
            </w: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issued for</w:t>
            </w:r>
          </w:p>
        </w:tc>
        <w:tc>
          <w:tcPr>
            <w:tcW w:w="1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Merger</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be issued</w:t>
            </w: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loan</w:t>
            </w: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TAP funding</w:t>
            </w:r>
          </w:p>
        </w:tc>
        <w:tc>
          <w:tcPr>
            <w:tcW w:w="1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reserve</w:t>
            </w:r>
          </w:p>
        </w:tc>
        <w:tc>
          <w:tcPr>
            <w:tcW w:w="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75"/>
        </w:trPr>
        <w:tc>
          <w:tcPr>
            <w:tcW w:w="38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7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2019—Audited</w:t>
            </w:r>
          </w:p>
        </w:tc>
        <w:tc>
          <w:tcPr>
            <w:tcW w:w="9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97"/>
              </w:rPr>
              <w:t>1,591,578</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16,648,762</w:t>
            </w:r>
          </w:p>
        </w:tc>
        <w:tc>
          <w:tcPr>
            <w:tcW w:w="20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308,122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left="279"/>
              <w:spacing w:after="0" w:line="196" w:lineRule="exact"/>
              <w:rPr>
                <w:sz w:val="20"/>
                <w:szCs w:val="20"/>
                <w:color w:val="auto"/>
              </w:rPr>
            </w:pPr>
            <w:r>
              <w:rPr>
                <w:rFonts w:ascii="Arial" w:cs="Arial" w:eastAsia="Arial" w:hAnsi="Arial"/>
                <w:sz w:val="18"/>
                <w:szCs w:val="18"/>
                <w:color w:val="auto"/>
              </w:rPr>
              <w:t>44,156</w:t>
            </w: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18,592,618</w:t>
            </w:r>
          </w:p>
        </w:tc>
        <w:tc>
          <w:tcPr>
            <w:tcW w:w="140" w:type="dxa"/>
            <w:vAlign w:val="bottom"/>
            <w:shd w:val="clear" w:color="auto" w:fill="CCEEFF"/>
          </w:tcPr>
          <w:p>
            <w:pPr>
              <w:spacing w:after="0"/>
              <w:rPr>
                <w:sz w:val="17"/>
                <w:szCs w:val="17"/>
                <w:color w:val="auto"/>
              </w:rPr>
            </w:pP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Share-based payments expense during the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840" w:type="dxa"/>
            <w:vAlign w:val="bottom"/>
          </w:tcPr>
          <w:p>
            <w:pPr>
              <w:ind w:left="180"/>
              <w:spacing w:after="0" w:line="203" w:lineRule="exact"/>
              <w:rPr>
                <w:sz w:val="20"/>
                <w:szCs w:val="20"/>
                <w:color w:val="auto"/>
              </w:rPr>
            </w:pPr>
            <w:r>
              <w:rPr>
                <w:rFonts w:ascii="Arial" w:cs="Arial" w:eastAsia="Arial" w:hAnsi="Arial"/>
                <w:sz w:val="18"/>
                <w:szCs w:val="18"/>
                <w:color w:val="auto"/>
              </w:rPr>
              <w:t>period</w:t>
            </w:r>
          </w:p>
        </w:tc>
        <w:tc>
          <w:tcPr>
            <w:tcW w:w="12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492,801</w:t>
            </w:r>
          </w:p>
        </w:tc>
        <w:tc>
          <w:tcPr>
            <w:tcW w:w="160" w:type="dxa"/>
            <w:vAlign w:val="bottom"/>
          </w:tcPr>
          <w:p>
            <w:pPr>
              <w:spacing w:after="0"/>
              <w:rPr>
                <w:sz w:val="17"/>
                <w:szCs w:val="17"/>
                <w:color w:val="auto"/>
              </w:rPr>
            </w:pPr>
          </w:p>
        </w:tc>
        <w:tc>
          <w:tcPr>
            <w:tcW w:w="1080" w:type="dxa"/>
            <w:vAlign w:val="bottom"/>
            <w:gridSpan w:val="3"/>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3"/>
          </w:tcPr>
          <w:p>
            <w:pPr>
              <w:ind w:left="5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492,801</w:t>
            </w:r>
          </w:p>
        </w:tc>
        <w:tc>
          <w:tcPr>
            <w:tcW w:w="140" w:type="dxa"/>
            <w:vAlign w:val="bottom"/>
          </w:tcPr>
          <w:p>
            <w:pPr>
              <w:spacing w:after="0"/>
              <w:rPr>
                <w:sz w:val="17"/>
                <w:szCs w:val="17"/>
                <w:color w:val="auto"/>
              </w:rPr>
            </w:pP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(1,591,578)</w:t>
            </w: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center"/>
              <w:ind w:left="33"/>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(1,591,578)</w:t>
            </w: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Equity component of convertible loan</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840" w:type="dxa"/>
            <w:vAlign w:val="bottom"/>
          </w:tcPr>
          <w:p>
            <w:pPr>
              <w:ind w:left="180"/>
              <w:spacing w:after="0" w:line="203" w:lineRule="exact"/>
              <w:rPr>
                <w:sz w:val="20"/>
                <w:szCs w:val="20"/>
                <w:color w:val="auto"/>
              </w:rPr>
            </w:pPr>
            <w:r>
              <w:rPr>
                <w:rFonts w:ascii="Arial" w:cs="Arial" w:eastAsia="Arial" w:hAnsi="Arial"/>
                <w:sz w:val="18"/>
                <w:szCs w:val="18"/>
                <w:color w:val="auto"/>
              </w:rPr>
              <w:t>instrument</w:t>
            </w:r>
          </w:p>
        </w:tc>
        <w:tc>
          <w:tcPr>
            <w:tcW w:w="12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00" w:type="dxa"/>
            <w:vAlign w:val="bottom"/>
            <w:gridSpan w:val="2"/>
          </w:tcPr>
          <w:p>
            <w:pPr>
              <w:jc w:val="center"/>
              <w:ind w:left="33"/>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(308,122)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ind w:left="5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(308,122)</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April 23, 2019 for</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8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acquisition of OncoMed (Note 8)</w:t>
            </w:r>
          </w:p>
        </w:tc>
        <w:tc>
          <w:tcPr>
            <w:tcW w:w="1220" w:type="dxa"/>
            <w:vAlign w:val="bottom"/>
            <w:gridSpan w:val="2"/>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center"/>
              <w:ind w:left="33"/>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40,818,128</w:t>
            </w: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40,818,128</w:t>
            </w:r>
          </w:p>
        </w:tc>
        <w:tc>
          <w:tcPr>
            <w:tcW w:w="140" w:type="dxa"/>
            <w:vAlign w:val="bottom"/>
            <w:shd w:val="clear" w:color="auto" w:fill="CCEEFF"/>
          </w:tcPr>
          <w:p>
            <w:pPr>
              <w:spacing w:after="0"/>
              <w:rPr>
                <w:sz w:val="17"/>
                <w:szCs w:val="17"/>
                <w:color w:val="auto"/>
              </w:rPr>
            </w:pPr>
          </w:p>
        </w:tc>
      </w:tr>
      <w:tr>
        <w:trPr>
          <w:trHeight w:val="209"/>
        </w:trPr>
        <w:tc>
          <w:tcPr>
            <w:tcW w:w="3840" w:type="dxa"/>
            <w:vAlign w:val="bottom"/>
          </w:tcPr>
          <w:p>
            <w:pPr>
              <w:spacing w:after="0"/>
              <w:rPr>
                <w:sz w:val="20"/>
                <w:szCs w:val="20"/>
                <w:color w:val="auto"/>
              </w:rPr>
            </w:pPr>
            <w:r>
              <w:rPr>
                <w:rFonts w:ascii="Arial" w:cs="Arial" w:eastAsia="Arial" w:hAnsi="Arial"/>
                <w:sz w:val="18"/>
                <w:szCs w:val="18"/>
                <w:b w:val="1"/>
                <w:bCs w:val="1"/>
                <w:color w:val="auto"/>
              </w:rPr>
              <w:t>At June 30, 2019—Unaudited</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17,141,563</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center"/>
              <w:ind w:left="279"/>
              <w:spacing w:after="0"/>
              <w:rPr>
                <w:sz w:val="20"/>
                <w:szCs w:val="20"/>
                <w:color w:val="auto"/>
              </w:rPr>
            </w:pPr>
            <w:r>
              <w:rPr>
                <w:rFonts w:ascii="Arial" w:cs="Arial" w:eastAsia="Arial" w:hAnsi="Arial"/>
                <w:sz w:val="18"/>
                <w:szCs w:val="18"/>
                <w:b w:val="1"/>
                <w:bCs w:val="1"/>
                <w:color w:val="auto"/>
              </w:rPr>
              <w:t>44,156</w:t>
            </w:r>
          </w:p>
        </w:tc>
        <w:tc>
          <w:tcPr>
            <w:tcW w:w="2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40,818,128</w:t>
            </w: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58,003,847</w:t>
            </w:r>
          </w:p>
        </w:tc>
        <w:tc>
          <w:tcPr>
            <w:tcW w:w="14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6"/>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component of</w:t>
            </w:r>
          </w:p>
        </w:tc>
        <w:tc>
          <w:tcPr>
            <w:tcW w:w="1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Warrants</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to be</w:t>
            </w:r>
          </w:p>
        </w:tc>
        <w:tc>
          <w:tcPr>
            <w:tcW w:w="1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Share-based</w:t>
            </w:r>
          </w:p>
        </w:tc>
        <w:tc>
          <w:tcPr>
            <w:tcW w:w="14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issued for</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loan</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TAP funding</w:t>
            </w:r>
          </w:p>
        </w:tc>
        <w:tc>
          <w:tcPr>
            <w:tcW w:w="4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75"/>
        </w:trPr>
        <w:tc>
          <w:tcPr>
            <w:tcW w:w="3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38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2018—Audited</w:t>
            </w:r>
          </w:p>
        </w:tc>
        <w:tc>
          <w:tcPr>
            <w:tcW w:w="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gridSpan w:val="2"/>
            <w:shd w:val="clear" w:color="auto" w:fill="CCEEFF"/>
          </w:tcPr>
          <w:p>
            <w:pPr>
              <w:jc w:val="center"/>
              <w:ind w:left="13"/>
              <w:spacing w:after="0" w:line="196" w:lineRule="exact"/>
              <w:rPr>
                <w:sz w:val="20"/>
                <w:szCs w:val="20"/>
                <w:color w:val="auto"/>
              </w:rPr>
            </w:pPr>
            <w:r>
              <w:rPr>
                <w:rFonts w:ascii="Arial" w:cs="Arial" w:eastAsia="Arial" w:hAnsi="Arial"/>
                <w:sz w:val="18"/>
                <w:szCs w:val="18"/>
                <w:color w:val="auto"/>
                <w:w w:val="99"/>
              </w:rPr>
              <w:t>1,591,578</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14,459,469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w w:val="92"/>
              </w:rPr>
              <w:t>308,122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16,359,169</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5060" w:type="dxa"/>
            <w:vAlign w:val="bottom"/>
            <w:gridSpan w:val="3"/>
          </w:tcPr>
          <w:p>
            <w:pPr>
              <w:spacing w:after="0" w:line="202" w:lineRule="exact"/>
              <w:rPr>
                <w:sz w:val="20"/>
                <w:szCs w:val="20"/>
                <w:color w:val="auto"/>
              </w:rPr>
            </w:pPr>
            <w:r>
              <w:rPr>
                <w:rFonts w:ascii="Arial" w:cs="Arial" w:eastAsia="Arial" w:hAnsi="Arial"/>
                <w:sz w:val="18"/>
                <w:szCs w:val="18"/>
                <w:color w:val="auto"/>
              </w:rPr>
              <w:t>Share-based payments expense during the period</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1,386,862</w:t>
            </w:r>
          </w:p>
        </w:tc>
        <w:tc>
          <w:tcPr>
            <w:tcW w:w="140" w:type="dxa"/>
            <w:vAlign w:val="bottom"/>
          </w:tcPr>
          <w:p>
            <w:pPr>
              <w:spacing w:after="0"/>
              <w:rPr>
                <w:sz w:val="17"/>
                <w:szCs w:val="17"/>
                <w:color w:val="auto"/>
              </w:rPr>
            </w:pPr>
          </w:p>
        </w:tc>
        <w:tc>
          <w:tcPr>
            <w:tcW w:w="10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1,386,862</w:t>
            </w:r>
          </w:p>
        </w:tc>
      </w:tr>
      <w:tr>
        <w:trPr>
          <w:trHeight w:val="27"/>
        </w:trPr>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2018—Unaudited</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center"/>
              <w:ind w:left="13"/>
              <w:spacing w:after="0" w:line="202" w:lineRule="exact"/>
              <w:rPr>
                <w:sz w:val="20"/>
                <w:szCs w:val="20"/>
                <w:color w:val="auto"/>
              </w:rPr>
            </w:pPr>
            <w:r>
              <w:rPr>
                <w:rFonts w:ascii="Arial" w:cs="Arial" w:eastAsia="Arial" w:hAnsi="Arial"/>
                <w:sz w:val="18"/>
                <w:szCs w:val="18"/>
                <w:b w:val="1"/>
                <w:bCs w:val="1"/>
                <w:color w:val="auto"/>
                <w:w w:val="99"/>
              </w:rPr>
              <w:t>1,591,578</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15,846,331</w:t>
            </w:r>
          </w:p>
        </w:tc>
        <w:tc>
          <w:tcPr>
            <w:tcW w:w="1180" w:type="dxa"/>
            <w:vAlign w:val="bottom"/>
            <w:gridSpan w:val="4"/>
            <w:shd w:val="clear" w:color="auto" w:fill="CCEEFF"/>
          </w:tcPr>
          <w:p>
            <w:pPr>
              <w:ind w:left="480"/>
              <w:spacing w:after="0" w:line="202" w:lineRule="exact"/>
              <w:rPr>
                <w:sz w:val="20"/>
                <w:szCs w:val="20"/>
                <w:color w:val="auto"/>
              </w:rPr>
            </w:pPr>
            <w:r>
              <w:rPr>
                <w:rFonts w:ascii="Arial" w:cs="Arial" w:eastAsia="Arial" w:hAnsi="Arial"/>
                <w:sz w:val="18"/>
                <w:szCs w:val="18"/>
                <w:b w:val="1"/>
                <w:bCs w:val="1"/>
                <w:color w:val="auto"/>
              </w:rPr>
              <w:t>308,122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17,746,031</w:t>
            </w:r>
          </w:p>
        </w:tc>
      </w:tr>
      <w:tr>
        <w:trPr>
          <w:trHeight w:val="20"/>
        </w:trPr>
        <w:tc>
          <w:tcPr>
            <w:tcW w:w="5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5060" w:type="dxa"/>
            <w:vAlign w:val="bottom"/>
            <w:gridSpan w:val="3"/>
          </w:tcPr>
          <w:p>
            <w:pPr>
              <w:spacing w:after="0" w:line="196" w:lineRule="exact"/>
              <w:rPr>
                <w:sz w:val="20"/>
                <w:szCs w:val="20"/>
                <w:color w:val="auto"/>
              </w:rPr>
            </w:pPr>
            <w:r>
              <w:rPr>
                <w:rFonts w:ascii="Arial" w:cs="Arial" w:eastAsia="Arial" w:hAnsi="Arial"/>
                <w:sz w:val="18"/>
                <w:szCs w:val="18"/>
                <w:color w:val="auto"/>
              </w:rPr>
              <w:t>Share-based payments expense during the period</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rPr>
              <w:t>915,473</w:t>
            </w:r>
          </w:p>
        </w:tc>
        <w:tc>
          <w:tcPr>
            <w:tcW w:w="140" w:type="dxa"/>
            <w:vAlign w:val="bottom"/>
          </w:tcPr>
          <w:p>
            <w:pPr>
              <w:spacing w:after="0"/>
              <w:rPr>
                <w:sz w:val="17"/>
                <w:szCs w:val="17"/>
                <w:color w:val="auto"/>
              </w:rPr>
            </w:pPr>
          </w:p>
        </w:tc>
        <w:tc>
          <w:tcPr>
            <w:tcW w:w="1040" w:type="dxa"/>
            <w:vAlign w:val="bottom"/>
            <w:gridSpan w:val="3"/>
          </w:tcPr>
          <w:p>
            <w:pPr>
              <w:ind w:left="70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915,473</w:t>
            </w:r>
          </w:p>
        </w:tc>
      </w:tr>
      <w:tr>
        <w:trPr>
          <w:trHeight w:val="203"/>
        </w:trPr>
        <w:tc>
          <w:tcPr>
            <w:tcW w:w="5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release for exercise of options</w:t>
            </w: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(113,042)</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(113,042)</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Warrants issued for TAP funding</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44,156</w:t>
            </w:r>
          </w:p>
        </w:tc>
        <w:tc>
          <w:tcPr>
            <w:tcW w:w="12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44,156</w:t>
            </w:r>
          </w:p>
        </w:tc>
      </w:tr>
      <w:tr>
        <w:trPr>
          <w:trHeight w:val="20"/>
        </w:trPr>
        <w:tc>
          <w:tcPr>
            <w:tcW w:w="3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2018—Audited</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3"/>
            <w:shd w:val="clear" w:color="auto" w:fill="CCEEFF"/>
          </w:tcPr>
          <w:p>
            <w:pPr>
              <w:jc w:val="center"/>
              <w:ind w:left="339"/>
              <w:spacing w:after="0" w:line="196" w:lineRule="exact"/>
              <w:rPr>
                <w:sz w:val="20"/>
                <w:szCs w:val="20"/>
                <w:color w:val="auto"/>
              </w:rPr>
            </w:pPr>
            <w:r>
              <w:rPr>
                <w:rFonts w:ascii="Arial" w:cs="Arial" w:eastAsia="Arial" w:hAnsi="Arial"/>
                <w:sz w:val="18"/>
                <w:szCs w:val="18"/>
                <w:b w:val="1"/>
                <w:bCs w:val="1"/>
                <w:color w:val="auto"/>
                <w:w w:val="99"/>
              </w:rPr>
              <w:t>1,591,578</w:t>
            </w:r>
          </w:p>
        </w:tc>
        <w:tc>
          <w:tcPr>
            <w:tcW w:w="124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16,648,762</w:t>
            </w:r>
          </w:p>
        </w:tc>
        <w:tc>
          <w:tcPr>
            <w:tcW w:w="1180" w:type="dxa"/>
            <w:vAlign w:val="bottom"/>
            <w:gridSpan w:val="4"/>
            <w:shd w:val="clear" w:color="auto" w:fill="CCEEFF"/>
          </w:tcPr>
          <w:p>
            <w:pPr>
              <w:ind w:left="480"/>
              <w:spacing w:after="0" w:line="196" w:lineRule="exact"/>
              <w:rPr>
                <w:sz w:val="20"/>
                <w:szCs w:val="20"/>
                <w:color w:val="auto"/>
              </w:rPr>
            </w:pPr>
            <w:r>
              <w:rPr>
                <w:rFonts w:ascii="Arial" w:cs="Arial" w:eastAsia="Arial" w:hAnsi="Arial"/>
                <w:sz w:val="18"/>
                <w:szCs w:val="18"/>
                <w:b w:val="1"/>
                <w:bCs w:val="1"/>
                <w:color w:val="auto"/>
              </w:rPr>
              <w:t>308,122</w:t>
            </w:r>
          </w:p>
        </w:tc>
        <w:tc>
          <w:tcPr>
            <w:tcW w:w="11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44,156</w:t>
            </w:r>
          </w:p>
        </w:tc>
        <w:tc>
          <w:tcPr>
            <w:tcW w:w="12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18,592,618</w:t>
            </w:r>
          </w:p>
        </w:tc>
      </w:tr>
      <w:tr>
        <w:trPr>
          <w:trHeight w:val="20"/>
        </w:trPr>
        <w:tc>
          <w:tcPr>
            <w:tcW w:w="3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Shares to be issued</w:t>
      </w:r>
    </w:p>
    <w:p>
      <w:pPr>
        <w:spacing w:after="0" w:line="12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At January 1, 2017, £2,674,477 representing a maximum of 1,453,520 shares at £ 1.84 were remaining to be issued to Novartis pro rata to their percentage shareholding as and when the Company issues further ordinary shares.</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2018, £1,591,578 representing a maximum of 864,988 shares at £1.84 were remaining to be issued to Novartis pro rata to their percentage shareholding as and when the Company issues further ordinary shares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Of the 1,936,030 ordinary shares issued to Novartis on June 21, 2019, the remaining 864,988 shares were issued to Novartis as fully paid up bonus shares (for £nil consideration). The fair value of these shares was £1.84 per share.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payments</w:t>
      </w:r>
    </w:p>
    <w:p>
      <w:pPr>
        <w:spacing w:after="0" w:line="122"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The Group has a share option scheme under which options to subscribe for the Group’s shares have been granted to certain Executives, Non-Executive Directors and employees.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share-based payment reserve is used to recognise:</w:t>
      </w:r>
    </w:p>
    <w:p>
      <w:pPr>
        <w:spacing w:after="0" w:line="117" w:lineRule="exact"/>
        <w:rPr>
          <w:sz w:val="20"/>
          <w:szCs w:val="20"/>
          <w:color w:val="auto"/>
        </w:rPr>
      </w:pPr>
    </w:p>
    <w:p>
      <w:pPr>
        <w:ind w:left="1080" w:right="300" w:hanging="532"/>
        <w:spacing w:after="0" w:line="246"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value of equity-settled share-based payments provided to employees, including key management personnel, as part of their remuneration; and</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deferred equity consideration.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charge for the six months to June 30, 2019 in respect of all share option schemes was 492,801 (June 30, 2018:</w:t>
      </w:r>
    </w:p>
    <w:p>
      <w:pPr>
        <w:ind w:left="120"/>
        <w:spacing w:after="0"/>
        <w:rPr>
          <w:sz w:val="20"/>
          <w:szCs w:val="20"/>
          <w:color w:val="auto"/>
        </w:rPr>
      </w:pPr>
      <w:r>
        <w:rPr>
          <w:rFonts w:ascii="Arial" w:cs="Arial" w:eastAsia="Arial" w:hAnsi="Arial"/>
          <w:sz w:val="18"/>
          <w:szCs w:val="18"/>
          <w:color w:val="auto"/>
        </w:rPr>
        <w:t>£1,386,862).</w:t>
      </w:r>
    </w:p>
    <w:p>
      <w:pPr>
        <w:spacing w:after="0" w:line="21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May 20, 2019, the Company granted 441,700 market value options over ADS under the Mereo 2019 Equity Incentive Plan to certain executives and other employees. The weighted average fair value of options granted was £0.61. The exercise price is $ 5.40. On the same date, the Company granted 38,500 market value options over ADS under the Mereo 2019 NED Equity Incentive Plan to certain non-executives. The weighted average fair value of options granted was £0.61. The exercise price is $5.40.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component of convertible loan instrument</w:t>
      </w:r>
    </w:p>
    <w:p>
      <w:pPr>
        <w:spacing w:after="0" w:line="122" w:lineRule="exact"/>
        <w:rPr>
          <w:sz w:val="20"/>
          <w:szCs w:val="20"/>
          <w:color w:val="auto"/>
        </w:rPr>
      </w:pPr>
    </w:p>
    <w:p>
      <w:pPr>
        <w:jc w:val="both"/>
        <w:ind w:left="120" w:right="440" w:firstLine="440"/>
        <w:spacing w:after="0"/>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The value of the equity component (cost of the conversion option) as at June 30, 2019 is £nil (June 30, 2018: £308,122). The value of the equity component (cost of the conversion option) as at December 31, 2018 was £308,122.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reserve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23, 2019, the Group obtained a 100% controlling interest in OncoMed (Note 4).</w:t>
      </w:r>
    </w:p>
    <w:p>
      <w:pPr>
        <w:spacing w:after="0" w:line="212"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consideration paid to acquire OncoMed was 24,783,320 ordinary shares with a fair value of £40,892,478 based on the Group’s quoted share price as at the date of acquisition. The nominal value of the issued capital was £74,350 with the excess, £40,818,128, classified within other capital reserves as a ‘Merger reserve’.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Provisions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Six months</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Six months to</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to June 30,</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June 30,</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5"/>
        </w:trPr>
        <w:tc>
          <w:tcPr>
            <w:tcW w:w="3180" w:type="dxa"/>
            <w:vAlign w:val="bottom"/>
            <w:tcBorders>
              <w:bottom w:val="single" w:sz="8" w:color="CCEEFF"/>
            </w:tcBorders>
          </w:tcPr>
          <w:p>
            <w:pPr>
              <w:spacing w:after="0"/>
              <w:rPr>
                <w:sz w:val="15"/>
                <w:szCs w:val="15"/>
                <w:color w:val="auto"/>
              </w:rPr>
            </w:pPr>
          </w:p>
        </w:tc>
        <w:tc>
          <w:tcPr>
            <w:tcW w:w="4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Social security contributions on share options</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119,472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2,318,058</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842,367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2,141,000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1,968,000</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2,131,000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2,260,472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4,286,058</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2,973,367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333,556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293,000</w:t>
            </w:r>
          </w:p>
        </w:tc>
        <w:tc>
          <w:tcPr>
            <w:tcW w:w="12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332,014</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1,926,916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3,993,058</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2,641,353</w:t>
            </w:r>
          </w:p>
        </w:tc>
        <w:tc>
          <w:tcPr>
            <w:tcW w:w="0" w:type="dxa"/>
            <w:vAlign w:val="bottom"/>
          </w:tcPr>
          <w:p>
            <w:pPr>
              <w:spacing w:after="0"/>
              <w:rPr>
                <w:sz w:val="1"/>
                <w:szCs w:val="1"/>
                <w:color w:val="auto"/>
              </w:rPr>
            </w:pPr>
          </w:p>
        </w:tc>
      </w:tr>
      <w:tr>
        <w:trPr>
          <w:trHeight w:val="372"/>
        </w:trPr>
        <w:tc>
          <w:tcPr>
            <w:tcW w:w="3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Six months</w:t>
            </w:r>
          </w:p>
        </w:tc>
        <w:tc>
          <w:tcPr>
            <w:tcW w:w="240" w:type="dxa"/>
            <w:vAlign w:val="bottom"/>
            <w:gridSpan w:val="2"/>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Six months to</w:t>
            </w:r>
          </w:p>
        </w:tc>
        <w:tc>
          <w:tcPr>
            <w:tcW w:w="16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to June 30,</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June 30,</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Social security contributions on share options</w:t>
            </w:r>
          </w:p>
        </w:tc>
        <w:tc>
          <w:tcPr>
            <w:tcW w:w="4180" w:type="dxa"/>
            <w:vAlign w:val="bottom"/>
            <w:vMerge w:val="restart"/>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82"/>
        </w:trPr>
        <w:tc>
          <w:tcPr>
            <w:tcW w:w="318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year/period</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842,367</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2,288,386</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2,288,386</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29,672</w:t>
            </w: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Released during the year/period</w:t>
            </w:r>
          </w:p>
        </w:tc>
        <w:tc>
          <w:tcPr>
            <w:tcW w:w="12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(722,895)</w:t>
            </w:r>
          </w:p>
        </w:tc>
        <w:tc>
          <w:tcPr>
            <w:tcW w:w="124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(1,446,019)</w:t>
            </w: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At end of year/period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119,472</w:t>
            </w: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2,318,058</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842,367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20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0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Non-current</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119,472</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2,318,058</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842,367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the liability has been classified as non-current. The provision has been discounted.</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Six months to</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Six months to</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2019</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2018</w:t>
            </w:r>
          </w:p>
        </w:tc>
        <w:tc>
          <w:tcPr>
            <w:tcW w:w="980" w:type="dxa"/>
            <w:vAlign w:val="bottom"/>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Provision for deferred cash consideration</w:t>
            </w:r>
          </w:p>
        </w:tc>
        <w:tc>
          <w:tcPr>
            <w:tcW w:w="4400" w:type="dxa"/>
            <w:vAlign w:val="bottom"/>
            <w:vMerge w:val="restart"/>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82"/>
        </w:trPr>
        <w:tc>
          <w:tcPr>
            <w:tcW w:w="286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980" w:type="dxa"/>
            <w:vAlign w:val="bottom"/>
          </w:tcPr>
          <w:p>
            <w:pPr>
              <w:jc w:val="right"/>
              <w:ind w:right="37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year/period</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2,131,000</w:t>
            </w: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2,061,000</w:t>
            </w:r>
          </w:p>
        </w:tc>
        <w:tc>
          <w:tcPr>
            <w:tcW w:w="3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2,061,000</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6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13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in provision due to the unwinding of the time value of money</w:t>
            </w:r>
          </w:p>
        </w:tc>
        <w:tc>
          <w:tcPr>
            <w:tcW w:w="13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179,000</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222,000</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443,000</w:t>
            </w:r>
          </w:p>
        </w:tc>
        <w:tc>
          <w:tcPr>
            <w:tcW w:w="0" w:type="dxa"/>
            <w:vAlign w:val="bottom"/>
          </w:tcPr>
          <w:p>
            <w:pPr>
              <w:spacing w:after="0"/>
              <w:rPr>
                <w:sz w:val="1"/>
                <w:szCs w:val="1"/>
                <w:color w:val="auto"/>
              </w:rPr>
            </w:pPr>
          </w:p>
        </w:tc>
      </w:tr>
      <w:tr>
        <w:trPr>
          <w:trHeight w:val="202"/>
        </w:trPr>
        <w:tc>
          <w:tcPr>
            <w:tcW w:w="7260" w:type="dxa"/>
            <w:vAlign w:val="bottom"/>
            <w:gridSpan w:val="2"/>
          </w:tcPr>
          <w:p>
            <w:pPr>
              <w:spacing w:after="0" w:line="201" w:lineRule="exact"/>
              <w:rPr>
                <w:sz w:val="20"/>
                <w:szCs w:val="20"/>
                <w:color w:val="auto"/>
              </w:rPr>
            </w:pPr>
            <w:r>
              <w:rPr>
                <w:rFonts w:ascii="Arial" w:cs="Arial" w:eastAsia="Arial" w:hAnsi="Arial"/>
                <w:sz w:val="18"/>
                <w:szCs w:val="18"/>
                <w:color w:val="auto"/>
              </w:rPr>
              <w:t>Decrease in provision due to a change in estimates relating to timelines and probabilities</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of contractual milestones being achieved (see Note 6)</w:t>
            </w:r>
          </w:p>
        </w:tc>
        <w:tc>
          <w:tcPr>
            <w:tcW w:w="13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(169,000)</w:t>
            </w:r>
          </w:p>
        </w:tc>
        <w:tc>
          <w:tcPr>
            <w:tcW w:w="13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(315,000)</w:t>
            </w:r>
          </w:p>
        </w:tc>
        <w:tc>
          <w:tcPr>
            <w:tcW w:w="11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(373,000)</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2,141,000</w:t>
            </w:r>
          </w:p>
        </w:tc>
        <w:tc>
          <w:tcPr>
            <w:tcW w:w="320" w:type="dxa"/>
            <w:vAlign w:val="bottom"/>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1,968,000</w:t>
            </w:r>
          </w:p>
        </w:tc>
        <w:tc>
          <w:tcPr>
            <w:tcW w:w="34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2,131,000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333,556</w:t>
            </w:r>
          </w:p>
        </w:tc>
        <w:tc>
          <w:tcPr>
            <w:tcW w:w="320" w:type="dxa"/>
            <w:vAlign w:val="bottom"/>
          </w:tcPr>
          <w:p>
            <w:pPr>
              <w:spacing w:after="0"/>
              <w:rPr>
                <w:sz w:val="17"/>
                <w:szCs w:val="17"/>
                <w:color w:val="auto"/>
              </w:rPr>
            </w:pP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293,000</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332,014</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3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1,807,444</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1,675,000</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1,798,986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7"/>
          <w:szCs w:val="17"/>
          <w:color w:val="auto"/>
        </w:rPr>
        <w:t>The deferred cash consideration is the estimate of the quantifiable but not certain future cash payment obligations due to AstraZeneca for the acquisition of certain assets. This liability is calculated as the risk adjusted net present value of future cash payments to be made by the Group. The payments are dependent on reaching certain milestones based on the commencement and outcome of</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960"/>
        <w:spacing w:after="0" w:line="246" w:lineRule="auto"/>
        <w:rPr>
          <w:sz w:val="20"/>
          <w:szCs w:val="20"/>
          <w:color w:val="auto"/>
        </w:rPr>
      </w:pPr>
      <w:r>
        <w:rPr>
          <w:rFonts w:ascii="Arial" w:cs="Arial" w:eastAsia="Arial" w:hAnsi="Arial"/>
          <w:sz w:val="18"/>
          <w:szCs w:val="18"/>
          <w:color w:val="auto"/>
        </w:rPr>
        <w:t>clinical trials. The likelihood of achieving such milestones is reviewed at the balance sheet date and increased or decreased as appropriate (see Note 6).</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Warrant liability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Six months</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74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to June 30,</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 June 30,</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7480" w:type="dxa"/>
            <w:vAlign w:val="bottom"/>
          </w:tcPr>
          <w:p>
            <w:pPr>
              <w:spacing w:after="0"/>
              <w:rPr>
                <w:sz w:val="14"/>
                <w:szCs w:val="14"/>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60" w:type="dxa"/>
            <w:vAlign w:val="bottom"/>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75"/>
        </w:trPr>
        <w:tc>
          <w:tcPr>
            <w:tcW w:w="74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year/period</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1,005,613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1,346,484</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1,346,484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131,150</w:t>
            </w:r>
          </w:p>
        </w:tc>
        <w:tc>
          <w:tcPr>
            <w:tcW w:w="220" w:type="dxa"/>
            <w:vAlign w:val="bottom"/>
          </w:tcPr>
          <w:p>
            <w:pPr>
              <w:spacing w:after="0"/>
              <w:rPr>
                <w:sz w:val="17"/>
                <w:szCs w:val="17"/>
                <w:color w:val="auto"/>
              </w:rPr>
            </w:pPr>
          </w:p>
        </w:tc>
        <w:tc>
          <w:tcPr>
            <w:tcW w:w="11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375,343</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Movement during the year/period</w:t>
            </w:r>
          </w:p>
        </w:tc>
        <w:tc>
          <w:tcPr>
            <w:tcW w:w="12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(911,290)</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188,480</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(716,214)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color w:val="auto"/>
              </w:rPr>
              <w:t>At end of year/period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225,473</w:t>
            </w: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1,534,964</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1,005,613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On May 3, 2019 the Group issued 321,444 warrants to lenders of the bank loan facility (see Note 7b). These warrants will be capable of exercise until October 1, 2028 at an exercise price of £2.95.</w:t>
      </w:r>
    </w:p>
    <w:p>
      <w:pPr>
        <w:spacing w:after="0" w:line="197"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As at June 30, 2019 a total of 1,243,908 warrants are outstanding, held by lenders of the bank loan facility, which is equivalent to 1.27% of the ordinary share capital of the Company.</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terms of the warrant instrument allow for a cashless exercise. In line with IAS 32 (Financial Instruments: Presentation), the future number of shares to be issued to the warrant-holder under a cashless exercise can only be determined at that future date. At each balance sheet date, the fair value of the warrants will be assessed using the Black-Scholes model considering appropriate amendments to inputs in respect of volatility and remaining expected life of the warrants.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16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 to</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 to</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616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2019</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2018</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75"/>
        </w:trPr>
        <w:tc>
          <w:tcPr>
            <w:tcW w:w="616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Audited</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66</w:t>
            </w: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1.26</w:t>
            </w: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1.38</w:t>
            </w:r>
          </w:p>
        </w:tc>
        <w:tc>
          <w:tcPr>
            <w:tcW w:w="1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1.56</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9.5</w:t>
            </w:r>
          </w:p>
        </w:tc>
        <w:tc>
          <w:tcPr>
            <w:tcW w:w="1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9.3</w:t>
            </w:r>
          </w:p>
        </w:tc>
        <w:tc>
          <w:tcPr>
            <w:tcW w:w="1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0.83</w:t>
            </w: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3.12</w:t>
            </w:r>
          </w:p>
        </w:tc>
        <w:tc>
          <w:tcPr>
            <w:tcW w:w="1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Black Scholes</w:t>
            </w:r>
          </w:p>
        </w:tc>
        <w:tc>
          <w:tcPr>
            <w:tcW w:w="1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Black Scholes</w:t>
            </w:r>
          </w:p>
        </w:tc>
        <w:tc>
          <w:tcPr>
            <w:tcW w:w="1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Black Scholes</w:t>
            </w:r>
          </w:p>
        </w:tc>
      </w:tr>
      <w:tr>
        <w:trPr>
          <w:trHeight w:val="20"/>
        </w:trPr>
        <w:tc>
          <w:tcPr>
            <w:tcW w:w="6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fair value of the warrants at grant was £1,292,011. At June 30, 2019 it was £225,473 (2018: £1,534,964) and at December 31, 2018 it was £1,005,613.</w:t>
      </w:r>
    </w:p>
    <w:p>
      <w:pPr>
        <w:spacing w:after="0" w:line="197" w:lineRule="exact"/>
        <w:rPr>
          <w:sz w:val="20"/>
          <w:szCs w:val="20"/>
          <w:color w:val="auto"/>
        </w:rPr>
      </w:pPr>
    </w:p>
    <w:p>
      <w:pPr>
        <w:ind w:left="120" w:right="82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Related party disclosures</w:t>
      </w:r>
    </w:p>
    <w:p>
      <w:pPr>
        <w:spacing w:after="0" w:line="126"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Transactions between the parent and its subsidiaries, which are related parties, have been eliminated on consolidation and are not disclosed in this note.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Novartis holds 15,703,871 shares in the Company at June 30, 2019 (June 30, 2018 and December 31, 2018: 13,767,841). Novartis held £2,065,011 principal value of loan Notes at June 30, 2018 and December 31, 2018.</w:t>
      </w:r>
    </w:p>
    <w:p>
      <w:pPr>
        <w:spacing w:after="0" w:line="197"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On June 21, 2019 Novartis converted the remaining balance of principal and interest of £2,367,004 of loan Notes into 1,071,042 ordinary shares at the fixed conversion price of £2.21 per share (see Note 7a). Under the terms of the Notes, Novartis also received 864,988 bonus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 trust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2016 the Company set up an Employee benefit trust for the purposes of buying and selling shares on the employees’ behalf.</w:t>
      </w:r>
    </w:p>
    <w:p>
      <w:pPr>
        <w:spacing w:after="0" w:line="212"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 total of £1,000,000of funding was paid into the Trust by the Company during the period to June 30, 2019 (2018: nil). A total of £325,000 of funding was paid into the Trust by the Company during the year ended December 31, 2018.</w:t>
      </w:r>
    </w:p>
    <w:p>
      <w:pPr>
        <w:spacing w:after="0" w:line="197"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A total of 1,074,274 shares were purchased by the Trust during the period to June 30, 2019 (2018: nil). A total of 163,000 shares were purchased by the Trust during the year ended December 31, 2018.</w:t>
      </w:r>
    </w:p>
    <w:p>
      <w:pPr>
        <w:spacing w:after="0" w:line="197"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As at June 30, 2019 a cash balance of £21,762 (2018: £3,600) was held by the Trust. As at December 31, 2018 a cash balance of £21,762 was held by the Trust.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Events after the reporting period</w:t>
      </w:r>
    </w:p>
    <w:p>
      <w:pPr>
        <w:spacing w:after="0" w:line="126"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On July 23, 2019, the Company granted 215,500 market value options over ADS under the Mereo 2019 Equity Incentive Plan to certain executives and other employees at an exercise price of $3.00 per ADS.</w:t>
      </w:r>
    </w:p>
    <w:p>
      <w:pPr>
        <w:spacing w:after="0" w:line="19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On July 23, 2019, the Company granted 38,500 market value options over ADS under the Mereo 2019 NED Equity Incentive Plan to certain non-executives at an exercise price of $3.00 per ADS.</w:t>
      </w:r>
    </w:p>
    <w:p>
      <w:pPr>
        <w:spacing w:after="0" w:line="197"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On August 1, 2019, the Company granted 50,000 market value options over ADS under the Mereo 2019 Equity Incentive Plan to certain employees at an exercise price of $2.60 per ADS.</w:t>
      </w:r>
    </w:p>
    <w:p>
      <w:pPr>
        <w:spacing w:after="0" w:line="197"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On August 2, 2019, the Company granted 6,000 market value options over ADS under the Mereo 2019 Equity Incentive Plan to certain employees at an exercise price of $2.74 per ADS.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6, 2019, OncoMed received a tax refund in respect of Alternative Minimum Tax (“AMT”) of $1,303,920 from the U.S.</w:t>
      </w:r>
    </w:p>
    <w:p>
      <w:pPr>
        <w:ind w:left="120"/>
        <w:spacing w:after="0"/>
        <w:rPr>
          <w:sz w:val="20"/>
          <w:szCs w:val="20"/>
          <w:color w:val="auto"/>
        </w:rPr>
      </w:pPr>
      <w:r>
        <w:rPr>
          <w:rFonts w:ascii="Arial" w:cs="Arial" w:eastAsia="Arial" w:hAnsi="Arial"/>
          <w:sz w:val="18"/>
          <w:szCs w:val="18"/>
          <w:color w:val="auto"/>
        </w:rPr>
        <w:t>Internal Revenue Service (“IRS”).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60"/>
          </w:cols>
          <w:pgMar w:left="320" w:top="459" w:right="51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Shareholders and Board of Directors of Mereo BioPharma Group plc</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audited the accompanying consolidated balance sheets of Mereo BioPharma Group plc (the “Company”) as of</w:t>
      </w:r>
    </w:p>
    <w:p>
      <w:pPr>
        <w:ind w:left="120"/>
        <w:spacing w:after="0"/>
        <w:rPr>
          <w:sz w:val="20"/>
          <w:szCs w:val="20"/>
          <w:color w:val="auto"/>
        </w:rPr>
      </w:pPr>
      <w:r>
        <w:rPr>
          <w:rFonts w:ascii="Arial" w:cs="Arial" w:eastAsia="Arial" w:hAnsi="Arial"/>
          <w:sz w:val="17"/>
          <w:szCs w:val="17"/>
          <w:color w:val="auto"/>
        </w:rPr>
        <w:t>December 31, 2018 and 2017, and the related consolidated statements of comprehensive loss, changes in equity, and cash flows for each</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three years in the period ended December 31, 2018, and the related notes (collectively referred to as the consolidated financial</w:t>
      </w:r>
    </w:p>
    <w:p>
      <w:pPr>
        <w:ind w:left="120"/>
        <w:spacing w:after="0" w:line="234" w:lineRule="auto"/>
        <w:rPr>
          <w:sz w:val="20"/>
          <w:szCs w:val="20"/>
          <w:color w:val="auto"/>
        </w:rPr>
      </w:pPr>
      <w:r>
        <w:rPr>
          <w:rFonts w:ascii="Arial" w:cs="Arial" w:eastAsia="Arial" w:hAnsi="Arial"/>
          <w:sz w:val="18"/>
          <w:szCs w:val="18"/>
          <w:color w:val="auto"/>
        </w:rPr>
        <w:t>statements). In our opinion, the consolidated financial statements present fairly, in all material respects, the financial position of the</w:t>
      </w:r>
    </w:p>
    <w:p>
      <w:pPr>
        <w:ind w:left="120"/>
        <w:spacing w:after="0" w:line="235" w:lineRule="auto"/>
        <w:rPr>
          <w:sz w:val="20"/>
          <w:szCs w:val="20"/>
          <w:color w:val="auto"/>
        </w:rPr>
      </w:pPr>
      <w:r>
        <w:rPr>
          <w:rFonts w:ascii="Arial" w:cs="Arial" w:eastAsia="Arial" w:hAnsi="Arial"/>
          <w:sz w:val="18"/>
          <w:szCs w:val="18"/>
          <w:color w:val="auto"/>
        </w:rPr>
        <w:t>Company at December 31, 2018 and 2017, and the results of its operations and its cash flows for each of the three years in the period</w:t>
      </w:r>
    </w:p>
    <w:p>
      <w:pPr>
        <w:ind w:left="120"/>
        <w:spacing w:after="0" w:line="235" w:lineRule="auto"/>
        <w:rPr>
          <w:sz w:val="20"/>
          <w:szCs w:val="20"/>
          <w:color w:val="auto"/>
        </w:rPr>
      </w:pPr>
      <w:r>
        <w:rPr>
          <w:rFonts w:ascii="Arial" w:cs="Arial" w:eastAsia="Arial" w:hAnsi="Arial"/>
          <w:sz w:val="18"/>
          <w:szCs w:val="18"/>
          <w:color w:val="auto"/>
        </w:rPr>
        <w:t>ended December 31, 2018, in conformity with International Financial Reporting Standards as issued by the International Accounting</w:t>
      </w:r>
    </w:p>
    <w:p>
      <w:pPr>
        <w:ind w:left="120"/>
        <w:spacing w:after="0"/>
        <w:rPr>
          <w:sz w:val="20"/>
          <w:szCs w:val="20"/>
          <w:color w:val="auto"/>
        </w:rPr>
      </w:pPr>
      <w:r>
        <w:rPr>
          <w:rFonts w:ascii="Arial" w:cs="Arial" w:eastAsia="Arial" w:hAnsi="Arial"/>
          <w:sz w:val="18"/>
          <w:szCs w:val="18"/>
          <w:color w:val="auto"/>
        </w:rPr>
        <w:t>Standards Board.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2015</w:t>
      </w:r>
    </w:p>
    <w:p>
      <w:pPr>
        <w:ind w:left="120"/>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2019</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2840" w:type="dxa"/>
            <w:vAlign w:val="bottom"/>
            <w:tcBorders>
              <w:bottom w:val="single" w:sz="8" w:color="auto"/>
            </w:tcBorders>
            <w:gridSpan w:val="5"/>
          </w:tcPr>
          <w:p>
            <w:pPr>
              <w:jc w:val="center"/>
              <w:ind w:left="933"/>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4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1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rPr>
              <w:t>(in £)</w:t>
            </w: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(24,562,502)</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(34,606,649)</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(22,703,553)</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Administrative expenses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(11,616,816)</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(10,697,194)</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(12,504,887)</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(36,179,318)</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(45,303,843)</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(35,208,440)</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374,906</w:t>
            </w: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826,855</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306,831</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(179,765)</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(1,089,925)</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(2,360,648)</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2,262,626</w:t>
            </w:r>
          </w:p>
        </w:tc>
        <w:tc>
          <w:tcPr>
            <w:tcW w:w="22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(1,384,225)</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(43,863)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before tax</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(33,721,551)</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(46,951,138)</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(37,306,120)</w:t>
            </w: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5,331,271</w:t>
            </w:r>
          </w:p>
        </w:tc>
        <w:tc>
          <w:tcPr>
            <w:tcW w:w="22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8,152,084</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5,277,380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parent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(28,390,280)</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(38,799,054)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(32,028,740)</w:t>
            </w:r>
          </w:p>
        </w:tc>
        <w:tc>
          <w:tcPr>
            <w:tcW w:w="0" w:type="dxa"/>
            <w:vAlign w:val="bottom"/>
          </w:tcPr>
          <w:p>
            <w:pPr>
              <w:spacing w:after="0"/>
              <w:rPr>
                <w:sz w:val="1"/>
                <w:szCs w:val="1"/>
                <w:color w:val="auto"/>
              </w:rPr>
            </w:pPr>
          </w:p>
        </w:tc>
      </w:tr>
      <w:tr>
        <w:trPr>
          <w:trHeight w:val="209"/>
        </w:trPr>
        <w:tc>
          <w:tcPr>
            <w:tcW w:w="6480" w:type="dxa"/>
            <w:vAlign w:val="bottom"/>
          </w:tcPr>
          <w:p>
            <w:pPr>
              <w:spacing w:after="0" w:line="202" w:lineRule="exact"/>
              <w:rPr>
                <w:sz w:val="20"/>
                <w:szCs w:val="20"/>
                <w:color w:val="auto"/>
              </w:rPr>
            </w:pPr>
            <w:r>
              <w:rPr>
                <w:rFonts w:ascii="Arial" w:cs="Arial" w:eastAsia="Arial" w:hAnsi="Arial"/>
                <w:sz w:val="18"/>
                <w:szCs w:val="18"/>
                <w:color w:val="auto"/>
              </w:rPr>
              <w:t>Other comprehensive income for the year, net of tax</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ind w:left="8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comprehensive loss for the year, net of tax and attributable to the equity</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(32,028,740)</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holders of the parent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(28,390,280)</w:t>
            </w:r>
          </w:p>
        </w:tc>
        <w:tc>
          <w:tcPr>
            <w:tcW w:w="13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(38,799,054)</w:t>
            </w: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at December 31, 2017 and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28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5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12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w:t>
            </w:r>
          </w:p>
        </w:tc>
        <w:tc>
          <w:tcPr>
            <w:tcW w:w="11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153,361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148,934</w:t>
            </w:r>
          </w:p>
        </w:tc>
        <w:tc>
          <w:tcPr>
            <w:tcW w:w="0" w:type="dxa"/>
            <w:vAlign w:val="bottom"/>
          </w:tcPr>
          <w:p>
            <w:pPr>
              <w:spacing w:after="0"/>
              <w:rPr>
                <w:sz w:val="1"/>
                <w:szCs w:val="1"/>
                <w:color w:val="auto"/>
              </w:rPr>
            </w:pPr>
          </w:p>
        </w:tc>
      </w:tr>
      <w:tr>
        <w:trPr>
          <w:trHeight w:val="209"/>
        </w:trPr>
        <w:tc>
          <w:tcPr>
            <w:tcW w:w="75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33,005,229</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32,632,229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33,158,590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32,781,164</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1,970,781</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1,066,932</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8,152,084</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5,277,380</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14</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509,350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608,893</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2,500,000</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50,044,672</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25,041,945</w:t>
            </w:r>
          </w:p>
        </w:tc>
        <w:tc>
          <w:tcPr>
            <w:tcW w:w="0" w:type="dxa"/>
            <w:vAlign w:val="bottom"/>
          </w:tcPr>
          <w:p>
            <w:pPr>
              <w:spacing w:after="0"/>
              <w:rPr>
                <w:sz w:val="1"/>
                <w:szCs w:val="1"/>
                <w:color w:val="auto"/>
              </w:rPr>
            </w:pPr>
          </w:p>
        </w:tc>
      </w:tr>
      <w:tr>
        <w:trPr>
          <w:trHeight w:val="217"/>
        </w:trPr>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63,176,887</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34,495,150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96,335,477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67,276,314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213,285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213,721</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118,226,956</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118,492,073</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16,359,169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18,592,618</w:t>
            </w: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 Trust shares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27</w:t>
            </w:r>
          </w:p>
        </w:tc>
        <w:tc>
          <w:tcPr>
            <w:tcW w:w="2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(306,838)</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Other reserves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7,000,000</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7,000,000</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loss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(79,315,920)</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(111,220,794)</w:t>
            </w:r>
          </w:p>
        </w:tc>
        <w:tc>
          <w:tcPr>
            <w:tcW w:w="0" w:type="dxa"/>
            <w:vAlign w:val="bottom"/>
          </w:tcPr>
          <w:p>
            <w:pPr>
              <w:spacing w:after="0"/>
              <w:rPr>
                <w:sz w:val="1"/>
                <w:szCs w:val="1"/>
                <w:color w:val="auto"/>
              </w:rPr>
            </w:pPr>
          </w:p>
        </w:tc>
      </w:tr>
      <w:tr>
        <w:trPr>
          <w:trHeight w:val="232"/>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62,483,490</w:t>
            </w:r>
          </w:p>
        </w:tc>
        <w:tc>
          <w:tcPr>
            <w:tcW w:w="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32,770,780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7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4,075,386</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2,641,353</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18,812,511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14,646,753</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20</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1,346,484</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1,005,613</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21</w:t>
            </w:r>
          </w:p>
        </w:tc>
        <w:tc>
          <w:tcPr>
            <w:tcW w:w="2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34,289</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24,234,381</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18,328,008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22</w:t>
            </w:r>
          </w:p>
        </w:tc>
        <w:tc>
          <w:tcPr>
            <w:tcW w:w="220" w:type="dxa"/>
            <w:vAlign w:val="bottom"/>
          </w:tcPr>
          <w:p>
            <w:pPr>
              <w:spacing w:after="0"/>
              <w:rPr>
                <w:sz w:val="17"/>
                <w:szCs w:val="17"/>
                <w:color w:val="auto"/>
              </w:rPr>
            </w:pPr>
          </w:p>
        </w:tc>
        <w:tc>
          <w:tcPr>
            <w:tcW w:w="14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3,024,026</w:t>
            </w: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4,570,307</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4,379,774</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4,437,321</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274,000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332,014</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1,939,806</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6,837,884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9,617,606</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16,177,526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33,851,987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34,505,534</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96,335,477</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67,276,314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3000" w:type="dxa"/>
            <w:vAlign w:val="bottom"/>
            <w:tcBorders>
              <w:bottom w:val="single" w:sz="8" w:color="auto"/>
            </w:tcBorders>
            <w:gridSpan w:val="5"/>
          </w:tcPr>
          <w:p>
            <w:pPr>
              <w:jc w:val="center"/>
              <w:ind w:left="951"/>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2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18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rPr>
              <w:t>(in £)</w:t>
            </w: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(33,721,551)</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(46,951,138)</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(37,306,120)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32,940</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36,076</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37,796</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Share-based payment expense</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6,494,018</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3,651,898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2,189,293</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Net foreign exchange loss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(2,262,626)</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1,384,225</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43,863</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1,031,109</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1,115,966</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(1,446,019)</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Provision for deferred cash consideration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(374,906)</w:t>
            </w:r>
          </w:p>
        </w:tc>
        <w:tc>
          <w:tcPr>
            <w:tcW w:w="158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443,000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earned</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(826,855)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(306,831)</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Finance charges</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179,765</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1,089,925</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1,917,649</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Modification loss on bank loan</w:t>
            </w:r>
          </w:p>
        </w:tc>
        <w:tc>
          <w:tcPr>
            <w:tcW w:w="5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18b</w:t>
            </w: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730,037</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Working capital adjustments: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(Decrease)/Increase in receivables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(1,219,202)</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(839,751)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804,306</w:t>
            </w:r>
          </w:p>
        </w:tc>
        <w:tc>
          <w:tcPr>
            <w:tcW w:w="0" w:type="dxa"/>
            <w:vAlign w:val="bottom"/>
          </w:tcPr>
          <w:p>
            <w:pPr>
              <w:spacing w:after="0"/>
              <w:rPr>
                <w:sz w:val="1"/>
                <w:szCs w:val="1"/>
                <w:color w:val="auto"/>
              </w:rPr>
            </w:pPr>
          </w:p>
        </w:tc>
      </w:tr>
      <w:tr>
        <w:trPr>
          <w:trHeight w:val="203"/>
        </w:trPr>
        <w:tc>
          <w:tcPr>
            <w:tcW w:w="6260" w:type="dxa"/>
            <w:vAlign w:val="bottom"/>
          </w:tcPr>
          <w:p>
            <w:pPr>
              <w:ind w:left="360"/>
              <w:spacing w:after="0" w:line="202" w:lineRule="exact"/>
              <w:rPr>
                <w:sz w:val="20"/>
                <w:szCs w:val="20"/>
                <w:color w:val="auto"/>
              </w:rPr>
            </w:pPr>
            <w:r>
              <w:rPr>
                <w:rFonts w:ascii="Arial" w:cs="Arial" w:eastAsia="Arial" w:hAnsi="Arial"/>
                <w:sz w:val="18"/>
                <w:szCs w:val="18"/>
                <w:color w:val="auto"/>
              </w:rPr>
              <w:t>Increase in payables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(768,402)</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3,860,412</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1,603,828</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Tax received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946,681</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5,331,271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8,152,085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(29,662,174)</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(32,147,971)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(23,137,113)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(3,467)</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(15,568)</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(35,536)</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license</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(2,280,000)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1,175</w:t>
            </w:r>
          </w:p>
        </w:tc>
        <w:tc>
          <w:tcPr>
            <w:tcW w:w="158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2,166</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16</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(2,500,000)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Interest earned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374,906</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1,051,620</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284,928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from (used in) investing activities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372,614</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(3,743,948)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251,558</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67,888,820</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15,000,000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273,064</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Transaction costs on issue of shares</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(2,995,864)</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(729,632)</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(7,511)</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convertible loan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3,463,563</w:t>
            </w:r>
          </w:p>
        </w:tc>
        <w:tc>
          <w:tcPr>
            <w:tcW w:w="15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Proceeds from issue of bank loan</w:t>
            </w:r>
          </w:p>
        </w:tc>
        <w:tc>
          <w:tcPr>
            <w:tcW w:w="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18b</w:t>
            </w:r>
          </w:p>
        </w:tc>
        <w:tc>
          <w:tcPr>
            <w:tcW w:w="14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20,000,000</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455,000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(920,859)</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Interest paid on bank loan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(327,123)</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(1,644,610)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TAP agreement</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78,445</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Purchase of treasury shares</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17"/>
                <w:szCs w:val="17"/>
                <w:color w:val="auto"/>
              </w:rPr>
            </w:pPr>
          </w:p>
        </w:tc>
        <w:tc>
          <w:tcPr>
            <w:tcW w:w="11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8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(306,838)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from (used in) financing activities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68,356,519</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33,743,245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(2,073,309)</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39,066,959</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(2,148,674)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(24,958,864)</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January 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12,247,986</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53,577,571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50,044,672</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2,262,626</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(1,384,225)</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(43,863)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December 31</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53,577,571</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50,044,672</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25,041,945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Issued</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Other capital</w:t>
            </w:r>
          </w:p>
        </w:tc>
        <w:tc>
          <w:tcPr>
            <w:tcW w:w="880" w:type="dxa"/>
            <w:vAlign w:val="bottom"/>
          </w:tcPr>
          <w:p>
            <w:pPr>
              <w:ind w:left="140"/>
              <w:spacing w:after="0"/>
              <w:rPr>
                <w:sz w:val="20"/>
                <w:szCs w:val="20"/>
                <w:color w:val="auto"/>
              </w:rPr>
            </w:pPr>
            <w:r>
              <w:rPr>
                <w:rFonts w:ascii="Arial" w:cs="Arial" w:eastAsia="Arial" w:hAnsi="Arial"/>
                <w:sz w:val="13"/>
                <w:szCs w:val="13"/>
                <w:b w:val="1"/>
                <w:bCs w:val="1"/>
                <w:color w:val="auto"/>
              </w:rPr>
              <w:t>Employee</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Accumulated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35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 premium</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reserves</w:t>
            </w:r>
          </w:p>
        </w:tc>
        <w:tc>
          <w:tcPr>
            <w:tcW w:w="880" w:type="dxa"/>
            <w:vAlign w:val="bottom"/>
          </w:tcPr>
          <w:p>
            <w:pPr>
              <w:ind w:left="60"/>
              <w:spacing w:after="0"/>
              <w:rPr>
                <w:sz w:val="20"/>
                <w:szCs w:val="20"/>
                <w:color w:val="auto"/>
              </w:rPr>
            </w:pPr>
            <w:r>
              <w:rPr>
                <w:rFonts w:ascii="Arial" w:cs="Arial" w:eastAsia="Arial" w:hAnsi="Arial"/>
                <w:sz w:val="13"/>
                <w:szCs w:val="13"/>
                <w:b w:val="1"/>
                <w:bCs w:val="1"/>
                <w:color w:val="auto"/>
                <w:w w:val="99"/>
              </w:rPr>
              <w:t>Benefit Trust</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 reserves</w:t>
            </w:r>
          </w:p>
        </w:tc>
        <w:tc>
          <w:tcPr>
            <w:tcW w:w="11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losses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 equity</w:t>
            </w:r>
          </w:p>
        </w:tc>
      </w:tr>
      <w:tr>
        <w:trPr>
          <w:trHeight w:val="129"/>
        </w:trPr>
        <w:tc>
          <w:tcPr>
            <w:tcW w:w="35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420"/>
              <w:spacing w:after="0" w:line="129" w:lineRule="exact"/>
              <w:rPr>
                <w:sz w:val="20"/>
                <w:szCs w:val="20"/>
                <w:color w:val="auto"/>
              </w:rPr>
            </w:pPr>
            <w:r>
              <w:rPr>
                <w:rFonts w:ascii="Arial" w:cs="Arial" w:eastAsia="Arial" w:hAnsi="Arial"/>
                <w:sz w:val="13"/>
                <w:szCs w:val="13"/>
                <w:b w:val="1"/>
                <w:bCs w:val="1"/>
                <w:color w:val="auto"/>
              </w:rPr>
              <w:t>(in £)</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January 1, 2016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213,285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118,226,956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16,359,169</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7,000,000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(79,315,920)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62,483,490</w:t>
            </w: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4"/>
                <w:szCs w:val="14"/>
                <w:color w:val="auto"/>
              </w:rPr>
              <w:t>Total comprehensive loss for the year</w:t>
            </w: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tcPr>
          <w:p>
            <w:pPr>
              <w:ind w:left="8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(28,390,280)</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(28,390,280)</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(Note 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107,709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67,781,112</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67,888,821</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Share-based payments—share options (Note 25)</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6,185,067</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6,185,067</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payments—LTIPs (Note 25)</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133,601</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133,601</w:t>
            </w: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Share-based payments—deferred bonus shares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(Note 25)</w:t>
            </w:r>
          </w:p>
        </w:tc>
        <w:tc>
          <w:tcPr>
            <w:tcW w:w="78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175,350</w:t>
            </w:r>
          </w:p>
        </w:tc>
        <w:tc>
          <w:tcPr>
            <w:tcW w:w="880" w:type="dxa"/>
            <w:vAlign w:val="bottom"/>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175,350</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(Note 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26,092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15,977,271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(16,003,363)</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Equity element of convertible loan (Note 18a)</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516,802</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516,802</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Share capital reduction (Note 17)</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(7,000,000)</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7,000,000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Transaction costs on issuance of share capital (Note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17)</w:t>
            </w:r>
          </w:p>
        </w:tc>
        <w:tc>
          <w:tcPr>
            <w:tcW w:w="78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(2,995,864)</w:t>
            </w:r>
          </w:p>
        </w:tc>
        <w:tc>
          <w:tcPr>
            <w:tcW w:w="1120" w:type="dxa"/>
            <w:vAlign w:val="bottom"/>
            <w:gridSpan w:val="2"/>
          </w:tcPr>
          <w:p>
            <w:pPr>
              <w:ind w:left="680"/>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(2,995,864)</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December 31, 2016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193,022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99,975,399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12,667,562</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7,000,000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(40,579,241)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79,256,742</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Loss for the year to December 31, 2017</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(38,799,054)</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(38,799,054)</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payments—share options (Note 25)</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3,027,963</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3,027,963</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Share-based payments—LTIPs (Note 25)</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298,287</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298,287</w:t>
            </w:r>
          </w:p>
        </w:tc>
      </w:tr>
      <w:tr>
        <w:trPr>
          <w:trHeight w:val="167"/>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payments—deferred bonus shares</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(Note 25)</w:t>
            </w:r>
          </w:p>
        </w:tc>
        <w:tc>
          <w:tcPr>
            <w:tcW w:w="780" w:type="dxa"/>
            <w:vAlign w:val="bottom"/>
            <w:gridSpan w:val="2"/>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0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325,648</w:t>
            </w:r>
          </w:p>
        </w:tc>
        <w:tc>
          <w:tcPr>
            <w:tcW w:w="880" w:type="dxa"/>
            <w:vAlign w:val="bottom"/>
            <w:shd w:val="clear" w:color="auto" w:fill="CCEEFF"/>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325,648</w:t>
            </w: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Share-based payments—deferred equity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consideration (Note 25)</w:t>
            </w:r>
          </w:p>
        </w:tc>
        <w:tc>
          <w:tcPr>
            <w:tcW w:w="78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1,331,288</w:t>
            </w:r>
          </w:p>
        </w:tc>
        <w:tc>
          <w:tcPr>
            <w:tcW w:w="880" w:type="dxa"/>
            <w:vAlign w:val="bottom"/>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1,331,288</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April 4, 2017 (Note 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15,125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14,984,875</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15,000,000</w:t>
            </w: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Issue of share capital on conversion of loan note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(Note 17)</w:t>
            </w: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1,899</w:t>
            </w:r>
          </w:p>
        </w:tc>
        <w:tc>
          <w:tcPr>
            <w:tcW w:w="12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1,396,654</w:t>
            </w:r>
          </w:p>
        </w:tc>
        <w:tc>
          <w:tcPr>
            <w:tcW w:w="1120" w:type="dxa"/>
            <w:vAlign w:val="bottom"/>
            <w:gridSpan w:val="2"/>
          </w:tcPr>
          <w:p>
            <w:pPr>
              <w:ind w:left="680"/>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1,398,553</w:t>
            </w:r>
          </w:p>
        </w:tc>
      </w:tr>
      <w:tr>
        <w:trPr>
          <w:trHeight w:val="167"/>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for Novartis bonus shares</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(Note 17)</w:t>
            </w:r>
          </w:p>
        </w:tc>
        <w:tc>
          <w:tcPr>
            <w:tcW w:w="7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1,766</w:t>
            </w:r>
          </w:p>
        </w:tc>
        <w:tc>
          <w:tcPr>
            <w:tcW w:w="12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1,081,133</w:t>
            </w:r>
          </w:p>
        </w:tc>
        <w:tc>
          <w:tcPr>
            <w:tcW w:w="11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(1,082,899)</w:t>
            </w:r>
          </w:p>
        </w:tc>
        <w:tc>
          <w:tcPr>
            <w:tcW w:w="880" w:type="dxa"/>
            <w:vAlign w:val="bottom"/>
            <w:shd w:val="clear" w:color="auto" w:fill="CCEEFF"/>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Equity element of convertible loan (Note 18a)</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(208,680)</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(208,680)</w:t>
            </w: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Conversion of convertible loan (Note 18a)</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62,375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62,375</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Issue of share capital on October 31, 2017 (Note 17)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1,473</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1,518,527</w:t>
            </w:r>
          </w:p>
        </w:tc>
        <w:tc>
          <w:tcPr>
            <w:tcW w:w="11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1,520,000</w:t>
            </w:r>
          </w:p>
        </w:tc>
      </w:tr>
      <w:tr>
        <w:trPr>
          <w:trHeight w:val="167"/>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Transaction costs on issuance of share capital (Note</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17)</w:t>
            </w:r>
          </w:p>
        </w:tc>
        <w:tc>
          <w:tcPr>
            <w:tcW w:w="62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(729,632)</w:t>
            </w:r>
          </w:p>
        </w:tc>
        <w:tc>
          <w:tcPr>
            <w:tcW w:w="1120" w:type="dxa"/>
            <w:vAlign w:val="bottom"/>
            <w:gridSpan w:val="2"/>
            <w:shd w:val="clear" w:color="auto" w:fill="CCEEFF"/>
          </w:tcPr>
          <w:p>
            <w:pPr>
              <w:ind w:left="680"/>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(729,632)</w:t>
            </w: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Issued</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Other capital</w:t>
            </w: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Employee</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Accumulated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 premium</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reserves</w:t>
            </w: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Benefit Trust</w:t>
            </w: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 reserves</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losses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520"/>
              <w:spacing w:after="0" w:line="129" w:lineRule="exact"/>
              <w:rPr>
                <w:sz w:val="20"/>
                <w:szCs w:val="20"/>
                <w:color w:val="auto"/>
              </w:rPr>
            </w:pPr>
            <w:r>
              <w:rPr>
                <w:rFonts w:ascii="Arial" w:cs="Arial" w:eastAsia="Arial" w:hAnsi="Arial"/>
                <w:sz w:val="13"/>
                <w:szCs w:val="13"/>
                <w:b w:val="1"/>
                <w:bCs w:val="1"/>
                <w:color w:val="auto"/>
              </w:rPr>
              <w:t>(in £)</w:t>
            </w: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At December 31, 2017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213,285</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118,226,956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16,359,169</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7,000,000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(79,315,920)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62,483,490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tcPr>
          <w:p>
            <w:pPr>
              <w:spacing w:after="0"/>
              <w:rPr>
                <w:sz w:val="20"/>
                <w:szCs w:val="20"/>
                <w:color w:val="auto"/>
              </w:rPr>
            </w:pPr>
            <w:r>
              <w:rPr>
                <w:rFonts w:ascii="Arial" w:cs="Arial" w:eastAsia="Arial" w:hAnsi="Arial"/>
                <w:sz w:val="14"/>
                <w:szCs w:val="14"/>
                <w:color w:val="auto"/>
              </w:rPr>
              <w:t>Loss for the year to December 31, 2018</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(32,028,740)</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(32,028,740)</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Adoption of IFRS 9 (Note 2.2)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123,866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123,866</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Share-based payments—share options (Note 25)</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1,869,955</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1,869,955</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Share-based payments—LTIPs (Note 25)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319,338</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319,338</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Issue of share capital on June 1, 2018 (Note 17)</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150</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150,078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150,228</w:t>
            </w: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Issue of share capital on August 3, 2018 on exercise of</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options (Note 17)</w:t>
            </w:r>
          </w:p>
        </w:tc>
        <w:tc>
          <w:tcPr>
            <w:tcW w:w="76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30</w:t>
            </w:r>
          </w:p>
        </w:tc>
        <w:tc>
          <w:tcPr>
            <w:tcW w:w="12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12,870</w:t>
            </w:r>
          </w:p>
        </w:tc>
        <w:tc>
          <w:tcPr>
            <w:tcW w:w="10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12,900</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20"/>
                <w:szCs w:val="20"/>
                <w:color w:val="auto"/>
              </w:rPr>
            </w:pPr>
            <w:r>
              <w:rPr>
                <w:rFonts w:ascii="Arial" w:cs="Arial" w:eastAsia="Arial" w:hAnsi="Arial"/>
                <w:sz w:val="14"/>
                <w:szCs w:val="14"/>
                <w:color w:val="auto"/>
              </w:rPr>
              <w:t>Issue of share capital on October 22, 2018 on exercise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140"/>
              <w:spacing w:after="0" w:line="157" w:lineRule="exact"/>
              <w:rPr>
                <w:sz w:val="20"/>
                <w:szCs w:val="20"/>
                <w:color w:val="auto"/>
              </w:rPr>
            </w:pPr>
            <w:r>
              <w:rPr>
                <w:rFonts w:ascii="Arial" w:cs="Arial" w:eastAsia="Arial" w:hAnsi="Arial"/>
                <w:sz w:val="14"/>
                <w:szCs w:val="14"/>
                <w:color w:val="auto"/>
              </w:rPr>
              <w:t>of options (Note 17)</w:t>
            </w:r>
          </w:p>
        </w:tc>
        <w:tc>
          <w:tcPr>
            <w:tcW w:w="7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256</w:t>
            </w:r>
          </w:p>
        </w:tc>
        <w:tc>
          <w:tcPr>
            <w:tcW w:w="12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109,680</w:t>
            </w:r>
          </w:p>
        </w:tc>
        <w:tc>
          <w:tcPr>
            <w:tcW w:w="10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109,936</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Issue of warrants for TAP agreement (Note 17)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44,156</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44,156</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20"/>
                <w:szCs w:val="20"/>
                <w:color w:val="auto"/>
              </w:rPr>
            </w:pPr>
            <w:r>
              <w:rPr>
                <w:rFonts w:ascii="Arial" w:cs="Arial" w:eastAsia="Arial" w:hAnsi="Arial"/>
                <w:sz w:val="14"/>
                <w:szCs w:val="14"/>
                <w:color w:val="auto"/>
              </w:rPr>
              <w:t>Transaction costs on issuance of share capital (Note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140"/>
              <w:spacing w:after="0" w:line="157" w:lineRule="exact"/>
              <w:rPr>
                <w:sz w:val="20"/>
                <w:szCs w:val="20"/>
                <w:color w:val="auto"/>
              </w:rPr>
            </w:pPr>
            <w:r>
              <w:rPr>
                <w:rFonts w:ascii="Arial" w:cs="Arial" w:eastAsia="Arial" w:hAnsi="Arial"/>
                <w:sz w:val="14"/>
                <w:szCs w:val="14"/>
                <w:color w:val="auto"/>
              </w:rPr>
              <w:t>17)</w:t>
            </w:r>
          </w:p>
        </w:tc>
        <w:tc>
          <w:tcPr>
            <w:tcW w:w="7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(7,511)</w:t>
            </w:r>
          </w:p>
        </w:tc>
        <w:tc>
          <w:tcPr>
            <w:tcW w:w="10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(7,511)</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Purchase of treasury shares (Note 27)</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(306,838)</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(306,838)</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 2018</w:t>
            </w: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213,721</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118,492,073</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18,592,618</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(306,838)</w:t>
            </w: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7,000,000</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(111,220,794)</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32,770,780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Corporate information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Mereo BioPharma Group plc (the “Company”) is a clinical-stage, U.K.-based biopharmaceutical company focused on rare diseases.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is a public limited company incorporated and domiciled in the U.K., and registered in England, with our shares publicly traded on the Alternative Investment Market of the London Stock Exchange under the ticker symbol “MPH”. As of April 24, 2019, we are also listed on the Nasdaq Global Exchange via American Depositary Receipts (ADRs) under the ticker symbol “MREO” following the completion of the merger with OncoMed Pharmaceuticals, Inc. (“OncoMed”). Our registered office is located at Fourth Floor, 1 Cavendish Place, London W1G 0QF.</w:t>
      </w:r>
    </w:p>
    <w:p>
      <w:pPr>
        <w:spacing w:after="0" w:line="202"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2018 were authorized for issue in accordance with a resolution of the directors on April 28, 2019.</w:t>
      </w:r>
    </w:p>
    <w:p>
      <w:pPr>
        <w:spacing w:after="0" w:line="283" w:lineRule="exact"/>
        <w:rPr>
          <w:sz w:val="20"/>
          <w:szCs w:val="20"/>
          <w:color w:val="auto"/>
        </w:rPr>
      </w:pPr>
    </w:p>
    <w:p>
      <w:pPr>
        <w:ind w:left="320" w:hanging="204"/>
        <w:spacing w:after="0"/>
        <w:tabs>
          <w:tab w:leader="none" w:pos="32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03"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2.1 Basis of preparation</w:t>
      </w:r>
    </w:p>
    <w:p>
      <w:pPr>
        <w:spacing w:after="0" w:line="126"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Group’s annual financial statements have been prepared in accordance with International Financial Reporting Standards (IFRS) as issued by the International Accounting Standards Board (IASB).</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information is presented in pounds sterling (“Sterling”).</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 Adoption of new accounting policies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policies have been adopted since the start of the period: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IFRS 9 Financial Instruments.</w:t>
      </w:r>
    </w:p>
    <w:p>
      <w:pPr>
        <w:spacing w:after="0" w:line="122"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In the current period the Group has applied IFRS 9 Financial Instruments (as revised in July 2014) and the related consequential amendments to other IFRS. IFRS 9 introduces new requirements for 1) the classification and measurement of financial assets and financial liabilities, 2) impairment for financial assets, 3) general hedge accounting and 4) new accounting for certain modifications and exchanges of financial liabilities measured at amortized cost. The only impact on the Group is in relation to the non-substantial modification of the convertible loan notes, as detailed below. The Group has applied IFRS 9 in full without restating comparatives with an initial date of application of January 1, 2018.</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Note 18a, was adjusted to recognize the modification gain in the retained earnings as of the date of initial application of IFRS 9 (January 1, 2018).</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Interest-bearing loans and borrowings—convertible loan notes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90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 £)</w:t>
            </w:r>
          </w:p>
        </w:tc>
      </w:tr>
      <w:tr>
        <w:trPr>
          <w:trHeight w:val="196"/>
        </w:trPr>
        <w:tc>
          <w:tcPr>
            <w:tcW w:w="9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2018 calculated under IAS 39</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Amounts restated through retained earnings</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(123,865)</w:t>
            </w:r>
          </w:p>
        </w:tc>
      </w:tr>
      <w:tr>
        <w:trPr>
          <w:trHeight w:val="27"/>
        </w:trPr>
        <w:tc>
          <w:tcPr>
            <w:tcW w:w="99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2018 under IFRS 9</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1,853,528</w:t>
            </w:r>
          </w:p>
        </w:tc>
      </w:tr>
      <w:tr>
        <w:trPr>
          <w:trHeight w:val="20"/>
        </w:trPr>
        <w:tc>
          <w:tcPr>
            <w:tcW w:w="9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The Group has considered the adoption of IFRS 9 on receivables and determined the expected credit loss to be immaterial, and therefore no adjustment has been made for this.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IFRS 15 Revenue from Contracts with Customers</w:t>
      </w:r>
    </w:p>
    <w:p>
      <w:pPr>
        <w:spacing w:after="0" w:line="12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In the current period the Group has adopted IFRS 15 Revenue from Contracts with Customers. The new revenue standard is applicable to all entities and will supersede all current revenue recognition requirements under IFRS. There has been no impact on Group reporting in the period.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IFRS 16 Leases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impact of application of IFRS 16 Leases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IFRS 16 provides a comprehensive model for the identification of lease arrangements and their treatment in the financial statements</w:t>
      </w:r>
    </w:p>
    <w:p>
      <w:pPr>
        <w:ind w:left="120"/>
        <w:spacing w:after="0" w:line="234" w:lineRule="auto"/>
        <w:rPr>
          <w:sz w:val="20"/>
          <w:szCs w:val="20"/>
          <w:color w:val="auto"/>
        </w:rPr>
      </w:pPr>
      <w:r>
        <w:rPr>
          <w:rFonts w:ascii="Arial" w:cs="Arial" w:eastAsia="Arial" w:hAnsi="Arial"/>
          <w:sz w:val="18"/>
          <w:szCs w:val="18"/>
          <w:color w:val="auto"/>
        </w:rPr>
        <w:t>for both lessors and lessees. IFRS 16 will supersede the current lease guidance including IAS 17 Leases and the related Interpretations</w:t>
      </w:r>
    </w:p>
    <w:p>
      <w:pPr>
        <w:ind w:left="120"/>
        <w:spacing w:after="0" w:line="235" w:lineRule="auto"/>
        <w:rPr>
          <w:sz w:val="20"/>
          <w:szCs w:val="20"/>
          <w:color w:val="auto"/>
        </w:rPr>
      </w:pPr>
      <w:r>
        <w:rPr>
          <w:rFonts w:ascii="Arial" w:cs="Arial" w:eastAsia="Arial" w:hAnsi="Arial"/>
          <w:sz w:val="18"/>
          <w:szCs w:val="18"/>
          <w:color w:val="auto"/>
        </w:rPr>
        <w:t>when it becomes effective for accounting periods beginning on or after January 1, 2019. The date of initial application of IFRS 16 for the</w:t>
      </w:r>
    </w:p>
    <w:p>
      <w:pPr>
        <w:ind w:left="120"/>
        <w:spacing w:after="0" w:line="235" w:lineRule="auto"/>
        <w:rPr>
          <w:sz w:val="20"/>
          <w:szCs w:val="20"/>
          <w:color w:val="auto"/>
        </w:rPr>
      </w:pPr>
      <w:r>
        <w:rPr>
          <w:rFonts w:ascii="Arial" w:cs="Arial" w:eastAsia="Arial" w:hAnsi="Arial"/>
          <w:sz w:val="18"/>
          <w:szCs w:val="18"/>
          <w:color w:val="auto"/>
        </w:rPr>
        <w:t>Group will be January 1, 2019. The Group has chosen the modified retrospective application of IFRS 16 in accordance with IFRS</w:t>
      </w:r>
    </w:p>
    <w:p>
      <w:pPr>
        <w:ind w:left="120"/>
        <w:spacing w:after="0" w:line="235" w:lineRule="auto"/>
        <w:rPr>
          <w:sz w:val="20"/>
          <w:szCs w:val="20"/>
          <w:color w:val="auto"/>
        </w:rPr>
      </w:pPr>
      <w:r>
        <w:rPr>
          <w:rFonts w:ascii="Arial" w:cs="Arial" w:eastAsia="Arial" w:hAnsi="Arial"/>
          <w:sz w:val="18"/>
          <w:szCs w:val="18"/>
          <w:color w:val="auto"/>
        </w:rPr>
        <w:t>16:C5(b). Consequently, the Group will not restate the comparative information. In contrast to lessee accounting, IFRS 16 substantially</w:t>
      </w:r>
    </w:p>
    <w:p>
      <w:pPr>
        <w:ind w:left="120"/>
        <w:spacing w:after="0"/>
        <w:rPr>
          <w:sz w:val="20"/>
          <w:szCs w:val="20"/>
          <w:color w:val="auto"/>
        </w:rPr>
      </w:pPr>
      <w:r>
        <w:rPr>
          <w:rFonts w:ascii="Arial" w:cs="Arial" w:eastAsia="Arial" w:hAnsi="Arial"/>
          <w:sz w:val="18"/>
          <w:szCs w:val="18"/>
          <w:color w:val="auto"/>
        </w:rPr>
        <w:t>carries forward the lessor accounting requirements in IAS 17.</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the new definition of a lease</w:t>
      </w:r>
    </w:p>
    <w:p>
      <w:pPr>
        <w:spacing w:after="0" w:line="122" w:lineRule="exact"/>
        <w:rPr>
          <w:sz w:val="20"/>
          <w:szCs w:val="20"/>
          <w:color w:val="auto"/>
        </w:rPr>
      </w:pPr>
    </w:p>
    <w:p>
      <w:pPr>
        <w:jc w:val="both"/>
        <w:ind w:left="120" w:right="640" w:firstLine="440"/>
        <w:spacing w:after="0"/>
        <w:rPr>
          <w:sz w:val="20"/>
          <w:szCs w:val="20"/>
          <w:color w:val="auto"/>
        </w:rPr>
      </w:pPr>
      <w:r>
        <w:rPr>
          <w:rFonts w:ascii="Arial" w:cs="Arial" w:eastAsia="Arial" w:hAnsi="Arial"/>
          <w:sz w:val="18"/>
          <w:szCs w:val="18"/>
          <w:color w:val="auto"/>
        </w:rPr>
        <w:t>The Group will make use of the practical expedient available on transition to IFRS 16 not to reassess whether a contract is or contains a lease. Accordingly, the definition of a lease in accordance with IAS 17 and IFRIC 4 will continue to apply to those leases entered or modified before 1 January 2019.</w:t>
      </w:r>
    </w:p>
    <w:p>
      <w:pPr>
        <w:spacing w:after="0" w:line="20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The change in definition of a lease mainly relates to the concept of control. IFRS 16 distinguishes between leases and service contracts on the basis of whether the use of an identified asset is controlled by the customer. Control is considered to exist if the customer has:</w:t>
      </w:r>
    </w:p>
    <w:p>
      <w:pPr>
        <w:spacing w:after="0" w:line="108" w:lineRule="exact"/>
        <w:rPr>
          <w:sz w:val="20"/>
          <w:szCs w:val="20"/>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right to obtain substantially all of the economic benefits from the use of an identified asset;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right to direct the use of that asset.</w:t>
      </w:r>
    </w:p>
    <w:p>
      <w:pPr>
        <w:spacing w:after="0" w:line="21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Group will apply the definition of a lease and related guidance set out in IFRS 16 to all lease contracts entered into or modified on or after January 1, 2019 (whether it is a lessor or a lessee in the lease contract). In preparation for the first-time application of IFRS 16, the Group has carried out an implementation project. The project has shown that the new definition in IFRS 16 will not change significantly the scope of contracts that meet the definition of a lease for the Group.</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lessee accounting</w:t>
      </w:r>
    </w:p>
    <w:p>
      <w:pPr>
        <w:spacing w:after="0" w:line="122" w:lineRule="exact"/>
        <w:rPr>
          <w:sz w:val="20"/>
          <w:szCs w:val="20"/>
          <w:color w:val="auto"/>
        </w:rPr>
      </w:pPr>
    </w:p>
    <w:p>
      <w:pPr>
        <w:ind w:left="120" w:right="800" w:firstLine="440"/>
        <w:spacing w:after="0" w:line="246" w:lineRule="auto"/>
        <w:rPr>
          <w:sz w:val="20"/>
          <w:szCs w:val="20"/>
          <w:color w:val="auto"/>
        </w:rPr>
      </w:pPr>
      <w:r>
        <w:rPr>
          <w:rFonts w:ascii="Arial" w:cs="Arial" w:eastAsia="Arial" w:hAnsi="Arial"/>
          <w:sz w:val="18"/>
          <w:szCs w:val="18"/>
          <w:color w:val="auto"/>
        </w:rPr>
        <w:t>IFRS 16 will change how the Group accounts for leases previously classified as operating leases under IAS 17, which were off-balance sheet.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initial application of IFRS 16, for all leases (except as noted below), the Group will:</w:t>
      </w:r>
    </w:p>
    <w:p>
      <w:pPr>
        <w:spacing w:after="0" w:line="117" w:lineRule="exact"/>
        <w:rPr>
          <w:sz w:val="20"/>
          <w:szCs w:val="20"/>
          <w:color w:val="auto"/>
        </w:rPr>
      </w:pPr>
    </w:p>
    <w:p>
      <w:pPr>
        <w:ind w:left="1080" w:right="140" w:hanging="532"/>
        <w:spacing w:after="0" w:line="246"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recognize right-of-use assets and lease liabilities in the consolidated statement of financial position, initially measured at the present value of the future lease payments;</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recognize depreciation of right-of-use assets and interest on lease liabilities in the consolidated statement of profit or loss;</w:t>
      </w:r>
    </w:p>
    <w:p>
      <w:pPr>
        <w:spacing w:after="0" w:line="117" w:lineRule="exact"/>
        <w:rPr>
          <w:rFonts w:ascii="Arial" w:cs="Arial" w:eastAsia="Arial" w:hAnsi="Arial"/>
          <w:sz w:val="18"/>
          <w:szCs w:val="18"/>
          <w:color w:val="auto"/>
        </w:rPr>
      </w:pPr>
    </w:p>
    <w:p>
      <w:pPr>
        <w:ind w:left="1080" w:right="220" w:hanging="532"/>
        <w:spacing w:after="0" w:line="246"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separate the total amount of cash paid into a principal portion (presented within financing activities) and interest (presented within operating activities) in the consolidated cash flow statement.</w:t>
      </w:r>
    </w:p>
    <w:p>
      <w:pPr>
        <w:spacing w:after="0" w:line="197"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Lease incentives (e.g. rent-free period) will be recognized as part of the measurement of the right-of-use assets and lease liabilities whereas under IAS 17 they resulted in the recognition of a lease liability incentive, amortized as a reduction of rental expenses on a straight-line basis.</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Under IFRS 16, right-of-use assets will be tested for impairment in accordance with IAS 36 Impairment of Assets. This will replace the previous requirement to recognize a provision for onerous lease contracts.</w:t>
      </w:r>
    </w:p>
    <w:p>
      <w:pPr>
        <w:spacing w:after="0" w:line="197"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For short-term leases (lease term of 12 months or less) and leases of low-value assets (such as personal computers and office furniture), the Group will opt to recognize a lease expense on a straight-line basis as permitted by IFRS 16.</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at December 31, 2018, the Group had non-cancellable operating lease commitments of £535,665.</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non-cancellable operating lease commitment and the expected lease liability balance to be recognized upon transition differs as a result of IFRS 16’s requirement to include, within the lease term, the non-cancellable period of a lease, together with periods covered by an option to extend, if that option is reasonably certain to be exercised and periods covered by an option to terminate, if that option is reasonably certain to not be exercised.</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 preliminary assessment indicates that all of these arrangements relate to leases other than short-term leases and leases of low-value assets, and hence the Group will recognise a right-of-use asset of £ 2,551,810 and a corresponding lease liability of £2,533,647 in respect of all these leases. The impact on 2019 profit or loss is to decrease other expenses by £1,093,920, to increase depreciation by £696,948 and to increase interest expense by £322,662. Lease liability incentives of £ 32,090 previously recognized in respect of the operating leases will be derecognized and the amount factored into the measurement of the right-to-use assets and lease liabilities.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preliminary assessment indicates that £nil of these arrangements relate to short-term leases and leases of low-value assets.</w:t>
      </w:r>
    </w:p>
    <w:p>
      <w:pPr>
        <w:spacing w:after="0" w:line="21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Under IAS 17, all lease payments on operating leases are presented as part of cash flows from operating activities. The impact of the changes under IFRS 16 to the 2019 statement of cash flows would be to reduce the cash used in operating activities by £932,268 and to increase net cash used in financing activities by the same amount.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 Going concern</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Though the Group continues to make losses, the directors believe it is appropriate to prepare the financial information on the going concern basis. This is because the Group’s research into new</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60"/>
          </w:cols>
          <w:pgMar w:left="320" w:top="459" w:right="51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products continues to progress according to plan and the funding secured to date, together with the funds that have come into the Group since the year end by way of the completed merger with OncoMed (as described more fully in Note 29) will allow it to meet its liabilities as they fall due for at least 12 months from the date of authorization for the issue of these consolidated financial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 Basis of consolidation</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consolidated financial information comprises the financial statements of Mereo BioPharma Group plc and its subsidiaries as at December 31, 2018.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unrealized gains on transactions between Group companies are eliminated in preparing the consolidated financial statements. Accounting policies of subsidiaries are consistent with the policies adopted by the Group.</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has an employee share trust to facilitate share transactions pursuant to employee share schemes. Although the trust is a separate legal entity from the Group, it is consolidated into the Group’s results in accordance with the IFRS 10 rules on special purpose vehicles. The Company is deemed to control the trust principally because the trust cannot operate without the funding the Group provides.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Group subsidiaries prepare yearly financial information to December 31 consistent with the Company.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 Summary of significant accounting policies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Taxes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Current income tax</w:t>
      </w:r>
    </w:p>
    <w:p>
      <w:pPr>
        <w:spacing w:after="0" w:line="12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and include R&amp;D tax credits receivable under the HM Revenue and Customs (HMRC) small or medium enterprise (SME) scheme, which provides additional taxation relief for qualifying expenditure on R&amp;D activities, and allows for the surrender of tax losses in exchange for a cash payment from HMRC.</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Current income tax relating to items recognized directly in equity is recognized in equity and not in the statement of comprehensive</w:t>
      </w:r>
    </w:p>
    <w:p>
      <w:pPr>
        <w:ind w:left="120"/>
        <w:spacing w:after="0"/>
        <w:rPr>
          <w:sz w:val="20"/>
          <w:szCs w:val="20"/>
          <w:color w:val="auto"/>
        </w:rPr>
      </w:pPr>
      <w:r>
        <w:rPr>
          <w:rFonts w:ascii="Arial" w:cs="Arial" w:eastAsia="Arial" w:hAnsi="Arial"/>
          <w:sz w:val="18"/>
          <w:szCs w:val="18"/>
          <w:color w:val="auto"/>
        </w:rPr>
        <w:t>loss.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 credit</w:t>
      </w:r>
    </w:p>
    <w:p>
      <w:pPr>
        <w:spacing w:after="0" w:line="122"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The Group benefits from the U.K. R&amp;D tax credit regime whereby a portion of the Group’s losses can be surrendered for a cash rebate of up to 33.35% of eligible expenditures. Such credits are accounted for within the tax provision, in the year in which the expenditures were incurred.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Deferred tax</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60"/>
          </w:cols>
          <w:pgMar w:left="320" w:top="459" w:right="51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The carrying amount of deferred income tax assets is reviewed at the end of each reporting period and reduced to the extent that it is no longer probable that sufficient taxable profit will be available to allow all or part of the deferred income tax asset to be utilized. Unrecognized deferred income tax assets are reassessed at the end of each reporting period and are recognized to the extent that it has become probable that future taxable profit will allow the deferred tax asset to be recovered.</w:t>
      </w:r>
    </w:p>
    <w:p>
      <w:pPr>
        <w:spacing w:after="0" w:line="203" w:lineRule="exact"/>
        <w:rPr>
          <w:sz w:val="20"/>
          <w:szCs w:val="20"/>
          <w:color w:val="auto"/>
        </w:rPr>
      </w:pPr>
    </w:p>
    <w:p>
      <w:pPr>
        <w:ind w:left="120" w:right="340" w:firstLine="440"/>
        <w:spacing w:after="0" w:line="274" w:lineRule="auto"/>
        <w:rPr>
          <w:sz w:val="20"/>
          <w:szCs w:val="20"/>
          <w:color w:val="auto"/>
        </w:rPr>
      </w:pPr>
      <w:r>
        <w:rPr>
          <w:rFonts w:ascii="Arial" w:cs="Arial" w:eastAsia="Arial" w:hAnsi="Arial"/>
          <w:sz w:val="17"/>
          <w:szCs w:val="17"/>
          <w:color w:val="auto"/>
        </w:rPr>
        <w:t>Deferred tax assets and liabilities are measured on an undiscounted basis at the tax rates that are expected to apply to the year when the asset is realized, based on tax rates (and tax laws) enacted or substantively enacted at the end of the reporting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Foreign currencies</w:t>
      </w:r>
    </w:p>
    <w:p>
      <w:pPr>
        <w:spacing w:after="0" w:line="12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functional currency of the Company and its subsidiaries is Sterling. Transactions in foreign currencies are initially recorded by the Group’s entities at the rate ruling on the date the transaction first qualifies for recognition.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2"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Gains or losses on the retranslation of foreign currency balances at the year end are recognized in the consolidated statement of comprehensive loss under net foreign exchange gains/(losses).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Property, plant and equipment</w:t>
      </w:r>
    </w:p>
    <w:p>
      <w:pPr>
        <w:spacing w:after="0" w:line="12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117" w:lineRule="exact"/>
        <w:rPr>
          <w:sz w:val="20"/>
          <w:szCs w:val="20"/>
          <w:color w:val="auto"/>
        </w:rPr>
      </w:pPr>
    </w:p>
    <w:tbl>
      <w:tblPr>
        <w:tblLayout w:type="fixed"/>
        <w:tblInd w:w="480" w:type="dxa"/>
        <w:tblCellMar>
          <w:top w:w="0" w:type="dxa"/>
          <w:left w:w="0" w:type="dxa"/>
          <w:bottom w:w="0" w:type="dxa"/>
          <w:right w:w="0" w:type="dxa"/>
        </w:tblCellMar>
      </w:tblP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1800" w:type="dxa"/>
            <w:vAlign w:val="bottom"/>
          </w:tcPr>
          <w:p>
            <w:pPr>
              <w:ind w:left="900"/>
              <w:spacing w:after="0"/>
              <w:rPr>
                <w:sz w:val="20"/>
                <w:szCs w:val="20"/>
                <w:color w:val="auto"/>
              </w:rPr>
            </w:pPr>
            <w:r>
              <w:rPr>
                <w:rFonts w:ascii="Arial" w:cs="Arial" w:eastAsia="Arial" w:hAnsi="Arial"/>
                <w:sz w:val="18"/>
                <w:szCs w:val="18"/>
                <w:color w:val="auto"/>
              </w:rPr>
              <w:t>ten years</w:t>
            </w:r>
          </w:p>
        </w:tc>
      </w:tr>
      <w:tr>
        <w:trPr>
          <w:trHeight w:val="3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Office equipment</w:t>
            </w:r>
          </w:p>
        </w:tc>
        <w:tc>
          <w:tcPr>
            <w:tcW w:w="1800" w:type="dxa"/>
            <w:vAlign w:val="bottom"/>
          </w:tcPr>
          <w:p>
            <w:pPr>
              <w:ind w:left="900"/>
              <w:spacing w:after="0"/>
              <w:rPr>
                <w:sz w:val="20"/>
                <w:szCs w:val="20"/>
                <w:color w:val="auto"/>
              </w:rPr>
            </w:pPr>
            <w:r>
              <w:rPr>
                <w:rFonts w:ascii="Arial" w:cs="Arial" w:eastAsia="Arial" w:hAnsi="Arial"/>
                <w:sz w:val="18"/>
                <w:szCs w:val="18"/>
                <w:color w:val="auto"/>
              </w:rPr>
              <w:t>five years</w:t>
            </w:r>
          </w:p>
        </w:tc>
      </w:tr>
      <w:tr>
        <w:trPr>
          <w:trHeight w:val="3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IT equipment</w:t>
            </w:r>
          </w:p>
        </w:tc>
        <w:tc>
          <w:tcPr>
            <w:tcW w:w="1800" w:type="dxa"/>
            <w:vAlign w:val="bottom"/>
          </w:tcPr>
          <w:p>
            <w:pPr>
              <w:ind w:left="900"/>
              <w:spacing w:after="0"/>
              <w:rPr>
                <w:sz w:val="20"/>
                <w:szCs w:val="20"/>
                <w:color w:val="auto"/>
              </w:rPr>
            </w:pPr>
            <w:r>
              <w:rPr>
                <w:rFonts w:ascii="Arial" w:cs="Arial" w:eastAsia="Arial" w:hAnsi="Arial"/>
                <w:sz w:val="18"/>
                <w:szCs w:val="18"/>
                <w:color w:val="auto"/>
                <w:w w:val="97"/>
              </w:rPr>
              <w:t>three years</w:t>
            </w:r>
          </w:p>
        </w:tc>
      </w:tr>
    </w:tbl>
    <w:p>
      <w:pPr>
        <w:spacing w:after="0" w:line="20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Leases</w:t>
      </w:r>
    </w:p>
    <w:p>
      <w:pPr>
        <w:spacing w:after="0" w:line="122"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Leases in which a significant portion of the risks and rewards of ownership are retained by the lessor are classified as operating leases. Payments made under operating leases (net of any incentives received from the lessor) are charged to the statement of comprehensive loss on a straight-line basis over the period of the lease.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40"/>
          </w:cols>
          <w:pgMar w:left="320" w:top="459" w:right="5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The Group leases its premises (see Note 26). The Company recognizes any lease incentives on a straight-line basis over the entire period of the lease, assuming that any break clauses available will not be exercised. By not exercising any break clauses, the Group receives a 50% rent discount from the landlord for a fixed period of time as described in Note 26.</w:t>
      </w:r>
    </w:p>
    <w:p>
      <w:pPr>
        <w:spacing w:after="0" w:line="20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The determination of whether an arrangement is, or contains, a lease is based on the substance of the arrangement at the inception date. The arrangement is assessed for whether fulfilment of the arrangement is dependent on the use of a specific asset or assets or the arrangement conveys a right to use the asset or assets, even if that right is not explicitly specified in an arrangement.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 Intangible assets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Intangible assets, relating to intellectual property rights acquired through licensing or assigning patents and know-how, are initially recognized at cost which has been determined as the fair value of the consideration paid and payable. Consideration comprises cash paid together with the net present value of any provision for deferred cash consideration (see Note 2.5p) and the fair value of consideration settled in shares. The fair value of consideration is regularly reviewed based on the probability of achieving the contractual milestones. Where share transfer occurs, the cost is measured at fair value of the shares issued or to be issued in accordance with IFRS 2. Intangible assets are held at cost less accumulated amortization and provision for impairment, if any. Where a finite useful life of the acquired intangible asset cannot be determined or the intangible asset is not yet available for use, the asset is tested annually for impairment by allocating the assets to the cash-generating units to which they relate. Amortization would commence when product candidates underpinned by the intellectual property rights become available for commercial use. No amortization has been charged to date, as the product candidates underpinned by the intellectual property rights are not yet available for commercial use.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 Fair value measurement</w:t>
      </w:r>
    </w:p>
    <w:p>
      <w:pPr>
        <w:spacing w:after="0" w:line="122"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08" w:lineRule="exact"/>
        <w:rPr>
          <w:sz w:val="20"/>
          <w:szCs w:val="20"/>
          <w:color w:val="auto"/>
        </w:rPr>
      </w:pPr>
    </w:p>
    <w:p>
      <w:pPr>
        <w:ind w:left="1080" w:hanging="424"/>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or the most advantageous market must be accessible by the Group.</w:t>
      </w:r>
    </w:p>
    <w:p>
      <w:pPr>
        <w:spacing w:after="0" w:line="21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97"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97"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02" w:lineRule="exact"/>
        <w:rPr>
          <w:sz w:val="20"/>
          <w:szCs w:val="20"/>
          <w:color w:val="auto"/>
        </w:rPr>
      </w:pPr>
    </w:p>
    <w:p>
      <w:pPr>
        <w:ind w:left="5440" w:right="2580" w:hanging="4784"/>
        <w:spacing w:after="0" w:line="418" w:lineRule="auto"/>
        <w:tabs>
          <w:tab w:leader="none" w:pos="108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Level 1—quoted (unadjusted) market prices in active markets for identical assets or liabilities. F-33</w:t>
      </w:r>
    </w:p>
    <w:p>
      <w:pPr>
        <w:sectPr>
          <w:pgSz w:w="11900" w:h="16838" w:orient="portrait"/>
          <w:cols w:equalWidth="0" w:num="1">
            <w:col w:w="11080"/>
          </w:cols>
          <w:pgMar w:left="320" w:top="459" w:right="49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520" w:hanging="424"/>
        <w:spacing w:after="0" w:line="246"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Level 2—valuation techniques for which the lowest level input that is significant to the fair value measurement is directly or indirectly observable.</w:t>
      </w:r>
    </w:p>
    <w:p>
      <w:pPr>
        <w:spacing w:after="0" w:line="102" w:lineRule="exact"/>
        <w:rPr>
          <w:rFonts w:ascii="Arial" w:cs="Arial" w:eastAsia="Arial" w:hAnsi="Arial"/>
          <w:sz w:val="18"/>
          <w:szCs w:val="18"/>
          <w:color w:val="auto"/>
        </w:rPr>
      </w:pPr>
    </w:p>
    <w:p>
      <w:pPr>
        <w:ind w:left="1080" w:right="1140" w:hanging="424"/>
        <w:spacing w:after="0" w:line="246"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Level 3—valuation techniques for which the lowest level input that is significant to the fair value measurement is unobservable.</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 Impairment of non-financial assets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disclosures relating to impairment of non-financial assets are also provided in the following notes:</w:t>
      </w:r>
    </w:p>
    <w:p>
      <w:pPr>
        <w:spacing w:after="0" w:line="117"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Disclosures for significant assumptions Note 3</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Property, plant and equipment Note 11</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Intangible assets not yet available for use Notes 12 and 13</w:t>
      </w:r>
    </w:p>
    <w:p>
      <w:pPr>
        <w:spacing w:after="0" w:line="21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202"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Impairment losses are recognized in the statement of comprehensive loss in expense categories consistent with the function of the impaired asset.</w:t>
      </w:r>
    </w:p>
    <w:p>
      <w:pPr>
        <w:spacing w:after="0" w:line="197"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203" w:lineRule="exact"/>
        <w:rPr>
          <w:sz w:val="20"/>
          <w:szCs w:val="20"/>
          <w:color w:val="auto"/>
        </w:rPr>
      </w:pPr>
    </w:p>
    <w:p>
      <w:pPr>
        <w:ind w:left="120" w:right="240" w:firstLine="440"/>
        <w:spacing w:after="0" w:line="274" w:lineRule="auto"/>
        <w:rPr>
          <w:sz w:val="20"/>
          <w:szCs w:val="20"/>
          <w:color w:val="auto"/>
        </w:rPr>
      </w:pPr>
      <w:r>
        <w:rPr>
          <w:rFonts w:ascii="Arial" w:cs="Arial" w:eastAsia="Arial" w:hAnsi="Arial"/>
          <w:sz w:val="17"/>
          <w:szCs w:val="17"/>
          <w:color w:val="auto"/>
        </w:rPr>
        <w:t>Intangible assets not yet available for use are tested for impairment annually as at December 31 at the CGU level, as appropriate, and when circumstances indicate that the carrying value may be impaired. An impairment test was performed at December 31, 2018.</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 Cash and short-term deposits</w:t>
      </w:r>
    </w:p>
    <w:p>
      <w:pPr>
        <w:spacing w:after="0" w:line="122"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 Short-term investments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on deposit for terms greater than three months are recognized at fair value in the balance sheet.</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 Provisions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w:t>
      </w:r>
    </w:p>
    <w:p>
      <w:pPr>
        <w:spacing w:after="0" w:line="12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202" w:lineRule="exact"/>
        <w:rPr>
          <w:sz w:val="20"/>
          <w:szCs w:val="20"/>
          <w:color w:val="auto"/>
        </w:rPr>
      </w:pPr>
    </w:p>
    <w:p>
      <w:pPr>
        <w:jc w:val="both"/>
        <w:ind w:left="120" w:right="700" w:firstLine="440"/>
        <w:spacing w:after="0"/>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 Share-based payments</w:t>
      </w:r>
    </w:p>
    <w:p>
      <w:pPr>
        <w:spacing w:after="0" w:line="122"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Employees (including senior executives) of the Group receive remuneration in the form of share-based payments, whereby employees render services as consideration for equity instruments (equity settled transactions).</w:t>
      </w:r>
    </w:p>
    <w:p>
      <w:pPr>
        <w:spacing w:after="0" w:line="19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Incentives in the form of shares are provided to employees under the Share Option Plan. Executive officers are also provided with shares under a deferred bonus share plan (“DBSP Plan”) and a long-term incentive plan (“LTIP Plan”). 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excludes the impact of any non-market vesting conditions. The fair value of LTIP shares, which have market conditions attached, includes an adjustment based on the probability of the shares vesting at the end of the vesting period.</w:t>
      </w:r>
    </w:p>
    <w:p>
      <w:pPr>
        <w:spacing w:after="0" w:line="20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Under the 2015 Plan, options were historically awarded to employees, NEDs and certain consultants. Share options awarded to non-employees under the 2015 Plan are accounted for as options awarded to employees as the value of non-employee services could be readily determined.</w:t>
      </w:r>
    </w:p>
    <w:p>
      <w:pPr>
        <w:spacing w:after="0" w:line="203"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203"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Purchases, where consideration is satisfied by issuing equity shares is accounted for as equity settled share-based payment transactions in accordance with IFRS 2. Fair value is determined by the share price at the date of purchase.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60"/>
          </w:cols>
          <w:pgMar w:left="320" w:top="459" w:right="5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 Costs of issuing capital</w:t>
      </w:r>
    </w:p>
    <w:p>
      <w:pPr>
        <w:spacing w:after="0" w:line="12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Group deducts directly attributable costs of issuing capital from the proceeds in accordance with IAS 39 Financial Instruments: Recognition and Measurement. 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 Convertible loan instrument</w:t>
      </w:r>
    </w:p>
    <w:p>
      <w:pPr>
        <w:spacing w:after="0" w:line="122"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representing the embedded option to convert the liability into equity of the Group, is included in equity.</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205"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7"/>
          <w:szCs w:val="17"/>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w:t>
      </w:r>
    </w:p>
    <w:p>
      <w:pPr>
        <w:spacing w:after="0" w:line="1"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10% different from the discounted present value of the remaining cash flows of the original debt instrument. Where such modifications are less than 10% different, the effective interest rate is adjusted to take account of the new terms.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 Employee Benefit Trust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operates an Employee Benefit Trust (EBT): Mereo BioPharma Group plc Employee Benefit Trust.</w:t>
      </w:r>
    </w:p>
    <w:p>
      <w:pPr>
        <w:spacing w:after="0" w:line="21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EBT has been established to fulfil awards made under the Deferred Bonus Share Plan and the Long Term Incentive Plan. The EBT is a Jersey-based trust which is funded by a loan from the Company, which it will utilize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20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In compliance with IAS 32 Financial Instruments: Presentation Group, shares held by the EBT are included in the consolidated balance sheet as a reduction in equity. Gains and losses on Group shares are recognized directly in equity.</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Group consolidated accounts treat the EBT as an extension of the Group and the Company as it is controlled and therefore consolidated.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 Research and development</w:t>
      </w:r>
    </w:p>
    <w:p>
      <w:pPr>
        <w:spacing w:after="0" w:line="122"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Expenditure on product development is capitalized as an intangible asset and amortized over the expected useful economic life of the product candidate concerned. Capitalization commences from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point at which technical feasibility and commercial viability of the product candidate can be demonstrated and the Group is satisfied that it is probable that future economic benefits will result from the product candidate once completed. Capitalization ceases when the product candidate receives regulatory approval for launch. No such costs have been capitalized to date.</w:t>
      </w:r>
    </w:p>
    <w:p>
      <w:pPr>
        <w:spacing w:after="0" w:line="203"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Expenditure on R&amp;D activities that do not meet the above criteria, including ongoing costs associated with acquired intellectual property rights and intellectual property rights generated internally by the Group, is charged to the statement of comprehensive loss as incurred. Intellectual property and in-process research and development from asset acquisitions are recognized as intangible assets at cost.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 Provision for deferred cash consideration</w:t>
      </w:r>
    </w:p>
    <w:p>
      <w:pPr>
        <w:spacing w:after="0" w:line="122"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Provision for deferred cash consideration consists of future payments which are contractually committed but not yet certain. In respect of products which are not yet approved, such deferred cash consideration excludes potential milestones, royalties or other payments that are deemed to be so uncertain as to be unquantifiable. Deferred cash consideration is recognized as a liability with the amounts calculated as the risk adjusted net present value of anticipated deferred payments.</w:t>
      </w:r>
    </w:p>
    <w:p>
      <w:pPr>
        <w:spacing w:after="0" w:line="205"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7"/>
          <w:szCs w:val="17"/>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 Bank loan and associated warrants</w:t>
      </w:r>
    </w:p>
    <w:p>
      <w:pPr>
        <w:spacing w:after="0" w:line="12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After initial recognition, interest-bearing loans and borrowings are subsequently measured at amortized cost using the effective interest rate (EIR) method. The EIR amortization is included as a finance charge in the statement of comprehensive loss. This category applies to interest-bearing borrowings, trade and other payables.</w:t>
      </w:r>
    </w:p>
    <w:p>
      <w:pPr>
        <w:spacing w:after="0" w:line="20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As the terms of the warrant instrument allow for a cashless exercise, in line with IAS 32 the associated warrants are measured at fair value with changes recorded through the statement of comprehensive loss (see Note 20).</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205" w:lineRule="exact"/>
        <w:rPr>
          <w:sz w:val="20"/>
          <w:szCs w:val="20"/>
          <w:color w:val="auto"/>
        </w:rPr>
      </w:pPr>
    </w:p>
    <w:p>
      <w:pPr>
        <w:ind w:left="120" w:firstLine="440"/>
        <w:spacing w:after="0" w:line="248" w:lineRule="auto"/>
        <w:rPr>
          <w:sz w:val="20"/>
          <w:szCs w:val="20"/>
          <w:color w:val="auto"/>
        </w:rPr>
      </w:pPr>
      <w:r>
        <w:rPr>
          <w:rFonts w:ascii="Arial" w:cs="Arial" w:eastAsia="Arial" w:hAnsi="Arial"/>
          <w:sz w:val="17"/>
          <w:szCs w:val="17"/>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w:t>
      </w:r>
    </w:p>
    <w:p>
      <w:pPr>
        <w:spacing w:after="0" w:line="1"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10% different from the discounted present value of the remaining cash flows of the original debt instrument. Where such modifications are less than 10% different, the effective interest rate is adjusted to take account of the new terms.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 The Alpha-1 Project (TAP) funding agreement and associated warrants</w:t>
      </w:r>
    </w:p>
    <w:p>
      <w:pPr>
        <w:spacing w:after="0" w:line="122"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agreement is regarded as a compound instrument which includes both debt and equity components. As per IAS 32:31 the liability is measured first at fair value and the residual value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allocated to the equity component. The difference between the funding payment amount received and the measurement of the liability will be allocated to the warrants and recognized in equity. The value of warrants in equity will not be subsequently re-measured, as the warrants will be settled by providing a fixed number of shares for a fixed amount of cash.</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Significant accounting judgments, estimates and assumptions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preparation of the consolidated accounts requires the management of the Group to make estimates and judgments that affect the reported amounts of assets, liabilities, revenues and expenses. The Group bases its estimates and judgments on historical experience and on various other assumptions that it considers to be reasonable. Actual results may differ from these estimates under different assumptions or conditions.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Judgements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compensation</w:t>
      </w:r>
    </w:p>
    <w:p>
      <w:pPr>
        <w:spacing w:after="0" w:line="12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Incentives in the form of shares are provided to employees under a share option plan, long-term incentive plan and deferred bonus share plan. The fair value of the employee services received in exchange for the grant of the options is recognized as an expense. The expense is based upon a number of assumptions disclosed in Note 25. The selection of different assumptions could affect the results of the Group.</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intangible assets and property, plant and equipment</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13) and leasehold improvements, office equipment and IT equipment as at December 31, 2018.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judgments regarding the likelihood of successful product approval, the costs of reaching approval and the subsequent commercial profitability of the product once approved.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license consideration</w:t>
      </w:r>
    </w:p>
    <w:p>
      <w:pPr>
        <w:spacing w:after="0" w:line="122" w:lineRule="exact"/>
        <w:rPr>
          <w:sz w:val="20"/>
          <w:szCs w:val="20"/>
          <w:color w:val="auto"/>
        </w:rPr>
      </w:pPr>
    </w:p>
    <w:p>
      <w:pPr>
        <w:jc w:val="both"/>
        <w:ind w:left="120" w:right="560" w:firstLine="440"/>
        <w:spacing w:after="0"/>
        <w:rPr>
          <w:sz w:val="20"/>
          <w:szCs w:val="20"/>
          <w:color w:val="auto"/>
        </w:rPr>
      </w:pPr>
      <w:r>
        <w:rPr>
          <w:rFonts w:ascii="Arial" w:cs="Arial" w:eastAsia="Arial" w:hAnsi="Arial"/>
          <w:sz w:val="18"/>
          <w:szCs w:val="18"/>
          <w:color w:val="auto"/>
        </w:rPr>
        <w:t>Deferred consideration in the form of cash is recognized as a provision at each balance sheet date, to the extent its amount is quantifiable at the inception of the arrangement. The amount provided is based on a number of estimates regarding the timing and progress of the related research.</w:t>
      </w:r>
    </w:p>
    <w:p>
      <w:pPr>
        <w:spacing w:after="0" w:line="203"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Deferred consideration in the form of shares is recognized as a share-based payment when it is probable that shares will be transferred.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Bank loan and associated warrants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As part of the bank loan the Group has issued warrants to subscribe for shares. The fair value of the warrants issued is assessed at each balance sheet date based upon a number of estimates, as disclosed in Note 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Management views the business as a single portfolio of product candidates. Only R&amp;D expenses are monitored at a product candidate level, however the Chief Operating Decision Maker (CODM)</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makes decisions over resource allocation at an overall portfolio level. The Group’s financing is managed and monitored on a consolidated basis. All non-current assets held by the Group are located in the U.K.</w:t>
      </w:r>
    </w:p>
    <w:p>
      <w:pPr>
        <w:spacing w:after="0" w:line="197"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The Company’s CODM is the executive management team (comprised of the Chief Executive Officer, Chief Financial Officer, Chief Medical Officer, General Counsel, the Head of Corporate Development and the Head of Patient Access and Commercial Planning) which manages the operating results of the business.</w:t>
      </w:r>
    </w:p>
    <w:p>
      <w:pPr>
        <w:spacing w:after="0" w:line="289" w:lineRule="exact"/>
        <w:rPr>
          <w:sz w:val="20"/>
          <w:szCs w:val="20"/>
          <w:color w:val="auto"/>
        </w:rPr>
      </w:pPr>
    </w:p>
    <w:p>
      <w:pPr>
        <w:ind w:left="120" w:right="8400" w:hanging="4"/>
        <w:spacing w:after="0" w:line="394" w:lineRule="auto"/>
        <w:tabs>
          <w:tab w:leader="none" w:pos="32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Group information </w:t>
      </w:r>
      <w:r>
        <w:rPr>
          <w:rFonts w:ascii="Arial" w:cs="Arial" w:eastAsia="Arial" w:hAnsi="Arial"/>
          <w:sz w:val="17"/>
          <w:szCs w:val="17"/>
          <w:b w:val="1"/>
          <w:bCs w:val="1"/>
          <w:i w:val="1"/>
          <w:iCs w:val="1"/>
          <w:color w:val="auto"/>
        </w:rPr>
        <w:t>Information about subsidiaries</w:t>
      </w:r>
    </w:p>
    <w:p>
      <w:pPr>
        <w:spacing w:after="0" w:line="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color w:val="auto"/>
        </w:rPr>
        <w:t>The consolidated financial statements of the Group include: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 equity interest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Country of</w:t>
            </w:r>
          </w:p>
        </w:tc>
        <w:tc>
          <w:tcPr>
            <w:tcW w:w="150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92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Principal activities</w:t>
            </w:r>
          </w:p>
        </w:tc>
        <w:tc>
          <w:tcPr>
            <w:tcW w:w="1360" w:type="dxa"/>
            <w:vAlign w:val="bottom"/>
            <w:gridSpan w:val="2"/>
            <w:vMerge w:val="continue"/>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240" w:type="dxa"/>
            <w:vAlign w:val="bottom"/>
            <w:gridSpan w:val="2"/>
            <w:vMerge w:val="continue"/>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incorporation</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Mereo BioPharma 1 Limited</w:t>
            </w:r>
          </w:p>
        </w:tc>
        <w:tc>
          <w:tcPr>
            <w:tcW w:w="420" w:type="dxa"/>
            <w:vAlign w:val="bottom"/>
            <w:tcBorders>
              <w:top w:val="single" w:sz="8" w:color="CCEEFF"/>
            </w:tcBorders>
            <w:shd w:val="clear" w:color="auto" w:fill="CCEEFF"/>
          </w:tcPr>
          <w:p>
            <w:pPr>
              <w:spacing w:after="0"/>
              <w:rPr>
                <w:sz w:val="17"/>
                <w:szCs w:val="17"/>
                <w:color w:val="auto"/>
              </w:rPr>
            </w:pPr>
          </w:p>
        </w:tc>
        <w:tc>
          <w:tcPr>
            <w:tcW w:w="3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Pharmaceutical R&amp;D</w:t>
            </w: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U.K.</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93"/>
              </w:rPr>
              <w:t>100</w:t>
            </w:r>
          </w:p>
        </w:tc>
        <w:tc>
          <w:tcPr>
            <w:tcW w:w="4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Mereo BioPharma 2 Limited</w:t>
            </w:r>
          </w:p>
        </w:tc>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Pharmaceutical R&amp;D</w:t>
            </w:r>
          </w:p>
        </w:tc>
        <w:tc>
          <w:tcPr>
            <w:tcW w:w="136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6"/>
              </w:rPr>
              <w:t>U.K.</w:t>
            </w:r>
          </w:p>
        </w:tc>
        <w:tc>
          <w:tcPr>
            <w:tcW w:w="9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100</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BioPharma 3 Limited</w:t>
            </w: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Pharmaceutical R&amp;D</w:t>
            </w:r>
          </w:p>
        </w:tc>
        <w:tc>
          <w:tcPr>
            <w:tcW w:w="136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6"/>
              </w:rPr>
              <w:t>U.K.</w:t>
            </w:r>
          </w:p>
        </w:tc>
        <w:tc>
          <w:tcPr>
            <w:tcW w:w="9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Mereo BioPharma 4 Limited</w:t>
            </w:r>
          </w:p>
        </w:tc>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Pharmaceutical R&amp;D</w:t>
            </w:r>
          </w:p>
        </w:tc>
        <w:tc>
          <w:tcPr>
            <w:tcW w:w="136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6"/>
              </w:rPr>
              <w:t>U.K.</w:t>
            </w:r>
          </w:p>
        </w:tc>
        <w:tc>
          <w:tcPr>
            <w:tcW w:w="9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100</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BioPharma Ireland Limited</w:t>
            </w: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Pharmaceutical R&amp;D</w:t>
            </w:r>
          </w:p>
        </w:tc>
        <w:tc>
          <w:tcPr>
            <w:tcW w:w="136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8"/>
              </w:rPr>
              <w:t>Ireland</w:t>
            </w:r>
          </w:p>
        </w:tc>
        <w:tc>
          <w:tcPr>
            <w:tcW w:w="9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Mereo US Holdings Inc</w:t>
            </w:r>
          </w:p>
        </w:tc>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Holding</w:t>
            </w:r>
          </w:p>
        </w:tc>
        <w:tc>
          <w:tcPr>
            <w:tcW w:w="136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6"/>
              </w:rPr>
              <w:t>U.S.</w:t>
            </w:r>
          </w:p>
        </w:tc>
        <w:tc>
          <w:tcPr>
            <w:tcW w:w="9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Mereo MergerCo One Inc.</w:t>
            </w: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Holding</w:t>
            </w:r>
          </w:p>
        </w:tc>
        <w:tc>
          <w:tcPr>
            <w:tcW w:w="136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6"/>
              </w:rPr>
              <w:t>U.S.</w:t>
            </w:r>
          </w:p>
        </w:tc>
        <w:tc>
          <w:tcPr>
            <w:tcW w:w="9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Group plc Employee Benefit</w:t>
            </w:r>
          </w:p>
        </w:tc>
        <w:tc>
          <w:tcPr>
            <w:tcW w:w="3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Trust</w:t>
            </w:r>
          </w:p>
        </w:tc>
        <w:tc>
          <w:tcPr>
            <w:tcW w:w="3920" w:type="dxa"/>
            <w:vAlign w:val="bottom"/>
            <w:gridSpan w:val="2"/>
          </w:tcPr>
          <w:p>
            <w:pPr>
              <w:spacing w:after="0"/>
              <w:rPr>
                <w:sz w:val="20"/>
                <w:szCs w:val="20"/>
                <w:color w:val="auto"/>
              </w:rPr>
            </w:pPr>
            <w:r>
              <w:rPr>
                <w:rFonts w:ascii="Arial" w:cs="Arial" w:eastAsia="Arial" w:hAnsi="Arial"/>
                <w:sz w:val="18"/>
                <w:szCs w:val="18"/>
                <w:color w:val="auto"/>
              </w:rPr>
              <w:t>Employee share scheme</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rPr>
              <w:t>Jersey</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Compensation of key management personnel of the Group</w:t>
      </w:r>
    </w:p>
    <w:p>
      <w:pPr>
        <w:spacing w:after="0" w:line="126"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Key management includes directors (executive and non-executive) and executive officers being the General Counsel, the Chief Medical Officer, the Head of Corporate Development and the Head of Patient Access and Commercial Planning. The compensation paid or payable to key management is set out 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6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7480" w:type="dxa"/>
            <w:vAlign w:val="bottom"/>
          </w:tcPr>
          <w:p>
            <w:pPr>
              <w:spacing w:after="0"/>
              <w:rPr>
                <w:sz w:val="13"/>
                <w:szCs w:val="13"/>
                <w:color w:val="auto"/>
              </w:rPr>
            </w:pPr>
          </w:p>
        </w:tc>
        <w:tc>
          <w:tcPr>
            <w:tcW w:w="102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7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(in £)</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benefits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2,111,712</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2,756,979</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3,176,168</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Post-employment benefits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106,500</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87,269</w:t>
            </w:r>
          </w:p>
        </w:tc>
        <w:tc>
          <w:tcPr>
            <w:tcW w:w="26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59,522</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IFRS 2 share-based payment charge</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4,631,853</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2,726,337</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1,470,025</w:t>
            </w:r>
          </w:p>
        </w:tc>
      </w:tr>
      <w:tr>
        <w:trPr>
          <w:trHeight w:val="20"/>
        </w:trPr>
        <w:tc>
          <w:tcPr>
            <w:tcW w:w="7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Total compensation paid to key management personnel</w:t>
            </w:r>
          </w:p>
        </w:tc>
        <w:tc>
          <w:tcPr>
            <w:tcW w:w="1020" w:type="dxa"/>
            <w:vAlign w:val="bottom"/>
          </w:tcPr>
          <w:p>
            <w:pPr>
              <w:jc w:val="right"/>
              <w:spacing w:after="0"/>
              <w:rPr>
                <w:sz w:val="20"/>
                <w:szCs w:val="20"/>
                <w:color w:val="auto"/>
              </w:rPr>
            </w:pPr>
            <w:r>
              <w:rPr>
                <w:rFonts w:ascii="Arial" w:cs="Arial" w:eastAsia="Arial" w:hAnsi="Arial"/>
                <w:sz w:val="18"/>
                <w:szCs w:val="18"/>
                <w:color w:val="auto"/>
              </w:rPr>
              <w:t>6,850,065</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5,570,585</w:t>
            </w: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4,705,715</w:t>
            </w:r>
          </w:p>
        </w:tc>
      </w:tr>
      <w:tr>
        <w:trPr>
          <w:trHeight w:val="20"/>
        </w:trPr>
        <w:tc>
          <w:tcPr>
            <w:tcW w:w="7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7720" w:hanging="4"/>
        <w:spacing w:after="0" w:line="396" w:lineRule="auto"/>
        <w:tabs>
          <w:tab w:leader="none" w:pos="32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Finance income and Finance charge </w:t>
      </w:r>
      <w:r>
        <w:rPr>
          <w:rFonts w:ascii="Arial" w:cs="Arial" w:eastAsia="Arial" w:hAnsi="Arial"/>
          <w:sz w:val="18"/>
          <w:szCs w:val="18"/>
          <w:b w:val="1"/>
          <w:bCs w:val="1"/>
          <w:i w:val="1"/>
          <w:iCs w:val="1"/>
          <w:color w:val="auto"/>
        </w:rPr>
        <w:t>Finance income</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5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34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80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34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3"/>
          </w:tcPr>
          <w:p>
            <w:pPr>
              <w:ind w:left="260"/>
              <w:spacing w:after="0" w:line="155" w:lineRule="exact"/>
              <w:rPr>
                <w:sz w:val="20"/>
                <w:szCs w:val="20"/>
                <w:color w:val="auto"/>
              </w:rPr>
            </w:pPr>
            <w:r>
              <w:rPr>
                <w:rFonts w:ascii="Arial" w:cs="Arial" w:eastAsia="Arial" w:hAnsi="Arial"/>
                <w:sz w:val="14"/>
                <w:szCs w:val="14"/>
                <w:b w:val="1"/>
                <w:bCs w:val="1"/>
                <w:color w:val="auto"/>
              </w:rPr>
              <w:t>(in £)</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Bank interest earned</w:t>
            </w:r>
          </w:p>
        </w:tc>
        <w:tc>
          <w:tcPr>
            <w:tcW w:w="4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374,906</w:t>
            </w: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826,855</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306,831</w:t>
            </w:r>
          </w:p>
        </w:tc>
      </w:tr>
      <w:tr>
        <w:trPr>
          <w:trHeight w:val="20"/>
        </w:trPr>
        <w:tc>
          <w:tcPr>
            <w:tcW w:w="3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5400" w:type="dxa"/>
            <w:vAlign w:val="bottom"/>
            <w:gridSpan w:val="3"/>
          </w:tcPr>
          <w:p>
            <w:pPr>
              <w:jc w:val="right"/>
              <w:ind w:right="3200"/>
              <w:spacing w:after="0"/>
              <w:rPr>
                <w:sz w:val="20"/>
                <w:szCs w:val="20"/>
                <w:color w:val="auto"/>
              </w:rPr>
            </w:pPr>
            <w:r>
              <w:rPr>
                <w:rFonts w:ascii="Arial" w:cs="Arial" w:eastAsia="Arial" w:hAnsi="Arial"/>
                <w:sz w:val="18"/>
                <w:szCs w:val="18"/>
                <w:color w:val="auto"/>
              </w:rPr>
              <w:t>F-39</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charge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640" w:type="dxa"/>
            <w:vAlign w:val="bottom"/>
            <w:tcBorders>
              <w:bottom w:val="single" w:sz="8" w:color="auto"/>
            </w:tcBorders>
            <w:gridSpan w:val="8"/>
          </w:tcPr>
          <w:p>
            <w:pPr>
              <w:jc w:val="center"/>
              <w:ind w:left="773"/>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60" w:type="dxa"/>
            <w:vAlign w:val="bottom"/>
          </w:tcPr>
          <w:p>
            <w:pPr>
              <w:spacing w:after="0"/>
              <w:rPr>
                <w:sz w:val="13"/>
                <w:szCs w:val="13"/>
                <w:color w:val="auto"/>
              </w:rPr>
            </w:pPr>
          </w:p>
        </w:tc>
        <w:tc>
          <w:tcPr>
            <w:tcW w:w="88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8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4"/>
          </w:tcPr>
          <w:p>
            <w:pPr>
              <w:jc w:val="center"/>
              <w:ind w:right="420"/>
              <w:spacing w:after="0" w:line="155" w:lineRule="exact"/>
              <w:rPr>
                <w:sz w:val="20"/>
                <w:szCs w:val="20"/>
                <w:color w:val="auto"/>
              </w:rPr>
            </w:pPr>
            <w:r>
              <w:rPr>
                <w:rFonts w:ascii="Arial" w:cs="Arial" w:eastAsia="Arial" w:hAnsi="Arial"/>
                <w:sz w:val="14"/>
                <w:szCs w:val="14"/>
                <w:b w:val="1"/>
                <w:bCs w:val="1"/>
                <w:color w:val="auto"/>
              </w:rPr>
              <w:t>(in £)</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payable on convertible loan</w:t>
            </w:r>
          </w:p>
        </w:tc>
        <w:tc>
          <w:tcPr>
            <w:tcW w:w="11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(179,765)</w:t>
            </w: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(103,115)</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(185,352)</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Interest payable on bank loan</w:t>
            </w:r>
          </w:p>
        </w:tc>
        <w:tc>
          <w:tcPr>
            <w:tcW w:w="12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(327,123)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(1,644,610)</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Accreted interest on bank loan</w:t>
            </w:r>
          </w:p>
        </w:tc>
        <w:tc>
          <w:tcPr>
            <w:tcW w:w="12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(66,935)</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(781,998)</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12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short-term deposits</w:t>
            </w:r>
          </w:p>
        </w:tc>
        <w:tc>
          <w:tcPr>
            <w:tcW w:w="12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(338,279)</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(21,903)</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Increase in provision for deferred cash consideration</w:t>
            </w:r>
          </w:p>
        </w:tc>
        <w:tc>
          <w:tcPr>
            <w:tcW w:w="12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60" w:type="dxa"/>
            <w:vAlign w:val="bottom"/>
            <w:gridSpan w:val="4"/>
          </w:tcPr>
          <w:p>
            <w:pPr>
              <w:ind w:left="6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(443,000)</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warrant fair value</w:t>
            </w:r>
          </w:p>
        </w:tc>
        <w:tc>
          <w:tcPr>
            <w:tcW w:w="8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(54,473)</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716,214</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Total finance charge</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8"/>
              </w:rPr>
              <w:t>(179,765)</w:t>
            </w:r>
          </w:p>
        </w:tc>
        <w:tc>
          <w:tcPr>
            <w:tcW w:w="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(1,089,925)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(2,360,648)</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8. Employee benefits expense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3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60" w:type="dxa"/>
            <w:vAlign w:val="bottom"/>
          </w:tcPr>
          <w:p>
            <w:pPr>
              <w:spacing w:after="0"/>
              <w:rPr>
                <w:sz w:val="13"/>
                <w:szCs w:val="13"/>
                <w:color w:val="auto"/>
              </w:rPr>
            </w:pPr>
          </w:p>
        </w:tc>
        <w:tc>
          <w:tcPr>
            <w:tcW w:w="880" w:type="dxa"/>
            <w:vAlign w:val="bottom"/>
            <w:tcBorders>
              <w:bottom w:val="single" w:sz="8" w:color="auto"/>
            </w:tcBorders>
          </w:tcPr>
          <w:p>
            <w:pPr>
              <w:jc w:val="center"/>
              <w:ind w:left="15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4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4"/>
          </w:tcPr>
          <w:p>
            <w:pPr>
              <w:jc w:val="center"/>
              <w:ind w:right="420"/>
              <w:spacing w:after="0" w:line="155" w:lineRule="exact"/>
              <w:rPr>
                <w:sz w:val="20"/>
                <w:szCs w:val="20"/>
                <w:color w:val="auto"/>
              </w:rPr>
            </w:pPr>
            <w:r>
              <w:rPr>
                <w:rFonts w:ascii="Arial" w:cs="Arial" w:eastAsia="Arial" w:hAnsi="Arial"/>
                <w:sz w:val="14"/>
                <w:szCs w:val="14"/>
                <w:b w:val="1"/>
                <w:bCs w:val="1"/>
                <w:color w:val="auto"/>
              </w:rPr>
              <w:t>(in £)</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Included in research and development expenses: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Salaries</w:t>
            </w:r>
          </w:p>
        </w:tc>
        <w:tc>
          <w:tcPr>
            <w:tcW w:w="12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1,150,222</w:t>
            </w: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1,640,373</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1,791,679</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Social security costs (See Note 19)</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344,467</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420,417</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(29,670)</w:t>
            </w: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Pension contributions</w:t>
            </w:r>
          </w:p>
        </w:tc>
        <w:tc>
          <w:tcPr>
            <w:tcW w:w="12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50,864</w:t>
            </w: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77,425</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73,401</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Share-based payment expense</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1,550,884</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822,173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525,972</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b w:val="1"/>
                <w:bCs w:val="1"/>
                <w:color w:val="auto"/>
              </w:rPr>
              <w:t>Included in administrative expenses: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Salaries</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2,132,920</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2,253,393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2,902,759</w:t>
            </w: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Social security costs</w:t>
            </w:r>
          </w:p>
        </w:tc>
        <w:tc>
          <w:tcPr>
            <w:tcW w:w="12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1,040,409</w:t>
            </w: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1,159,548</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(827,509)</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Pension contributions</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109,187</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96,598</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97,962</w:t>
            </w: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Share-based payment expense</w:t>
            </w:r>
          </w:p>
        </w:tc>
        <w:tc>
          <w:tcPr>
            <w:tcW w:w="12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4,943,133</w:t>
            </w: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2,829,725</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1,663,322</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employee benefits expense</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11,322,086</w:t>
            </w:r>
          </w:p>
        </w:tc>
        <w:tc>
          <w:tcPr>
            <w:tcW w:w="1260" w:type="dxa"/>
            <w:vAlign w:val="bottom"/>
            <w:tcBorders>
              <w:right w:val="single" w:sz="8" w:color="CCEEFF"/>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9,299,652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6,197,916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w:t>
      </w:r>
    </w:p>
    <w:p>
      <w:pPr>
        <w:spacing w:after="0" w:line="12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Group is entitled to claim tax credits in the U.K.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amount included in the financial statements represents the credit receivable by the Group for the year. The claims in respect of the year ended December 31, 2016 were received by the Group in May 2017. The claims in respect of the year ended December 31, 2017 were received by the Group in August 2018. In the year ended December 31, 2018 amounts have not yet been agreed with the relevant tax authorities.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780" w:type="dxa"/>
            <w:vAlign w:val="bottom"/>
            <w:tcBorders>
              <w:bottom w:val="single" w:sz="8" w:color="auto"/>
            </w:tcBorders>
            <w:gridSpan w:val="5"/>
          </w:tcPr>
          <w:p>
            <w:pPr>
              <w:jc w:val="center"/>
              <w:ind w:left="83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3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2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3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center"/>
              <w:ind w:right="400"/>
              <w:spacing w:after="0" w:line="155" w:lineRule="exact"/>
              <w:rPr>
                <w:sz w:val="20"/>
                <w:szCs w:val="20"/>
                <w:color w:val="auto"/>
              </w:rPr>
            </w:pPr>
            <w:r>
              <w:rPr>
                <w:rFonts w:ascii="Arial" w:cs="Arial" w:eastAsia="Arial" w:hAnsi="Arial"/>
                <w:sz w:val="14"/>
                <w:szCs w:val="14"/>
                <w:b w:val="1"/>
                <w:bCs w:val="1"/>
                <w:color w:val="auto"/>
              </w:rPr>
              <w:t>(in £)</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U.K. corporation tax R&amp;D credit</w:t>
            </w:r>
          </w:p>
        </w:tc>
        <w:tc>
          <w:tcPr>
            <w:tcW w:w="3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5,331,271</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8,152,084</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5,277,380</w:t>
            </w:r>
          </w:p>
        </w:tc>
      </w:tr>
      <w:tr>
        <w:trPr>
          <w:trHeight w:val="20"/>
        </w:trPr>
        <w:tc>
          <w:tcPr>
            <w:tcW w:w="3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Income tax credit</w:t>
            </w:r>
          </w:p>
        </w:tc>
        <w:tc>
          <w:tcPr>
            <w:tcW w:w="3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5,331,271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8,152,084</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5,277,380</w:t>
            </w:r>
          </w:p>
        </w:tc>
      </w:tr>
      <w:tr>
        <w:trPr>
          <w:trHeight w:val="20"/>
        </w:trPr>
        <w:tc>
          <w:tcPr>
            <w:tcW w:w="3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4640" w:type="dxa"/>
            <w:vAlign w:val="bottom"/>
            <w:gridSpan w:val="3"/>
          </w:tcPr>
          <w:p>
            <w:pPr>
              <w:jc w:val="right"/>
              <w:ind w:right="2880"/>
              <w:spacing w:after="0"/>
              <w:rPr>
                <w:sz w:val="20"/>
                <w:szCs w:val="20"/>
                <w:color w:val="auto"/>
              </w:rPr>
            </w:pPr>
            <w:r>
              <w:rPr>
                <w:rFonts w:ascii="Arial" w:cs="Arial" w:eastAsia="Arial" w:hAnsi="Arial"/>
                <w:sz w:val="18"/>
                <w:szCs w:val="18"/>
                <w:color w:val="auto"/>
              </w:rPr>
              <w:t>F-40</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charge for the year can be reconciled to the loss per the income statement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2980" w:type="dxa"/>
            <w:vAlign w:val="bottom"/>
            <w:tcBorders>
              <w:bottom w:val="single" w:sz="8" w:color="auto"/>
            </w:tcBorders>
            <w:gridSpan w:val="5"/>
          </w:tcPr>
          <w:p>
            <w:pPr>
              <w:jc w:val="center"/>
              <w:ind w:left="974"/>
              <w:spacing w:after="0"/>
              <w:rPr>
                <w:sz w:val="20"/>
                <w:szCs w:val="20"/>
                <w:color w:val="auto"/>
              </w:rPr>
            </w:pPr>
            <w:r>
              <w:rPr>
                <w:rFonts w:ascii="Arial" w:cs="Arial" w:eastAsia="Arial" w:hAnsi="Arial"/>
                <w:sz w:val="14"/>
                <w:szCs w:val="14"/>
                <w:b w:val="1"/>
                <w:bCs w:val="1"/>
                <w:color w:val="auto"/>
              </w:rPr>
              <w:t>Year-ended December 31,</w:t>
            </w:r>
          </w:p>
        </w:tc>
        <w:tc>
          <w:tcPr>
            <w:tcW w:w="10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6820" w:type="dxa"/>
            <w:vAlign w:val="bottom"/>
          </w:tcPr>
          <w:p>
            <w:pPr>
              <w:spacing w:after="0"/>
              <w:rPr>
                <w:sz w:val="13"/>
                <w:szCs w:val="13"/>
                <w:color w:val="auto"/>
              </w:rPr>
            </w:pPr>
          </w:p>
        </w:tc>
        <w:tc>
          <w:tcPr>
            <w:tcW w:w="11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r>
      <w:tr>
        <w:trPr>
          <w:trHeight w:val="155"/>
        </w:trPr>
        <w:tc>
          <w:tcPr>
            <w:tcW w:w="6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rPr>
              <w:t>(in £)</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ordinary activities before income tax</w:t>
            </w:r>
          </w:p>
        </w:tc>
        <w:tc>
          <w:tcPr>
            <w:tcW w:w="1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(33,721,551)</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(46,951,138)</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(37,306,120)</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Loss on ordinary activities before tax at the U.K.’s statutory income tax rate</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820" w:type="dxa"/>
            <w:vAlign w:val="bottom"/>
          </w:tcPr>
          <w:p>
            <w:pPr>
              <w:ind w:left="180"/>
              <w:spacing w:after="0" w:line="203" w:lineRule="exact"/>
              <w:rPr>
                <w:sz w:val="20"/>
                <w:szCs w:val="20"/>
                <w:color w:val="auto"/>
              </w:rPr>
            </w:pPr>
            <w:r>
              <w:rPr>
                <w:rFonts w:ascii="Arial" w:cs="Arial" w:eastAsia="Arial" w:hAnsi="Arial"/>
                <w:sz w:val="18"/>
                <w:szCs w:val="18"/>
                <w:color w:val="auto"/>
              </w:rPr>
              <w:t>of 19% (2017: 19.25%)</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6,744,310</w:t>
            </w:r>
          </w:p>
        </w:tc>
        <w:tc>
          <w:tcPr>
            <w:tcW w:w="260" w:type="dxa"/>
            <w:vAlign w:val="bottom"/>
          </w:tcPr>
          <w:p>
            <w:pPr>
              <w:spacing w:after="0"/>
              <w:rPr>
                <w:sz w:val="17"/>
                <w:szCs w:val="17"/>
                <w:color w:val="auto"/>
              </w:rPr>
            </w:pPr>
          </w:p>
        </w:tc>
        <w:tc>
          <w:tcPr>
            <w:tcW w:w="14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9,038,094</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7,088,163</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 not deductible for tax purposes (permanent differences)</w:t>
            </w:r>
          </w:p>
        </w:tc>
        <w:tc>
          <w:tcPr>
            <w:tcW w:w="1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(15,116)</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(14,316)</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(1,069,606)</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Temporary timing differences</w:t>
            </w: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(1,300,044)</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(711,677)</w:t>
            </w:r>
          </w:p>
        </w:tc>
        <w:tc>
          <w:tcPr>
            <w:tcW w:w="1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(276,881)</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relief uplift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2,134,107</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3,447,474</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2,270,777</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Losses (unrecognized)</w:t>
            </w: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(2,231,986)</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(3,784,801)</w:t>
            </w:r>
          </w:p>
        </w:tc>
        <w:tc>
          <w:tcPr>
            <w:tcW w:w="1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(2,803,796)</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from MBG loan guarantee costs</w:t>
            </w:r>
          </w:p>
        </w:tc>
        <w:tc>
          <w:tcPr>
            <w:tcW w:w="11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177,310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68,723</w:t>
            </w:r>
          </w:p>
        </w:tc>
      </w:tr>
      <w:tr>
        <w:trPr>
          <w:trHeight w:val="20"/>
        </w:trPr>
        <w:tc>
          <w:tcPr>
            <w:tcW w:w="6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Tax credit for the year</w:t>
            </w:r>
          </w:p>
        </w:tc>
        <w:tc>
          <w:tcPr>
            <w:tcW w:w="1160" w:type="dxa"/>
            <w:vAlign w:val="bottom"/>
          </w:tcPr>
          <w:p>
            <w:pPr>
              <w:jc w:val="right"/>
              <w:spacing w:after="0"/>
              <w:rPr>
                <w:sz w:val="20"/>
                <w:szCs w:val="20"/>
                <w:color w:val="auto"/>
              </w:rPr>
            </w:pPr>
            <w:r>
              <w:rPr>
                <w:rFonts w:ascii="Arial" w:cs="Arial" w:eastAsia="Arial" w:hAnsi="Arial"/>
                <w:sz w:val="18"/>
                <w:szCs w:val="18"/>
                <w:color w:val="auto"/>
              </w:rPr>
              <w:t>5,331,271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8,152,084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5,277,380</w:t>
            </w:r>
          </w:p>
        </w:tc>
      </w:tr>
      <w:tr>
        <w:trPr>
          <w:trHeight w:val="20"/>
        </w:trPr>
        <w:tc>
          <w:tcPr>
            <w:tcW w:w="6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2018 the Group had tax losses to be carried forward of approximately £50,611,184 (2017: £36,010,916).</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tax relates to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7020" w:type="dxa"/>
            <w:vAlign w:val="bottom"/>
          </w:tcPr>
          <w:p>
            <w:pPr>
              <w:spacing w:after="0"/>
              <w:rPr>
                <w:sz w:val="13"/>
                <w:szCs w:val="13"/>
                <w:color w:val="auto"/>
              </w:rPr>
            </w:pPr>
          </w:p>
        </w:tc>
        <w:tc>
          <w:tcPr>
            <w:tcW w:w="102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7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rPr>
              <w:t>(in £)</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Losses</w:t>
            </w:r>
          </w:p>
        </w:tc>
        <w:tc>
          <w:tcPr>
            <w:tcW w:w="14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2,778,396</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6,121,400</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8,603,902</w:t>
            </w: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Fixed assets</w:t>
            </w:r>
          </w:p>
        </w:tc>
        <w:tc>
          <w:tcPr>
            <w:tcW w:w="14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(9,883)</w:t>
            </w:r>
          </w:p>
        </w:tc>
        <w:tc>
          <w:tcPr>
            <w:tcW w:w="140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3,011</w:t>
            </w: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2,210</w:t>
            </w:r>
          </w:p>
        </w:tc>
        <w:tc>
          <w:tcPr>
            <w:tcW w:w="140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2,888</w:t>
            </w: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Temporary differences trading</w:t>
            </w: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2,266,798</w:t>
            </w:r>
          </w:p>
        </w:tc>
        <w:tc>
          <w:tcPr>
            <w:tcW w:w="38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494,779</w:t>
            </w:r>
          </w:p>
        </w:tc>
      </w:tr>
      <w:tr>
        <w:trPr>
          <w:trHeight w:val="27"/>
        </w:trPr>
        <w:tc>
          <w:tcPr>
            <w:tcW w:w="70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w:t>
            </w:r>
          </w:p>
        </w:tc>
        <w:tc>
          <w:tcPr>
            <w:tcW w:w="14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2,770,723</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8,388,198</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9,104,580</w:t>
            </w:r>
          </w:p>
        </w:tc>
      </w:tr>
      <w:tr>
        <w:trPr>
          <w:trHeight w:val="20"/>
        </w:trPr>
        <w:tc>
          <w:tcPr>
            <w:tcW w:w="7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The deferred tax asset has not been recognized as there is uncertainty regarding when suitable future profits against which to offset the accumulated tax losses will arise. There is no expiration date for the accumulated tax losses.</w:t>
      </w:r>
    </w:p>
    <w:p>
      <w:pPr>
        <w:spacing w:after="0" w:line="197" w:lineRule="exact"/>
        <w:rPr>
          <w:sz w:val="20"/>
          <w:szCs w:val="20"/>
          <w:color w:val="auto"/>
        </w:rPr>
      </w:pPr>
    </w:p>
    <w:p>
      <w:pPr>
        <w:jc w:val="both"/>
        <w:ind w:left="120" w:right="600" w:firstLine="440"/>
        <w:spacing w:after="0"/>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 The standard rate of corporation tax applied to reported loss is 19% (2017: 19.25%) and any U.K. deferred tax assets and liabilities would be recognized at a rate of 17%.</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Loss per share</w:t>
      </w:r>
    </w:p>
    <w:p>
      <w:pPr>
        <w:spacing w:after="0" w:line="12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25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25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399"/>
              <w:spacing w:after="0" w:line="129"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6"/>
              <w:spacing w:after="0" w:line="129"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7"/>
        </w:trPr>
        <w:tc>
          <w:tcPr>
            <w:tcW w:w="2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Weighted</w:t>
            </w:r>
          </w:p>
        </w:tc>
        <w:tc>
          <w:tcPr>
            <w:tcW w:w="5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Loss per</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Weighted</w:t>
            </w:r>
          </w:p>
        </w:tc>
        <w:tc>
          <w:tcPr>
            <w:tcW w:w="5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Loss per</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Weighted</w:t>
            </w:r>
          </w:p>
        </w:tc>
        <w:tc>
          <w:tcPr>
            <w:tcW w:w="6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Loss per</w:t>
            </w:r>
          </w:p>
        </w:tc>
        <w:tc>
          <w:tcPr>
            <w:tcW w:w="120" w:type="dxa"/>
            <w:vAlign w:val="bottom"/>
          </w:tcPr>
          <w:p>
            <w:pPr>
              <w:spacing w:after="0"/>
              <w:rPr>
                <w:sz w:val="9"/>
                <w:szCs w:val="9"/>
                <w:color w:val="auto"/>
              </w:rPr>
            </w:pPr>
          </w:p>
        </w:tc>
      </w:tr>
      <w:tr>
        <w:trPr>
          <w:trHeight w:val="135"/>
        </w:trPr>
        <w:tc>
          <w:tcPr>
            <w:tcW w:w="25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Loss</w:t>
            </w: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rPr>
              <w:t>shares</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share</w:t>
            </w: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Loss</w:t>
            </w:r>
          </w:p>
        </w:tc>
        <w:tc>
          <w:tcPr>
            <w:tcW w:w="140" w:type="dxa"/>
            <w:vAlign w:val="bottom"/>
          </w:tcPr>
          <w:p>
            <w:pPr>
              <w:spacing w:after="0"/>
              <w:rPr>
                <w:sz w:val="11"/>
                <w:szCs w:val="11"/>
                <w:color w:val="auto"/>
              </w:rPr>
            </w:pPr>
          </w:p>
        </w:tc>
        <w:tc>
          <w:tcPr>
            <w:tcW w:w="9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shares</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share</w:t>
            </w: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8"/>
              </w:rPr>
              <w:t>Loss</w:t>
            </w:r>
          </w:p>
        </w:tc>
        <w:tc>
          <w:tcPr>
            <w:tcW w:w="10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share</w:t>
            </w:r>
          </w:p>
        </w:tc>
      </w:tr>
      <w:tr>
        <w:trPr>
          <w:trHeight w:val="157"/>
        </w:trPr>
        <w:tc>
          <w:tcPr>
            <w:tcW w:w="25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number</w:t>
            </w:r>
          </w:p>
        </w:tc>
        <w:tc>
          <w:tcPr>
            <w:tcW w:w="1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number</w:t>
            </w:r>
          </w:p>
        </w:tc>
        <w:tc>
          <w:tcPr>
            <w:tcW w:w="1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number</w:t>
            </w:r>
          </w:p>
        </w:tc>
        <w:tc>
          <w:tcPr>
            <w:tcW w:w="1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3"/>
                <w:szCs w:val="13"/>
                <w:color w:val="auto"/>
              </w:rPr>
            </w:pPr>
          </w:p>
        </w:tc>
      </w:tr>
      <w:tr>
        <w:trPr>
          <w:trHeight w:val="155"/>
        </w:trPr>
        <w:tc>
          <w:tcPr>
            <w:tcW w:w="25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Basic and diluted</w:t>
            </w:r>
          </w:p>
        </w:tc>
        <w:tc>
          <w:tcPr>
            <w:tcW w:w="10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(28,390,280)</w:t>
            </w:r>
          </w:p>
        </w:tc>
        <w:tc>
          <w:tcPr>
            <w:tcW w:w="980" w:type="dxa"/>
            <w:vAlign w:val="bottom"/>
            <w:gridSpan w:val="2"/>
            <w:shd w:val="clear" w:color="auto" w:fill="CCEEFF"/>
          </w:tcPr>
          <w:p>
            <w:pPr>
              <w:ind w:left="100"/>
              <w:spacing w:after="0" w:line="155" w:lineRule="exact"/>
              <w:rPr>
                <w:sz w:val="20"/>
                <w:szCs w:val="20"/>
                <w:color w:val="auto"/>
              </w:rPr>
            </w:pPr>
            <w:r>
              <w:rPr>
                <w:rFonts w:ascii="Arial" w:cs="Arial" w:eastAsia="Arial" w:hAnsi="Arial"/>
                <w:sz w:val="14"/>
                <w:szCs w:val="14"/>
                <w:color w:val="auto"/>
              </w:rPr>
              <w:t>44,789,893</w:t>
            </w:r>
          </w:p>
        </w:tc>
        <w:tc>
          <w:tcPr>
            <w:tcW w:w="7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(0.63)</w:t>
            </w:r>
          </w:p>
        </w:tc>
        <w:tc>
          <w:tcPr>
            <w:tcW w:w="9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(38,799,054)</w:t>
            </w:r>
          </w:p>
        </w:tc>
        <w:tc>
          <w:tcPr>
            <w:tcW w:w="1120" w:type="dxa"/>
            <w:vAlign w:val="bottom"/>
            <w:gridSpan w:val="3"/>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69,012,348</w:t>
            </w: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(0.56)</w:t>
            </w:r>
          </w:p>
        </w:tc>
        <w:tc>
          <w:tcPr>
            <w:tcW w:w="11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(32,028,740)</w:t>
            </w:r>
          </w:p>
        </w:tc>
        <w:tc>
          <w:tcPr>
            <w:tcW w:w="10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71,144,786</w:t>
            </w:r>
          </w:p>
        </w:tc>
        <w:tc>
          <w:tcPr>
            <w:tcW w:w="720" w:type="dxa"/>
            <w:vAlign w:val="bottom"/>
            <w:gridSpan w:val="2"/>
            <w:shd w:val="clear" w:color="auto" w:fill="CCEEFF"/>
          </w:tcPr>
          <w:p>
            <w:pPr>
              <w:ind w:left="260"/>
              <w:spacing w:after="0" w:line="155" w:lineRule="exact"/>
              <w:rPr>
                <w:sz w:val="20"/>
                <w:szCs w:val="20"/>
                <w:color w:val="auto"/>
              </w:rPr>
            </w:pPr>
            <w:r>
              <w:rPr>
                <w:rFonts w:ascii="Arial" w:cs="Arial" w:eastAsia="Arial" w:hAnsi="Arial"/>
                <w:sz w:val="14"/>
                <w:szCs w:val="14"/>
                <w:color w:val="auto"/>
              </w:rPr>
              <w:t>(0.45)</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operates share option schemes (see Note 25) which could potentially dilute basic earnings per share in the future. In addition, there exist within equity 864,988 (2017: 864,988) shares to be issued which also have the potential to dilute basic earnings per share in the future (see Note 17).</w:t>
      </w:r>
    </w:p>
    <w:p>
      <w:pPr>
        <w:spacing w:after="0" w:line="203"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As part of a license and option agreement with AstraZeneca (see Note 26), additional future payments of a maximum of 1,349,692 new ordinary shares would be payable on reaching certain clinical milestones.</w:t>
      </w:r>
    </w:p>
    <w:p>
      <w:pPr>
        <w:spacing w:after="0" w:line="197"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Warrants totalling 41,286 were issued in 2018 that could potentially dilute basic earnings per share if converted. Warrants totalling 696,490 were issued in 2017 that could potentially dilute basic earnings per share if converted.</w:t>
      </w:r>
    </w:p>
    <w:p>
      <w:pPr>
        <w:spacing w:after="0" w:line="197"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For transactions involving ordinary shares or potential ordinary shares between the reporting date and the date of authorization of these financial statements, see Note 29.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Property, plant and equipment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Leasehold</w:t>
            </w: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Office</w:t>
            </w: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improvements</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equipment</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equipment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(in £)</w:t>
            </w:r>
          </w:p>
        </w:tc>
        <w:tc>
          <w:tcPr>
            <w:tcW w:w="7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 or valuation</w:t>
            </w:r>
          </w:p>
        </w:tc>
        <w:tc>
          <w:tcPr>
            <w:tcW w:w="2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39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155,494</w:t>
            </w: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20,024</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40,360</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215,878</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3,467</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250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(1,175)</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155,494</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20,024</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42,652</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218,170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impairment</w:t>
            </w:r>
          </w:p>
        </w:tc>
        <w:tc>
          <w:tcPr>
            <w:tcW w:w="2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39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(5,625)</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(1,335)</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(4,401)</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(11,361)</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2500" w:type="dxa"/>
            <w:vAlign w:val="bottom"/>
          </w:tcPr>
          <w:p>
            <w:pPr>
              <w:spacing w:after="0"/>
              <w:rPr>
                <w:sz w:val="17"/>
                <w:szCs w:val="17"/>
                <w:color w:val="auto"/>
              </w:rPr>
            </w:pPr>
          </w:p>
        </w:tc>
        <w:tc>
          <w:tcPr>
            <w:tcW w:w="14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457</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for the year</w:t>
            </w:r>
          </w:p>
        </w:tc>
        <w:tc>
          <w:tcPr>
            <w:tcW w:w="39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(15,549)</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(4,005)</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(13,843)</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(33,397)</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25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(21,174)</w:t>
            </w:r>
          </w:p>
        </w:tc>
        <w:tc>
          <w:tcPr>
            <w:tcW w:w="4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(5,340)</w:t>
            </w: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(17,787)</w:t>
            </w:r>
          </w:p>
        </w:tc>
        <w:tc>
          <w:tcPr>
            <w:tcW w:w="4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2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2500" w:type="dxa"/>
            <w:vAlign w:val="bottom"/>
          </w:tcPr>
          <w:p>
            <w:pPr>
              <w:spacing w:after="0"/>
              <w:rPr>
                <w:sz w:val="17"/>
                <w:szCs w:val="17"/>
                <w:color w:val="auto"/>
              </w:rPr>
            </w:pP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149,869</w:t>
            </w: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18,689</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35,959</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204,517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134,320</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14,684</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24,865</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173,869</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Cost or valuation</w:t>
            </w:r>
          </w:p>
        </w:tc>
        <w:tc>
          <w:tcPr>
            <w:tcW w:w="2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39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155,494</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20,024</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42,652</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218,170</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2500" w:type="dxa"/>
            <w:vAlign w:val="bottom"/>
          </w:tcPr>
          <w:p>
            <w:pPr>
              <w:spacing w:after="0"/>
              <w:rPr>
                <w:sz w:val="17"/>
                <w:szCs w:val="17"/>
                <w:color w:val="auto"/>
              </w:rPr>
            </w:pPr>
          </w:p>
        </w:tc>
        <w:tc>
          <w:tcPr>
            <w:tcW w:w="14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10,107</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5,461</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15,568</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25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155,494</w:t>
            </w:r>
          </w:p>
        </w:tc>
        <w:tc>
          <w:tcPr>
            <w:tcW w:w="4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30,131</w:t>
            </w: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48,113</w:t>
            </w:r>
          </w:p>
        </w:tc>
        <w:tc>
          <w:tcPr>
            <w:tcW w:w="4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impairment</w:t>
            </w:r>
          </w:p>
        </w:tc>
        <w:tc>
          <w:tcPr>
            <w:tcW w:w="2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2017</w:t>
            </w:r>
          </w:p>
        </w:tc>
        <w:tc>
          <w:tcPr>
            <w:tcW w:w="3920" w:type="dxa"/>
            <w:vAlign w:val="bottom"/>
            <w:gridSpan w:val="3"/>
          </w:tcPr>
          <w:p>
            <w:pPr>
              <w:jc w:val="right"/>
              <w:ind w:right="380"/>
              <w:spacing w:after="0" w:line="202" w:lineRule="exact"/>
              <w:rPr>
                <w:sz w:val="20"/>
                <w:szCs w:val="20"/>
                <w:color w:val="auto"/>
              </w:rPr>
            </w:pPr>
            <w:r>
              <w:rPr>
                <w:rFonts w:ascii="Arial" w:cs="Arial" w:eastAsia="Arial" w:hAnsi="Arial"/>
                <w:sz w:val="18"/>
                <w:szCs w:val="18"/>
                <w:b w:val="1"/>
                <w:bCs w:val="1"/>
                <w:color w:val="auto"/>
              </w:rPr>
              <w:t>(21,174)</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(5,340)</w:t>
            </w: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(17,787)</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(44,301)</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Depreciation for the year</w:t>
            </w:r>
          </w:p>
        </w:tc>
        <w:tc>
          <w:tcPr>
            <w:tcW w:w="250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(15,549)</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(5,386)</w:t>
            </w: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(15,141)</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(36,076)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(36,723)</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(10,726)</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(32,928)</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(80,377)</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2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2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134,320</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14,684</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24,865</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173,869</w:t>
            </w:r>
          </w:p>
        </w:tc>
        <w:tc>
          <w:tcPr>
            <w:tcW w:w="0" w:type="dxa"/>
            <w:vAlign w:val="bottom"/>
          </w:tcPr>
          <w:p>
            <w:pPr>
              <w:spacing w:after="0"/>
              <w:rPr>
                <w:sz w:val="1"/>
                <w:szCs w:val="1"/>
                <w:color w:val="auto"/>
              </w:rPr>
            </w:pPr>
          </w:p>
        </w:tc>
      </w:tr>
      <w:tr>
        <w:trPr>
          <w:trHeight w:val="372"/>
        </w:trPr>
        <w:tc>
          <w:tcPr>
            <w:tcW w:w="390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Arial" w:cs="Arial" w:eastAsia="Arial" w:hAnsi="Arial"/>
                <w:sz w:val="18"/>
                <w:szCs w:val="18"/>
                <w:color w:val="auto"/>
              </w:rPr>
              <w:t>F-42</w:t>
            </w: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Leasehold</w:t>
            </w: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Office</w:t>
            </w: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IT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improvements</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equipment</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equipment</w:t>
            </w:r>
          </w:p>
        </w:tc>
        <w:tc>
          <w:tcPr>
            <w:tcW w:w="3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(in £)</w:t>
            </w: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32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118,771</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19,405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15,185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153,361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Cost or valuation</w:t>
            </w:r>
          </w:p>
        </w:tc>
        <w:tc>
          <w:tcPr>
            <w:tcW w:w="1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2018</w:t>
            </w:r>
          </w:p>
        </w:tc>
        <w:tc>
          <w:tcPr>
            <w:tcW w:w="32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155,494</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30,131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48,113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233,738</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32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9,119</w:t>
            </w: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1,270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25,147</w:t>
            </w:r>
          </w:p>
        </w:tc>
        <w:tc>
          <w:tcPr>
            <w:tcW w:w="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(2,167)</w:t>
            </w:r>
          </w:p>
        </w:tc>
        <w:tc>
          <w:tcPr>
            <w:tcW w:w="11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18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164,613</w:t>
            </w:r>
          </w:p>
        </w:tc>
        <w:tc>
          <w:tcPr>
            <w:tcW w:w="4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31,401</w:t>
            </w: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impairment</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2018</w:t>
            </w:r>
          </w:p>
        </w:tc>
        <w:tc>
          <w:tcPr>
            <w:tcW w:w="3220" w:type="dxa"/>
            <w:vAlign w:val="bottom"/>
            <w:gridSpan w:val="3"/>
          </w:tcPr>
          <w:p>
            <w:pPr>
              <w:jc w:val="right"/>
              <w:ind w:right="380"/>
              <w:spacing w:after="0" w:line="202" w:lineRule="exact"/>
              <w:rPr>
                <w:sz w:val="20"/>
                <w:szCs w:val="20"/>
                <w:color w:val="auto"/>
              </w:rPr>
            </w:pPr>
            <w:r>
              <w:rPr>
                <w:rFonts w:ascii="Arial" w:cs="Arial" w:eastAsia="Arial" w:hAnsi="Arial"/>
                <w:sz w:val="18"/>
                <w:szCs w:val="18"/>
                <w:b w:val="1"/>
                <w:bCs w:val="1"/>
                <w:color w:val="auto"/>
              </w:rPr>
              <w:t>(36,723)</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(10,726)</w:t>
            </w:r>
          </w:p>
        </w:tc>
        <w:tc>
          <w:tcPr>
            <w:tcW w:w="86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(32,928)</w:t>
            </w:r>
          </w:p>
        </w:tc>
        <w:tc>
          <w:tcPr>
            <w:tcW w:w="11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(80,377)</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1,685</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Depreciation for the year</w:t>
            </w:r>
          </w:p>
        </w:tc>
        <w:tc>
          <w:tcPr>
            <w:tcW w:w="1800" w:type="dxa"/>
            <w:vAlign w:val="bottom"/>
          </w:tcPr>
          <w:p>
            <w:pPr>
              <w:spacing w:after="0"/>
              <w:rPr>
                <w:sz w:val="17"/>
                <w:szCs w:val="17"/>
                <w:color w:val="auto"/>
              </w:rPr>
            </w:pPr>
          </w:p>
        </w:tc>
        <w:tc>
          <w:tcPr>
            <w:tcW w:w="14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(15,909)</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(6,238)</w:t>
            </w:r>
          </w:p>
        </w:tc>
        <w:tc>
          <w:tcPr>
            <w:tcW w:w="8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(17,334)</w:t>
            </w:r>
          </w:p>
        </w:tc>
        <w:tc>
          <w:tcPr>
            <w:tcW w:w="11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(39,481)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2018</w:t>
            </w:r>
          </w:p>
        </w:tc>
        <w:tc>
          <w:tcPr>
            <w:tcW w:w="18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52,632</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16,964</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48,577</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118,173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1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2018</w:t>
            </w:r>
          </w:p>
        </w:tc>
        <w:tc>
          <w:tcPr>
            <w:tcW w:w="32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118,771</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19,405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15,185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153,361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18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111,981</w:t>
            </w:r>
          </w:p>
        </w:tc>
        <w:tc>
          <w:tcPr>
            <w:tcW w:w="4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14,437</w:t>
            </w: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148,934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12. Intangible assets</w:t>
            </w: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0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253"/>
              <w:spacing w:after="0" w:line="155" w:lineRule="exact"/>
              <w:rPr>
                <w:sz w:val="20"/>
                <w:szCs w:val="20"/>
                <w:color w:val="auto"/>
              </w:rPr>
            </w:pPr>
            <w:r>
              <w:rPr>
                <w:rFonts w:ascii="Arial" w:cs="Arial" w:eastAsia="Arial" w:hAnsi="Arial"/>
                <w:sz w:val="14"/>
                <w:szCs w:val="14"/>
                <w:b w:val="1"/>
                <w:bCs w:val="1"/>
                <w:color w:val="auto"/>
              </w:rPr>
              <w:t>(in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at January 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9"/>
        </w:trPr>
        <w:tc>
          <w:tcPr>
            <w:tcW w:w="4600" w:type="dxa"/>
            <w:vAlign w:val="bottom"/>
          </w:tcPr>
          <w:p>
            <w:pPr>
              <w:spacing w:after="0" w:line="202" w:lineRule="exact"/>
              <w:rPr>
                <w:sz w:val="20"/>
                <w:szCs w:val="20"/>
                <w:color w:val="auto"/>
              </w:rPr>
            </w:pPr>
            <w:r>
              <w:rPr>
                <w:rFonts w:ascii="Arial" w:cs="Arial" w:eastAsia="Arial" w:hAnsi="Arial"/>
                <w:sz w:val="18"/>
                <w:szCs w:val="18"/>
                <w:b w:val="1"/>
                <w:bCs w:val="1"/>
                <w:color w:val="auto"/>
              </w:rPr>
              <w:t>Additions</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Amortization and impairment</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Pr>
          <w:p>
            <w:pPr>
              <w:spacing w:after="0" w:line="202" w:lineRule="exact"/>
              <w:rPr>
                <w:sz w:val="20"/>
                <w:szCs w:val="20"/>
                <w:color w:val="auto"/>
              </w:rPr>
            </w:pPr>
            <w:r>
              <w:rPr>
                <w:rFonts w:ascii="Arial" w:cs="Arial" w:eastAsia="Arial" w:hAnsi="Arial"/>
                <w:sz w:val="18"/>
                <w:szCs w:val="18"/>
                <w:color w:val="auto"/>
              </w:rPr>
              <w:t>Impairment (Note 13)</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2016</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at January 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b w:val="1"/>
                <w:bCs w:val="1"/>
                <w:color w:val="auto"/>
              </w:rPr>
              <w:t>Additions</w:t>
            </w: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7,192,288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33,005,229</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Amortization and impairment</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Pr>
          <w:p>
            <w:pPr>
              <w:spacing w:after="0" w:line="202" w:lineRule="exact"/>
              <w:rPr>
                <w:sz w:val="20"/>
                <w:szCs w:val="20"/>
                <w:color w:val="auto"/>
              </w:rPr>
            </w:pPr>
            <w:r>
              <w:rPr>
                <w:rFonts w:ascii="Arial" w:cs="Arial" w:eastAsia="Arial" w:hAnsi="Arial"/>
                <w:sz w:val="18"/>
                <w:szCs w:val="18"/>
                <w:color w:val="auto"/>
              </w:rPr>
              <w:t>Impairment (Note 13)</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25,812,941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33,005,229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at January 1, 2018 and December 31, 2018</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33,005,229</w:t>
            </w:r>
          </w:p>
        </w:tc>
        <w:tc>
          <w:tcPr>
            <w:tcW w:w="0" w:type="dxa"/>
            <w:vAlign w:val="bottom"/>
          </w:tcPr>
          <w:p>
            <w:pPr>
              <w:spacing w:after="0"/>
              <w:rPr>
                <w:sz w:val="1"/>
                <w:szCs w:val="1"/>
                <w:color w:val="auto"/>
              </w:rPr>
            </w:pPr>
          </w:p>
        </w:tc>
      </w:tr>
      <w:tr>
        <w:trPr>
          <w:trHeight w:val="365"/>
        </w:trPr>
        <w:tc>
          <w:tcPr>
            <w:tcW w:w="4600" w:type="dxa"/>
            <w:vAlign w:val="bottom"/>
          </w:tcPr>
          <w:p>
            <w:pPr>
              <w:spacing w:after="0"/>
              <w:rPr>
                <w:sz w:val="24"/>
                <w:szCs w:val="24"/>
                <w:color w:val="auto"/>
              </w:rPr>
            </w:pPr>
          </w:p>
        </w:tc>
        <w:tc>
          <w:tcPr>
            <w:tcW w:w="3220" w:type="dxa"/>
            <w:vAlign w:val="bottom"/>
            <w:gridSpan w:val="3"/>
          </w:tcPr>
          <w:p>
            <w:pPr>
              <w:jc w:val="right"/>
              <w:ind w:right="2140"/>
              <w:spacing w:after="0"/>
              <w:rPr>
                <w:sz w:val="20"/>
                <w:szCs w:val="20"/>
                <w:color w:val="auto"/>
              </w:rPr>
            </w:pPr>
            <w:r>
              <w:rPr>
                <w:rFonts w:ascii="Arial" w:cs="Arial" w:eastAsia="Arial" w:hAnsi="Arial"/>
                <w:sz w:val="18"/>
                <w:szCs w:val="18"/>
                <w:color w:val="auto"/>
              </w:rPr>
              <w:t>F-43</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7" w:name="page328"/>
    <w:bookmarkEnd w:id="3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Amortization and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289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January 1, 2018</w:t>
      </w:r>
    </w:p>
    <w:p>
      <w:pPr>
        <w:ind w:left="120"/>
        <w:spacing w:after="0"/>
        <w:rPr>
          <w:sz w:val="20"/>
          <w:szCs w:val="20"/>
          <w:color w:val="auto"/>
        </w:rPr>
      </w:pPr>
      <w:r>
        <w:rPr>
          <w:rFonts w:ascii="Arial" w:cs="Arial" w:eastAsia="Arial" w:hAnsi="Arial"/>
          <w:sz w:val="18"/>
          <w:szCs w:val="18"/>
          <w:color w:val="auto"/>
        </w:rPr>
        <w:t>Revision to estimated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At December 31, 2018</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At January 1, 2018</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289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Acquired</w:t>
      </w:r>
    </w:p>
    <w:p>
      <w:pPr>
        <w:spacing w:after="0" w:line="19"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Development</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auto"/>
        </w:rPr>
        <w:t>(in £)</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jc w:val="right"/>
        <w:ind w:right="100"/>
        <w:spacing w:after="0"/>
        <w:rPr>
          <w:sz w:val="20"/>
          <w:szCs w:val="20"/>
          <w:color w:val="auto"/>
        </w:rPr>
      </w:pPr>
      <w:r>
        <w:rPr>
          <w:rFonts w:ascii="Arial" w:cs="Arial" w:eastAsia="Arial" w:hAnsi="Arial"/>
          <w:sz w:val="18"/>
          <w:szCs w:val="18"/>
          <w:color w:val="auto"/>
        </w:rPr>
        <w:t>(373,000)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14605</wp:posOffset>
            </wp:positionV>
            <wp:extent cx="6858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33,005,229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32,632,229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-1905</wp:posOffset>
            </wp:positionV>
            <wp:extent cx="6858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14605</wp:posOffset>
            </wp:positionV>
            <wp:extent cx="6858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80" w:space="720"/>
            <w:col w:w="1140"/>
          </w:cols>
          <w:pgMar w:left="320" w:top="459" w:right="439" w:bottom="1440" w:gutter="0" w:footer="0" w:header="0"/>
          <w:type w:val="continuous"/>
        </w:sectPr>
      </w:pPr>
    </w:p>
    <w:p>
      <w:pPr>
        <w:spacing w:after="0" w:line="6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Group’s strategy is to acquire clinical-stage development programs for the treatment of non-rare and rare diseases from large pharmaceutical companies.</w:t>
      </w:r>
    </w:p>
    <w:p>
      <w:pPr>
        <w:spacing w:after="0" w:line="197"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On October 28, 2017, the Group acquired the exclusive license for MPH-966 and included the option to acquire certain assets from AstraZeneca AB (“AstraZeneca”). MPH-966 is being developed for the treatment of severe alpha-1 antitrypsin deficiency, at a cost of £7,192,288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tcPr>
          <w:p>
            <w:pPr>
              <w:spacing w:after="0"/>
              <w:rPr>
                <w:sz w:val="15"/>
                <w:szCs w:val="15"/>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6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8680" w:type="dxa"/>
            <w:vAlign w:val="bottom"/>
          </w:tcPr>
          <w:p>
            <w:pPr>
              <w:spacing w:after="0"/>
              <w:rPr>
                <w:sz w:val="13"/>
                <w:szCs w:val="13"/>
                <w:color w:val="auto"/>
              </w:rPr>
            </w:pPr>
          </w:p>
        </w:tc>
        <w:tc>
          <w:tcPr>
            <w:tcW w:w="1380" w:type="dxa"/>
            <w:vAlign w:val="bottom"/>
            <w:gridSpan w:val="3"/>
          </w:tcPr>
          <w:p>
            <w:pPr>
              <w:jc w:val="center"/>
              <w:ind w:left="797"/>
              <w:spacing w:after="0" w:line="155" w:lineRule="exact"/>
              <w:rPr>
                <w:sz w:val="20"/>
                <w:szCs w:val="20"/>
                <w:color w:val="auto"/>
              </w:rPr>
            </w:pPr>
            <w:r>
              <w:rPr>
                <w:rFonts w:ascii="Arial" w:cs="Arial" w:eastAsia="Arial" w:hAnsi="Arial"/>
                <w:sz w:val="14"/>
                <w:szCs w:val="14"/>
                <w:b w:val="1"/>
                <w:bCs w:val="1"/>
                <w:color w:val="auto"/>
              </w:rPr>
              <w:t>(in £)</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payment in October 2017</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2,280,000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2,280,000</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Equity issued (see Note 17)</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1,520,000</w:t>
            </w:r>
          </w:p>
        </w:tc>
        <w:tc>
          <w:tcPr>
            <w:tcW w:w="18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1,520,000</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equity consideration (see Note 25)</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1,331,288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1,331,288</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 (see Note 19)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2,061,000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1,688,000</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7,192,288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6,819,288</w:t>
            </w: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present value of the provision for deferred cash consideration was reviewed at December 31, 2018 (see Note 19). The decrease in present value due to changes in timelines and probability of contractual milestones being achieved was £373,000 and is recognized in the intangible asset in line with our accounting policies.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Impairment testing of acquired development programs not yet available for use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Acquired development programs not yet available for use are assessed annually for impairment.</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carrying amount of acquired development programs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As at December 31, 2017</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8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4"/>
              <w:spacing w:after="0" w:line="155" w:lineRule="exact"/>
              <w:rPr>
                <w:sz w:val="20"/>
                <w:szCs w:val="20"/>
                <w:color w:val="auto"/>
              </w:rPr>
            </w:pPr>
            <w:r>
              <w:rPr>
                <w:rFonts w:ascii="Arial" w:cs="Arial" w:eastAsia="Arial" w:hAnsi="Arial"/>
                <w:sz w:val="14"/>
                <w:szCs w:val="14"/>
                <w:b w:val="1"/>
                <w:bCs w:val="1"/>
                <w:color w:val="auto"/>
              </w:rPr>
              <w:t>(in £)</w:t>
            </w: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2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rPr>
              <w:t>BPS-804</w:t>
            </w:r>
          </w:p>
        </w:tc>
        <w:tc>
          <w:tcPr>
            <w:tcW w:w="116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MPH-966</w:t>
            </w:r>
          </w:p>
        </w:tc>
        <w:tc>
          <w:tcPr>
            <w:tcW w:w="11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BGS-649</w:t>
            </w:r>
          </w:p>
        </w:tc>
        <w:tc>
          <w:tcPr>
            <w:tcW w:w="13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8"/>
              </w:rPr>
              <w:t>BCT-197</w:t>
            </w:r>
          </w:p>
        </w:tc>
        <w:tc>
          <w:tcPr>
            <w:tcW w:w="1180" w:type="dxa"/>
            <w:vAlign w:val="bottom"/>
          </w:tcPr>
          <w:p>
            <w:pPr>
              <w:ind w:left="440"/>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r>
      <w:tr>
        <w:trPr>
          <w:trHeight w:val="156"/>
        </w:trPr>
        <w:tc>
          <w:tcPr>
            <w:tcW w:w="48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(setrusumab)</w:t>
            </w:r>
          </w:p>
        </w:tc>
        <w:tc>
          <w:tcPr>
            <w:tcW w:w="160" w:type="dxa"/>
            <w:vAlign w:val="bottom"/>
          </w:tcPr>
          <w:p>
            <w:pPr>
              <w:spacing w:after="0"/>
              <w:rPr>
                <w:sz w:val="13"/>
                <w:szCs w:val="13"/>
                <w:color w:val="auto"/>
              </w:rPr>
            </w:pPr>
          </w:p>
        </w:tc>
        <w:tc>
          <w:tcPr>
            <w:tcW w:w="100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(alvelestat)</w:t>
            </w:r>
          </w:p>
        </w:tc>
        <w:tc>
          <w:tcPr>
            <w:tcW w:w="16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(leflutrozole)</w:t>
            </w:r>
          </w:p>
        </w:tc>
        <w:tc>
          <w:tcPr>
            <w:tcW w:w="16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(acumapimod)</w:t>
            </w:r>
          </w:p>
        </w:tc>
        <w:tc>
          <w:tcPr>
            <w:tcW w:w="1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2"/>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Acquired development programs</w:t>
            </w:r>
          </w:p>
        </w:tc>
        <w:tc>
          <w:tcPr>
            <w:tcW w:w="12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11,615,824</w:t>
            </w:r>
          </w:p>
        </w:tc>
        <w:tc>
          <w:tcPr>
            <w:tcW w:w="11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7,192,288</w:t>
            </w:r>
          </w:p>
        </w:tc>
        <w:tc>
          <w:tcPr>
            <w:tcW w:w="11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9,886,356</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4,310,761</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33,005,229</w:t>
            </w:r>
          </w:p>
        </w:tc>
      </w:tr>
      <w:tr>
        <w:trPr>
          <w:trHeight w:val="405"/>
        </w:trPr>
        <w:tc>
          <w:tcPr>
            <w:tcW w:w="48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As at December 31, 2018</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48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4"/>
              <w:spacing w:after="0" w:line="155" w:lineRule="exact"/>
              <w:rPr>
                <w:sz w:val="20"/>
                <w:szCs w:val="20"/>
                <w:color w:val="auto"/>
              </w:rPr>
            </w:pPr>
            <w:r>
              <w:rPr>
                <w:rFonts w:ascii="Arial" w:cs="Arial" w:eastAsia="Arial" w:hAnsi="Arial"/>
                <w:sz w:val="14"/>
                <w:szCs w:val="14"/>
                <w:b w:val="1"/>
                <w:bCs w:val="1"/>
                <w:color w:val="auto"/>
              </w:rPr>
              <w:t>(in £)</w:t>
            </w: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2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rPr>
              <w:t>BPS-804</w:t>
            </w:r>
          </w:p>
        </w:tc>
        <w:tc>
          <w:tcPr>
            <w:tcW w:w="116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MPH-966</w:t>
            </w:r>
          </w:p>
        </w:tc>
        <w:tc>
          <w:tcPr>
            <w:tcW w:w="11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BGS-649</w:t>
            </w:r>
          </w:p>
        </w:tc>
        <w:tc>
          <w:tcPr>
            <w:tcW w:w="13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8"/>
              </w:rPr>
              <w:t>BCT-197</w:t>
            </w:r>
          </w:p>
        </w:tc>
        <w:tc>
          <w:tcPr>
            <w:tcW w:w="1180" w:type="dxa"/>
            <w:vAlign w:val="bottom"/>
          </w:tcPr>
          <w:p>
            <w:pPr>
              <w:ind w:left="440"/>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(setrusumab)</w:t>
            </w:r>
          </w:p>
        </w:tc>
        <w:tc>
          <w:tcPr>
            <w:tcW w:w="160" w:type="dxa"/>
            <w:vAlign w:val="bottom"/>
          </w:tcPr>
          <w:p>
            <w:pPr>
              <w:spacing w:after="0"/>
              <w:rPr>
                <w:sz w:val="13"/>
                <w:szCs w:val="13"/>
                <w:color w:val="auto"/>
              </w:rPr>
            </w:pPr>
          </w:p>
        </w:tc>
        <w:tc>
          <w:tcPr>
            <w:tcW w:w="100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(alvelestat)</w:t>
            </w:r>
          </w:p>
        </w:tc>
        <w:tc>
          <w:tcPr>
            <w:tcW w:w="16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(leflutrozole)</w:t>
            </w:r>
          </w:p>
        </w:tc>
        <w:tc>
          <w:tcPr>
            <w:tcW w:w="16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(acumapimod)</w:t>
            </w:r>
          </w:p>
        </w:tc>
        <w:tc>
          <w:tcPr>
            <w:tcW w:w="1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Acquired development programs</w:t>
            </w:r>
          </w:p>
        </w:tc>
        <w:tc>
          <w:tcPr>
            <w:tcW w:w="12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11,615,824</w:t>
            </w:r>
          </w:p>
        </w:tc>
        <w:tc>
          <w:tcPr>
            <w:tcW w:w="11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6,819,288</w:t>
            </w:r>
          </w:p>
        </w:tc>
        <w:tc>
          <w:tcPr>
            <w:tcW w:w="11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9,886,356</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4,310,761</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32,632,229</w:t>
            </w:r>
          </w:p>
        </w:tc>
      </w:tr>
      <w:tr>
        <w:trPr>
          <w:trHeight w:val="365"/>
        </w:trPr>
        <w:tc>
          <w:tcPr>
            <w:tcW w:w="48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F-44</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 to product approval and the likely commercial returns after product approval, among other factors, when reviewing for indicators of impairment. The results of this testing did not indicate any impairment of the acquired products’ rights in the year to December 31, 2018. The directors believe that the likelihood of a materially different outcome using different assumptions is remote.</w:t>
      </w:r>
    </w:p>
    <w:p>
      <w:pPr>
        <w:spacing w:after="0" w:line="205" w:lineRule="exact"/>
        <w:rPr>
          <w:sz w:val="20"/>
          <w:szCs w:val="20"/>
          <w:color w:val="auto"/>
        </w:rPr>
      </w:pPr>
    </w:p>
    <w:p>
      <w:pPr>
        <w:jc w:val="both"/>
        <w:ind w:left="120" w:right="80" w:firstLine="440"/>
        <w:spacing w:after="0" w:line="237" w:lineRule="auto"/>
        <w:rPr>
          <w:sz w:val="20"/>
          <w:szCs w:val="20"/>
          <w:color w:val="auto"/>
        </w:rPr>
      </w:pPr>
      <w:r>
        <w:rPr>
          <w:rFonts w:ascii="Arial" w:cs="Arial" w:eastAsia="Arial" w:hAnsi="Arial"/>
          <w:sz w:val="18"/>
          <w:szCs w:val="18"/>
          <w:color w:val="auto"/>
        </w:rPr>
        <w:t>The acquired development programs are assets which are not used in launched products. These assets have not yet begun to be amortized but have been tested for impairment by assessing their value in use. Value in use calculations for each program are utilized to calculate the recoverable amount. The calculations use pre -tax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commercialization after out-licensing.</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assumptions for the value in use calculations are described as follows:</w:t>
      </w:r>
    </w:p>
    <w:p>
      <w:pPr>
        <w:spacing w:after="0" w:line="117" w:lineRule="exact"/>
        <w:rPr>
          <w:sz w:val="20"/>
          <w:szCs w:val="20"/>
          <w:color w:val="auto"/>
        </w:rPr>
      </w:pPr>
    </w:p>
    <w:p>
      <w:pPr>
        <w:jc w:val="both"/>
        <w:ind w:left="1080" w:right="2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development costs to obtain regulatory approval—costs are estimated net of any contributions expected from collaborative arrangements with future partners. The directors have developed cost estimates based on their previous experience and in conjunction with the expertise of their clinical development partners;</w:t>
      </w:r>
    </w:p>
    <w:p>
      <w:pPr>
        <w:spacing w:after="0" w:line="108" w:lineRule="exact"/>
        <w:rPr>
          <w:rFonts w:ascii="Arial" w:cs="Arial" w:eastAsia="Arial" w:hAnsi="Arial"/>
          <w:sz w:val="18"/>
          <w:szCs w:val="18"/>
          <w:color w:val="auto"/>
        </w:rPr>
      </w:pPr>
    </w:p>
    <w:p>
      <w:pPr>
        <w:ind w:left="1080" w:right="56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launch dates of products—these reflect management’s expected date of launch for products based on the timeline of development programs required to obtain regulatory approval. The assumptions are based on the directors’ and clinical development partners’ prior experience;</w:t>
      </w:r>
    </w:p>
    <w:p>
      <w:pPr>
        <w:spacing w:after="0" w:line="108" w:lineRule="exact"/>
        <w:rPr>
          <w:rFonts w:ascii="Arial" w:cs="Arial" w:eastAsia="Arial" w:hAnsi="Arial"/>
          <w:sz w:val="18"/>
          <w:szCs w:val="18"/>
          <w:color w:val="auto"/>
        </w:rPr>
      </w:pPr>
    </w:p>
    <w:p>
      <w:pPr>
        <w:ind w:left="1080" w:right="20" w:hanging="424"/>
        <w:spacing w:after="0" w:line="246"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probability of successful development—management estimates probabilities of success for each phase of development based on industry averages and knowledge of specific programs;</w:t>
      </w:r>
    </w:p>
    <w:p>
      <w:pPr>
        <w:spacing w:after="0" w:line="102" w:lineRule="exact"/>
        <w:rPr>
          <w:rFonts w:ascii="Arial" w:cs="Arial" w:eastAsia="Arial" w:hAnsi="Arial"/>
          <w:sz w:val="18"/>
          <w:szCs w:val="18"/>
          <w:color w:val="auto"/>
        </w:rPr>
      </w:pPr>
    </w:p>
    <w:p>
      <w:pPr>
        <w:jc w:val="both"/>
        <w:ind w:left="1080" w:right="2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out-licensing signature fees, milestones and royalty rates on sales—management estimates these amounts based on prior experience and access to values from similar transactions in the industry, which are collated and accessible from specialist third-party sources;</w:t>
      </w:r>
    </w:p>
    <w:p>
      <w:pPr>
        <w:spacing w:after="0" w:line="108" w:lineRule="exact"/>
        <w:rPr>
          <w:rFonts w:ascii="Arial" w:cs="Arial" w:eastAsia="Arial" w:hAnsi="Arial"/>
          <w:sz w:val="18"/>
          <w:szCs w:val="18"/>
          <w:color w:val="auto"/>
        </w:rPr>
      </w:pPr>
    </w:p>
    <w:p>
      <w:pPr>
        <w:ind w:left="1080" w:right="320" w:hanging="424"/>
        <w:spacing w:after="0" w:line="246"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sales projections—these are based on management’s internal projections using external market data and market research commissioned by the Company;</w:t>
      </w:r>
    </w:p>
    <w:p>
      <w:pPr>
        <w:spacing w:after="0" w:line="102" w:lineRule="exact"/>
        <w:rPr>
          <w:rFonts w:ascii="Arial" w:cs="Arial" w:eastAsia="Arial" w:hAnsi="Arial"/>
          <w:sz w:val="18"/>
          <w:szCs w:val="18"/>
          <w:color w:val="auto"/>
        </w:rPr>
      </w:pPr>
    </w:p>
    <w:p>
      <w:pPr>
        <w:ind w:left="1080" w:right="14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profit margins and other operational expenses—these are based on the Company’s internal projections of current product manufacturing costings, with input from manufacturing partners where applicable, and estimates of operating costs based on management’s prior industry experience;</w:t>
      </w:r>
    </w:p>
    <w:p>
      <w:pPr>
        <w:spacing w:after="0" w:line="108"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cash flow projections—for all assets, cash flows are assessed over an industry-standard asset life of 20 years; and</w:t>
      </w:r>
    </w:p>
    <w:p>
      <w:pPr>
        <w:spacing w:after="0" w:line="117" w:lineRule="exact"/>
        <w:rPr>
          <w:rFonts w:ascii="Arial" w:cs="Arial" w:eastAsia="Arial" w:hAnsi="Arial"/>
          <w:sz w:val="18"/>
          <w:szCs w:val="18"/>
          <w:color w:val="auto"/>
        </w:rPr>
      </w:pPr>
    </w:p>
    <w:p>
      <w:pPr>
        <w:ind w:left="1080" w:right="280" w:hanging="424"/>
        <w:spacing w:after="0" w:line="246"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discount rates—the discount rate is estimated on a pre-tax basis reflecting the estimated cost of capital of the Group and is applied consistently across each of the operating segments. The cost of capital was calculated at 15.3% (2017: 15.3%).</w:t>
      </w:r>
    </w:p>
    <w:p>
      <w:pPr>
        <w:spacing w:after="0" w:line="197"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At this stage of product development, the key sensitivity for all three development programs is the probability of successful completion of clinical trials in order to obtain regulatory approval for sale. Therefore, full impairment of a development program is expected should such related trials be unsuccessful.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Other receivables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2"/>
          </w:tcPr>
          <w:p>
            <w:pPr>
              <w:jc w:val="center"/>
              <w:ind w:left="28"/>
              <w:spacing w:after="0" w:line="155" w:lineRule="exact"/>
              <w:rPr>
                <w:sz w:val="20"/>
                <w:szCs w:val="20"/>
                <w:color w:val="auto"/>
              </w:rPr>
            </w:pPr>
            <w:r>
              <w:rPr>
                <w:rFonts w:ascii="Arial" w:cs="Arial" w:eastAsia="Arial" w:hAnsi="Arial"/>
                <w:sz w:val="14"/>
                <w:szCs w:val="14"/>
                <w:b w:val="1"/>
                <w:bCs w:val="1"/>
                <w:color w:val="auto"/>
              </w:rPr>
              <w:t>(in £)</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 deposit</w:t>
            </w:r>
          </w:p>
        </w:tc>
        <w:tc>
          <w:tcPr>
            <w:tcW w:w="1280" w:type="dxa"/>
            <w:vAlign w:val="bottom"/>
            <w:gridSpan w:val="3"/>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293,328</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293,328</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VAT recoverable</w:t>
            </w:r>
          </w:p>
        </w:tc>
        <w:tc>
          <w:tcPr>
            <w:tcW w:w="1280" w:type="dxa"/>
            <w:vAlign w:val="bottom"/>
            <w:gridSpan w:val="3"/>
          </w:tcPr>
          <w:p>
            <w:pPr>
              <w:jc w:val="right"/>
              <w:ind w:right="68"/>
              <w:spacing w:after="0" w:line="202" w:lineRule="exact"/>
              <w:rPr>
                <w:sz w:val="20"/>
                <w:szCs w:val="20"/>
                <w:color w:val="auto"/>
              </w:rPr>
            </w:pPr>
            <w:r>
              <w:rPr>
                <w:rFonts w:ascii="Arial" w:cs="Arial" w:eastAsia="Arial" w:hAnsi="Arial"/>
                <w:sz w:val="18"/>
                <w:szCs w:val="18"/>
                <w:color w:val="auto"/>
              </w:rPr>
              <w:t>212,422</w:t>
            </w:r>
          </w:p>
        </w:tc>
        <w:tc>
          <w:tcPr>
            <w:tcW w:w="280" w:type="dxa"/>
            <w:vAlign w:val="bottom"/>
          </w:tcPr>
          <w:p>
            <w:pPr>
              <w:spacing w:after="0"/>
              <w:rPr>
                <w:sz w:val="17"/>
                <w:szCs w:val="17"/>
                <w:color w:val="auto"/>
              </w:rPr>
            </w:pP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315,565</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held by Employee Benefit Trust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3,600</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509,350</w:t>
            </w:r>
          </w:p>
        </w:tc>
        <w:tc>
          <w:tcPr>
            <w:tcW w:w="2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608,893</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15. Cash and short-term deposits</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1120" w:type="dxa"/>
            <w:vAlign w:val="bottom"/>
            <w:tcBorders>
              <w:top w:val="single" w:sz="8" w:color="auto"/>
              <w:bottom w:val="single" w:sz="8" w:color="auto"/>
            </w:tcBorders>
            <w:gridSpan w:val="2"/>
          </w:tcPr>
          <w:p>
            <w:pPr>
              <w:jc w:val="right"/>
              <w:ind w:right="32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33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jc w:val="center"/>
              <w:ind w:left="502"/>
              <w:spacing w:after="0" w:line="155" w:lineRule="exact"/>
              <w:rPr>
                <w:sz w:val="20"/>
                <w:szCs w:val="20"/>
                <w:color w:val="auto"/>
              </w:rPr>
            </w:pPr>
            <w:r>
              <w:rPr>
                <w:rFonts w:ascii="Arial" w:cs="Arial" w:eastAsia="Arial" w:hAnsi="Arial"/>
                <w:sz w:val="14"/>
                <w:szCs w:val="14"/>
                <w:b w:val="1"/>
                <w:bCs w:val="1"/>
                <w:color w:val="auto"/>
              </w:rPr>
              <w:t>(in £)</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banks and on hand</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11,005,675</w:t>
            </w:r>
          </w:p>
        </w:tc>
        <w:tc>
          <w:tcPr>
            <w:tcW w:w="1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5,343,975</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Short-term deposits</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39,038,997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w w:val="97"/>
              </w:rPr>
              <w:t>19,697,970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50,044,672</w:t>
            </w:r>
          </w:p>
        </w:tc>
        <w:tc>
          <w:tcPr>
            <w:tcW w:w="1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7"/>
              </w:rPr>
              <w:t>25,041,945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Cash at banks earns interest at floating rates based on daily bank deposit rates, with maturity of three months or less. Short-term deposits are available immediately and earn fixed interest at the respective short-term deposit rates and are held in a diversified portfolio of counterparties.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Short-term investments</w:t>
      </w:r>
    </w:p>
    <w:p>
      <w:pPr>
        <w:spacing w:after="0" w:line="2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85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8580" w:type="dxa"/>
            <w:vAlign w:val="bottom"/>
          </w:tcPr>
          <w:p>
            <w:pPr>
              <w:spacing w:after="0"/>
              <w:rPr>
                <w:sz w:val="13"/>
                <w:szCs w:val="13"/>
                <w:color w:val="auto"/>
              </w:rPr>
            </w:pPr>
          </w:p>
        </w:tc>
        <w:tc>
          <w:tcPr>
            <w:tcW w:w="1460" w:type="dxa"/>
            <w:vAlign w:val="bottom"/>
            <w:gridSpan w:val="3"/>
          </w:tcPr>
          <w:p>
            <w:pPr>
              <w:ind w:left="1020"/>
              <w:spacing w:after="0" w:line="155" w:lineRule="exact"/>
              <w:rPr>
                <w:sz w:val="20"/>
                <w:szCs w:val="20"/>
                <w:color w:val="auto"/>
              </w:rPr>
            </w:pPr>
            <w:r>
              <w:rPr>
                <w:rFonts w:ascii="Arial" w:cs="Arial" w:eastAsia="Arial" w:hAnsi="Arial"/>
                <w:sz w:val="14"/>
                <w:szCs w:val="14"/>
                <w:b w:val="1"/>
                <w:bCs w:val="1"/>
                <w:color w:val="auto"/>
              </w:rPr>
              <w:t>(in £)</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2,500,000</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2,500,000</w:t>
            </w:r>
          </w:p>
        </w:tc>
      </w:tr>
      <w:tr>
        <w:trPr>
          <w:trHeight w:val="20"/>
        </w:trPr>
        <w:tc>
          <w:tcPr>
            <w:tcW w:w="8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Short-term investments consist of cash deposits held with greater than three months term to maturity. None of these investments are held with terms greater than a year.</w:t>
      </w:r>
    </w:p>
    <w:p>
      <w:pPr>
        <w:sectPr>
          <w:pgSz w:w="11900" w:h="16838" w:orient="portrait"/>
          <w:cols w:equalWidth="0" w:num="1">
            <w:col w:w="11140"/>
          </w:cols>
          <w:pgMar w:left="320" w:top="459" w:right="439" w:bottom="1440" w:gutter="0" w:footer="0" w:header="0"/>
        </w:sect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Issued capital and reserves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Ordinary share capital</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Issuances in the year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Nominal share capital 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 issued and fully paid</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Issued on June 9, 2016 for private financing round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 on June 9. 2016 for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2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At December 31, 2016</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Nominal value at December 31, 2016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289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Issued capital at December 31, 2016 (</w:t>
      </w:r>
      <w:r>
        <w:rPr>
          <w:rFonts w:ascii="Arial" w:cs="Arial" w:eastAsia="Arial" w:hAnsi="Arial"/>
          <w:sz w:val="18"/>
          <w:szCs w:val="18"/>
          <w:color w:val="auto"/>
        </w:rPr>
        <w:t>£)</w:t>
      </w:r>
    </w:p>
    <w:p>
      <w:pPr>
        <w:spacing w:after="0" w:line="198"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8890</wp:posOffset>
            </wp:positionV>
            <wp:extent cx="72834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(in £)</w:t>
      </w:r>
    </w:p>
    <w:p>
      <w:pPr>
        <w:jc w:val="right"/>
        <w:ind w:right="80"/>
        <w:spacing w:after="0" w:line="234" w:lineRule="auto"/>
        <w:rPr>
          <w:sz w:val="20"/>
          <w:szCs w:val="20"/>
          <w:color w:val="auto"/>
        </w:rPr>
      </w:pPr>
      <w:r>
        <w:rPr>
          <w:rFonts w:ascii="Arial" w:cs="Arial" w:eastAsia="Arial" w:hAnsi="Arial"/>
          <w:sz w:val="18"/>
          <w:szCs w:val="18"/>
          <w:color w:val="auto"/>
        </w:rPr>
        <w:t>59,221</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133,801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4">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193,022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5">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14605</wp:posOffset>
            </wp:positionV>
            <wp:extent cx="72834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3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19,740,296</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39,464,540</w:t>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5,135,962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64,340,798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5080</wp:posOffset>
            </wp:positionV>
            <wp:extent cx="72834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8">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0.003</w:t>
      </w:r>
    </w:p>
    <w:p>
      <w:pPr>
        <w:jc w:val="right"/>
        <w:ind w:right="80"/>
        <w:spacing w:after="0"/>
        <w:rPr>
          <w:sz w:val="20"/>
          <w:szCs w:val="20"/>
          <w:color w:val="auto"/>
        </w:rPr>
      </w:pPr>
      <w:r>
        <w:rPr>
          <w:rFonts w:ascii="Arial" w:cs="Arial" w:eastAsia="Arial" w:hAnsi="Arial"/>
          <w:sz w:val="18"/>
          <w:szCs w:val="18"/>
          <w:color w:val="auto"/>
        </w:rPr>
        <w:t>193,022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2834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9">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14605</wp:posOffset>
            </wp:positionV>
            <wp:extent cx="72834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ectPr>
          <w:pgSz w:w="11900" w:h="16838" w:orient="portrait"/>
          <w:cols w:equalWidth="0" w:num="2">
            <w:col w:w="9440" w:space="720"/>
            <w:col w:w="980"/>
          </w:cols>
          <w:pgMar w:left="320" w:top="459" w:right="439" w:bottom="1440" w:gutter="0" w:footer="0" w:header="0"/>
          <w:type w:val="continuous"/>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Ordinary share capital</w:t>
            </w: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Borders>
              <w:top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1140" w:type="dxa"/>
            <w:vAlign w:val="bottom"/>
            <w:tcBorders>
              <w:top w:val="single" w:sz="8" w:color="auto"/>
            </w:tcBorders>
          </w:tcPr>
          <w:p>
            <w:pPr>
              <w:ind w:left="400"/>
              <w:spacing w:after="0"/>
              <w:rPr>
                <w:sz w:val="20"/>
                <w:szCs w:val="20"/>
                <w:color w:val="auto"/>
              </w:rPr>
            </w:pPr>
            <w:r>
              <w:rPr>
                <w:rFonts w:ascii="Arial" w:cs="Arial" w:eastAsia="Arial" w:hAnsi="Arial"/>
                <w:sz w:val="14"/>
                <w:szCs w:val="14"/>
                <w:b w:val="1"/>
                <w:bCs w:val="1"/>
                <w:color w:val="auto"/>
              </w:rPr>
              <w:t>(in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193,022</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Issuances in the year</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20,263</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Nominal share capital as at December 31</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213,285</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Ordinary shares issued and fully paid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April 3, 2017 for private placement financing round</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5,042,017</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Issued on April 26, 2017 for conversion of loan note</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1,221,361</w:t>
            </w: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October 28, 2017 for acquisition of license</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490,798</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0" w:type="dxa"/>
            <w:vAlign w:val="bottom"/>
            <w:gridSpan w:val="2"/>
            <w:vMerge w:val="continue"/>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71,094,974</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Nominal value at December 31, 2017 (</w:t>
            </w: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Issued capital at December 31, 2017 (</w:t>
            </w: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213,285</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Ordinary share capital</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800" w:type="dxa"/>
            <w:vAlign w:val="bottom"/>
            <w:gridSpan w:val="2"/>
            <w:vMerge w:val="continue"/>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top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1140" w:type="dxa"/>
            <w:vAlign w:val="bottom"/>
            <w:tcBorders>
              <w:top w:val="single" w:sz="8" w:color="auto"/>
            </w:tcBorders>
          </w:tcPr>
          <w:p>
            <w:pPr>
              <w:ind w:left="400"/>
              <w:spacing w:after="0"/>
              <w:rPr>
                <w:sz w:val="20"/>
                <w:szCs w:val="20"/>
                <w:color w:val="auto"/>
              </w:rPr>
            </w:pPr>
            <w:r>
              <w:rPr>
                <w:rFonts w:ascii="Arial" w:cs="Arial" w:eastAsia="Arial" w:hAnsi="Arial"/>
                <w:sz w:val="14"/>
                <w:szCs w:val="14"/>
                <w:b w:val="1"/>
                <w:bCs w:val="1"/>
                <w:color w:val="auto"/>
              </w:rPr>
              <w:t>(in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213,285</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Issuances in the year</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436</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Nominal share capital as at December 31</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213,721</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Ordinary shares issued and fully paid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2018</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71,094,974</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Issued on June 1, 2018 for public offering</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50,076</w:t>
            </w: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August 3, 2018 for exercise of share options</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Issued on October 22, 2018 for exercise of share options</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85,222</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2018</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71,240,272</w:t>
            </w:r>
          </w:p>
        </w:tc>
        <w:tc>
          <w:tcPr>
            <w:tcW w:w="0" w:type="dxa"/>
            <w:vAlign w:val="bottom"/>
          </w:tcPr>
          <w:p>
            <w:pPr>
              <w:spacing w:after="0"/>
              <w:rPr>
                <w:sz w:val="1"/>
                <w:szCs w:val="1"/>
                <w:color w:val="auto"/>
              </w:rPr>
            </w:pPr>
          </w:p>
        </w:tc>
      </w:tr>
      <w:tr>
        <w:trPr>
          <w:trHeight w:val="210"/>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Nominal value at December 31, 2018 (£)</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December 31, 2018 (</w:t>
            </w: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213,721</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January 1, 2016, the following alterations to the Company’s share capital have been made:</w:t>
      </w:r>
    </w:p>
    <w:p>
      <w:pPr>
        <w:spacing w:after="0" w:line="117" w:lineRule="exact"/>
        <w:rPr>
          <w:sz w:val="20"/>
          <w:szCs w:val="20"/>
          <w:color w:val="auto"/>
        </w:rPr>
      </w:pPr>
    </w:p>
    <w:p>
      <w:pPr>
        <w:ind w:left="1080" w:right="80" w:hanging="424"/>
        <w:spacing w:after="0" w:line="238"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under the subscription agreement dated July 28, 2015, as amended by an agreement dated June 1, 2016, the Company issued and allotted 39,464,540 ordinary shares of £0.003 in nominal value in the capital of the Company on June 9, 2016 at a price of £1.84 per share. 39,699 of these ordinary shares were issued to WG Partners LLP, for no cash consideration, as payment for financial advisory services;</w:t>
      </w:r>
    </w:p>
    <w:p>
      <w:pPr>
        <w:spacing w:after="0" w:line="110" w:lineRule="exact"/>
        <w:rPr>
          <w:rFonts w:ascii="Arial" w:cs="Arial" w:eastAsia="Arial" w:hAnsi="Arial"/>
          <w:sz w:val="18"/>
          <w:szCs w:val="18"/>
          <w:color w:val="auto"/>
        </w:rPr>
      </w:pPr>
    </w:p>
    <w:p>
      <w:pPr>
        <w:ind w:left="1080" w:right="22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108" w:lineRule="exact"/>
        <w:rPr>
          <w:rFonts w:ascii="Arial" w:cs="Arial" w:eastAsia="Arial" w:hAnsi="Arial"/>
          <w:sz w:val="18"/>
          <w:szCs w:val="18"/>
          <w:color w:val="auto"/>
        </w:rPr>
      </w:pPr>
    </w:p>
    <w:p>
      <w:pPr>
        <w:ind w:left="1080" w:right="520" w:hanging="424"/>
        <w:spacing w:after="0" w:line="246"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under a private placement dated June 9, 2016, the Company issued and allotted 5,135,962 ordinary shares of £0.003 in nominal value in the capital of the Company on June 9, 2016 at a price of £2.21 per share; and</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on June 9, 2016, the Company’s ordinary shares were admitted to trading on the AIM market of the London Stock Exchange.</w:t>
      </w:r>
    </w:p>
    <w:p>
      <w:pPr>
        <w:spacing w:after="0" w:line="117" w:lineRule="exact"/>
        <w:rPr>
          <w:rFonts w:ascii="Arial" w:cs="Arial" w:eastAsia="Arial" w:hAnsi="Arial"/>
          <w:sz w:val="18"/>
          <w:szCs w:val="18"/>
          <w:color w:val="auto"/>
        </w:rPr>
      </w:pPr>
    </w:p>
    <w:p>
      <w:pPr>
        <w:jc w:val="both"/>
        <w:ind w:left="1080" w:right="36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under the private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108" w:lineRule="exact"/>
        <w:rPr>
          <w:rFonts w:ascii="Arial" w:cs="Arial" w:eastAsia="Arial" w:hAnsi="Arial"/>
          <w:sz w:val="18"/>
          <w:szCs w:val="18"/>
          <w:color w:val="auto"/>
        </w:rPr>
      </w:pPr>
    </w:p>
    <w:p>
      <w:pPr>
        <w:ind w:left="1080" w:right="380" w:hanging="424"/>
        <w:spacing w:after="0" w:line="246"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June 3, 2016 into 632,829 ordinary shares of £0.003 in nominal value in the capital of the Company at the fixed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 price of £2.21 per share. Under the terms of the notes, Novartis also received 588,532 bonus shares;</w:t>
      </w:r>
    </w:p>
    <w:p>
      <w:pPr>
        <w:spacing w:after="0" w:line="117" w:lineRule="exact"/>
        <w:rPr>
          <w:sz w:val="20"/>
          <w:szCs w:val="20"/>
          <w:color w:val="auto"/>
        </w:rPr>
      </w:pPr>
    </w:p>
    <w:p>
      <w:pPr>
        <w:ind w:left="1080" w:right="6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on October 31, 2017, Mereo BioPharma Group plc issued 490,798 ordinary shares of £0.003 in nominal value in the capital of the Company to AstraZeneca AB as part payment for the acquisition by Mereo BioPharma 4 Limited of an exclusive license and option to acquire certain assets;</w:t>
      </w:r>
    </w:p>
    <w:p>
      <w:pPr>
        <w:spacing w:after="0" w:line="108" w:lineRule="exact"/>
        <w:rPr>
          <w:rFonts w:ascii="Arial" w:cs="Arial" w:eastAsia="Arial" w:hAnsi="Arial"/>
          <w:sz w:val="18"/>
          <w:szCs w:val="18"/>
          <w:color w:val="auto"/>
        </w:rPr>
      </w:pPr>
    </w:p>
    <w:p>
      <w:pPr>
        <w:ind w:left="1080" w:right="26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under the public offering dated June 1, 2018, the Company issued and allotted 50,076 ordinary shares of £0.003 in nominal value in the capital of the Company on June 1, 2018 at a price of £3.00 per share to investors. Gross cash received was £150,228;</w:t>
      </w:r>
    </w:p>
    <w:p>
      <w:pPr>
        <w:spacing w:after="0" w:line="108" w:lineRule="exact"/>
        <w:rPr>
          <w:rFonts w:ascii="Arial" w:cs="Arial" w:eastAsia="Arial" w:hAnsi="Arial"/>
          <w:sz w:val="18"/>
          <w:szCs w:val="18"/>
          <w:color w:val="auto"/>
        </w:rPr>
      </w:pPr>
    </w:p>
    <w:p>
      <w:pPr>
        <w:ind w:left="1080" w:right="320" w:hanging="424"/>
        <w:spacing w:after="0" w:line="246"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on August 3, 2018 the Company issued and allotted 10,000 ordinary shares of £0.003 in nominal value in the capital of the Company pursuant to an exercise of employee share options; and</w:t>
      </w:r>
    </w:p>
    <w:p>
      <w:pPr>
        <w:spacing w:after="0" w:line="102" w:lineRule="exact"/>
        <w:rPr>
          <w:rFonts w:ascii="Arial" w:cs="Arial" w:eastAsia="Arial" w:hAnsi="Arial"/>
          <w:sz w:val="18"/>
          <w:szCs w:val="18"/>
          <w:color w:val="auto"/>
        </w:rPr>
      </w:pPr>
    </w:p>
    <w:p>
      <w:pPr>
        <w:ind w:left="1080" w:right="140" w:hanging="424"/>
        <w:spacing w:after="0" w:line="246"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on October 22, 2018 the Company issued and allotted 85,222 ordinary shares of £0.003 in nominal value in the capital of the Company pursuant to an exercise of employee share options.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680" w:type="dxa"/>
            <w:vAlign w:val="bottom"/>
            <w:gridSpan w:val="2"/>
            <w:vMerge w:val="continue"/>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auto"/>
            </w:tcBorders>
          </w:tcPr>
          <w:p>
            <w:pPr>
              <w:spacing w:after="0"/>
              <w:rPr>
                <w:sz w:val="14"/>
                <w:szCs w:val="14"/>
                <w:color w:val="auto"/>
              </w:rPr>
            </w:pPr>
          </w:p>
        </w:tc>
        <w:tc>
          <w:tcPr>
            <w:tcW w:w="864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26,212,880</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Share capital reduction on March 21, 2016</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Issuance of share capital for private financing round on June 9, 2016</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72,423,314</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Issuance of share capital for private placement on June 9, 2016</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11,335,069</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(2,995,864)</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2016</w:t>
            </w: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80" w:type="dxa"/>
            <w:vAlign w:val="bottom"/>
            <w:gridSpan w:val="2"/>
            <w:vMerge w:val="continue"/>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99,975,399</w:t>
            </w:r>
          </w:p>
        </w:tc>
        <w:tc>
          <w:tcPr>
            <w:tcW w:w="0" w:type="dxa"/>
            <w:vAlign w:val="bottom"/>
          </w:tcPr>
          <w:p>
            <w:pPr>
              <w:spacing w:after="0"/>
              <w:rPr>
                <w:sz w:val="1"/>
                <w:szCs w:val="1"/>
                <w:color w:val="auto"/>
              </w:rPr>
            </w:pPr>
          </w:p>
        </w:tc>
      </w:tr>
      <w:tr>
        <w:trPr>
          <w:trHeight w:val="365"/>
        </w:trPr>
        <w:tc>
          <w:tcPr>
            <w:tcW w:w="9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680" w:type="dxa"/>
            <w:vAlign w:val="bottom"/>
            <w:gridSpan w:val="2"/>
            <w:vMerge w:val="continue"/>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auto"/>
            </w:tcBorders>
          </w:tcPr>
          <w:p>
            <w:pPr>
              <w:spacing w:after="0"/>
              <w:rPr>
                <w:sz w:val="14"/>
                <w:szCs w:val="14"/>
                <w:color w:val="auto"/>
              </w:rPr>
            </w:pPr>
          </w:p>
        </w:tc>
        <w:tc>
          <w:tcPr>
            <w:tcW w:w="864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2017</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99,975,399</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Issued on April 3, 2017 for private placement financing round</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14,984,875</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April 26, 2017 for conversion of loan note</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2,477,787</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Issued on October 28, 2017 for acquisition of license</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1,518,527</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(729,632)</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80" w:type="dxa"/>
            <w:vAlign w:val="bottom"/>
            <w:gridSpan w:val="2"/>
            <w:vMerge w:val="continue"/>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118,226,956</w:t>
            </w:r>
          </w:p>
        </w:tc>
        <w:tc>
          <w:tcPr>
            <w:tcW w:w="0" w:type="dxa"/>
            <w:vAlign w:val="bottom"/>
          </w:tcPr>
          <w:p>
            <w:pPr>
              <w:spacing w:after="0"/>
              <w:rPr>
                <w:sz w:val="1"/>
                <w:szCs w:val="1"/>
                <w:color w:val="auto"/>
              </w:rPr>
            </w:pPr>
          </w:p>
        </w:tc>
      </w:tr>
      <w:tr>
        <w:trPr>
          <w:trHeight w:val="364"/>
        </w:trPr>
        <w:tc>
          <w:tcPr>
            <w:tcW w:w="9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680" w:type="dxa"/>
            <w:vAlign w:val="bottom"/>
            <w:gridSpan w:val="2"/>
            <w:vMerge w:val="continue"/>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auto"/>
            </w:tcBorders>
          </w:tcPr>
          <w:p>
            <w:pPr>
              <w:spacing w:after="0"/>
              <w:rPr>
                <w:sz w:val="14"/>
                <w:szCs w:val="14"/>
                <w:color w:val="auto"/>
              </w:rPr>
            </w:pPr>
          </w:p>
        </w:tc>
        <w:tc>
          <w:tcPr>
            <w:tcW w:w="864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2018</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118,226,956</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Issued on June 1, 2018 for public offering</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150,078</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August 3, 2018 for exercise of share options</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12,870</w:t>
            </w: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Issued on October 22, 2018 for exercise of share options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109,681</w:t>
            </w: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(7,512)</w:t>
            </w:r>
          </w:p>
        </w:tc>
        <w:tc>
          <w:tcPr>
            <w:tcW w:w="0" w:type="dxa"/>
            <w:vAlign w:val="bottom"/>
          </w:tcPr>
          <w:p>
            <w:pPr>
              <w:spacing w:after="0"/>
              <w:rPr>
                <w:sz w:val="1"/>
                <w:szCs w:val="1"/>
                <w:color w:val="auto"/>
              </w:rPr>
            </w:pPr>
          </w:p>
        </w:tc>
      </w:tr>
      <w:tr>
        <w:trPr>
          <w:trHeight w:val="232"/>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2018</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118,492,073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4"/>
                <w:szCs w:val="24"/>
                <w:color w:val="auto"/>
              </w:rPr>
            </w:pPr>
          </w:p>
        </w:tc>
        <w:tc>
          <w:tcPr>
            <w:tcW w:w="8640" w:type="dxa"/>
            <w:vAlign w:val="bottom"/>
          </w:tcPr>
          <w:p>
            <w:pPr>
              <w:ind w:left="4280"/>
              <w:spacing w:after="0"/>
              <w:rPr>
                <w:sz w:val="20"/>
                <w:szCs w:val="20"/>
                <w:color w:val="auto"/>
              </w:rPr>
            </w:pPr>
            <w:r>
              <w:rPr>
                <w:rFonts w:ascii="Arial" w:cs="Arial" w:eastAsia="Arial" w:hAnsi="Arial"/>
                <w:sz w:val="18"/>
                <w:szCs w:val="18"/>
                <w:color w:val="auto"/>
              </w:rPr>
              <w:t>F-48</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 to</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Share-based</w:t>
            </w:r>
          </w:p>
        </w:tc>
        <w:tc>
          <w:tcPr>
            <w:tcW w:w="15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component of</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be issued</w:t>
            </w:r>
          </w:p>
        </w:tc>
        <w:tc>
          <w:tcPr>
            <w:tcW w:w="12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payments</w:t>
            </w:r>
          </w:p>
        </w:tc>
        <w:tc>
          <w:tcPr>
            <w:tcW w:w="15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convertible loan</w:t>
            </w:r>
          </w:p>
        </w:tc>
        <w:tc>
          <w:tcPr>
            <w:tcW w:w="200" w:type="dxa"/>
            <w:vAlign w:val="bottom"/>
          </w:tcPr>
          <w:p>
            <w:pPr>
              <w:spacing w:after="0"/>
              <w:rPr>
                <w:sz w:val="15"/>
                <w:szCs w:val="15"/>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6"/>
          </w:tcPr>
          <w:p>
            <w:pPr>
              <w:ind w:left="80"/>
              <w:spacing w:after="0" w:line="155" w:lineRule="exact"/>
              <w:rPr>
                <w:sz w:val="20"/>
                <w:szCs w:val="20"/>
                <w:color w:val="auto"/>
              </w:rPr>
            </w:pPr>
            <w:r>
              <w:rPr>
                <w:rFonts w:ascii="Arial" w:cs="Arial" w:eastAsia="Arial" w:hAnsi="Arial"/>
                <w:sz w:val="14"/>
                <w:szCs w:val="14"/>
                <w:b w:val="1"/>
                <w:bCs w:val="1"/>
                <w:color w:val="auto"/>
              </w:rPr>
              <w:t>(in £)</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18,677,840</w:t>
            </w:r>
          </w:p>
        </w:tc>
        <w:tc>
          <w:tcPr>
            <w:tcW w:w="11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2,982,265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21,660,105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the year</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6,494,018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6,494,018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(16,003,363)</w:t>
            </w:r>
          </w:p>
        </w:tc>
        <w:tc>
          <w:tcPr>
            <w:tcW w:w="1280" w:type="dxa"/>
            <w:vAlign w:val="bottom"/>
            <w:gridSpan w:val="3"/>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(16,003,363)</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7"/>
                <w:szCs w:val="17"/>
                <w:color w:val="auto"/>
              </w:rPr>
            </w:pPr>
          </w:p>
        </w:tc>
        <w:tc>
          <w:tcPr>
            <w:tcW w:w="13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516,802</w:t>
            </w:r>
          </w:p>
        </w:tc>
        <w:tc>
          <w:tcPr>
            <w:tcW w:w="180" w:type="dxa"/>
            <w:vAlign w:val="bottom"/>
          </w:tcPr>
          <w:p>
            <w:pPr>
              <w:spacing w:after="0"/>
              <w:rPr>
                <w:sz w:val="17"/>
                <w:szCs w:val="17"/>
                <w:color w:val="auto"/>
              </w:rPr>
            </w:pPr>
          </w:p>
        </w:tc>
        <w:tc>
          <w:tcPr>
            <w:tcW w:w="11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516,802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2,674,477</w:t>
            </w:r>
          </w:p>
        </w:tc>
        <w:tc>
          <w:tcPr>
            <w:tcW w:w="11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9,476,283</w:t>
            </w:r>
          </w:p>
        </w:tc>
        <w:tc>
          <w:tcPr>
            <w:tcW w:w="16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516,802</w:t>
            </w: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12,667,562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At January 1, 2017</w:t>
            </w: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2,674,477</w:t>
            </w:r>
          </w:p>
        </w:tc>
        <w:tc>
          <w:tcPr>
            <w:tcW w:w="112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9,476,283</w:t>
            </w:r>
          </w:p>
        </w:tc>
        <w:tc>
          <w:tcPr>
            <w:tcW w:w="160" w:type="dxa"/>
            <w:vAlign w:val="bottom"/>
          </w:tcPr>
          <w:p>
            <w:pPr>
              <w:spacing w:after="0"/>
              <w:rPr>
                <w:sz w:val="17"/>
                <w:szCs w:val="17"/>
                <w:color w:val="auto"/>
              </w:rPr>
            </w:pPr>
          </w:p>
        </w:tc>
        <w:tc>
          <w:tcPr>
            <w:tcW w:w="134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516,802</w:t>
            </w:r>
          </w:p>
        </w:tc>
        <w:tc>
          <w:tcPr>
            <w:tcW w:w="180" w:type="dxa"/>
            <w:vAlign w:val="bottom"/>
          </w:tcPr>
          <w:p>
            <w:pPr>
              <w:spacing w:after="0"/>
              <w:rPr>
                <w:sz w:val="17"/>
                <w:szCs w:val="17"/>
                <w:color w:val="auto"/>
              </w:rPr>
            </w:pPr>
          </w:p>
        </w:tc>
        <w:tc>
          <w:tcPr>
            <w:tcW w:w="11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12,667,562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expense during the year</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4,983,186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4,983,186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Shares issued</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(1,082,899)</w:t>
            </w:r>
          </w:p>
        </w:tc>
        <w:tc>
          <w:tcPr>
            <w:tcW w:w="128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(1,082,899)</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7"/>
                <w:szCs w:val="17"/>
                <w:color w:val="auto"/>
              </w:rPr>
            </w:pPr>
          </w:p>
        </w:tc>
        <w:tc>
          <w:tcPr>
            <w:tcW w:w="13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(208,680)</w:t>
            </w:r>
          </w:p>
        </w:tc>
        <w:tc>
          <w:tcPr>
            <w:tcW w:w="18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8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1,591,578</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14,459,469</w:t>
            </w:r>
          </w:p>
        </w:tc>
        <w:tc>
          <w:tcPr>
            <w:tcW w:w="1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308,122</w:t>
            </w:r>
          </w:p>
        </w:tc>
        <w:tc>
          <w:tcPr>
            <w:tcW w:w="1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16,359,169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 to</w:t>
            </w: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Share-based</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component of</w:t>
            </w:r>
          </w:p>
        </w:tc>
        <w:tc>
          <w:tcPr>
            <w:tcW w:w="220" w:type="dxa"/>
            <w:vAlign w:val="bottom"/>
          </w:tcPr>
          <w:p>
            <w:pPr>
              <w:spacing w:after="0"/>
              <w:rPr>
                <w:sz w:val="14"/>
                <w:szCs w:val="14"/>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Warrants issued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be issued</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payments</w:t>
            </w:r>
          </w:p>
        </w:tc>
        <w:tc>
          <w:tcPr>
            <w:tcW w:w="12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convertible loan</w:t>
            </w:r>
          </w:p>
        </w:tc>
        <w:tc>
          <w:tcPr>
            <w:tcW w:w="220" w:type="dxa"/>
            <w:vAlign w:val="bottom"/>
          </w:tcPr>
          <w:p>
            <w:pPr>
              <w:spacing w:after="0"/>
              <w:rPr>
                <w:sz w:val="15"/>
                <w:szCs w:val="15"/>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for TAP funding</w:t>
            </w:r>
          </w:p>
        </w:tc>
        <w:tc>
          <w:tcPr>
            <w:tcW w:w="200" w:type="dxa"/>
            <w:vAlign w:val="bottom"/>
          </w:tcPr>
          <w:p>
            <w:pPr>
              <w:spacing w:after="0"/>
              <w:rPr>
                <w:sz w:val="15"/>
                <w:szCs w:val="15"/>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rPr>
              <w:t>(in £)</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2018</w:t>
            </w:r>
          </w:p>
        </w:tc>
        <w:tc>
          <w:tcPr>
            <w:tcW w:w="1240" w:type="dxa"/>
            <w:vAlign w:val="bottom"/>
            <w:tcBorders>
              <w:right w:val="single" w:sz="8" w:color="CCEEFF"/>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1,591,578</w:t>
            </w: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14,459,469</w:t>
            </w:r>
          </w:p>
        </w:tc>
        <w:tc>
          <w:tcPr>
            <w:tcW w:w="36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308,122</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16,359,169</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the year</w:t>
            </w: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2,302,335</w:t>
            </w:r>
          </w:p>
        </w:tc>
        <w:tc>
          <w:tcPr>
            <w:tcW w:w="360" w:type="dxa"/>
            <w:vAlign w:val="bottom"/>
          </w:tcPr>
          <w:p>
            <w:pPr>
              <w:spacing w:after="0"/>
              <w:rPr>
                <w:sz w:val="17"/>
                <w:szCs w:val="17"/>
                <w:color w:val="auto"/>
              </w:rPr>
            </w:pPr>
          </w:p>
        </w:tc>
        <w:tc>
          <w:tcPr>
            <w:tcW w:w="128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0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2,302,335</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release for exercise of</w:t>
            </w:r>
          </w:p>
        </w:tc>
        <w:tc>
          <w:tcPr>
            <w:tcW w:w="8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options</w:t>
            </w:r>
          </w:p>
        </w:tc>
        <w:tc>
          <w:tcPr>
            <w:tcW w:w="1240" w:type="dxa"/>
            <w:vAlign w:val="bottom"/>
            <w:tcBorders>
              <w:right w:val="single" w:sz="8" w:color="CCEEFF"/>
            </w:tcBorders>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(113,042)</w:t>
            </w:r>
          </w:p>
        </w:tc>
        <w:tc>
          <w:tcPr>
            <w:tcW w:w="36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3"/>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(113,042)</w:t>
            </w:r>
          </w:p>
        </w:tc>
        <w:tc>
          <w:tcPr>
            <w:tcW w:w="0" w:type="dxa"/>
            <w:vAlign w:val="bottom"/>
          </w:tcPr>
          <w:p>
            <w:pPr>
              <w:spacing w:after="0"/>
              <w:rPr>
                <w:sz w:val="1"/>
                <w:szCs w:val="1"/>
                <w:color w:val="auto"/>
              </w:rPr>
            </w:pPr>
          </w:p>
        </w:tc>
      </w:tr>
      <w:tr>
        <w:trPr>
          <w:trHeight w:val="210"/>
        </w:trPr>
        <w:tc>
          <w:tcPr>
            <w:tcW w:w="4320" w:type="dxa"/>
            <w:vAlign w:val="bottom"/>
          </w:tcPr>
          <w:p>
            <w:pPr>
              <w:spacing w:after="0" w:line="202" w:lineRule="exact"/>
              <w:rPr>
                <w:sz w:val="20"/>
                <w:szCs w:val="20"/>
                <w:color w:val="auto"/>
              </w:rPr>
            </w:pPr>
            <w:r>
              <w:rPr>
                <w:rFonts w:ascii="Arial" w:cs="Arial" w:eastAsia="Arial" w:hAnsi="Arial"/>
                <w:sz w:val="18"/>
                <w:szCs w:val="18"/>
                <w:color w:val="auto"/>
              </w:rPr>
              <w:t>Warrants issued for TAP funding</w:t>
            </w:r>
          </w:p>
        </w:tc>
        <w:tc>
          <w:tcPr>
            <w:tcW w:w="8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Borders>
              <w:bottom w:val="single" w:sz="8" w:color="auto"/>
            </w:tcBorders>
            <w:gridSpan w:val="2"/>
          </w:tcPr>
          <w:p>
            <w:pPr>
              <w:ind w:left="8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44,156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2018</w:t>
            </w:r>
          </w:p>
        </w:tc>
        <w:tc>
          <w:tcPr>
            <w:tcW w:w="1240" w:type="dxa"/>
            <w:vAlign w:val="bottom"/>
            <w:tcBorders>
              <w:right w:val="single" w:sz="8" w:color="CCEEFF"/>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1,591,578</w:t>
            </w: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16,648,762</w:t>
            </w:r>
          </w:p>
        </w:tc>
        <w:tc>
          <w:tcPr>
            <w:tcW w:w="36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308,122</w:t>
            </w:r>
          </w:p>
        </w:tc>
        <w:tc>
          <w:tcPr>
            <w:tcW w:w="15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44,156</w:t>
            </w:r>
          </w:p>
        </w:tc>
        <w:tc>
          <w:tcPr>
            <w:tcW w:w="12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18,592,618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26"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Group has various share option schemes under which options to subscribe for the Group’s shares have been granted to certain executives, NEDs and employees (see Note 25 for further details).</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share-based payment reserve is used to recognize a) the value of equity settled share-based payments provided to employees, including key management personnel, as part of their remuneration and b) deferred equity consideration. Refer to Note 25 for further details of these plans. Of the £6,494,018 share-based payment expense in 2016, £298,836 is an accelerated charge relating to 500,000 share options which were cancelled on June 9, 2016.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issued/to be issued</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Shares to be issued at January 1, 2016 of £18,677,840 represented a maximum potential 10,151,000 bonus shares due to Novartis under the terms of an investment in the prior year. Of the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44,600,502 ordinary shares issued on June 9, 2016, 8,697,480 shares were issued to Novartis as fully paid up bonus shares (for £nil consideration), the number of which was calculated to maintain its shareholding at 19.5%. The fair value of these shares was £ 1.84 per share. At December 31, 2016, £2,674,477 representing a maximum of 1,453,520 shares at £1.84 were remaining to be issued to Novartis pro rata to their percentage shareholding as and when the Company issues further ordinary shares.</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2018 and December 31, 2017, £1,591,578 representing a maximum of 864,988 shares at £1.84 were remaining to be issued to Novartis pro rata to its percentage shareholding as and when the Company issues further ordinary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(see Note</w:t>
      </w:r>
    </w:p>
    <w:p>
      <w:pPr>
        <w:ind w:left="120"/>
        <w:spacing w:after="0" w:line="234" w:lineRule="auto"/>
        <w:rPr>
          <w:sz w:val="20"/>
          <w:szCs w:val="20"/>
          <w:color w:val="auto"/>
        </w:rPr>
      </w:pPr>
      <w:r>
        <w:rPr>
          <w:rFonts w:ascii="Arial" w:cs="Arial" w:eastAsia="Arial" w:hAnsi="Arial"/>
          <w:sz w:val="18"/>
          <w:szCs w:val="18"/>
          <w:color w:val="auto"/>
        </w:rPr>
        <w:t>18a). The value of the equity component (cost of the conversion option) as at December 31, 2018 is £308,122 (2017: £308,122; 2016:</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£516,802).</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issued for TAP funding</w:t>
      </w:r>
    </w:p>
    <w:p>
      <w:pPr>
        <w:spacing w:after="0" w:line="126"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funding arrangements with The Alpha-1 Project are a compound instrument consisting of a liability and an equity component (see Note 21). The value of the equity component (consideration received for the warrants) as at December 31, 2018 is £44,156 (2017: £nil; 2016: £nil).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Accumulated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00" w:type="dxa"/>
            <w:vAlign w:val="bottom"/>
          </w:tcPr>
          <w:p>
            <w:pPr>
              <w:spacing w:after="0"/>
              <w:rPr>
                <w:sz w:val="13"/>
                <w:szCs w:val="13"/>
                <w:color w:val="auto"/>
              </w:rPr>
            </w:pPr>
          </w:p>
        </w:tc>
        <w:tc>
          <w:tcPr>
            <w:tcW w:w="11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36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3"/>
          </w:tcPr>
          <w:p>
            <w:pPr>
              <w:jc w:val="right"/>
              <w:ind w:right="800"/>
              <w:spacing w:after="0" w:line="155" w:lineRule="exact"/>
              <w:rPr>
                <w:sz w:val="20"/>
                <w:szCs w:val="20"/>
                <w:color w:val="auto"/>
              </w:rPr>
            </w:pPr>
            <w:r>
              <w:rPr>
                <w:rFonts w:ascii="Arial" w:cs="Arial" w:eastAsia="Arial" w:hAnsi="Arial"/>
                <w:sz w:val="14"/>
                <w:szCs w:val="14"/>
                <w:b w:val="1"/>
                <w:bCs w:val="1"/>
                <w:color w:val="auto"/>
              </w:rPr>
              <w:t>(in £)</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14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7,000,000</w:t>
            </w:r>
          </w:p>
        </w:tc>
        <w:tc>
          <w:tcPr>
            <w:tcW w:w="1480" w:type="dxa"/>
            <w:vAlign w:val="bottom"/>
            <w:tcBorders>
              <w:right w:val="single" w:sz="8" w:color="CCEEFF"/>
            </w:tcBorders>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7,000,000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Accumulated losses</w:t>
            </w:r>
          </w:p>
        </w:tc>
        <w:tc>
          <w:tcPr>
            <w:tcW w:w="14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(40,579,241)</w:t>
            </w:r>
          </w:p>
        </w:tc>
        <w:tc>
          <w:tcPr>
            <w:tcW w:w="148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(79,315,920)</w:t>
            </w:r>
          </w:p>
        </w:tc>
        <w:tc>
          <w:tcPr>
            <w:tcW w:w="16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(111,220,794)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4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(33,579,241)</w:t>
            </w:r>
          </w:p>
        </w:tc>
        <w:tc>
          <w:tcPr>
            <w:tcW w:w="1480" w:type="dxa"/>
            <w:vAlign w:val="bottom"/>
            <w:tcBorders>
              <w:right w:val="single" w:sz="8" w:color="CCEEFF"/>
            </w:tcBorders>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(72,315,920)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(104,220,794)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18. Interest-bearing loans and borrowings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20" w:type="dxa"/>
            <w:vAlign w:val="bottom"/>
            <w:gridSpan w:val="4"/>
          </w:tcPr>
          <w:p>
            <w:pPr>
              <w:jc w:val="right"/>
              <w:ind w:right="1060"/>
              <w:spacing w:after="0" w:line="155" w:lineRule="exact"/>
              <w:rPr>
                <w:sz w:val="20"/>
                <w:szCs w:val="20"/>
                <w:color w:val="auto"/>
              </w:rPr>
            </w:pPr>
            <w:r>
              <w:rPr>
                <w:rFonts w:ascii="Arial" w:cs="Arial" w:eastAsia="Arial" w:hAnsi="Arial"/>
                <w:sz w:val="14"/>
                <w:szCs w:val="14"/>
                <w:b w:val="1"/>
                <w:bCs w:val="1"/>
                <w:color w:val="auto"/>
              </w:rPr>
              <w:t>(in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Notes—see Note 18a</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1,977,393</w:t>
            </w:r>
          </w:p>
        </w:tc>
        <w:tc>
          <w:tcPr>
            <w:tcW w:w="12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2,038,881</w:t>
            </w: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Bank loan—see Note 18b</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18,774,924</w:t>
            </w:r>
          </w:p>
        </w:tc>
        <w:tc>
          <w:tcPr>
            <w:tcW w:w="12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19,445,756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20,752,317</w:t>
            </w:r>
          </w:p>
        </w:tc>
        <w:tc>
          <w:tcPr>
            <w:tcW w:w="12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21,484,637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Current</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rPr>
              <w:t>1,939,806</w:t>
            </w:r>
          </w:p>
        </w:tc>
        <w:tc>
          <w:tcPr>
            <w:tcW w:w="126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6,837,884</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18,812,511</w:t>
            </w:r>
          </w:p>
        </w:tc>
        <w:tc>
          <w:tcPr>
            <w:tcW w:w="12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14,646,753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18a. Convertible loan note</w:t>
      </w:r>
    </w:p>
    <w:p>
      <w:pPr>
        <w:spacing w:after="0" w:line="122" w:lineRule="exact"/>
        <w:rPr>
          <w:sz w:val="20"/>
          <w:szCs w:val="20"/>
          <w:color w:val="auto"/>
        </w:rPr>
      </w:pPr>
    </w:p>
    <w:p>
      <w:pPr>
        <w:jc w:val="both"/>
        <w:ind w:left="120" w:right="160" w:firstLine="440"/>
        <w:spacing w:after="0" w:line="238" w:lineRule="auto"/>
        <w:rPr>
          <w:sz w:val="20"/>
          <w:szCs w:val="20"/>
          <w:color w:val="auto"/>
        </w:rPr>
      </w:pPr>
      <w:r>
        <w:rPr>
          <w:rFonts w:ascii="Arial" w:cs="Arial" w:eastAsia="Arial" w:hAnsi="Arial"/>
          <w:sz w:val="18"/>
          <w:szCs w:val="18"/>
          <w:color w:val="auto"/>
        </w:rPr>
        <w:t>On June 3, 2016, the Company issued 3,463,563 £1 unsecured convertible loan notes (“Novartis Notes”) to Novartis Pharma AG, a shareholder of the Company (see Note 26) in consideration for an investment in cash by Novartis at the time of the private placement on June 9, 2016. The Novartis Notes attract an interest rate of 4% per annum, accruing daily, and constitute direct, unsecured obligations of the Company ranking ahead of any other unsecured obligations of the Company.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On April 26, 2017 Novartis converted £1,398,553 of loan notes into 632,829 ordinary shares at the fixed conversion price of £2.21 per share. This has been recorded as a £1,187,974 reduction in interest-bearing loans and borrowings, a reduction in other capital reserves of £208,680 and a reduction in accumulated losses of £62,375. Under the terms of the notes, Novartis also received 588,532 bonus shares. Novartis holds £2,065,011 principal value of notes at December 31, 2017 representing 934,394 ordinary shares if converted, together with 864,988 potential bonus shares; together these represent 2.5% of the current share capital of the Company as at December 31, 2017.</w:t>
      </w:r>
    </w:p>
    <w:p>
      <w:pPr>
        <w:spacing w:after="0" w:line="20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In August 2017, in connection with the new loan agreements (see Note 18b),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7" w:lineRule="exact"/>
        <w:rPr>
          <w:sz w:val="20"/>
          <w:szCs w:val="20"/>
          <w:color w:val="auto"/>
        </w:rPr>
      </w:pPr>
    </w:p>
    <w:p>
      <w:pPr>
        <w:jc w:val="both"/>
        <w:ind w:left="120" w:right="20" w:firstLine="440"/>
        <w:spacing w:after="0" w:line="238" w:lineRule="auto"/>
        <w:rPr>
          <w:sz w:val="20"/>
          <w:szCs w:val="20"/>
          <w:color w:val="auto"/>
        </w:rPr>
      </w:pPr>
      <w:r>
        <w:rPr>
          <w:rFonts w:ascii="Arial" w:cs="Arial" w:eastAsia="Arial" w:hAnsi="Arial"/>
          <w:sz w:val="18"/>
          <w:szCs w:val="18"/>
          <w:color w:val="auto"/>
        </w:rPr>
        <w:t>The value of the debt component of the notes at the date of issue was calculated as £2,946,761. The cash flows attached to the note up to the maturity date were calculated and discounted at an appropriate venture debt rate of 10%. The carrying amount at December 31, 2018 is £2,038,881 (2017: £1,977,393). The Group has applied IFRS 9 Financial Instruments in full without restating comparatives with an initial date of application of January 1, 2018 (see Note 2.2).</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value of the equity component of the Notes at December 31, 2018 was calculated as £308,123 (2017: £308,123).</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18b. Bank loan</w:t>
      </w:r>
    </w:p>
    <w:p>
      <w:pPr>
        <w:spacing w:after="0" w:line="122" w:lineRule="exact"/>
        <w:rPr>
          <w:sz w:val="20"/>
          <w:szCs w:val="20"/>
          <w:color w:val="auto"/>
        </w:rPr>
      </w:pPr>
    </w:p>
    <w:p>
      <w:pPr>
        <w:ind w:left="120" w:right="40" w:firstLine="440"/>
        <w:spacing w:after="0" w:line="251" w:lineRule="auto"/>
        <w:rPr>
          <w:sz w:val="20"/>
          <w:szCs w:val="20"/>
          <w:color w:val="auto"/>
        </w:rPr>
      </w:pPr>
      <w:r>
        <w:rPr>
          <w:rFonts w:ascii="Arial" w:cs="Arial" w:eastAsia="Arial" w:hAnsi="Arial"/>
          <w:sz w:val="17"/>
          <w:szCs w:val="17"/>
          <w:color w:val="auto"/>
        </w:rPr>
        <w:t>On August 7, 2017, the Group entered into a loan agreement with Silicon Valley Bank and Kreos Capital V (UK) Limited, which provides for total borrowings of £20.0 million and the issue of warrants over shares in the Company (see Note 20). £10.0 million was drawn down on each of August 21, 2017 (Tranche 1) and December 29, 2017 (Tranche 2) for general working capital purposes. The Group was obligated to make interest-only payments on the loan amount until September 30, 2018, and thereafter the Group was obligated to pay interest and principal in 30 equal monthly instalments until March 31, 2021, the maturity date. The loan bore interest at an annual fixed rate equal to 9.0%. In addition, a final payment of 7.5% of the principal loan amount was due upon the earlier of the maturity date, prepayment in whole of the loan amount, mandatory repayment, acceleration of the loan, and the loan becoming immediately due and payable due to an event of default. The loan was secured by substantially all of the Group’s assets, including intellectual property rights owned or controlled by the Group. The terms of the debt facility included an interest-only period to September 30, 2018, a 30-month capital and interest repayment period thereafter, a 9% headline interest rate and customary security over all assets of the Group.</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£9,342,324. Application of the effective interest method was required to accrete the initial loan liability value up to the face value of the loan at the end of the loan term. This non-cash interest charge was to be made in each statutory reporting period. The annual value of this interest charge was £182,133, which was an effective interest rate of 1.95%.</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£9,365,665. Application of the effective interest method was required to accrete the initial loan liability value up to the face value of the loan at the end of the loan term. This non-cash interest charge was to be made in each statutory reporting period. The annual value of this interest charge is £194,892, which was an effective interest rate of 2.08%.</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30 September 2018 (the “modification date”), the Group and the lender signed a revised loan agreement (the “new loan”), with the intention that this would replace the old loan (with the proceeds of the new loan being used to settle the old loan). The new loan is viewed as a modification of the original loan because it was agreed with the same lenders as under the old loan and the old loan was not repayable at par with no penalty.</w:t>
      </w:r>
    </w:p>
    <w:p>
      <w:pPr>
        <w:spacing w:after="0" w:line="205"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The new loan has a principal amount of £20,455,000 and will mature on March 1, 2021, unless extended on reaching certain milestones.</w:t>
      </w:r>
    </w:p>
    <w:p>
      <w:pPr>
        <w:spacing w:after="0" w:line="197"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The Group is obligated to make interest-only payments on the loan amount until April 30, 2019, and thereafter the Group is obligated to pay interest and principal in 23 equal monthly instalments until March 31, 2021, the maturity date. The loan bears interest at an annual fixed rate equal to 8.5%. In addition, a final payment of 10.5%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the Group’s assets, including intellectual property rights owned or controlled by the Group. The terms of the debt facility include an interest-only period to April 30, 2019, a 23-month capital and interest repayment period thereafter, a 8.5% headline interest rate and customary security over all assets of the Group.</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modification loss is calculated as the difference in the present value of the cash flows under the original and modified terms.</w:t>
      </w:r>
    </w:p>
    <w:p>
      <w:pPr>
        <w:spacing w:after="0" w:line="212"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modification loss has been calculated accordingly in the amount of £730,037 and has been recognized in profit and loss as of the date of the modification.</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old loan was not derecognized; instead, at the point of modification, the carrying value of the loan was revised to reflect the new cash flows discounted by the original EIR as well as costs and fees incurred for the modification and any cash paid to or received from the lender under the terms of the new loan. Once the carrying amount of the liability was adjusted for costs and fees incurred as part of the modification, the EIR was recalculated to spread those costs and fees over the life of the modified liability.</w:t>
      </w:r>
    </w:p>
    <w:p>
      <w:pPr>
        <w:spacing w:after="0" w:line="205"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On the modification date, the Group issued 225,974 additional warrants (“additional warrants”), for nil consideration, to the lender with the same key terms as the original warrants. The fair value of the additional warrants as of their grant date (30 September 2018) was £375,343.</w:t>
      </w:r>
    </w:p>
    <w:p>
      <w:pPr>
        <w:spacing w:after="0" w:line="203"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The total carrying value of the loan at December 31, 2018 was £19,445,756 (2017: £18,774,924). £6,837,884 (2017: £1,939,806) is a current liability and £12,607,872 (2017: £16,835,118) is a non-current liability. A total of £781,998 (2017: £66,935) of non-cash interest has been charged to the statement of comprehensive loss in the period.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80"/>
          </w:cols>
          <w:pgMar w:left="320" w:top="459" w:right="49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Provisions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(in £)</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Social security contributions on share options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2,288,386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842,367</w:t>
            </w: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2,061,000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2,131,000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4,349,386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2,973,367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274,000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332,014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4,075,386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2,641,353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Social security contributions on share options</w:t>
            </w:r>
          </w:p>
        </w:tc>
        <w:tc>
          <w:tcPr>
            <w:tcW w:w="2640" w:type="dxa"/>
            <w:vAlign w:val="bottom"/>
            <w:tcBorders>
              <w:bottom w:val="single" w:sz="8" w:color="auto"/>
            </w:tcBorders>
            <w:gridSpan w:val="8"/>
          </w:tcPr>
          <w:p>
            <w:pPr>
              <w:ind w:left="90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360" w:type="dxa"/>
            <w:vAlign w:val="bottom"/>
            <w:gridSpan w:val="2"/>
            <w:vMerge w:val="continue"/>
          </w:tcPr>
          <w:p>
            <w:pPr>
              <w:spacing w:after="0"/>
              <w:rPr>
                <w:sz w:val="12"/>
                <w:szCs w:val="12"/>
                <w:color w:val="auto"/>
              </w:rPr>
            </w:pPr>
          </w:p>
        </w:tc>
        <w:tc>
          <w:tcPr>
            <w:tcW w:w="100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tcBorders>
              <w:top w:val="single" w:sz="8" w:color="auto"/>
            </w:tcBorders>
          </w:tcPr>
          <w:p>
            <w:pPr>
              <w:spacing w:after="0"/>
              <w:rPr>
                <w:sz w:val="14"/>
                <w:szCs w:val="14"/>
                <w:color w:val="auto"/>
              </w:rPr>
            </w:pPr>
          </w:p>
        </w:tc>
        <w:tc>
          <w:tcPr>
            <w:tcW w:w="41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 £)</w:t>
            </w: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beginning of year</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141,311</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2,288,386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discount</w:t>
            </w: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7,293</w:t>
            </w:r>
          </w:p>
        </w:tc>
        <w:tc>
          <w:tcPr>
            <w:tcW w:w="80" w:type="dxa"/>
            <w:vAlign w:val="bottom"/>
          </w:tcPr>
          <w:p>
            <w:pPr>
              <w:spacing w:after="0"/>
              <w:rPr>
                <w:sz w:val="17"/>
                <w:szCs w:val="17"/>
                <w:color w:val="auto"/>
              </w:rPr>
            </w:pPr>
          </w:p>
        </w:tc>
        <w:tc>
          <w:tcPr>
            <w:tcW w:w="1320" w:type="dxa"/>
            <w:vAlign w:val="bottom"/>
            <w:gridSpan w:val="5"/>
          </w:tcPr>
          <w:p>
            <w:pPr>
              <w:ind w:left="6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Arising during the year</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1,084,181</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1,115,966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Released</w:t>
            </w: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(60,365)</w:t>
            </w:r>
          </w:p>
        </w:tc>
        <w:tc>
          <w:tcPr>
            <w:tcW w:w="80" w:type="dxa"/>
            <w:vAlign w:val="bottom"/>
          </w:tcPr>
          <w:p>
            <w:pPr>
              <w:spacing w:after="0"/>
              <w:rPr>
                <w:sz w:val="17"/>
                <w:szCs w:val="17"/>
                <w:color w:val="auto"/>
              </w:rPr>
            </w:pPr>
          </w:p>
        </w:tc>
        <w:tc>
          <w:tcPr>
            <w:tcW w:w="1320" w:type="dxa"/>
            <w:vAlign w:val="bottom"/>
            <w:gridSpan w:val="5"/>
          </w:tcPr>
          <w:p>
            <w:pPr>
              <w:ind w:left="6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(1,446,019)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1,172,420</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2,288,386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842,367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1320" w:type="dxa"/>
            <w:vAlign w:val="bottom"/>
            <w:gridSpan w:val="3"/>
          </w:tcPr>
          <w:p>
            <w:pPr>
              <w:ind w:left="72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5"/>
          </w:tcPr>
          <w:p>
            <w:pPr>
              <w:ind w:left="64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1,172,420</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2,288,386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842,367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(see Note 25) the liability has been classified as non-current. The provision has been discounted. The negative charge in 2018 is due to the fall in the Company’s share price between December 31, 2017 and December 31, 2018.</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Provisions for deferred cash consideration</w:t>
            </w:r>
          </w:p>
        </w:tc>
        <w:tc>
          <w:tcPr>
            <w:tcW w:w="8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480" w:type="dxa"/>
            <w:vAlign w:val="bottom"/>
            <w:gridSpan w:val="2"/>
            <w:vMerge w:val="continue"/>
          </w:tcPr>
          <w:p>
            <w:pPr>
              <w:spacing w:after="0"/>
              <w:rPr>
                <w:sz w:val="12"/>
                <w:szCs w:val="12"/>
                <w:color w:val="auto"/>
              </w:rPr>
            </w:pPr>
          </w:p>
        </w:tc>
        <w:tc>
          <w:tcPr>
            <w:tcW w:w="8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2016</w:t>
            </w:r>
          </w:p>
        </w:tc>
        <w:tc>
          <w:tcPr>
            <w:tcW w:w="1260" w:type="dxa"/>
            <w:vAlign w:val="bottom"/>
            <w:gridSpan w:val="2"/>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tcBorders>
              <w:top w:val="single" w:sz="8" w:color="auto"/>
            </w:tcBorders>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(in £)</w:t>
            </w:r>
          </w:p>
        </w:tc>
        <w:tc>
          <w:tcPr>
            <w:tcW w:w="8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beginning of year</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2,061,000</w:t>
            </w:r>
          </w:p>
        </w:tc>
        <w:tc>
          <w:tcPr>
            <w:tcW w:w="0" w:type="dxa"/>
            <w:vAlign w:val="bottom"/>
          </w:tcPr>
          <w:p>
            <w:pPr>
              <w:spacing w:after="0"/>
              <w:rPr>
                <w:sz w:val="1"/>
                <w:szCs w:val="1"/>
                <w:color w:val="auto"/>
              </w:rPr>
            </w:pPr>
          </w:p>
        </w:tc>
      </w:tr>
      <w:tr>
        <w:trPr>
          <w:trHeight w:val="203"/>
        </w:trPr>
        <w:tc>
          <w:tcPr>
            <w:tcW w:w="748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w:t>
            </w:r>
          </w:p>
        </w:tc>
        <w:tc>
          <w:tcPr>
            <w:tcW w:w="84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2,061,000</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in provision due to the unwinding of the time value of money</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443,000</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Decrease in provision due to a change in estimates relating to timelines and probabilities of</w:t>
            </w: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(373,000)</w:t>
            </w:r>
          </w:p>
        </w:tc>
        <w:tc>
          <w:tcPr>
            <w:tcW w:w="0" w:type="dxa"/>
            <w:vAlign w:val="bottom"/>
          </w:tcPr>
          <w:p>
            <w:pPr>
              <w:spacing w:after="0"/>
              <w:rPr>
                <w:sz w:val="1"/>
                <w:szCs w:val="1"/>
                <w:color w:val="auto"/>
              </w:rPr>
            </w:pPr>
          </w:p>
        </w:tc>
      </w:tr>
      <w:tr>
        <w:trPr>
          <w:trHeight w:val="203"/>
        </w:trPr>
        <w:tc>
          <w:tcPr>
            <w:tcW w:w="74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contractual milestones being achieved (see Note 12)</w:t>
            </w:r>
          </w:p>
        </w:tc>
        <w:tc>
          <w:tcPr>
            <w:tcW w:w="840" w:type="dxa"/>
            <w:vAlign w:val="bottom"/>
          </w:tcPr>
          <w:p>
            <w:pPr>
              <w:ind w:left="56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0" w:type="dxa"/>
            <w:vAlign w:val="bottom"/>
          </w:tcPr>
          <w:p>
            <w:pPr>
              <w:ind w:left="72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2,061,000</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2,131,000</w:t>
            </w:r>
          </w:p>
        </w:tc>
        <w:tc>
          <w:tcPr>
            <w:tcW w:w="0" w:type="dxa"/>
            <w:vAlign w:val="bottom"/>
          </w:tcPr>
          <w:p>
            <w:pPr>
              <w:spacing w:after="0"/>
              <w:rPr>
                <w:sz w:val="1"/>
                <w:szCs w:val="1"/>
                <w:color w:val="auto"/>
              </w:rPr>
            </w:pPr>
          </w:p>
        </w:tc>
      </w:tr>
      <w:tr>
        <w:trPr>
          <w:trHeight w:val="20"/>
        </w:trPr>
        <w:tc>
          <w:tcPr>
            <w:tcW w:w="74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840" w:type="dxa"/>
            <w:vAlign w:val="bottom"/>
          </w:tcPr>
          <w:p>
            <w:pPr>
              <w:ind w:left="56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0"/>
              <w:spacing w:after="0" w:line="196" w:lineRule="exact"/>
              <w:rPr>
                <w:sz w:val="20"/>
                <w:szCs w:val="20"/>
                <w:color w:val="auto"/>
              </w:rPr>
            </w:pPr>
            <w:r>
              <w:rPr>
                <w:rFonts w:ascii="Arial" w:cs="Arial" w:eastAsia="Arial" w:hAnsi="Arial"/>
                <w:sz w:val="18"/>
                <w:szCs w:val="18"/>
                <w:color w:val="auto"/>
              </w:rPr>
              <w:t>274,000</w:t>
            </w:r>
          </w:p>
        </w:tc>
        <w:tc>
          <w:tcPr>
            <w:tcW w:w="1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1,787,000</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1,798,986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20" w:firstLine="440"/>
        <w:spacing w:after="0" w:line="261" w:lineRule="auto"/>
        <w:rPr>
          <w:sz w:val="20"/>
          <w:szCs w:val="20"/>
          <w:color w:val="auto"/>
        </w:rPr>
      </w:pPr>
      <w:r>
        <w:rPr>
          <w:rFonts w:ascii="Arial" w:cs="Arial" w:eastAsia="Arial" w:hAnsi="Arial"/>
          <w:sz w:val="17"/>
          <w:szCs w:val="17"/>
          <w:color w:val="auto"/>
        </w:rPr>
        <w:t>The deferred cash consideration is the estimate of the quantifiable but not certain future cash payment obligations due to AstraZeneca for the acquisition of certain assets (see Note 12). This liability is calculated as the risk-adjusted net present value of future cash payments to be made by the Group. The payments are dependent on reaching certain milestones based on the commencement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and outcome of clinical trials. The likelihood of achieving such milestones is reviewed at the balance sheet date and increased or decreased as appropriate.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Warrant liability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320" w:type="dxa"/>
            <w:vAlign w:val="bottom"/>
            <w:gridSpan w:val="6"/>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13"/>
                <w:szCs w:val="13"/>
                <w:color w:val="auto"/>
              </w:rPr>
            </w:pPr>
          </w:p>
        </w:tc>
        <w:tc>
          <w:tcPr>
            <w:tcW w:w="84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bottom w:val="single" w:sz="8" w:color="auto"/>
            </w:tcBorders>
            <w:gridSpan w:val="2"/>
          </w:tcPr>
          <w:p>
            <w:pPr>
              <w:jc w:val="right"/>
              <w:ind w:right="235"/>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(in £)</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beginning of year</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1,346,484</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84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1,292,011</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375,343</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Movement during the year</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54,473</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(716,214)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At December 31</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1,346,484</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1,005,613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40" w:firstLine="440"/>
        <w:spacing w:after="0" w:line="237" w:lineRule="auto"/>
        <w:rPr>
          <w:sz w:val="20"/>
          <w:szCs w:val="20"/>
          <w:color w:val="auto"/>
        </w:rPr>
      </w:pPr>
      <w:r>
        <w:rPr>
          <w:rFonts w:ascii="Arial" w:cs="Arial" w:eastAsia="Arial" w:hAnsi="Arial"/>
          <w:sz w:val="18"/>
          <w:szCs w:val="18"/>
          <w:color w:val="auto"/>
        </w:rPr>
        <w:t>As part of the bank loan facility (see Note 18b), 363,156 warrants to subscribe for shares were issued to the lenders on August 21, 2017. These warrants will be capable of exercise until August 7, 2027 at an exercise price of £3.029. A further 333,334 warrants were issued to the lenders on December 29, 2017. These warrants will be capable of exercise until August 7, 2027 at an exercise price of £3.30. A further 225,974 warrants were issued to the lenders on October 1, 2018. These warrants will be capable of exercise until October 1, 2028 at an exercise price of £2.31. The total of 922,464 warrants is equivalent to 1.30% of ordinary share capital at December 31, 2018.</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terms of the warrant instrument allow for a cashless exercise. In line with IAS 32, the future number of shares to be issued to the warrant holder under a cashless exercise can only be determined at that future date. At each balance sheet date, the fair value of the warrants will be assessed using the Black Scholes model taking into account appropriate amendments to inputs in respect of volatility and remaining expected life of the warrants.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 granted during the year ended</w:t>
      </w:r>
    </w:p>
    <w:p>
      <w:pPr>
        <w:ind w:left="120"/>
        <w:spacing w:after="0"/>
        <w:rPr>
          <w:sz w:val="20"/>
          <w:szCs w:val="20"/>
          <w:color w:val="auto"/>
        </w:rPr>
      </w:pPr>
      <w:r>
        <w:rPr>
          <w:rFonts w:ascii="Arial" w:cs="Arial" w:eastAsia="Arial" w:hAnsi="Arial"/>
          <w:sz w:val="18"/>
          <w:szCs w:val="18"/>
          <w:color w:val="auto"/>
        </w:rPr>
        <w:t>December 31: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32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820" w:type="dxa"/>
            <w:vAlign w:val="bottom"/>
          </w:tcPr>
          <w:p>
            <w:pPr>
              <w:spacing w:after="0"/>
              <w:rPr>
                <w:sz w:val="13"/>
                <w:szCs w:val="13"/>
                <w:color w:val="auto"/>
              </w:rPr>
            </w:pPr>
          </w:p>
        </w:tc>
        <w:tc>
          <w:tcPr>
            <w:tcW w:w="1860" w:type="dxa"/>
            <w:vAlign w:val="bottom"/>
            <w:tcBorders>
              <w:top w:val="single" w:sz="8" w:color="auto"/>
              <w:bottom w:val="single" w:sz="8" w:color="auto"/>
            </w:tcBorders>
          </w:tcPr>
          <w:p>
            <w:pPr>
              <w:jc w:val="right"/>
              <w:ind w:right="897"/>
              <w:spacing w:after="0" w:line="155"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7820" w:type="dxa"/>
            <w:vAlign w:val="bottom"/>
          </w:tcPr>
          <w:p>
            <w:pPr>
              <w:spacing w:after="0"/>
              <w:rPr>
                <w:sz w:val="13"/>
                <w:szCs w:val="13"/>
                <w:color w:val="auto"/>
              </w:rPr>
            </w:pPr>
          </w:p>
        </w:tc>
        <w:tc>
          <w:tcPr>
            <w:tcW w:w="1860" w:type="dxa"/>
            <w:vAlign w:val="bottom"/>
          </w:tcPr>
          <w:p>
            <w:pPr>
              <w:jc w:val="right"/>
              <w:ind w:right="37"/>
              <w:spacing w:after="0" w:line="155" w:lineRule="exact"/>
              <w:rPr>
                <w:sz w:val="20"/>
                <w:szCs w:val="20"/>
                <w:color w:val="auto"/>
              </w:rPr>
            </w:pPr>
            <w:r>
              <w:rPr>
                <w:rFonts w:ascii="Arial" w:cs="Arial" w:eastAsia="Arial" w:hAnsi="Arial"/>
                <w:sz w:val="14"/>
                <w:szCs w:val="14"/>
                <w:b w:val="1"/>
                <w:bCs w:val="1"/>
                <w:color w:val="auto"/>
              </w:rPr>
              <w:t>(in £)</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 (%)</w:t>
            </w:r>
          </w:p>
        </w:tc>
        <w:tc>
          <w:tcPr>
            <w:tcW w:w="186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50–51</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86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1.10–1.25</w:t>
            </w: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1.56</w:t>
            </w: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86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9.6–10</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86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3.00–3.25</w:t>
            </w: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86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Black Scholes</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the warrants at grant was £1,667,353. At December 31, 2018 it was £1,005,612 (2017: £1,346,484).</w:t>
      </w:r>
    </w:p>
    <w:p>
      <w:pPr>
        <w:spacing w:after="0" w:line="212"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Other liability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1006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100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5"/>
        </w:trPr>
        <w:tc>
          <w:tcPr>
            <w:tcW w:w="1006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(in £)</w:t>
            </w:r>
          </w:p>
        </w:tc>
        <w:tc>
          <w:tcPr>
            <w:tcW w:w="60" w:type="dxa"/>
            <w:vAlign w:val="bottom"/>
          </w:tcPr>
          <w:p>
            <w:pPr>
              <w:spacing w:after="0"/>
              <w:rPr>
                <w:sz w:val="13"/>
                <w:szCs w:val="13"/>
                <w:color w:val="auto"/>
              </w:rPr>
            </w:pP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beginning of year</w:t>
            </w:r>
          </w:p>
        </w:tc>
        <w:tc>
          <w:tcPr>
            <w:tcW w:w="96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b w:val="1"/>
                <w:bCs w:val="1"/>
                <w:color w:val="auto"/>
              </w:rPr>
              <w:t>—</w:t>
            </w:r>
          </w:p>
        </w:tc>
      </w:tr>
      <w:tr>
        <w:trPr>
          <w:trHeight w:val="210"/>
        </w:trPr>
        <w:tc>
          <w:tcPr>
            <w:tcW w:w="1006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34,289</w:t>
            </w:r>
          </w:p>
        </w:tc>
        <w:tc>
          <w:tcPr>
            <w:tcW w:w="60" w:type="dxa"/>
            <w:vAlign w:val="bottom"/>
          </w:tcPr>
          <w:p>
            <w:pPr>
              <w:spacing w:after="0"/>
              <w:rPr>
                <w:sz w:val="18"/>
                <w:szCs w:val="18"/>
                <w:color w:val="auto"/>
              </w:rPr>
            </w:pP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34,289</w:t>
            </w:r>
          </w:p>
        </w:tc>
      </w:tr>
      <w:tr>
        <w:trPr>
          <w:trHeight w:val="20"/>
        </w:trPr>
        <w:tc>
          <w:tcPr>
            <w:tcW w:w="10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October 8, 2018, the Group entered into a funding agreement with The Alpha-1 Project (“TAP”), which provides for total potential payments to Mereo of $ 400,000 as contributions towards the development of MPH-966 upon completion of certain milestones by the Group. In exchange, on receipt of such funding, the Group will issue warrants allowing TAP to subscribe for shares in the company (see Note 17). Under the agreement, TAP is potentially entitled to receive a payment equivalent to amounts received by Mereo (up to a maximum of $400,000) conditional on and within thirty days of the first regulatory approval received by the Group for MPH-966.</w:t>
      </w:r>
    </w:p>
    <w:p>
      <w:pPr>
        <w:spacing w:after="0" w:line="20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first payment (“Payment 1”) of $100,000 (£78,445) was made to Mereo on November 16, 2018. The fair value of the liability of Payment 1 on November 16, 2018 was £ 34,289. Application of the effective interest method is required to accrete the initial liability value up to the face value of the liability over a period of five years, being the estimate of the earliest date that the liability could be repaid and assuming that the agreement is not terminated earlier. This non-cash interest charge will be made in each statutory reporting period. The annual value of this interest charge is 25.8%.</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warrants issued as part of Payment 1 on November 16, 2018 was £44,156.</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carrying value of the liability at December 31, 2018 was £34,289. £34,289 is a non-current liability.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Trade and other payables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tcPr>
          <w:p>
            <w:pPr>
              <w:spacing w:after="0"/>
              <w:rPr>
                <w:sz w:val="15"/>
                <w:szCs w:val="15"/>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8680" w:type="dxa"/>
            <w:vAlign w:val="bottom"/>
          </w:tcPr>
          <w:p>
            <w:pPr>
              <w:spacing w:after="0"/>
              <w:rPr>
                <w:sz w:val="13"/>
                <w:szCs w:val="13"/>
                <w:color w:val="auto"/>
              </w:rPr>
            </w:pPr>
          </w:p>
        </w:tc>
        <w:tc>
          <w:tcPr>
            <w:tcW w:w="1380" w:type="dxa"/>
            <w:vAlign w:val="bottom"/>
            <w:gridSpan w:val="3"/>
          </w:tcPr>
          <w:p>
            <w:pPr>
              <w:jc w:val="center"/>
              <w:ind w:left="798"/>
              <w:spacing w:after="0" w:line="155" w:lineRule="exact"/>
              <w:rPr>
                <w:sz w:val="20"/>
                <w:szCs w:val="20"/>
                <w:color w:val="auto"/>
              </w:rPr>
            </w:pPr>
            <w:r>
              <w:rPr>
                <w:rFonts w:ascii="Arial" w:cs="Arial" w:eastAsia="Arial" w:hAnsi="Arial"/>
                <w:sz w:val="14"/>
                <w:szCs w:val="14"/>
                <w:b w:val="1"/>
                <w:bCs w:val="1"/>
                <w:color w:val="auto"/>
              </w:rPr>
              <w:t>(in £)</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payables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2,860,303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4,392,602</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Social security and other taxes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144,348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160,719</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19,375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16,986</w:t>
            </w: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At December 31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3,024,026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4,570,307</w:t>
            </w: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Terms and conditions of the above financial liabilities:</w:t>
      </w:r>
    </w:p>
    <w:p>
      <w:pPr>
        <w:spacing w:after="0" w:line="117" w:lineRule="exact"/>
        <w:rPr>
          <w:sz w:val="20"/>
          <w:szCs w:val="20"/>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trade payables are non-interest bearing and are normally settled on 30-day terms;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other payables are non-interest bearing and have an average term of one month.</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Changes in liabilities arising from financing activities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Deferred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Novartis</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Warrant</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cash</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TAP</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3960" w:type="dxa"/>
            <w:vAlign w:val="bottom"/>
          </w:tcPr>
          <w:p>
            <w:pPr>
              <w:spacing w:after="0"/>
              <w:rPr>
                <w:sz w:val="15"/>
                <w:szCs w:val="15"/>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Bank loan</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notes</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liability</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consideration</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Agreement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5"/>
        </w:trPr>
        <w:tc>
          <w:tcPr>
            <w:tcW w:w="39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w:t>
            </w: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January 1, 2018</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18,774,924</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1,977,393</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1,346,484</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2,061,000</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24,159,801</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b w:val="1"/>
                <w:bCs w:val="1"/>
                <w:color w:val="auto"/>
              </w:rPr>
              <w:t>Cash</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bank loan</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455,000</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455,000</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Increase in TAP funding</w:t>
            </w:r>
          </w:p>
        </w:tc>
        <w:tc>
          <w:tcPr>
            <w:tcW w:w="1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34,289</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34,289</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payments</w:t>
            </w:r>
          </w:p>
        </w:tc>
        <w:tc>
          <w:tcPr>
            <w:tcW w:w="12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(1,644,610)</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(1,644,610)</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Bank loan transaction costs</w:t>
            </w:r>
          </w:p>
        </w:tc>
        <w:tc>
          <w:tcPr>
            <w:tcW w:w="12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(920,859)</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(920,859)</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Non-cash</w:t>
            </w: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Bank modification loss</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730,037</w:t>
            </w:r>
          </w:p>
        </w:tc>
        <w:tc>
          <w:tcPr>
            <w:tcW w:w="20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730,037</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additional warrants</w:t>
            </w:r>
          </w:p>
        </w:tc>
        <w:tc>
          <w:tcPr>
            <w:tcW w:w="12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(375,344)</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70,000</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(305,344)</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Increase in warrant liability</w:t>
            </w:r>
          </w:p>
        </w:tc>
        <w:tc>
          <w:tcPr>
            <w:tcW w:w="1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375,344</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375,344</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Novartis Notes - amounts restated through</w:t>
            </w: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retained earnings</w:t>
            </w:r>
          </w:p>
        </w:tc>
        <w:tc>
          <w:tcPr>
            <w:tcW w:w="1260" w:type="dxa"/>
            <w:vAlign w:val="bottom"/>
            <w:gridSpan w:val="3"/>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(123,864)</w:t>
            </w:r>
          </w:p>
        </w:tc>
        <w:tc>
          <w:tcPr>
            <w:tcW w:w="11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(123,864)</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Change in fair value warrant</w:t>
            </w:r>
          </w:p>
        </w:tc>
        <w:tc>
          <w:tcPr>
            <w:tcW w:w="1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(716,215)</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(716,215)</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2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Interest accrual</w:t>
            </w:r>
          </w:p>
        </w:tc>
        <w:tc>
          <w:tcPr>
            <w:tcW w:w="12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1,644,610</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1,644,610</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Accreted interest</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781,998</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185,352</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967,350</w:t>
            </w:r>
          </w:p>
        </w:tc>
      </w:tr>
      <w:tr>
        <w:trPr>
          <w:trHeight w:val="209"/>
        </w:trPr>
        <w:tc>
          <w:tcPr>
            <w:tcW w:w="39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19,445,756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2,038,881</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1,005,613</w:t>
            </w:r>
          </w:p>
        </w:tc>
        <w:tc>
          <w:tcPr>
            <w:tcW w:w="2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2,131,000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94"/>
              </w:rPr>
              <w:t>34,289</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24,655,539</w:t>
            </w:r>
          </w:p>
        </w:tc>
        <w:tc>
          <w:tcPr>
            <w:tcW w:w="16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20" w:hanging="304"/>
        <w:spacing w:after="0"/>
        <w:tabs>
          <w:tab w:leader="none" w:pos="42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and capital risk management and fair value measurement</w:t>
      </w:r>
    </w:p>
    <w:p>
      <w:pPr>
        <w:spacing w:after="0" w:line="103" w:lineRule="exact"/>
        <w:rPr>
          <w:rFonts w:ascii="Arial" w:cs="Arial" w:eastAsia="Arial" w:hAnsi="Arial"/>
          <w:sz w:val="18"/>
          <w:szCs w:val="18"/>
          <w:b w:val="1"/>
          <w:bCs w:val="1"/>
          <w:color w:val="auto"/>
        </w:rPr>
      </w:pPr>
    </w:p>
    <w:p>
      <w:pPr>
        <w:ind w:left="560" w:hanging="444"/>
        <w:spacing w:after="0"/>
        <w:tabs>
          <w:tab w:leader="none" w:pos="560" w:val="left"/>
        </w:tabs>
        <w:numPr>
          <w:ilvl w:val="0"/>
          <w:numId w:val="1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risk management</w:t>
      </w:r>
    </w:p>
    <w:p>
      <w:pPr>
        <w:spacing w:after="0" w:line="126"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9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Group’s objectives when managing capital are to safeguard the ability to continue as a going concern and ensure that sufficient capital is in place to fund the Group’s R&amp;D activities. The Group’s principal method of adjusting the capital available is through issuing new shares or arranging suitable debt financing, including any related warrants. The Group’s share capital and share premium are disclosed in Note 17. The Group’s loans are disclosed in Note 18. The Group monitors the availability of capital with regard to its committed and planned forecast future expenditure on an ongoing basis. The Group has set up an Employee Benefit Trust which makes market purchases of the Company’s shares to provide some cover against future exercise of options under the Company’s share option schemes (see Note 27).</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24.2. Financial risk management objectives and policies</w:t>
      </w:r>
    </w:p>
    <w:p>
      <w:pPr>
        <w:spacing w:after="0" w:line="126"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Monitoring of financial risk is part of the Board’s ongoing risk management, the effectiveness of which is reviewed annually. Our agreed policies are implemented by the Chief Financial Officer, who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submits periodic reports to the Board. The Group seeks to maintain a balance between equity capital and convertible and secured debt to provide sufficient cash resources to execute the business plan. In addition, the Group maintains a balance between cash held on deposit and short-term investments in Sterling and other currencies to reduce its exposure to foreign exchange fluctuations in respect of its planned expenditure. During the year, in order to maintain a strong cash runway the Group completed an equity placing and arranged and drew down a new bank debt facility, which includes an initial interest-only period until September 2018.</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Except for the bank loans and the existing convertible loan notes issued in 2016,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2018.</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22"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The Group’s policy in relation to interest rate risk is to monitor short and medium-term interest rates and to place cash on deposit for periods that optimize the amount of interest earned while maintaining access to sufficient funds to meet day-to-day cash requirements.</w:t>
      </w:r>
    </w:p>
    <w:p>
      <w:pPr>
        <w:spacing w:after="0" w:line="175"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interest payable on both the convertible loan note and bank loan is fixed. Consequently, there is no material exposure to interest rate risk in respect of interest payable.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risk</w:t>
      </w:r>
    </w:p>
    <w:p>
      <w:pPr>
        <w:spacing w:after="0" w:line="122" w:lineRule="exact"/>
        <w:rPr>
          <w:sz w:val="20"/>
          <w:szCs w:val="20"/>
          <w:color w:val="auto"/>
        </w:rPr>
      </w:pPr>
    </w:p>
    <w:p>
      <w:pPr>
        <w:jc w:val="both"/>
        <w:ind w:left="120" w:right="260" w:firstLine="440"/>
        <w:spacing w:after="0" w:line="238" w:lineRule="auto"/>
        <w:rPr>
          <w:sz w:val="20"/>
          <w:szCs w:val="20"/>
          <w:color w:val="auto"/>
        </w:rPr>
      </w:pPr>
      <w:r>
        <w:rPr>
          <w:rFonts w:ascii="Arial" w:cs="Arial" w:eastAsia="Arial" w:hAnsi="Arial"/>
          <w:sz w:val="18"/>
          <w:szCs w:val="18"/>
          <w:color w:val="auto"/>
        </w:rPr>
        <w:t>The Group currently has no revenue. The majority of operating costs are denominated in Sterling, Euros and U.S. Dollars (USD). Funding to date has been secured in a mixture of Sterling and USD (in respect of funding attributable to the merger with OncoMed) and therefore a level of natural hedging exists in respect of operating costs. Foreign exchange risk arises from commercial transactions and recognized assets and liabilities in foreign currencies.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risks</w:t>
      </w:r>
    </w:p>
    <w:p>
      <w:pPr>
        <w:spacing w:after="0" w:line="12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Group’s policy is to place funds with financial institutions which have a minimum long-term credit rating with Standard &amp; Poor’s of A. The Group also allocates a quota to individual institutions in respect of cash deposits and also seeks to diversify its investments where this is consistent with achieving competitive rates of return. It is the Group’s policy to place not more than £10 million with any one investment counterparty and no more than £5 million with any one cash deposit counterparty.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and liquidity risk</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Credit risk from balances with banks and financial institutions is managed by the Group’s finance department in accordance with the Group’s policy. Investments of surplus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minimize the concentration of risks and therefore mitigate financial loss through a counterparty’s potential failure to make payments.</w:t>
      </w:r>
    </w:p>
    <w:p>
      <w:pPr>
        <w:spacing w:after="0" w:line="202"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The Group’s maximum exposure to credit risk for the components of the balance sheet at December 31, 2018 is the carrying amounts.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2.3 regarding the directors’ assessment of liquidity for further information.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24.3. Fair value hierarchy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Fair value measurement using</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 active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inputs</w:t>
            </w:r>
          </w:p>
        </w:tc>
      </w:tr>
      <w:tr>
        <w:trPr>
          <w:trHeight w:val="175"/>
        </w:trPr>
        <w:tc>
          <w:tcPr>
            <w:tcW w:w="5300" w:type="dxa"/>
            <w:vAlign w:val="bottom"/>
          </w:tcPr>
          <w:p>
            <w:pPr>
              <w:spacing w:after="0"/>
              <w:rPr>
                <w:sz w:val="15"/>
                <w:szCs w:val="15"/>
                <w:color w:val="auto"/>
              </w:rPr>
            </w:pPr>
          </w:p>
        </w:tc>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Date of valuation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780" w:type="dxa"/>
            <w:vAlign w:val="bottom"/>
          </w:tcPr>
          <w:p>
            <w:pPr>
              <w:jc w:val="right"/>
              <w:ind w:right="18"/>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5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 measured at fair value</w:t>
            </w:r>
          </w:p>
        </w:tc>
        <w:tc>
          <w:tcPr>
            <w:tcW w:w="1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Provision for deferred cash consideration (Note 19)</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1180" w:type="dxa"/>
            <w:vAlign w:val="bottom"/>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2,131,000</w:t>
            </w:r>
          </w:p>
        </w:tc>
        <w:tc>
          <w:tcPr>
            <w:tcW w:w="86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2,131,000</w:t>
            </w: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 (Note 20)</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1,005,613</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1,005,613</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for which fair values are disclosed</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loan (Note 18a)</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2,038,881</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2,038,881</w:t>
            </w: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Bank loan (Note 18b)</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1180" w:type="dxa"/>
            <w:vAlign w:val="bottom"/>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9"/>
              </w:rPr>
              <w:t>19,445,756</w:t>
            </w:r>
          </w:p>
        </w:tc>
        <w:tc>
          <w:tcPr>
            <w:tcW w:w="86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97"/>
              </w:rPr>
              <w:t>19,445,756</w:t>
            </w: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TAP funding liability (Note 21)</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2018</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34,289</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34,289</w:t>
            </w: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and Level 2 during 2018.</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Fair value measurement hierarchy for liabilities as at December 31, 2017:</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Fair value measurement using</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 active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inputs</w:t>
            </w:r>
          </w:p>
        </w:tc>
      </w:tr>
      <w:tr>
        <w:trPr>
          <w:trHeight w:val="175"/>
        </w:trPr>
        <w:tc>
          <w:tcPr>
            <w:tcW w:w="5300" w:type="dxa"/>
            <w:vAlign w:val="bottom"/>
          </w:tcPr>
          <w:p>
            <w:pPr>
              <w:spacing w:after="0"/>
              <w:rPr>
                <w:sz w:val="15"/>
                <w:szCs w:val="15"/>
                <w:color w:val="auto"/>
              </w:rPr>
            </w:pPr>
          </w:p>
        </w:tc>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Date of valuation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5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 measured at fair value</w:t>
            </w:r>
          </w:p>
        </w:tc>
        <w:tc>
          <w:tcPr>
            <w:tcW w:w="1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Provision for deferred cash consideration (Note 19)</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1180" w:type="dxa"/>
            <w:vAlign w:val="bottom"/>
          </w:tcPr>
          <w:p>
            <w:pPr>
              <w:ind w:left="60"/>
              <w:spacing w:after="0" w:line="203" w:lineRule="exact"/>
              <w:rPr>
                <w:sz w:val="20"/>
                <w:szCs w:val="20"/>
                <w:color w:val="auto"/>
              </w:rPr>
            </w:pPr>
            <w:r>
              <w:rPr>
                <w:rFonts w:ascii="Arial" w:cs="Arial" w:eastAsia="Arial" w:hAnsi="Arial"/>
                <w:sz w:val="18"/>
                <w:szCs w:val="18"/>
                <w:color w:val="auto"/>
              </w:rPr>
              <w:t>2017</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2,061,000</w:t>
            </w:r>
          </w:p>
        </w:tc>
        <w:tc>
          <w:tcPr>
            <w:tcW w:w="86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2,061,000</w:t>
            </w: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 (Note 20)</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1,346,484</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1,346,484</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for which fair values are disclosed</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loan (Note 18a)</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1,977,393</w:t>
            </w:r>
          </w:p>
        </w:tc>
        <w:tc>
          <w:tcPr>
            <w:tcW w:w="8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1,977,393</w:t>
            </w: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Bank loan (Note 18b)</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530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2017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18,774,924</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18,774,924</w:t>
            </w:r>
          </w:p>
        </w:tc>
      </w:tr>
    </w:tbl>
    <w:p>
      <w:pPr>
        <w:spacing w:after="0" w:line="202"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There were no transfers between Level 1 and Level 2 during 2017.</w:t>
      </w:r>
    </w:p>
    <w:p>
      <w:pPr>
        <w:spacing w:after="0" w:line="144"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out below is a comparison, by class, of the carrying amounts and fair values of the Group’s financial instruments: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256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2017</w:t>
            </w:r>
          </w:p>
        </w:tc>
        <w:tc>
          <w:tcPr>
            <w:tcW w:w="220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 2018</w:t>
            </w:r>
          </w:p>
        </w:tc>
      </w:tr>
      <w:tr>
        <w:trPr>
          <w:trHeight w:val="142"/>
        </w:trPr>
        <w:tc>
          <w:tcPr>
            <w:tcW w:w="6260" w:type="dxa"/>
            <w:vAlign w:val="bottom"/>
          </w:tcPr>
          <w:p>
            <w:pPr>
              <w:spacing w:after="0"/>
              <w:rPr>
                <w:sz w:val="12"/>
                <w:szCs w:val="12"/>
                <w:color w:val="auto"/>
              </w:rPr>
            </w:pPr>
          </w:p>
        </w:tc>
        <w:tc>
          <w:tcPr>
            <w:tcW w:w="122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b w:val="1"/>
                <w:bCs w:val="1"/>
                <w:color w:val="auto"/>
              </w:rPr>
              <w:t>Carrying</w:t>
            </w:r>
          </w:p>
        </w:tc>
        <w:tc>
          <w:tcPr>
            <w:tcW w:w="10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Carrying</w:t>
            </w:r>
          </w:p>
        </w:tc>
        <w:tc>
          <w:tcPr>
            <w:tcW w:w="1020" w:type="dxa"/>
            <w:vAlign w:val="bottom"/>
            <w:tcBorders>
              <w:top w:val="single" w:sz="8" w:color="auto"/>
            </w:tcBorders>
          </w:tcPr>
          <w:p>
            <w:pPr>
              <w:jc w:val="right"/>
              <w:ind w:right="319"/>
              <w:spacing w:after="0" w:line="14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r>
      <w:tr>
        <w:trPr>
          <w:trHeight w:val="175"/>
        </w:trPr>
        <w:tc>
          <w:tcPr>
            <w:tcW w:w="626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r>
      <w:tr>
        <w:trPr>
          <w:trHeight w:val="155"/>
        </w:trPr>
        <w:tc>
          <w:tcPr>
            <w:tcW w:w="626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ind w:left="960"/>
              <w:spacing w:after="0" w:line="155" w:lineRule="exact"/>
              <w:rPr>
                <w:sz w:val="20"/>
                <w:szCs w:val="20"/>
                <w:color w:val="auto"/>
              </w:rPr>
            </w:pPr>
            <w:r>
              <w:rPr>
                <w:rFonts w:ascii="Arial" w:cs="Arial" w:eastAsia="Arial" w:hAnsi="Arial"/>
                <w:sz w:val="14"/>
                <w:szCs w:val="14"/>
                <w:b w:val="1"/>
                <w:bCs w:val="1"/>
                <w:color w:val="auto"/>
              </w:rPr>
              <w:t>(in £)</w:t>
            </w:r>
          </w:p>
        </w:tc>
        <w:tc>
          <w:tcPr>
            <w:tcW w:w="1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220" w:type="dxa"/>
            <w:vAlign w:val="bottom"/>
          </w:tcPr>
          <w:p>
            <w:pPr>
              <w:ind w:left="220"/>
              <w:spacing w:after="0" w:line="202" w:lineRule="exact"/>
              <w:rPr>
                <w:sz w:val="20"/>
                <w:szCs w:val="20"/>
                <w:color w:val="auto"/>
              </w:rPr>
            </w:pPr>
            <w:r>
              <w:rPr>
                <w:rFonts w:ascii="Arial" w:cs="Arial" w:eastAsia="Arial" w:hAnsi="Arial"/>
                <w:sz w:val="18"/>
                <w:szCs w:val="18"/>
                <w:color w:val="auto"/>
              </w:rPr>
              <w:t>2,061,000</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2,061,000</w:t>
            </w:r>
          </w:p>
        </w:tc>
        <w:tc>
          <w:tcPr>
            <w:tcW w:w="180" w:type="dxa"/>
            <w:vAlign w:val="bottom"/>
          </w:tcPr>
          <w:p>
            <w:pPr>
              <w:spacing w:after="0"/>
              <w:rPr>
                <w:sz w:val="17"/>
                <w:szCs w:val="17"/>
                <w:color w:val="auto"/>
              </w:rPr>
            </w:pPr>
          </w:p>
        </w:tc>
        <w:tc>
          <w:tcPr>
            <w:tcW w:w="1100" w:type="dxa"/>
            <w:vAlign w:val="bottom"/>
          </w:tcPr>
          <w:p>
            <w:pPr>
              <w:ind w:left="80"/>
              <w:spacing w:after="0" w:line="202" w:lineRule="exact"/>
              <w:rPr>
                <w:sz w:val="20"/>
                <w:szCs w:val="20"/>
                <w:color w:val="auto"/>
              </w:rPr>
            </w:pPr>
            <w:r>
              <w:rPr>
                <w:rFonts w:ascii="Arial" w:cs="Arial" w:eastAsia="Arial" w:hAnsi="Arial"/>
                <w:sz w:val="18"/>
                <w:szCs w:val="18"/>
                <w:color w:val="auto"/>
              </w:rPr>
              <w:t>2,131,000</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2,131,000</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1,346,484</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1,346,484</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1,005,613</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1,005,613</w:t>
            </w:r>
          </w:p>
        </w:tc>
      </w:tr>
    </w:tbl>
    <w:p>
      <w:pPr>
        <w:spacing w:after="0" w:line="215" w:lineRule="exact"/>
        <w:rPr>
          <w:sz w:val="20"/>
          <w:szCs w:val="20"/>
          <w:color w:val="auto"/>
        </w:rPr>
      </w:pPr>
    </w:p>
    <w:p>
      <w:pPr>
        <w:jc w:val="both"/>
        <w:ind w:left="120" w:right="80" w:firstLine="440"/>
        <w:spacing w:after="0" w:line="246" w:lineRule="auto"/>
        <w:rPr>
          <w:sz w:val="20"/>
          <w:szCs w:val="20"/>
          <w:color w:val="auto"/>
        </w:rPr>
      </w:pPr>
      <w:r>
        <w:rPr>
          <w:rFonts w:ascii="Arial" w:cs="Arial" w:eastAsia="Arial" w:hAnsi="Arial"/>
          <w:sz w:val="18"/>
          <w:szCs w:val="18"/>
          <w:color w:val="auto"/>
        </w:rPr>
        <w:t>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methods and assumptions were used to estimate the fair values:</w:t>
      </w:r>
    </w:p>
    <w:p>
      <w:pPr>
        <w:spacing w:after="0" w:line="117" w:lineRule="exact"/>
        <w:rPr>
          <w:sz w:val="20"/>
          <w:szCs w:val="20"/>
          <w:color w:val="auto"/>
        </w:rPr>
      </w:pPr>
    </w:p>
    <w:p>
      <w:pPr>
        <w:ind w:left="1080" w:right="60" w:hanging="424"/>
        <w:spacing w:after="0" w:line="23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08" w:lineRule="exact"/>
        <w:rPr>
          <w:rFonts w:ascii="Arial" w:cs="Arial" w:eastAsia="Arial" w:hAnsi="Arial"/>
          <w:sz w:val="18"/>
          <w:szCs w:val="18"/>
          <w:color w:val="auto"/>
        </w:rPr>
      </w:pPr>
    </w:p>
    <w:p>
      <w:pPr>
        <w:ind w:left="1080" w:right="480" w:hanging="424"/>
        <w:spacing w:after="0" w:line="246"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warrant liability is estimated using the Black Scholes model taking into account appropriate amendments to inputs in respect of volatility, remaining expected life of the warrants, cost of capital, probability of success and rates of interest.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significant unobservable inputs used in the fair value measurements categorized within Level 3 of the fair value hierarchy, together with a quantitative sensitivity analysis as at December 31, 2018 and 2017 are as shown below:</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Range</w:t>
            </w: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deferred cash</w:t>
            </w:r>
          </w:p>
        </w:tc>
        <w:tc>
          <w:tcPr>
            <w:tcW w:w="200" w:type="dxa"/>
            <w:vAlign w:val="bottom"/>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6"/>
                <w:szCs w:val="16"/>
                <w:color w:val="auto"/>
              </w:rPr>
            </w:pPr>
          </w:p>
        </w:tc>
        <w:tc>
          <w:tcPr>
            <w:tcW w:w="38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60"/>
        </w:trPr>
        <w:tc>
          <w:tcPr>
            <w:tcW w:w="2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line="160" w:lineRule="exact"/>
              <w:rPr>
                <w:sz w:val="20"/>
                <w:szCs w:val="20"/>
                <w:color w:val="auto"/>
              </w:rPr>
            </w:pPr>
            <w:r>
              <w:rPr>
                <w:rFonts w:ascii="Arial" w:cs="Arial" w:eastAsia="Arial" w:hAnsi="Arial"/>
                <w:sz w:val="18"/>
                <w:szCs w:val="18"/>
                <w:color w:val="auto"/>
              </w:rPr>
              <w:t>DCF</w:t>
            </w:r>
          </w:p>
        </w:tc>
        <w:tc>
          <w:tcPr>
            <w:tcW w:w="100" w:type="dxa"/>
            <w:vAlign w:val="bottom"/>
          </w:tcPr>
          <w:p>
            <w:pPr>
              <w:spacing w:after="0"/>
              <w:rPr>
                <w:sz w:val="13"/>
                <w:szCs w:val="13"/>
                <w:color w:val="auto"/>
              </w:rPr>
            </w:pPr>
          </w:p>
        </w:tc>
        <w:tc>
          <w:tcPr>
            <w:tcW w:w="1540" w:type="dxa"/>
            <w:vAlign w:val="bottom"/>
          </w:tcPr>
          <w:p>
            <w:pPr>
              <w:spacing w:after="0" w:line="160" w:lineRule="exact"/>
              <w:rPr>
                <w:sz w:val="20"/>
                <w:szCs w:val="20"/>
                <w:color w:val="auto"/>
              </w:rPr>
            </w:pPr>
            <w:r>
              <w:rPr>
                <w:rFonts w:ascii="Arial" w:cs="Arial" w:eastAsia="Arial" w:hAnsi="Arial"/>
                <w:sz w:val="18"/>
                <w:szCs w:val="18"/>
                <w:color w:val="auto"/>
              </w:rPr>
              <w:t>WACC</w:t>
            </w:r>
          </w:p>
        </w:tc>
        <w:tc>
          <w:tcPr>
            <w:tcW w:w="100" w:type="dxa"/>
            <w:vAlign w:val="bottom"/>
          </w:tcPr>
          <w:p>
            <w:pPr>
              <w:spacing w:after="0"/>
              <w:rPr>
                <w:sz w:val="13"/>
                <w:szCs w:val="13"/>
                <w:color w:val="auto"/>
              </w:rPr>
            </w:pPr>
          </w:p>
        </w:tc>
        <w:tc>
          <w:tcPr>
            <w:tcW w:w="1660" w:type="dxa"/>
            <w:vAlign w:val="bottom"/>
          </w:tcPr>
          <w:p>
            <w:pPr>
              <w:jc w:val="center"/>
              <w:spacing w:after="0" w:line="160" w:lineRule="exact"/>
              <w:rPr>
                <w:sz w:val="20"/>
                <w:szCs w:val="20"/>
                <w:color w:val="auto"/>
              </w:rPr>
            </w:pPr>
            <w:r>
              <w:rPr>
                <w:rFonts w:ascii="Arial" w:cs="Arial" w:eastAsia="Arial" w:hAnsi="Arial"/>
                <w:sz w:val="18"/>
                <w:szCs w:val="18"/>
                <w:color w:val="auto"/>
              </w:rPr>
              <w:t>2018: 15.3%</w:t>
            </w:r>
          </w:p>
        </w:tc>
        <w:tc>
          <w:tcPr>
            <w:tcW w:w="100" w:type="dxa"/>
            <w:vAlign w:val="bottom"/>
          </w:tcPr>
          <w:p>
            <w:pPr>
              <w:spacing w:after="0"/>
              <w:rPr>
                <w:sz w:val="13"/>
                <w:szCs w:val="13"/>
                <w:color w:val="auto"/>
              </w:rPr>
            </w:pPr>
          </w:p>
        </w:tc>
        <w:tc>
          <w:tcPr>
            <w:tcW w:w="3860" w:type="dxa"/>
            <w:vAlign w:val="bottom"/>
          </w:tcPr>
          <w:p>
            <w:pPr>
              <w:spacing w:after="0" w:line="160" w:lineRule="exact"/>
              <w:rPr>
                <w:sz w:val="20"/>
                <w:szCs w:val="20"/>
                <w:color w:val="auto"/>
              </w:rPr>
            </w:pPr>
            <w:r>
              <w:rPr>
                <w:rFonts w:ascii="Arial" w:cs="Arial" w:eastAsia="Arial" w:hAnsi="Arial"/>
                <w:sz w:val="18"/>
                <w:szCs w:val="18"/>
                <w:color w:val="auto"/>
              </w:rPr>
              <w:t>1% increase/(decrease) would result in a</w:t>
            </w:r>
          </w:p>
        </w:tc>
        <w:tc>
          <w:tcPr>
            <w:tcW w:w="0" w:type="dxa"/>
            <w:vAlign w:val="bottom"/>
          </w:tcPr>
          <w:p>
            <w:pPr>
              <w:spacing w:after="0"/>
              <w:rPr>
                <w:sz w:val="1"/>
                <w:szCs w:val="1"/>
                <w:color w:val="auto"/>
              </w:rPr>
            </w:pPr>
          </w:p>
        </w:tc>
      </w:tr>
      <w:tr>
        <w:trPr>
          <w:trHeight w:val="252"/>
        </w:trPr>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consideration</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decrease/(increase) in fair value by £33,000.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WACC</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rPr>
              <w:t>2017: 15.3%</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 increase/(decrease) would result in a</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decrease/(increase) in fair value by £30,000.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Probability of</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2018: 28%-95%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increase/(decrease) would result in</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success</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 increase/(decrease) in fair value by</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Probability of</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2017: 28%-85%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increase/(decrease) would result in</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success</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 increase/(decrease) in fair value by</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0"/>
                <w:szCs w:val="20"/>
                <w:color w:val="auto"/>
              </w:rPr>
            </w:pPr>
            <w:r>
              <w:rPr>
                <w:rFonts w:ascii="Arial" w:cs="Arial" w:eastAsia="Arial" w:hAnsi="Arial"/>
                <w:sz w:val="18"/>
                <w:szCs w:val="18"/>
                <w:b w:val="1"/>
                <w:bCs w:val="1"/>
                <w:color w:val="auto"/>
              </w:rPr>
              <w:t>Warrant liability</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Black</w:t>
            </w: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Risk-free</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rPr>
              <w:t>2018: 1.33%</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 increase/(decrease) would result in an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Scholes</w:t>
            </w: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interest rate</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£25,000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Risk-free</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rPr>
              <w:t>2017: 1.25%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 increase/(decrease) would result in an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interest rate</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£46,000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Volatility</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2018: 65%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increase/(decrease) would result in an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£145,000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Volatility</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2017: 50%</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increase/(decrease) would result in an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£200,000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Remaining life</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2018: 3,254 days</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365 days would result in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an increase/(decrease) of £56,000</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Remaining life</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2017: 3,519 days</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Increase/(decrease) of 365 days would result in</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an increase/(decrease) of £54,000</w:t>
            </w:r>
          </w:p>
        </w:tc>
        <w:tc>
          <w:tcPr>
            <w:tcW w:w="0" w:type="dxa"/>
            <w:vAlign w:val="bottom"/>
          </w:tcPr>
          <w:p>
            <w:pPr>
              <w:spacing w:after="0"/>
              <w:rPr>
                <w:sz w:val="1"/>
                <w:szCs w:val="1"/>
                <w:color w:val="auto"/>
              </w:rPr>
            </w:pPr>
          </w:p>
        </w:tc>
      </w:tr>
      <w:tr>
        <w:trPr>
          <w:trHeight w:val="351"/>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F-60</w:t>
            </w: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the maturity profile of the Group’s financial liabilities based on contractual undiscounted payments at</w:t>
      </w:r>
    </w:p>
    <w:p>
      <w:pPr>
        <w:ind w:left="120"/>
        <w:spacing w:after="0"/>
        <w:rPr>
          <w:sz w:val="20"/>
          <w:szCs w:val="20"/>
          <w:color w:val="auto"/>
        </w:rPr>
      </w:pPr>
      <w:r>
        <w:rPr>
          <w:rFonts w:ascii="Arial" w:cs="Arial" w:eastAsia="Arial" w:hAnsi="Arial"/>
          <w:sz w:val="18"/>
          <w:szCs w:val="18"/>
          <w:color w:val="auto"/>
        </w:rPr>
        <w:t>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5"/>
          </w:tcPr>
          <w:p>
            <w:pPr>
              <w:jc w:val="center"/>
              <w:ind w:left="16"/>
              <w:spacing w:after="0"/>
              <w:rPr>
                <w:sz w:val="20"/>
                <w:szCs w:val="20"/>
                <w:color w:val="auto"/>
              </w:rPr>
            </w:pPr>
            <w:r>
              <w:rPr>
                <w:rFonts w:ascii="Arial" w:cs="Arial" w:eastAsia="Arial" w:hAnsi="Arial"/>
                <w:sz w:val="14"/>
                <w:szCs w:val="14"/>
                <w:b w:val="1"/>
                <w:bCs w:val="1"/>
                <w:color w:val="auto"/>
              </w:rPr>
              <w:t>Payments due by period</w:t>
            </w: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760" w:type="dxa"/>
            <w:vAlign w:val="bottom"/>
          </w:tcPr>
          <w:p>
            <w:pPr>
              <w:spacing w:after="0"/>
              <w:rPr>
                <w:sz w:val="13"/>
                <w:szCs w:val="13"/>
                <w:color w:val="auto"/>
              </w:rPr>
            </w:pPr>
          </w:p>
        </w:tc>
        <w:tc>
          <w:tcPr>
            <w:tcW w:w="134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Up to 1 year</w:t>
            </w:r>
          </w:p>
        </w:tc>
        <w:tc>
          <w:tcPr>
            <w:tcW w:w="142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1–3 years</w:t>
            </w:r>
          </w:p>
        </w:tc>
        <w:tc>
          <w:tcPr>
            <w:tcW w:w="6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3–5 years</w:t>
            </w: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9"/>
              </w:rPr>
              <w:t>Over 5 years</w:t>
            </w: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55"/>
        </w:trPr>
        <w:tc>
          <w:tcPr>
            <w:tcW w:w="4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(in £)</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82,600</w:t>
            </w:r>
          </w:p>
        </w:tc>
        <w:tc>
          <w:tcPr>
            <w:tcW w:w="4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2,161,642</w:t>
            </w:r>
          </w:p>
        </w:tc>
        <w:tc>
          <w:tcPr>
            <w:tcW w:w="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2,244,242</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8,260,337</w:t>
            </w:r>
          </w:p>
        </w:tc>
        <w:tc>
          <w:tcPr>
            <w:tcW w:w="460" w:type="dxa"/>
            <w:vAlign w:val="bottom"/>
          </w:tcPr>
          <w:p>
            <w:pPr>
              <w:spacing w:after="0"/>
              <w:rPr>
                <w:sz w:val="17"/>
                <w:szCs w:val="17"/>
                <w:color w:val="auto"/>
              </w:rPr>
            </w:pPr>
          </w:p>
        </w:tc>
        <w:tc>
          <w:tcPr>
            <w:tcW w:w="14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15,589,137</w:t>
            </w:r>
          </w:p>
        </w:tc>
        <w:tc>
          <w:tcPr>
            <w:tcW w:w="680" w:type="dxa"/>
            <w:vAlign w:val="bottom"/>
          </w:tcPr>
          <w:p>
            <w:pPr>
              <w:ind w:left="40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7"/>
                <w:szCs w:val="17"/>
                <w:color w:val="auto"/>
              </w:rPr>
            </w:pPr>
          </w:p>
        </w:tc>
        <w:tc>
          <w:tcPr>
            <w:tcW w:w="860" w:type="dxa"/>
            <w:vAlign w:val="bottom"/>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23,849,474</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26)</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331,527</w:t>
            </w:r>
          </w:p>
        </w:tc>
        <w:tc>
          <w:tcPr>
            <w:tcW w:w="4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204,138</w:t>
            </w:r>
          </w:p>
        </w:tc>
        <w:tc>
          <w:tcPr>
            <w:tcW w:w="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535,665</w:t>
            </w:r>
          </w:p>
        </w:tc>
      </w:tr>
      <w:tr>
        <w:trPr>
          <w:trHeight w:val="209"/>
        </w:trPr>
        <w:tc>
          <w:tcPr>
            <w:tcW w:w="47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8,674,464</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17,954,917</w:t>
            </w:r>
          </w:p>
        </w:tc>
        <w:tc>
          <w:tcPr>
            <w:tcW w:w="460" w:type="dxa"/>
            <w:vAlign w:val="bottom"/>
          </w:tcPr>
          <w:p>
            <w:pPr>
              <w:spacing w:after="0"/>
              <w:rPr>
                <w:sz w:val="18"/>
                <w:szCs w:val="18"/>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26,629,381</w:t>
            </w:r>
          </w:p>
        </w:tc>
        <w:tc>
          <w:tcPr>
            <w:tcW w:w="6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contractual obligations at December 31, 2017:</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5"/>
          </w:tcPr>
          <w:p>
            <w:pPr>
              <w:jc w:val="center"/>
              <w:ind w:left="36"/>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160" w:type="dxa"/>
            <w:vAlign w:val="bottom"/>
          </w:tcPr>
          <w:p>
            <w:pPr>
              <w:spacing w:after="0"/>
              <w:rPr>
                <w:sz w:val="13"/>
                <w:szCs w:val="13"/>
                <w:color w:val="auto"/>
              </w:rPr>
            </w:pPr>
          </w:p>
        </w:tc>
        <w:tc>
          <w:tcPr>
            <w:tcW w:w="116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Up to 1 year</w:t>
            </w:r>
          </w:p>
        </w:tc>
        <w:tc>
          <w:tcPr>
            <w:tcW w:w="128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1–3 years</w:t>
            </w:r>
          </w:p>
        </w:tc>
        <w:tc>
          <w:tcPr>
            <w:tcW w:w="1160" w:type="dxa"/>
            <w:vAlign w:val="bottom"/>
            <w:tcBorders>
              <w:bottom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3–5 years</w:t>
            </w:r>
          </w:p>
        </w:tc>
        <w:tc>
          <w:tcPr>
            <w:tcW w:w="9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Over 5 years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r>
      <w:tr>
        <w:trPr>
          <w:trHeight w:val="156"/>
        </w:trPr>
        <w:tc>
          <w:tcPr>
            <w:tcW w:w="5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(in £)</w:t>
            </w: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82,600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165,427</w:t>
            </w:r>
          </w:p>
        </w:tc>
        <w:tc>
          <w:tcPr>
            <w:tcW w:w="11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2,078,815</w:t>
            </w:r>
          </w:p>
        </w:tc>
        <w:tc>
          <w:tcPr>
            <w:tcW w:w="90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2,326,842</w:t>
            </w: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3,574,208</w:t>
            </w:r>
          </w:p>
        </w:tc>
        <w:tc>
          <w:tcPr>
            <w:tcW w:w="24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17,793,665</w:t>
            </w:r>
          </w:p>
        </w:tc>
        <w:tc>
          <w:tcPr>
            <w:tcW w:w="116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2,982,805</w:t>
            </w:r>
          </w:p>
        </w:tc>
        <w:tc>
          <w:tcPr>
            <w:tcW w:w="900" w:type="dxa"/>
            <w:vAlign w:val="bottom"/>
          </w:tcPr>
          <w:p>
            <w:pPr>
              <w:ind w:left="62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24,350,678</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26)</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743,858</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535,203</w:t>
            </w:r>
          </w:p>
        </w:tc>
        <w:tc>
          <w:tcPr>
            <w:tcW w:w="11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1,279,061</w:t>
            </w:r>
          </w:p>
        </w:tc>
      </w:tr>
      <w:tr>
        <w:trPr>
          <w:trHeight w:val="210"/>
        </w:trPr>
        <w:tc>
          <w:tcPr>
            <w:tcW w:w="5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4,400,666</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18,494,295</w:t>
            </w:r>
          </w:p>
        </w:tc>
        <w:tc>
          <w:tcPr>
            <w:tcW w:w="28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5,061,620</w:t>
            </w:r>
          </w:p>
        </w:tc>
        <w:tc>
          <w:tcPr>
            <w:tcW w:w="28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27,956,581</w:t>
            </w: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Group may incur potential payments upon achievement of clinical, regulatory and commercial milestones, as applicable, or royalty payments that may be required to be made under license agreements the Group entered into with various entities pursuant to which the Group has in-licensed certain intellectual property, including license agreements with Novartis and AstraZeneca. Due to the uncertainty of the achievement and timing of the events requiring payment under these agreements, the amounts to be paid are not fixed or determinable at this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Share-based payments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charge for share-based payments under IFRS 2 arises across the following schemes: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6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7480" w:type="dxa"/>
            <w:vAlign w:val="bottom"/>
          </w:tcPr>
          <w:p>
            <w:pPr>
              <w:spacing w:after="0"/>
              <w:rPr>
                <w:sz w:val="13"/>
                <w:szCs w:val="13"/>
                <w:color w:val="auto"/>
              </w:rPr>
            </w:pPr>
          </w:p>
        </w:tc>
        <w:tc>
          <w:tcPr>
            <w:tcW w:w="10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7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(in £)</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 Plan</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6,185,067</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2,441,671</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805,738</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Mereo BioPharma Group plc Share Option Plan</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586,291</w:t>
            </w:r>
          </w:p>
        </w:tc>
        <w:tc>
          <w:tcPr>
            <w:tcW w:w="26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1,064,217</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Incentive Plan</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133,601</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298,287</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319,338</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Deferred Bonus Share Plan</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175,350</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325,649</w:t>
            </w:r>
          </w:p>
        </w:tc>
        <w:tc>
          <w:tcPr>
            <w:tcW w:w="2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7"/>
        </w:trPr>
        <w:tc>
          <w:tcPr>
            <w:tcW w:w="7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6,494,018</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3,651,898</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2,189,293</w:t>
            </w:r>
          </w:p>
        </w:tc>
      </w:tr>
      <w:tr>
        <w:trPr>
          <w:trHeight w:val="20"/>
        </w:trPr>
        <w:tc>
          <w:tcPr>
            <w:tcW w:w="7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2015 Plan</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NEDs. Share options vest over four years for executive management and employees and over three years for NEDs. There are no performance conditions attached to the options issued under the Option Plan. 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less a discount agreed with the Group’s institutional investors. The contractual term of the share options is ten years.</w:t>
      </w:r>
    </w:p>
    <w:p>
      <w:pPr>
        <w:spacing w:after="0" w:line="197" w:lineRule="exact"/>
        <w:rPr>
          <w:sz w:val="20"/>
          <w:szCs w:val="20"/>
          <w:color w:val="auto"/>
        </w:rPr>
      </w:pPr>
    </w:p>
    <w:p>
      <w:pPr>
        <w:ind w:left="120" w:right="940" w:firstLine="440"/>
        <w:spacing w:after="0" w:line="246" w:lineRule="auto"/>
        <w:rPr>
          <w:sz w:val="20"/>
          <w:szCs w:val="20"/>
          <w:color w:val="auto"/>
        </w:rPr>
      </w:pPr>
      <w:r>
        <w:rPr>
          <w:rFonts w:ascii="Arial" w:cs="Arial" w:eastAsia="Arial" w:hAnsi="Arial"/>
          <w:sz w:val="18"/>
          <w:szCs w:val="18"/>
          <w:color w:val="auto"/>
        </w:rPr>
        <w:t>Of the £6,185,067 expense recognized under the option plan for employee services received during 2016, £298,836 is an accelerated charge relating to 500,000 options which were cancelled on June 9, 2016.</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share options were issued during the year under the 2015 Share Plan.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Movements during the year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2015</w:t>
      </w:r>
    </w:p>
    <w:p>
      <w:pPr>
        <w:ind w:left="120"/>
        <w:spacing w:after="0"/>
        <w:rPr>
          <w:sz w:val="20"/>
          <w:szCs w:val="20"/>
          <w:color w:val="auto"/>
        </w:rPr>
      </w:pPr>
      <w:r>
        <w:rPr>
          <w:rFonts w:ascii="Arial" w:cs="Arial" w:eastAsia="Arial" w:hAnsi="Arial"/>
          <w:sz w:val="18"/>
          <w:szCs w:val="18"/>
          <w:color w:val="auto"/>
        </w:rPr>
        <w:t>Plan during the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WAEP</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WAEP</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ind w:left="20"/>
              <w:spacing w:after="0" w:line="143" w:lineRule="exact"/>
              <w:rPr>
                <w:sz w:val="20"/>
                <w:szCs w:val="20"/>
                <w:color w:val="auto"/>
              </w:rPr>
            </w:pPr>
            <w:r>
              <w:rPr>
                <w:rFonts w:ascii="Arial" w:cs="Arial" w:eastAsia="Arial" w:hAnsi="Arial"/>
                <w:sz w:val="14"/>
                <w:szCs w:val="14"/>
                <w:b w:val="1"/>
                <w:bCs w:val="1"/>
                <w:color w:val="auto"/>
                <w:w w:val="99"/>
              </w:rPr>
              <w:t>WAEP</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the year</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8,964,394</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ind w:left="14"/>
              <w:spacing w:after="0" w:line="196" w:lineRule="exact"/>
              <w:rPr>
                <w:sz w:val="20"/>
                <w:szCs w:val="20"/>
                <w:color w:val="auto"/>
              </w:rPr>
            </w:pPr>
            <w:r>
              <w:rPr>
                <w:rFonts w:ascii="Arial" w:cs="Arial" w:eastAsia="Arial" w:hAnsi="Arial"/>
                <w:sz w:val="18"/>
                <w:szCs w:val="18"/>
                <w:color w:val="auto"/>
                <w:w w:val="96"/>
              </w:rPr>
              <w:t>1.29</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9,198,655</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ind w:left="14"/>
              <w:spacing w:after="0" w:line="196" w:lineRule="exact"/>
              <w:rPr>
                <w:sz w:val="20"/>
                <w:szCs w:val="20"/>
                <w:color w:val="auto"/>
              </w:rPr>
            </w:pPr>
            <w:r>
              <w:rPr>
                <w:rFonts w:ascii="Arial" w:cs="Arial" w:eastAsia="Arial" w:hAnsi="Arial"/>
                <w:sz w:val="18"/>
                <w:szCs w:val="18"/>
                <w:color w:val="auto"/>
              </w:rPr>
              <w:t>1.32</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9,124,610</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1,316,117</w:t>
            </w:r>
          </w:p>
        </w:tc>
        <w:tc>
          <w:tcPr>
            <w:tcW w:w="72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6"/>
              </w:rPr>
              <w:t>1.49</w:t>
            </w: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(500,000)</w:t>
            </w:r>
          </w:p>
        </w:tc>
        <w:tc>
          <w:tcPr>
            <w:tcW w:w="72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6"/>
              </w:rPr>
              <w:t>1.29</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(581,856)</w:t>
            </w:r>
          </w:p>
        </w:tc>
        <w:tc>
          <w:tcPr>
            <w:tcW w:w="72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6"/>
              </w:rPr>
              <w:t>1.29</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(74,045)</w:t>
            </w:r>
          </w:p>
        </w:tc>
        <w:tc>
          <w:tcPr>
            <w:tcW w:w="7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1.29</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(46,255)</w:t>
            </w: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 during the year</w:t>
            </w:r>
          </w:p>
        </w:tc>
        <w:tc>
          <w:tcPr>
            <w:tcW w:w="9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(95,222)</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900" w:type="dxa"/>
            <w:vAlign w:val="bottom"/>
          </w:tcPr>
          <w:p>
            <w:pPr>
              <w:jc w:val="right"/>
              <w:spacing w:after="0"/>
              <w:rPr>
                <w:sz w:val="20"/>
                <w:szCs w:val="20"/>
                <w:color w:val="auto"/>
              </w:rPr>
            </w:pPr>
            <w:r>
              <w:rPr>
                <w:rFonts w:ascii="Arial" w:cs="Arial" w:eastAsia="Arial" w:hAnsi="Arial"/>
                <w:sz w:val="18"/>
                <w:szCs w:val="18"/>
                <w:color w:val="auto"/>
              </w:rPr>
              <w:t>9,198,655</w:t>
            </w:r>
          </w:p>
        </w:tc>
        <w:tc>
          <w:tcPr>
            <w:tcW w:w="340" w:type="dxa"/>
            <w:vAlign w:val="bottom"/>
          </w:tcPr>
          <w:p>
            <w:pPr>
              <w:spacing w:after="0"/>
              <w:rPr>
                <w:sz w:val="18"/>
                <w:szCs w:val="18"/>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1.32</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9,124,610</w:t>
            </w: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rPr>
              <w:t>1.32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8,983,133</w:t>
            </w:r>
          </w:p>
        </w:tc>
        <w:tc>
          <w:tcPr>
            <w:tcW w:w="34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w:t>
            </w:r>
          </w:p>
        </w:tc>
        <w:tc>
          <w:tcPr>
            <w:tcW w:w="12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3,115,337</w:t>
            </w:r>
          </w:p>
        </w:tc>
        <w:tc>
          <w:tcPr>
            <w:tcW w:w="720" w:type="dxa"/>
            <w:vAlign w:val="bottom"/>
            <w:gridSpan w:val="2"/>
            <w:shd w:val="clear" w:color="auto" w:fill="CCEEFF"/>
          </w:tcPr>
          <w:p>
            <w:pPr>
              <w:jc w:val="center"/>
              <w:ind w:right="180"/>
              <w:spacing w:after="0" w:line="196" w:lineRule="exact"/>
              <w:rPr>
                <w:sz w:val="20"/>
                <w:szCs w:val="20"/>
                <w:color w:val="auto"/>
              </w:rPr>
            </w:pPr>
            <w:r>
              <w:rPr>
                <w:rFonts w:ascii="Arial" w:cs="Arial" w:eastAsia="Arial" w:hAnsi="Arial"/>
                <w:sz w:val="18"/>
                <w:szCs w:val="18"/>
                <w:color w:val="auto"/>
                <w:w w:val="96"/>
              </w:rPr>
              <w:t>1.29</w:t>
            </w:r>
          </w:p>
        </w:tc>
        <w:tc>
          <w:tcPr>
            <w:tcW w:w="12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5,655,676</w:t>
            </w:r>
          </w:p>
        </w:tc>
        <w:tc>
          <w:tcPr>
            <w:tcW w:w="720" w:type="dxa"/>
            <w:vAlign w:val="bottom"/>
            <w:gridSpan w:val="2"/>
            <w:shd w:val="clear" w:color="auto" w:fill="CCEEFF"/>
          </w:tcPr>
          <w:p>
            <w:pPr>
              <w:jc w:val="center"/>
              <w:ind w:right="160"/>
              <w:spacing w:after="0" w:line="196" w:lineRule="exact"/>
              <w:rPr>
                <w:sz w:val="20"/>
                <w:szCs w:val="20"/>
                <w:color w:val="auto"/>
              </w:rPr>
            </w:pPr>
            <w:r>
              <w:rPr>
                <w:rFonts w:ascii="Arial" w:cs="Arial" w:eastAsia="Arial" w:hAnsi="Arial"/>
                <w:sz w:val="18"/>
                <w:szCs w:val="18"/>
                <w:color w:val="auto"/>
              </w:rPr>
              <w:t>1.31</w:t>
            </w:r>
          </w:p>
        </w:tc>
        <w:tc>
          <w:tcPr>
            <w:tcW w:w="12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8,007,029</w:t>
            </w:r>
          </w:p>
        </w:tc>
        <w:tc>
          <w:tcPr>
            <w:tcW w:w="5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2018 was 6.6 years (2017:</w:t>
      </w:r>
    </w:p>
    <w:p>
      <w:pPr>
        <w:ind w:left="120"/>
        <w:spacing w:after="0"/>
        <w:rPr>
          <w:sz w:val="20"/>
          <w:szCs w:val="20"/>
          <w:color w:val="auto"/>
        </w:rPr>
      </w:pPr>
      <w:r>
        <w:rPr>
          <w:rFonts w:ascii="Arial" w:cs="Arial" w:eastAsia="Arial" w:hAnsi="Arial"/>
          <w:sz w:val="18"/>
          <w:szCs w:val="18"/>
          <w:color w:val="auto"/>
        </w:rPr>
        <w:t>7.6 years; 2016: 8.3 years).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fair value of options granted during 2016 was £1.29. There were no options granted in 2017.</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Options outstanding at the end of the year had an exercise price of between £1.29 and £2.21.</w:t>
      </w:r>
    </w:p>
    <w:p>
      <w:pPr>
        <w:spacing w:after="0" w:line="21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years ended December 31, 2016, 2017 and 2018:</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3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8140" w:type="dxa"/>
            <w:vAlign w:val="bottom"/>
          </w:tcPr>
          <w:p>
            <w:pPr>
              <w:spacing w:after="0"/>
              <w:rPr>
                <w:sz w:val="13"/>
                <w:szCs w:val="13"/>
                <w:color w:val="auto"/>
              </w:rPr>
            </w:pPr>
          </w:p>
        </w:tc>
        <w:tc>
          <w:tcPr>
            <w:tcW w:w="1640" w:type="dxa"/>
            <w:vAlign w:val="bottom"/>
            <w:tcBorders>
              <w:bottom w:val="single" w:sz="8" w:color="auto"/>
            </w:tcBorders>
          </w:tcPr>
          <w:p>
            <w:pPr>
              <w:jc w:val="right"/>
              <w:ind w:right="757"/>
              <w:spacing w:after="0" w:line="155"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center"/>
              <w:ind w:right="193"/>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8140" w:type="dxa"/>
            <w:vAlign w:val="bottom"/>
          </w:tcPr>
          <w:p>
            <w:pPr>
              <w:spacing w:after="0"/>
              <w:rPr>
                <w:sz w:val="13"/>
                <w:szCs w:val="13"/>
                <w:color w:val="auto"/>
              </w:rPr>
            </w:pPr>
          </w:p>
        </w:tc>
        <w:tc>
          <w:tcPr>
            <w:tcW w:w="1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 £)</w:t>
            </w: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 (%)</w:t>
            </w:r>
          </w:p>
        </w:tc>
        <w:tc>
          <w:tcPr>
            <w:tcW w:w="164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56</w:t>
            </w:r>
          </w:p>
        </w:tc>
        <w:tc>
          <w:tcPr>
            <w:tcW w:w="720" w:type="dxa"/>
            <w:vAlign w:val="bottom"/>
            <w:shd w:val="clear" w:color="auto" w:fill="CCEEFF"/>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1.48-2.07</w:t>
            </w:r>
          </w:p>
        </w:tc>
        <w:tc>
          <w:tcPr>
            <w:tcW w:w="720" w:type="dxa"/>
            <w:vAlign w:val="bottom"/>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4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4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1.84-2.21</w:t>
            </w:r>
          </w:p>
        </w:tc>
        <w:tc>
          <w:tcPr>
            <w:tcW w:w="720" w:type="dxa"/>
            <w:vAlign w:val="bottom"/>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Black Scholes</w:t>
            </w:r>
          </w:p>
        </w:tc>
        <w:tc>
          <w:tcPr>
            <w:tcW w:w="720" w:type="dxa"/>
            <w:vAlign w:val="bottom"/>
            <w:shd w:val="clear" w:color="auto" w:fill="CCEEFF"/>
          </w:tcPr>
          <w:p>
            <w:pPr>
              <w:jc w:val="center"/>
              <w:ind w:right="213"/>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Mereo BioPharma Group plc Share Option Plan (“Share Option Plan”) provides for the grant of options to acquire our ordinary shares to employees, executive directors and executive officers. Options may be granted to all eligible employees on commencement of employment and may be granted on a periodic basis after that. 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 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 be settled in cash or by net exercise of the option.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Movements during the year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w:t>
      </w:r>
    </w:p>
    <w:p>
      <w:pPr>
        <w:ind w:left="120"/>
        <w:spacing w:after="0"/>
        <w:rPr>
          <w:sz w:val="20"/>
          <w:szCs w:val="20"/>
          <w:color w:val="auto"/>
        </w:rPr>
      </w:pPr>
      <w:r>
        <w:rPr>
          <w:rFonts w:ascii="Arial" w:cs="Arial" w:eastAsia="Arial" w:hAnsi="Arial"/>
          <w:sz w:val="18"/>
          <w:szCs w:val="18"/>
          <w:color w:val="auto"/>
        </w:rPr>
        <w:t>Option Plan during the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5"/>
                <w:szCs w:val="15"/>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9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9"/>
              </w:rPr>
              <w:t>WAEP</w:t>
            </w: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WAEP</w:t>
            </w: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9"/>
              </w:rPr>
              <w:t>WAEP</w:t>
            </w:r>
          </w:p>
        </w:tc>
        <w:tc>
          <w:tcPr>
            <w:tcW w:w="60" w:type="dxa"/>
            <w:vAlign w:val="bottom"/>
          </w:tcPr>
          <w:p>
            <w:pPr>
              <w:spacing w:after="0"/>
              <w:rPr>
                <w:sz w:val="12"/>
                <w:szCs w:val="12"/>
                <w:color w:val="auto"/>
              </w:rPr>
            </w:pPr>
          </w:p>
        </w:tc>
      </w:tr>
      <w:tr>
        <w:trPr>
          <w:trHeight w:val="175"/>
        </w:trPr>
        <w:tc>
          <w:tcPr>
            <w:tcW w:w="59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the year</w:t>
            </w:r>
          </w:p>
        </w:tc>
        <w:tc>
          <w:tcPr>
            <w:tcW w:w="540" w:type="dxa"/>
            <w:vAlign w:val="bottom"/>
            <w:tcBorders>
              <w:top w:val="single" w:sz="8" w:color="auto"/>
            </w:tcBorders>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1,578,188</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3.05</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8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1,593,188</w:t>
            </w:r>
          </w:p>
        </w:tc>
        <w:tc>
          <w:tcPr>
            <w:tcW w:w="7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rPr>
              <w:t>3.05</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388,000</w:t>
            </w:r>
          </w:p>
        </w:tc>
        <w:tc>
          <w:tcPr>
            <w:tcW w:w="5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3.14</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8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8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(15,000)</w:t>
            </w:r>
          </w:p>
        </w:tc>
        <w:tc>
          <w:tcPr>
            <w:tcW w:w="7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rPr>
              <w:t>3.03</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(84,633)</w:t>
            </w:r>
          </w:p>
        </w:tc>
        <w:tc>
          <w:tcPr>
            <w:tcW w:w="5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3.03</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5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1,578,188</w:t>
            </w:r>
          </w:p>
        </w:tc>
        <w:tc>
          <w:tcPr>
            <w:tcW w:w="70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3.05</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1,881,555</w:t>
            </w:r>
          </w:p>
        </w:tc>
        <w:tc>
          <w:tcPr>
            <w:tcW w:w="5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3.10</w:t>
            </w: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Exercisable at December 31</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2018 was 8.6 years (2017:</w:t>
      </w:r>
    </w:p>
    <w:p>
      <w:pPr>
        <w:ind w:left="120"/>
        <w:spacing w:after="0"/>
        <w:rPr>
          <w:sz w:val="20"/>
          <w:szCs w:val="20"/>
          <w:color w:val="auto"/>
        </w:rPr>
      </w:pPr>
      <w:r>
        <w:rPr>
          <w:rFonts w:ascii="Arial" w:cs="Arial" w:eastAsia="Arial" w:hAnsi="Arial"/>
          <w:sz w:val="18"/>
          <w:szCs w:val="18"/>
          <w:color w:val="auto"/>
        </w:rPr>
        <w:t>9.4 years).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fair value of options granted during the year was £2.29 (2017: £1.85).</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Options outstanding at the end of the year had an exercise price of between £2.76 and £3.23.</w:t>
      </w:r>
    </w:p>
    <w:p>
      <w:pPr>
        <w:spacing w:after="0" w:line="21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years ended December 31: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4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center"/>
              <w:ind w:right="173"/>
              <w:spacing w:after="0" w:line="155" w:lineRule="exact"/>
              <w:rPr>
                <w:sz w:val="20"/>
                <w:szCs w:val="20"/>
                <w:color w:val="auto"/>
              </w:rPr>
            </w:pPr>
            <w:r>
              <w:rPr>
                <w:rFonts w:ascii="Arial" w:cs="Arial" w:eastAsia="Arial" w:hAnsi="Arial"/>
                <w:sz w:val="14"/>
                <w:szCs w:val="14"/>
                <w:b w:val="1"/>
                <w:bCs w:val="1"/>
                <w:color w:val="auto"/>
              </w:rPr>
              <w:t>2016</w:t>
            </w:r>
          </w:p>
        </w:tc>
        <w:tc>
          <w:tcPr>
            <w:tcW w:w="1760" w:type="dxa"/>
            <w:vAlign w:val="bottom"/>
            <w:tcBorders>
              <w:top w:val="single" w:sz="8" w:color="auto"/>
              <w:bottom w:val="single" w:sz="8" w:color="auto"/>
            </w:tcBorders>
          </w:tcPr>
          <w:p>
            <w:pPr>
              <w:jc w:val="right"/>
              <w:ind w:right="797"/>
              <w:spacing w:after="0" w:line="155" w:lineRule="exact"/>
              <w:rPr>
                <w:sz w:val="20"/>
                <w:szCs w:val="20"/>
                <w:color w:val="auto"/>
              </w:rPr>
            </w:pPr>
            <w:r>
              <w:rPr>
                <w:rFonts w:ascii="Arial" w:cs="Arial" w:eastAsia="Arial" w:hAnsi="Arial"/>
                <w:sz w:val="14"/>
                <w:szCs w:val="14"/>
                <w:b w:val="1"/>
                <w:bCs w:val="1"/>
                <w:color w:val="auto"/>
              </w:rPr>
              <w:t>2017</w:t>
            </w:r>
          </w:p>
        </w:tc>
        <w:tc>
          <w:tcPr>
            <w:tcW w:w="150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jc w:val="right"/>
              <w:ind w:right="197"/>
              <w:spacing w:after="0" w:line="155" w:lineRule="exact"/>
              <w:rPr>
                <w:sz w:val="20"/>
                <w:szCs w:val="20"/>
                <w:color w:val="auto"/>
              </w:rPr>
            </w:pPr>
            <w:r>
              <w:rPr>
                <w:rFonts w:ascii="Arial" w:cs="Arial" w:eastAsia="Arial" w:hAnsi="Arial"/>
                <w:sz w:val="14"/>
                <w:szCs w:val="14"/>
                <w:b w:val="1"/>
                <w:bCs w:val="1"/>
                <w:color w:val="auto"/>
              </w:rPr>
              <w:t>(in £)</w:t>
            </w: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 (%)</w:t>
            </w:r>
          </w:p>
        </w:tc>
        <w:tc>
          <w:tcPr>
            <w:tcW w:w="28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49-51</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65-67</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2880" w:type="dxa"/>
            <w:vAlign w:val="bottom"/>
          </w:tcPr>
          <w:p>
            <w:pPr>
              <w:spacing w:after="0"/>
              <w:rPr>
                <w:sz w:val="17"/>
                <w:szCs w:val="17"/>
                <w:color w:val="auto"/>
              </w:rPr>
            </w:pPr>
          </w:p>
        </w:tc>
        <w:tc>
          <w:tcPr>
            <w:tcW w:w="660" w:type="dxa"/>
            <w:vAlign w:val="bottom"/>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1.06-1.33</w:t>
            </w:r>
          </w:p>
        </w:tc>
        <w:tc>
          <w:tcPr>
            <w:tcW w:w="15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1.39-1.53</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28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10</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10</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2880" w:type="dxa"/>
            <w:vAlign w:val="bottom"/>
          </w:tcPr>
          <w:p>
            <w:pPr>
              <w:spacing w:after="0"/>
              <w:rPr>
                <w:sz w:val="17"/>
                <w:szCs w:val="17"/>
                <w:color w:val="auto"/>
              </w:rPr>
            </w:pPr>
          </w:p>
        </w:tc>
        <w:tc>
          <w:tcPr>
            <w:tcW w:w="660" w:type="dxa"/>
            <w:vAlign w:val="bottom"/>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3.03-3.23</w:t>
            </w:r>
          </w:p>
        </w:tc>
        <w:tc>
          <w:tcPr>
            <w:tcW w:w="15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2.76-3.25</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28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153"/>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Black Scholes</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Black Scholes</w:t>
            </w:r>
          </w:p>
        </w:tc>
      </w:tr>
      <w:tr>
        <w:trPr>
          <w:trHeight w:val="365"/>
        </w:trPr>
        <w:tc>
          <w:tcPr>
            <w:tcW w:w="4140" w:type="dxa"/>
            <w:vAlign w:val="bottom"/>
          </w:tcPr>
          <w:p>
            <w:pPr>
              <w:spacing w:after="0"/>
              <w:rPr>
                <w:sz w:val="24"/>
                <w:szCs w:val="24"/>
                <w:color w:val="auto"/>
              </w:rPr>
            </w:pPr>
          </w:p>
        </w:tc>
        <w:tc>
          <w:tcPr>
            <w:tcW w:w="3540" w:type="dxa"/>
            <w:vAlign w:val="bottom"/>
            <w:gridSpan w:val="2"/>
          </w:tcPr>
          <w:p>
            <w:pPr>
              <w:ind w:left="1180"/>
              <w:spacing w:after="0"/>
              <w:rPr>
                <w:sz w:val="20"/>
                <w:szCs w:val="20"/>
                <w:color w:val="auto"/>
              </w:rPr>
            </w:pPr>
            <w:r>
              <w:rPr>
                <w:rFonts w:ascii="Arial" w:cs="Arial" w:eastAsia="Arial" w:hAnsi="Arial"/>
                <w:sz w:val="18"/>
                <w:szCs w:val="18"/>
                <w:color w:val="auto"/>
              </w:rPr>
              <w:t>F-63</w:t>
            </w: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period equal to the expected life of the share options.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Under the Company’s Long Term Incentive Plan (“LTIP”), initiated in 2016, the Group, at its discretion, may grant nil-cost options to acquire shares to employees. Under the LTIP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205"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The fair value of the LTIP Share Price Element is estimated at the date of grant using a Monte Carlo pricing model, taking into account the terms and conditions upon which the share options were granted.</w:t>
      </w:r>
    </w:p>
    <w:p>
      <w:pPr>
        <w:spacing w:after="0" w:line="197"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fair value of the LTIP Strategic Element is estimated at the date of grant using a Black Scholes pricing model, taking into account the terms and conditions upon which the share options were granted, and the expense recorded is based upon the expected level of achievement of strategic targets.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contractual term of the LTIP options is five years.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 recognized for employee services received during the year to December 31, 2018 was £319,338 (2017: £298,287).</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Movements during the year</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number of, and movements in, LTIP options during the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000" w:type="dxa"/>
            <w:vAlign w:val="bottom"/>
          </w:tcPr>
          <w:p>
            <w:pPr>
              <w:ind w:left="34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75"/>
        </w:trPr>
        <w:tc>
          <w:tcPr>
            <w:tcW w:w="74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r>
      <w:tr>
        <w:trPr>
          <w:trHeight w:val="196"/>
        </w:trPr>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Granted during the year</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1,199,658</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w w:val="95"/>
              </w:rPr>
              <w:t>185,950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Cancelled during the year</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during the year</w:t>
            </w: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(234,162)</w:t>
            </w:r>
          </w:p>
        </w:tc>
        <w:tc>
          <w:tcPr>
            <w:tcW w:w="118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965,496</w:t>
            </w:r>
          </w:p>
        </w:tc>
        <w:tc>
          <w:tcPr>
            <w:tcW w:w="1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1,151,446</w:t>
            </w:r>
          </w:p>
        </w:tc>
        <w:tc>
          <w:tcPr>
            <w:tcW w:w="112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1,151,446</w:t>
            </w:r>
          </w:p>
        </w:tc>
      </w:tr>
      <w:tr>
        <w:trPr>
          <w:trHeight w:val="20"/>
        </w:trPr>
        <w:tc>
          <w:tcPr>
            <w:tcW w:w="7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w:t>
            </w:r>
          </w:p>
        </w:tc>
        <w:tc>
          <w:tcPr>
            <w:tcW w:w="12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b w:val="1"/>
                <w:bCs w:val="1"/>
                <w:color w:val="auto"/>
              </w:rPr>
              <w:t>—</w:t>
            </w:r>
          </w:p>
        </w:tc>
      </w:tr>
      <w:tr>
        <w:trPr>
          <w:trHeight w:val="20"/>
        </w:trPr>
        <w:tc>
          <w:tcPr>
            <w:tcW w:w="7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remaining contractual life for the LTIP options outstanding as at December 31, 2018 was 1.8 years (2017: 2.9</w:t>
      </w:r>
    </w:p>
    <w:p>
      <w:pPr>
        <w:ind w:left="120"/>
        <w:spacing w:after="0"/>
        <w:rPr>
          <w:sz w:val="20"/>
          <w:szCs w:val="20"/>
          <w:color w:val="auto"/>
        </w:rPr>
      </w:pPr>
      <w:r>
        <w:rPr>
          <w:rFonts w:ascii="Arial" w:cs="Arial" w:eastAsia="Arial" w:hAnsi="Arial"/>
          <w:sz w:val="18"/>
          <w:szCs w:val="18"/>
          <w:color w:val="auto"/>
        </w:rPr>
        <w:t>years; 2016: 3.7 years).</w:t>
      </w:r>
    </w:p>
    <w:p>
      <w:pPr>
        <w:spacing w:after="0" w:line="212" w:lineRule="exact"/>
        <w:rPr>
          <w:sz w:val="20"/>
          <w:szCs w:val="20"/>
          <w:color w:val="auto"/>
        </w:rPr>
      </w:pPr>
    </w:p>
    <w:p>
      <w:pPr>
        <w:jc w:val="center"/>
        <w:ind w:left="760" w:right="120"/>
        <w:spacing w:after="0" w:line="418" w:lineRule="auto"/>
        <w:rPr>
          <w:sz w:val="20"/>
          <w:szCs w:val="20"/>
          <w:color w:val="auto"/>
        </w:rPr>
      </w:pPr>
      <w:r>
        <w:rPr>
          <w:rFonts w:ascii="Arial" w:cs="Arial" w:eastAsia="Arial" w:hAnsi="Arial"/>
          <w:sz w:val="18"/>
          <w:szCs w:val="18"/>
          <w:color w:val="auto"/>
        </w:rPr>
        <w:t>The weighted average fair value of LTIP options granted during the year to December 31, 2018 was £nil (2017: £1.99; 2016: £1.21). F-64</w:t>
      </w:r>
    </w:p>
    <w:p>
      <w:pPr>
        <w:sectPr>
          <w:pgSz w:w="11900" w:h="16838" w:orient="portrait"/>
          <w:cols w:equalWidth="0" w:num="1">
            <w:col w:w="11140"/>
          </w:cols>
          <w:pgMar w:left="32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LTIP options granted during the years ended December 31:</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LTIP Share Price Element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7"/>
          </w:tcPr>
          <w:p>
            <w:pPr>
              <w:ind w:left="10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7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4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0.48-0.74</w:t>
            </w:r>
          </w:p>
        </w:tc>
        <w:tc>
          <w:tcPr>
            <w:tcW w:w="26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0.17-0.39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4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4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2.21</w:t>
            </w:r>
          </w:p>
        </w:tc>
        <w:tc>
          <w:tcPr>
            <w:tcW w:w="26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Monte Carlo</w:t>
            </w:r>
          </w:p>
        </w:tc>
        <w:tc>
          <w:tcPr>
            <w:tcW w:w="1720" w:type="dxa"/>
            <w:vAlign w:val="bottom"/>
            <w:gridSpan w:val="4"/>
            <w:shd w:val="clear" w:color="auto" w:fill="CCEEFF"/>
          </w:tcPr>
          <w:p>
            <w:pPr>
              <w:ind w:left="240"/>
              <w:spacing w:after="0" w:line="202" w:lineRule="exact"/>
              <w:rPr>
                <w:sz w:val="20"/>
                <w:szCs w:val="20"/>
                <w:color w:val="auto"/>
              </w:rPr>
            </w:pPr>
            <w:r>
              <w:rPr>
                <w:rFonts w:ascii="Arial" w:cs="Arial" w:eastAsia="Arial" w:hAnsi="Arial"/>
                <w:sz w:val="18"/>
                <w:szCs w:val="18"/>
                <w:color w:val="auto"/>
              </w:rPr>
              <w:t>Monte Carlo</w:t>
            </w:r>
          </w:p>
        </w:tc>
        <w:tc>
          <w:tcPr>
            <w:tcW w:w="48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540"/>
        </w:trPr>
        <w:tc>
          <w:tcPr>
            <w:tcW w:w="7140" w:type="dxa"/>
            <w:vAlign w:val="bottom"/>
          </w:tcPr>
          <w:p>
            <w:pPr>
              <w:spacing w:after="0"/>
              <w:rPr>
                <w:sz w:val="20"/>
                <w:szCs w:val="20"/>
                <w:color w:val="auto"/>
              </w:rPr>
            </w:pPr>
            <w:r>
              <w:rPr>
                <w:rFonts w:ascii="Arial" w:cs="Arial" w:eastAsia="Arial" w:hAnsi="Arial"/>
                <w:sz w:val="18"/>
                <w:szCs w:val="18"/>
                <w:i w:val="1"/>
                <w:iCs w:val="1"/>
                <w:color w:val="auto"/>
              </w:rPr>
              <w:t>LTIP Strategic Element</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auto"/>
            </w:tcBorders>
            <w:gridSpan w:val="7"/>
          </w:tcPr>
          <w:p>
            <w:pPr>
              <w:ind w:left="10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7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0.74</w:t>
            </w:r>
          </w:p>
        </w:tc>
        <w:tc>
          <w:tcPr>
            <w:tcW w:w="1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0.39</w:t>
            </w:r>
          </w:p>
        </w:tc>
        <w:tc>
          <w:tcPr>
            <w:tcW w:w="20" w:type="dxa"/>
            <w:vAlign w:val="bottom"/>
          </w:tcPr>
          <w:p>
            <w:pPr>
              <w:spacing w:after="0"/>
              <w:rPr>
                <w:sz w:val="17"/>
                <w:szCs w:val="17"/>
                <w:color w:val="auto"/>
              </w:rPr>
            </w:pPr>
          </w:p>
        </w:tc>
        <w:tc>
          <w:tcPr>
            <w:tcW w:w="4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8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17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2.21</w:t>
            </w:r>
          </w:p>
        </w:tc>
        <w:tc>
          <w:tcPr>
            <w:tcW w:w="1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4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Black Scholes</w:t>
            </w:r>
          </w:p>
        </w:tc>
        <w:tc>
          <w:tcPr>
            <w:tcW w:w="1720" w:type="dxa"/>
            <w:vAlign w:val="bottom"/>
            <w:gridSpan w:val="4"/>
            <w:shd w:val="clear" w:color="auto" w:fill="CCEEFF"/>
          </w:tcPr>
          <w:p>
            <w:pPr>
              <w:ind w:left="300"/>
              <w:spacing w:after="0" w:line="202" w:lineRule="exact"/>
              <w:rPr>
                <w:sz w:val="20"/>
                <w:szCs w:val="20"/>
                <w:color w:val="auto"/>
              </w:rPr>
            </w:pPr>
            <w:r>
              <w:rPr>
                <w:rFonts w:ascii="Arial" w:cs="Arial" w:eastAsia="Arial" w:hAnsi="Arial"/>
                <w:sz w:val="18"/>
                <w:szCs w:val="18"/>
                <w:color w:val="auto"/>
              </w:rPr>
              <w:t>Black Scholes</w:t>
            </w:r>
          </w:p>
        </w:tc>
        <w:tc>
          <w:tcPr>
            <w:tcW w:w="48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jc w:val="both"/>
        <w:ind w:left="120" w:right="40" w:firstLine="440"/>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LTIP options, the contractual life of the options has been used in calculating the expense for the year.</w:t>
      </w:r>
    </w:p>
    <w:p>
      <w:pPr>
        <w:spacing w:after="0" w:line="197"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Volatility is estimated by reference to the share price volatility of a group of comparable companies over a retrospective period equal to the expected life of the LTIP options.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Bonus Share Plan</w:t>
      </w:r>
    </w:p>
    <w:p>
      <w:pPr>
        <w:spacing w:after="0" w:line="126" w:lineRule="exact"/>
        <w:rPr>
          <w:sz w:val="20"/>
          <w:szCs w:val="20"/>
          <w:color w:val="auto"/>
        </w:rPr>
      </w:pPr>
    </w:p>
    <w:p>
      <w:pPr>
        <w:jc w:val="both"/>
        <w:ind w:left="120" w:right="220" w:firstLine="440"/>
        <w:spacing w:after="0" w:line="248" w:lineRule="auto"/>
        <w:rPr>
          <w:sz w:val="20"/>
          <w:szCs w:val="20"/>
          <w:color w:val="auto"/>
        </w:rPr>
      </w:pPr>
      <w:r>
        <w:rPr>
          <w:rFonts w:ascii="Arial" w:cs="Arial" w:eastAsia="Arial" w:hAnsi="Arial"/>
          <w:sz w:val="17"/>
          <w:szCs w:val="17"/>
          <w:color w:val="auto"/>
        </w:rPr>
        <w:t>Under the previous terms of the Company’s Deferred Bonus Share Plan (DBSP), 30% of the annual bonus for 2017 for the senior management team was payable in deferred shares, which are governed by the DBSP plan rules. At the date of grant of the awards, the monetary bonus amount will be divided by the closing share price to give the number of shares issued to the employee under the DBSP.</w:t>
      </w:r>
    </w:p>
    <w:p>
      <w:pPr>
        <w:spacing w:after="0" w:line="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number of shares is fixed and not subject to adjustment between the issue date and vesting date. Under the DBSP, awards vest after three years from the date of the award. There are no further performance conditions attached to the award, nor any service conditions (including no requirement for continued employment once the awards have been made). The plan does allow for adjustment of awards in the event of a material misstatement of Mereo’s accounts or fraud or misconduct on the part of an individual. The plan also allows for adjustment of awards in the event there was an error in calculating the vesting of the awards. Since the awards are issued at nil cost they will be satisfied by the issue of shares from the Employee Benefit Trust.</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number of, and movements in, DBSP options during the year:</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75"/>
        </w:trPr>
        <w:tc>
          <w:tcPr>
            <w:tcW w:w="824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70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62,180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163,000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Awarded during the year</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62,180</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100,820</w:t>
            </w:r>
          </w:p>
        </w:tc>
        <w:tc>
          <w:tcPr>
            <w:tcW w:w="940" w:type="dxa"/>
            <w:vAlign w:val="bottom"/>
            <w:gridSpan w:val="2"/>
          </w:tcPr>
          <w:p>
            <w:pPr>
              <w:ind w:left="58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 during the year</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62,180</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163,000</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163,000</w:t>
            </w:r>
          </w:p>
        </w:tc>
      </w:tr>
      <w:tr>
        <w:trPr>
          <w:trHeight w:val="20"/>
        </w:trPr>
        <w:tc>
          <w:tcPr>
            <w:tcW w:w="8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w:t>
            </w:r>
          </w:p>
        </w:tc>
        <w:tc>
          <w:tcPr>
            <w:tcW w:w="86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80"/>
              <w:spacing w:after="0" w:line="196" w:lineRule="exact"/>
              <w:rPr>
                <w:sz w:val="20"/>
                <w:szCs w:val="20"/>
                <w:color w:val="auto"/>
              </w:rPr>
            </w:pPr>
            <w:r>
              <w:rPr>
                <w:rFonts w:ascii="Arial" w:cs="Arial" w:eastAsia="Arial" w:hAnsi="Arial"/>
                <w:sz w:val="18"/>
                <w:szCs w:val="18"/>
                <w:b w:val="1"/>
                <w:bCs w:val="1"/>
                <w:color w:val="auto"/>
              </w:rPr>
              <w:t>—</w:t>
            </w:r>
          </w:p>
        </w:tc>
      </w:tr>
      <w:tr>
        <w:trPr>
          <w:trHeight w:val="20"/>
        </w:trPr>
        <w:tc>
          <w:tcPr>
            <w:tcW w:w="8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remaining contractual life for the DBSP options outstanding as at December 31, 2018 was 2.6 years (2017:</w:t>
      </w:r>
    </w:p>
    <w:p>
      <w:pPr>
        <w:ind w:left="120"/>
        <w:spacing w:after="0"/>
        <w:rPr>
          <w:sz w:val="20"/>
          <w:szCs w:val="20"/>
          <w:color w:val="auto"/>
        </w:rPr>
      </w:pPr>
      <w:r>
        <w:rPr>
          <w:rFonts w:ascii="Arial" w:cs="Arial" w:eastAsia="Arial" w:hAnsi="Arial"/>
          <w:sz w:val="18"/>
          <w:szCs w:val="18"/>
          <w:color w:val="auto"/>
        </w:rPr>
        <w:t>3.6 years; 2016: 4 years).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fair value of DBSP options granted during the year was £nil (2017: £3.23; 2016: £2.80).</w:t>
      </w:r>
    </w:p>
    <w:p>
      <w:pPr>
        <w:spacing w:after="0" w:line="21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January 18, 2019 the Board approved an amendment to the terms of the Deferred Bonus Share Plan and the terms were amended such that in the event that the Board decides to award a bonus to eligible participants in respect of performance for any given financial year, 30% of the bonus (after deduction of income tax and employee’s National Insurance contributions) must be used to purchase ordinary shares in the Company within 12 months. Following a purchase, the relevant ordinary shares must be held for a period of at least two years. Bonus awards made in respect of 2018 were awarded under these revised terms.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Equity Incentive Plan (The 2019 EIP)</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April 4, 2019 the Company established The Mereo 2019 Equity Incentive Plan. Under the plan it is anticipated that market value options will be granted to executives and other employees with a four-year vesting period and no performance conditions. No grants have been made under this plan as at the date of this report. The plan provides a framework for the grant of market value options and/or restricted stock unit awards to officers of the Company (or of any subsidiary).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NED Equity Incentive Plan (The 2019 NED EIP)</w:t>
      </w:r>
    </w:p>
    <w:p>
      <w:pPr>
        <w:spacing w:after="0" w:line="12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7"/>
          <w:szCs w:val="17"/>
          <w:color w:val="auto"/>
        </w:rPr>
        <w:t>On April 4, 2019 the Company established The Mereo 2019 NED Equity Incentive Plan. Under the plan it is anticipated that market value options will be granted to non-executive directors with no performance conditions. Options to existing non-executive directors will be granted with a one-year vesting period and options to newly appointed non-executive directors will be granted with a three-year vesting period. No grants have been made under this plan as at the date of this report. The plan provides a framework for a range of different types of share related awards (including market value options, share appreciation rights, restricted stock and restricted stock units).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equity consideration</w:t>
      </w:r>
    </w:p>
    <w:p>
      <w:pPr>
        <w:spacing w:after="0" w:line="126" w:lineRule="exact"/>
        <w:rPr>
          <w:sz w:val="20"/>
          <w:szCs w:val="20"/>
          <w:color w:val="auto"/>
        </w:rPr>
      </w:pPr>
    </w:p>
    <w:p>
      <w:pPr>
        <w:jc w:val="both"/>
        <w:ind w:left="120" w:right="220" w:firstLine="440"/>
        <w:spacing w:after="0" w:line="238"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Under the agreement with AstraZeneca, the Company may issue up to 1,349,693 ordinary shares which are dependent on achieving certain milestones.</w:t>
      </w:r>
    </w:p>
    <w:p>
      <w:pPr>
        <w:spacing w:after="0" w:line="197"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In respect of milestones that are probable, the Group has accounted for, but not yet issued, 429,448 ordinary shares which have been measured at fair value, being £3.10, giving a total of £1,331,288.</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Commitments and contingencies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 commitments—Group as lessee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rentals payable under non-cancellable operating leases as at December 31, 2018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222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Within one year</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743,858</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331,527</w:t>
            </w: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After one year but not more than three years</w:t>
            </w: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535,203</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204,138</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After one year but not more than five years</w:t>
            </w:r>
          </w:p>
        </w:tc>
        <w:tc>
          <w:tcPr>
            <w:tcW w:w="126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r>
      <w:tr>
        <w:trPr>
          <w:trHeight w:val="209"/>
        </w:trPr>
        <w:tc>
          <w:tcPr>
            <w:tcW w:w="8800" w:type="dxa"/>
            <w:vAlign w:val="bottom"/>
          </w:tcPr>
          <w:p>
            <w:pPr>
              <w:spacing w:after="0" w:line="202" w:lineRule="exact"/>
              <w:rPr>
                <w:sz w:val="20"/>
                <w:szCs w:val="20"/>
                <w:color w:val="auto"/>
              </w:rPr>
            </w:pPr>
            <w:r>
              <w:rPr>
                <w:rFonts w:ascii="Arial" w:cs="Arial" w:eastAsia="Arial" w:hAnsi="Arial"/>
                <w:sz w:val="18"/>
                <w:szCs w:val="18"/>
                <w:color w:val="auto"/>
              </w:rPr>
              <w:t>More than five years</w:t>
            </w:r>
          </w:p>
        </w:tc>
        <w:tc>
          <w:tcPr>
            <w:tcW w:w="1000" w:type="dxa"/>
            <w:vAlign w:val="bottom"/>
            <w:tcBorders>
              <w:bottom w:val="single" w:sz="8" w:color="auto"/>
            </w:tcBorders>
          </w:tcPr>
          <w:p>
            <w:pPr>
              <w:ind w:left="7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r>
      <w:tr>
        <w:trPr>
          <w:trHeight w:val="203"/>
        </w:trPr>
        <w:tc>
          <w:tcPr>
            <w:tcW w:w="88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1,279,061</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535,665</w:t>
            </w:r>
          </w:p>
        </w:tc>
      </w:tr>
      <w:tr>
        <w:trPr>
          <w:trHeight w:val="20"/>
        </w:trPr>
        <w:tc>
          <w:tcPr>
            <w:tcW w:w="8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Group has entered into a lease for its premises at Fourth Floor, 1 Cavendish Place, London W1G 0QF. The term of the lease agreement is from August 17, 2015 through to August 16, 2025. The total lease expense for the year ended December 31, 2018 was £293,328 (2017: £293,328).</w:t>
      </w:r>
    </w:p>
    <w:p>
      <w:pPr>
        <w:spacing w:after="0" w:line="203" w:lineRule="exact"/>
        <w:rPr>
          <w:sz w:val="20"/>
          <w:szCs w:val="20"/>
          <w:color w:val="auto"/>
        </w:rPr>
      </w:pPr>
    </w:p>
    <w:p>
      <w:pPr>
        <w:jc w:val="both"/>
        <w:ind w:left="120" w:right="40" w:firstLine="440"/>
        <w:spacing w:after="0" w:line="238" w:lineRule="auto"/>
        <w:rPr>
          <w:sz w:val="20"/>
          <w:szCs w:val="20"/>
          <w:color w:val="auto"/>
        </w:rPr>
      </w:pPr>
      <w:r>
        <w:rPr>
          <w:rFonts w:ascii="Arial" w:cs="Arial" w:eastAsia="Arial" w:hAnsi="Arial"/>
          <w:sz w:val="18"/>
          <w:szCs w:val="18"/>
          <w:color w:val="auto"/>
        </w:rPr>
        <w:t>The premises comprise approximately 4,000 sq ft. The principal rent for the premises is £ 162,960 per annum through December 16, 2016 and £325,920 per annum thereafter, subject to an increase on August 17, 2020 based on the open market value of the premises (the “Principal Rent”). In addition to the Principal Rent, the Group is responsible for value-added tax on the Principal Rent and certain insurance costs and service charges incurred by the landlord.</w:t>
      </w:r>
    </w:p>
    <w:p>
      <w:pPr>
        <w:spacing w:after="0" w:line="205"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The Group may break the lease agreement on August 16, 2020 by providing six months’ prior written notice to the landlord. If the Group does not exercise its break option, the landlord will decrease by 50% the Principal Rent for the period from August 16, 2020 through to April 15, 2021.</w:t>
      </w:r>
    </w:p>
    <w:p>
      <w:pPr>
        <w:spacing w:after="0" w:line="203"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Group has entered into a lease for six high-resolution peripheral quantitative computed tomography (HRpQCT) scanners for use in its ongoing clinical studies.</w:t>
      </w:r>
    </w:p>
    <w:p>
      <w:pPr>
        <w:spacing w:after="0" w:line="197"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Each scanner has a lease term of 12 months from the date on which delivery of that scanner occurred. The Company has the right to extend the lease period for a further six months at any point during the lease term. This option may be exercised in respect of any of the individual scanners and does not have to be exercised in respect of all the scanners.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leases—Group as lessee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did not have any leasing arrangements classified as finance leases at December 31, 2018 (2017: £nil).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commitments</w:t>
      </w:r>
    </w:p>
    <w:p>
      <w:pPr>
        <w:spacing w:after="0" w:line="126"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Each of Mereo BioPharma 1 Limited, Mereo BioPharma 2 Limited and Mereo BioPharma 3 Limited issued to Novartis loan notes (the “Novartis Notes”) (which were assigned by Novartis to the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Company in exchange for ordinary shares pursuant to the Subscription Agreement) and each of Mereo BioPharma 1 Limited, Mereo BioPharma 2 Limited and Mereo BioPharma 3 Limited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Limited, Mereo BioPharma 2 Limited and Mereo BioPharma 3 Limited under the respective Purchase Agreements.</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Each of Mereo BioPharma 1 Limited, Mereo BioPharma 2 Limited and Mereo BioPharma 3 Limited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Limited, Mereo BioPharma 2 Limited and Mereo BioPharma 3 Limited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October 2017, the Group’s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 Upon entering into the License Agreement, the Group made a payment of $3.0 million and issued 490,798 ordinary shares to AstraZeneca, for an aggregate upfront payment equal to $5.0 million. In connection with certain development and regulatory milestones, the Group has agreed to make payments of up to $115.5 million in the aggregate and issue additional ordinary shares to AstraZeneca for licensed products containing MPH-966. In addition, the Group has agreed to make payments to AstraZeneca based on specified commercial milestones of the product. The Group has also agreed to pay a specified percentage of sub-licensing revenue to AstraZeneca and to make royalty payments to AstraZeneca equal to ascending specified percentages of tiered annual worldwide net sales by the Group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the Group may freely grant sub-licenses to affiliates upon notice to AstraZeneca and must obtain AstraZeneca’s consent, which is not be unreasonably withheld, to grant sub-licenses to a third party. The Group has agreed to use commercially reasonable efforts to develop and commercialize at least one licensed product.</w:t>
      </w:r>
    </w:p>
    <w:p>
      <w:pPr>
        <w:spacing w:after="0" w:line="213"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the Group for such product in such country will become fully paid and irrevocable. Prior to exercise of the Option, if at all, the Group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the Group.</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Related party disclosures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transactions have been entered into with related parties for the year ended December 31, 2017 and 2018.</w:t>
      </w:r>
    </w:p>
    <w:p>
      <w:pPr>
        <w:spacing w:after="0" w:line="212"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Novartis Pharma AG (“Novartis”) holds shares in the Company at December 31, 2016. On June 3, 2016, the Group issued 3,463,563 £1 unsecured convertible loan notes (the “Novartis Notes”) to Novartis and received £3,463,563 from Novartis in consideration (Note 18a).</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purchased goods and services from Novartis in the year as set out below:</w:t>
      </w:r>
    </w:p>
    <w:p>
      <w:pPr>
        <w:spacing w:after="0" w:line="226"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8890</wp:posOffset>
            </wp:positionV>
            <wp:extent cx="18516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8" w:lineRule="exact"/>
        <w:rPr>
          <w:sz w:val="20"/>
          <w:szCs w:val="20"/>
          <w:color w:val="auto"/>
        </w:rPr>
      </w:pPr>
    </w:p>
    <w:p>
      <w:pPr>
        <w:ind w:left="8400"/>
        <w:spacing w:after="0"/>
        <w:tabs>
          <w:tab w:leader="none" w:pos="9460" w:val="left"/>
          <w:tab w:leader="none" w:pos="10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tbl>
      <w:tblPr>
        <w:tblLayout w:type="fixed"/>
        <w:tblInd w:w="120" w:type="dxa"/>
        <w:tblCellMar>
          <w:top w:w="0" w:type="dxa"/>
          <w:left w:w="0" w:type="dxa"/>
          <w:bottom w:w="0" w:type="dxa"/>
          <w:right w:w="0" w:type="dxa"/>
        </w:tblCellMar>
      </w:tblPr>
      <w:tr>
        <w:trPr>
          <w:trHeight w:val="197"/>
        </w:trPr>
        <w:tc>
          <w:tcPr>
            <w:tcW w:w="802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8"/>
                <w:szCs w:val="18"/>
                <w:color w:val="auto"/>
              </w:rPr>
              <w:t>Manufacture and supply of clinical trial material</w:t>
            </w:r>
          </w:p>
        </w:tc>
        <w:tc>
          <w:tcPr>
            <w:tcW w:w="8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968,219</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4,610,106</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b w:val="1"/>
                <w:bCs w:val="1"/>
                <w:color w:val="auto"/>
              </w:rPr>
              <w:t>60,027</w:t>
            </w:r>
          </w:p>
        </w:tc>
        <w:tc>
          <w:tcPr>
            <w:tcW w:w="80" w:type="dxa"/>
            <w:vAlign w:val="bottom"/>
            <w:tcBorders>
              <w:top w:val="single" w:sz="8" w:color="CCEEFF"/>
            </w:tcBorders>
            <w:shd w:val="clear" w:color="auto" w:fill="CCEEFF"/>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amount outstanding to be paid to Novartis at December 31, 2018 was £nil (2017: £nil; 2016: £35,249).</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purchases from related parties are made on terms equivalent to those that prevail in arm’s length transactions.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 Trust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2016 the Company set up an Employee Benefit Trust for the purposes of buying and selling shares on the employees’ behalf.</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total of £325,000 of funding was paid into the Trust by the Company during the year ended December 31, 2018 (2017:£nil).</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total of 163,000 shares were purchased by the Trust during the year ended December 31, 2018 (2017: nil). As at December 31,</w:t>
      </w:r>
    </w:p>
    <w:p>
      <w:pPr>
        <w:ind w:left="120"/>
        <w:spacing w:after="0"/>
        <w:rPr>
          <w:sz w:val="20"/>
          <w:szCs w:val="20"/>
          <w:color w:val="auto"/>
        </w:rPr>
      </w:pPr>
      <w:r>
        <w:rPr>
          <w:rFonts w:ascii="Arial" w:cs="Arial" w:eastAsia="Arial" w:hAnsi="Arial"/>
          <w:sz w:val="18"/>
          <w:szCs w:val="18"/>
          <w:color w:val="auto"/>
        </w:rPr>
        <w:t>2018 a cash balance of £21,762 (2017: £3,600) was held by the Trust.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28. Standards issued but not yet effective</w:t>
      </w:r>
    </w:p>
    <w:p>
      <w:pPr>
        <w:spacing w:after="0" w:line="126"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The standards and interpretations that are issued, but not yet effective, up to the date of issuance of the Group’s financial statements are disclosed below. The Group intends to adopt these standards, if applicable, when they become effective.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standards</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following standards and interpretations, applicable for annual periods beginning on or after January 1, 2017, are not expected to have any impact on the results of the Group or the presentation of the financial statements:</w:t>
      </w:r>
    </w:p>
    <w:p>
      <w:pPr>
        <w:spacing w:after="0" w:line="102" w:lineRule="exact"/>
        <w:rPr>
          <w:sz w:val="20"/>
          <w:szCs w:val="20"/>
          <w:color w:val="auto"/>
        </w:rPr>
      </w:pPr>
    </w:p>
    <w:p>
      <w:pPr>
        <w:ind w:left="1080" w:right="220" w:hanging="424"/>
        <w:spacing w:after="0" w:line="246"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IFRS 10 Consolidated Financial Statements—Amendments regarding the sale or contribution of assets between an investor and its associate or joint venture and amendments regarding the application of the consolidation exception.</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IFRS 11 Joint Arrangements—Amendments regarding the accounting for acquisitions of an interest in a joint operation.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IFRS 12 Disclosure of Interests in Other Entities—Amendments regarding the application of the consolidation exception.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424"/>
        <w:spacing w:after="0"/>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IFRS 14 Regulatory Deferral Accounts.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IAS 1 Presentation of Financial Statements—Amendments resulting from the disclosure initiative.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IAS 7 Statement of Cash Flows—Amendments resulting from the disclosure initiative.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IAS 12 Income Taxes—Amendments to recognition of deferred tax assets for unrealized losses.</w:t>
      </w:r>
    </w:p>
    <w:p>
      <w:pPr>
        <w:spacing w:after="0" w:line="117" w:lineRule="exact"/>
        <w:rPr>
          <w:rFonts w:ascii="Arial" w:cs="Arial" w:eastAsia="Arial" w:hAnsi="Arial"/>
          <w:sz w:val="18"/>
          <w:szCs w:val="18"/>
          <w:color w:val="auto"/>
        </w:rPr>
      </w:pPr>
    </w:p>
    <w:p>
      <w:pPr>
        <w:ind w:left="1080" w:right="260" w:hanging="424"/>
        <w:spacing w:after="0" w:line="246" w:lineRule="auto"/>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IAS 16 Property, Plant and Equipment—Amendments regarding the clarification of acceptable methods of depreciation and amortization and amendments bringing bearer plants into the scope of IAS 16.</w:t>
      </w:r>
    </w:p>
    <w:p>
      <w:pPr>
        <w:spacing w:after="0" w:line="102" w:lineRule="exact"/>
        <w:rPr>
          <w:rFonts w:ascii="Arial" w:cs="Arial" w:eastAsia="Arial" w:hAnsi="Arial"/>
          <w:sz w:val="18"/>
          <w:szCs w:val="18"/>
          <w:color w:val="auto"/>
        </w:rPr>
      </w:pPr>
    </w:p>
    <w:p>
      <w:pPr>
        <w:ind w:left="1080" w:right="160" w:hanging="424"/>
        <w:spacing w:after="0" w:line="246" w:lineRule="auto"/>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IAS 27 Separate Financial Statements (as amended in 2011)—Amendments reinstating the equity method as an accounting option for investments in subsidiaries, joint ventures and associates in an entity’s separate financial statements.</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IAS 28 Investments in Associates and Joint Ventures—Amendments regarding the application of the consolidation exception.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IAS 38 Intangible Assets—Amendments regarding the clarification of acceptable methods of depreciation and amortization.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IAS 41 Agriculture—Amendments bringing bearer plants into the scope of IAS 16.</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Amendments resulting from September 2014 Annual Improvements to IFRSs: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IFRS 2 Classification and Measurement of Share-based Payment Transactions.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IFRS 5 Non-current Assets Held for Sale and Discontinued Operations.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IFRS 7 Financial Instruments: Disclosures.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IFRIC Interpretation 22 Foreign Currency Transactions and Advance Consideration.</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IAS 19 Employee Benefits.</w:t>
      </w:r>
    </w:p>
    <w:p>
      <w:pPr>
        <w:spacing w:after="0" w:line="117" w:lineRule="exact"/>
        <w:rPr>
          <w:rFonts w:ascii="Arial" w:cs="Arial" w:eastAsia="Arial" w:hAnsi="Arial"/>
          <w:sz w:val="18"/>
          <w:szCs w:val="18"/>
          <w:color w:val="auto"/>
        </w:rPr>
      </w:pPr>
    </w:p>
    <w:p>
      <w:pPr>
        <w:ind w:left="1540" w:hanging="331"/>
        <w:spacing w:after="0"/>
        <w:tabs>
          <w:tab w:leader="none" w:pos="154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IAS 34 Interim Financial Reporting.</w:t>
      </w:r>
    </w:p>
    <w:p>
      <w:pPr>
        <w:spacing w:after="0" w:line="297" w:lineRule="exact"/>
        <w:rPr>
          <w:rFonts w:ascii="Arial" w:cs="Arial" w:eastAsia="Arial" w:hAnsi="Arial"/>
          <w:sz w:val="18"/>
          <w:szCs w:val="18"/>
          <w:color w:val="auto"/>
        </w:rPr>
      </w:pPr>
    </w:p>
    <w:p>
      <w:pPr>
        <w:ind w:left="420" w:hanging="304"/>
        <w:spacing w:after="0"/>
        <w:tabs>
          <w:tab w:leader="none" w:pos="42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Event after the reporting period</w:t>
      </w:r>
    </w:p>
    <w:p>
      <w:pPr>
        <w:spacing w:after="0" w:line="126" w:lineRule="exact"/>
        <w:rPr>
          <w:sz w:val="20"/>
          <w:szCs w:val="20"/>
          <w:color w:val="auto"/>
        </w:rPr>
      </w:pPr>
    </w:p>
    <w:p>
      <w:pPr>
        <w:ind w:left="820" w:hanging="264"/>
        <w:spacing w:after="0"/>
        <w:tabs>
          <w:tab w:leader="none" w:pos="8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On February 8, 2019, Dr. Frank Armstrong resigned as a non-executive director of the Group.</w:t>
      </w:r>
    </w:p>
    <w:p>
      <w:pPr>
        <w:spacing w:after="0" w:line="211" w:lineRule="exact"/>
        <w:rPr>
          <w:rFonts w:ascii="Arial" w:cs="Arial" w:eastAsia="Arial" w:hAnsi="Arial"/>
          <w:sz w:val="18"/>
          <w:szCs w:val="18"/>
          <w:color w:val="auto"/>
        </w:rPr>
      </w:pPr>
    </w:p>
    <w:p>
      <w:pPr>
        <w:ind w:left="120" w:right="240" w:firstLine="436"/>
        <w:spacing w:after="0"/>
        <w:tabs>
          <w:tab w:leader="none" w:pos="83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On April 23, 2019 the Group agreed an amendment to the terms of its bank loan with the lenders. The new terms extended the interest-only period to December 31, 2019 followed by a 15-month capital and interest repayment period. The Group has undertaken a preliminary assessment under IFRS 9 and determined it to be a non-substantial modification.</w:t>
      </w:r>
    </w:p>
    <w:p>
      <w:pPr>
        <w:spacing w:after="0" w:line="203" w:lineRule="exact"/>
        <w:rPr>
          <w:sz w:val="20"/>
          <w:szCs w:val="20"/>
          <w:color w:val="auto"/>
        </w:rPr>
      </w:pPr>
    </w:p>
    <w:p>
      <w:pPr>
        <w:ind w:left="120" w:right="280" w:firstLine="440"/>
        <w:spacing w:after="0" w:line="274" w:lineRule="auto"/>
        <w:rPr>
          <w:sz w:val="20"/>
          <w:szCs w:val="20"/>
          <w:color w:val="auto"/>
        </w:rPr>
      </w:pPr>
      <w:r>
        <w:rPr>
          <w:rFonts w:ascii="Arial" w:cs="Arial" w:eastAsia="Arial" w:hAnsi="Arial"/>
          <w:sz w:val="17"/>
          <w:szCs w:val="17"/>
          <w:color w:val="auto"/>
        </w:rPr>
        <w:t>Following completion of the merger with OncoMed, under the terms of the loan agreement, Mereo expects to issue approximately 321,444 additional warrants to its lenders giving them the right to subscribe for ordinary shares at an exercise price of £2.95.</w:t>
      </w:r>
    </w:p>
    <w:p>
      <w:pPr>
        <w:spacing w:after="0" w:line="175" w:lineRule="exact"/>
        <w:rPr>
          <w:sz w:val="20"/>
          <w:szCs w:val="20"/>
          <w:color w:val="auto"/>
        </w:rPr>
      </w:pPr>
    </w:p>
    <w:p>
      <w:pPr>
        <w:ind w:left="120" w:firstLine="436"/>
        <w:spacing w:after="0" w:line="238" w:lineRule="auto"/>
        <w:tabs>
          <w:tab w:leader="none" w:pos="8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On April 23, 2019, Mereo completed the acquisition of OncoMed, a clinical-stage biopharmaceutical company whose shares were previously traded on NASDAQ. Mereo acquired 100% of the voting equity interests declared, and OncoMed will continue as a wholly-owned indirect subsidiary of Mereo. The Mereo Board believes that the combination of Mereo’s biopharmaceutical portfolio of four assets with OncoMed’s two lead assets will create a diversified combined portfolio, resulting in an increased number of potential near-term catalysts with a core focus remaining 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Mereo’s strategy to target rare diseases, and that the cash position of the Combined Company will provide an extended operational runway, with the potential for such runway to be extended significantly further through partnering deals.</w:t>
      </w:r>
    </w:p>
    <w:p>
      <w:pPr>
        <w:spacing w:after="0" w:line="19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initial consideration for the purchase amounted to £40,892,478 in the form of 24,783,320 ordinary shares. The fair value of the ordinary shares issued was measured using the closing market price of Mereo’s ordinary shares at the acquisition date. Further amounts may be payable the former owners of OncoMed governed by the terms of an agreed Contingent Value Rights (CVR) agreement. The CVR represents the non-transferable contractual right for previous shareholders in OncoMed, Inc. to receive certain share and cash payments from Mereo if specified milestones are achieved within agreed time periods. The CVR milestone relates to OncoMed’s etigilimab (anti-TIGIT, OMP-313M32) and navicixizumab (anti-DLL4/VEGF, OMP-305B83) therapeutic candidates. The contingent payments become payable upon the achievement of the milestones as follows: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TIGIT milestone</w:t>
      </w:r>
    </w:p>
    <w:p>
      <w:pPr>
        <w:spacing w:after="0" w:line="126"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A payment, in the form of Mereo ADSs, will be made to CVR holders if, prior to December 31, 2019, the following milestone is achieved:</w:t>
      </w:r>
    </w:p>
    <w:p>
      <w:pPr>
        <w:spacing w:after="0" w:line="102" w:lineRule="exact"/>
        <w:rPr>
          <w:sz w:val="20"/>
          <w:szCs w:val="20"/>
          <w:color w:val="auto"/>
        </w:rPr>
      </w:pPr>
    </w:p>
    <w:p>
      <w:pPr>
        <w:ind w:left="1080" w:right="30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Celgene exercises the exclusive option granted by OncoMed to Celgene in relation to OncoMed’s OMP-313M32 product pursuant to the Master Research and Collaboration Agreement by and among Celgene and OncoMed, dated December 2, 2013; and</w:t>
      </w:r>
    </w:p>
    <w:p>
      <w:pPr>
        <w:spacing w:after="0" w:line="108" w:lineRule="exact"/>
        <w:rPr>
          <w:rFonts w:ascii="Arial" w:cs="Arial" w:eastAsia="Arial" w:hAnsi="Arial"/>
          <w:sz w:val="18"/>
          <w:szCs w:val="18"/>
          <w:color w:val="auto"/>
        </w:rPr>
      </w:pPr>
    </w:p>
    <w:p>
      <w:pPr>
        <w:ind w:left="1080" w:right="80" w:hanging="424"/>
        <w:spacing w:after="0" w:line="246"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receipt by OncoMed of the initial $35 million cash milestone payment due from Celgene pursuant to such Celgene option exercise.</w:t>
      </w:r>
    </w:p>
    <w:p>
      <w:pPr>
        <w:spacing w:after="0" w:line="197"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If the TIGIT milestone is achieved, holders of CVRs would be entitled to receive a number of Mereo ADSs equal to the $35 million cash milestone payment received net of any tax and other reasonable expenses, divided by the volume-weighted average price per Mereo ADS for the 10-trading day period immediately following the date of the announcement by Mereo of the receipt of such cash payment. The TIGIT milestone payment is subject to a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40% of the enlarged Group after issuing the consideration shares.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NAVI milestones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 cash payment will be made to CVR holders if, within 18 months following the closing of the merger, Mereo or any of its subsidiaries enters into a definitive agreement with one or more third parties regarding the OMP-305B83 products and, within five years of the closing of the merger, Mereo or any of its subsidiaries receives eligible cash milestone payments. If a NAVI milestone is achieved, holders of CVRs would be entitled to receive an amount in cash equal to 70% of the amount of such eligible cash milestone payment, net of any tax and other reasonable expenses. The NAVI milestone payments are subject to a cash consideration cap, pursuant to which the aggregate principal amount of all cash payments made to holders of CVRs by Mereo shall in no case exceed $79.7 million.</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estimated that the fair value of the deferred consideration is immaterial and have not provided for any amount payable.</w:t>
      </w:r>
    </w:p>
    <w:p>
      <w:pPr>
        <w:spacing w:after="0" w:line="21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We are finalizing the purchase price allocation and have determined a preliminary estimate of the fair value of the intangible assets acquired of £14.5 million. We acquired cash and cash equivalents, and short-term investments at completion of $50.8 million.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 of OncoMed Pharmaceuticals, Inc.</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have audited the accompanying balance sheets of OncoMed Pharmaceuticals, Inc. (the Company) as of December 31, 2018 and 2017, the related statements of operations, comprehensive loss, stockholders’ equity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7, 2019 expressed an unqualified opinion thereon.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ASU No. 2014-09</w:t>
      </w:r>
    </w:p>
    <w:p>
      <w:pPr>
        <w:spacing w:after="0" w:line="126" w:lineRule="exact"/>
        <w:rPr>
          <w:sz w:val="20"/>
          <w:szCs w:val="20"/>
          <w:color w:val="auto"/>
        </w:rPr>
      </w:pPr>
    </w:p>
    <w:p>
      <w:pPr>
        <w:jc w:val="both"/>
        <w:ind w:left="120" w:right="140" w:firstLine="440"/>
        <w:spacing w:after="0" w:line="274" w:lineRule="auto"/>
        <w:rPr>
          <w:sz w:val="20"/>
          <w:szCs w:val="20"/>
          <w:color w:val="auto"/>
        </w:rPr>
      </w:pPr>
      <w:r>
        <w:rPr>
          <w:rFonts w:ascii="Arial" w:cs="Arial" w:eastAsia="Arial" w:hAnsi="Arial"/>
          <w:sz w:val="17"/>
          <w:szCs w:val="17"/>
          <w:color w:val="auto"/>
        </w:rPr>
        <w:t>As discussed in Note 2 to the financial statements, the Company changed its method for recognizing revenue as a result of the adoption of Accounting Standards Update No. 2014-09, Revenue from Contracts with Customers (Topic 606), effective January 1, 2018.</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2005.</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ind w:left="120"/>
        <w:spacing w:after="0"/>
        <w:rPr>
          <w:sz w:val="20"/>
          <w:szCs w:val="20"/>
          <w:color w:val="auto"/>
        </w:rPr>
      </w:pPr>
      <w:r>
        <w:rPr>
          <w:rFonts w:ascii="Arial" w:cs="Arial" w:eastAsia="Arial" w:hAnsi="Arial"/>
          <w:sz w:val="18"/>
          <w:szCs w:val="18"/>
          <w:color w:val="auto"/>
        </w:rPr>
        <w:t>March 7, 2019</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060"/>
          </w:cols>
          <w:pgMar w:left="320" w:top="459" w:right="51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88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9,686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13,277</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47,659</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89,814</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and other receivables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1,913</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1,443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63,727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105,205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728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65,078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110,322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1,787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4,368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Accrued clinical liabilities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2,736</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82,193</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Current portion of deferred rent</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12,644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93,132</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revenue, less current portion</w:t>
            </w: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61,645</w:t>
            </w: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less current potion</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4,103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Noncurrent income tax payable</w:t>
            </w: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16,847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158,925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7)</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$0.001 par value; 5,000,000 shares authorized at December 31, 2018 and 2017; no</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shares issued and outstanding at December 31, 2018 and 2017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$0.001 par value; 145,000,000 shares authorized at December 31, 2018 and 2017;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540"/>
              <w:spacing w:after="0" w:line="202" w:lineRule="exact"/>
              <w:rPr>
                <w:sz w:val="20"/>
                <w:szCs w:val="20"/>
                <w:color w:val="auto"/>
              </w:rPr>
            </w:pPr>
            <w:r>
              <w:rPr>
                <w:rFonts w:ascii="Arial" w:cs="Arial" w:eastAsia="Arial" w:hAnsi="Arial"/>
                <w:sz w:val="18"/>
                <w:szCs w:val="18"/>
                <w:color w:val="auto"/>
              </w:rPr>
              <w:t>38,660,146 and 38,212,505 shares issued and outstanding at December 31, 2018 and 2017,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540"/>
              <w:spacing w:after="0" w:line="203" w:lineRule="exact"/>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410,008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403,077</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(361,786)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(452,007)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48,231</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(48,603)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 (deficit)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65,078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110,322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r>
      <w:tr>
        <w:trPr>
          <w:trHeight w:val="183"/>
        </w:trPr>
        <w:tc>
          <w:tcPr>
            <w:tcW w:w="6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640" w:type="dxa"/>
            <w:vAlign w:val="bottom"/>
          </w:tcPr>
          <w:p>
            <w:pPr>
              <w:ind w:left="360"/>
              <w:spacing w:after="0" w:line="202" w:lineRule="exact"/>
              <w:rPr>
                <w:sz w:val="20"/>
                <w:szCs w:val="20"/>
                <w:color w:val="auto"/>
              </w:rPr>
            </w:pPr>
            <w:r>
              <w:rPr>
                <w:rFonts w:ascii="Arial" w:cs="Arial" w:eastAsia="Arial" w:hAnsi="Arial"/>
                <w:sz w:val="18"/>
                <w:szCs w:val="18"/>
                <w:color w:val="auto"/>
              </w:rPr>
              <w:t>Collaboration revenue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44,421</w:t>
            </w:r>
          </w:p>
        </w:tc>
        <w:tc>
          <w:tcPr>
            <w:tcW w:w="14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36,016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21,277</w:t>
            </w:r>
          </w:p>
        </w:tc>
      </w:tr>
      <w:tr>
        <w:trPr>
          <w:trHeight w:val="203"/>
        </w:trPr>
        <w:tc>
          <w:tcPr>
            <w:tcW w:w="6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2,138</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3,876</w:t>
            </w:r>
          </w:p>
        </w:tc>
        <w:tc>
          <w:tcPr>
            <w:tcW w:w="120" w:type="dxa"/>
            <w:vAlign w:val="bottom"/>
            <w:shd w:val="clear" w:color="auto" w:fill="CCEEFF"/>
          </w:tcPr>
          <w:p>
            <w:pPr>
              <w:spacing w:after="0"/>
              <w:rPr>
                <w:sz w:val="17"/>
                <w:szCs w:val="17"/>
                <w:color w:val="auto"/>
              </w:rPr>
            </w:pPr>
          </w:p>
        </w:tc>
      </w:tr>
      <w:tr>
        <w:trPr>
          <w:trHeight w:val="209"/>
        </w:trPr>
        <w:tc>
          <w:tcPr>
            <w:tcW w:w="66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44,421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38,154</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25,153</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34,443</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59,839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109,713</w:t>
            </w:r>
          </w:p>
        </w:tc>
      </w:tr>
      <w:tr>
        <w:trPr>
          <w:trHeight w:val="203"/>
        </w:trPr>
        <w:tc>
          <w:tcPr>
            <w:tcW w:w="6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18,172</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16,761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18,827</w:t>
            </w:r>
          </w:p>
        </w:tc>
      </w:tr>
      <w:tr>
        <w:trPr>
          <w:trHeight w:val="210"/>
        </w:trPr>
        <w:tc>
          <w:tcPr>
            <w:tcW w:w="6640" w:type="dxa"/>
            <w:vAlign w:val="bottom"/>
          </w:tcPr>
          <w:p>
            <w:pPr>
              <w:ind w:left="360"/>
              <w:spacing w:after="0" w:line="202" w:lineRule="exact"/>
              <w:rPr>
                <w:sz w:val="20"/>
                <w:szCs w:val="20"/>
                <w:color w:val="auto"/>
              </w:rPr>
            </w:pPr>
            <w:r>
              <w:rPr>
                <w:rFonts w:ascii="Arial" w:cs="Arial" w:eastAsia="Arial" w:hAnsi="Arial"/>
                <w:sz w:val="18"/>
                <w:szCs w:val="18"/>
                <w:color w:val="auto"/>
              </w:rPr>
              <w:t>Restructuring charges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2,527</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6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54,466</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79,127</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128,540</w:t>
            </w:r>
          </w:p>
        </w:tc>
        <w:tc>
          <w:tcPr>
            <w:tcW w:w="120" w:type="dxa"/>
            <w:vAlign w:val="bottom"/>
            <w:shd w:val="clear" w:color="auto" w:fill="CCEEFF"/>
          </w:tcPr>
          <w:p>
            <w:pPr>
              <w:spacing w:after="0"/>
              <w:rPr>
                <w:sz w:val="17"/>
                <w:szCs w:val="17"/>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(40,973)</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(103,387)</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1,562</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828</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7"/>
                <w:szCs w:val="17"/>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(40,145)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(103,088)</w:t>
            </w:r>
          </w:p>
        </w:tc>
      </w:tr>
      <w:tr>
        <w:trPr>
          <w:trHeight w:val="202"/>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(39,062)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(103,102)</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(0.21)</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(3.14)</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Shares used to compute net loss per common share, basic and diluted</w:t>
            </w: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9"/>
              </w:rPr>
              <w:t>38,442,994</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w w:val="99"/>
              </w:rPr>
              <w:t>37,631,348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32,859,554</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Comprehensive Loss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298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040" w:type="dxa"/>
            <w:vAlign w:val="bottom"/>
          </w:tcPr>
          <w:p>
            <w:pPr>
              <w:spacing w:after="0"/>
              <w:rPr>
                <w:sz w:val="13"/>
                <w:szCs w:val="13"/>
                <w:color w:val="auto"/>
              </w:rPr>
            </w:pPr>
          </w:p>
        </w:tc>
        <w:tc>
          <w:tcPr>
            <w:tcW w:w="620" w:type="dxa"/>
            <w:vAlign w:val="bottom"/>
            <w:tcBorders>
              <w:top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96"/>
        </w:trPr>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$(8,101)</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$(39,062)</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$(103,102)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 (loss) on available-for-sale securities, net of tax</w:t>
            </w: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(318)</w:t>
            </w: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240</w:t>
            </w:r>
          </w:p>
        </w:tc>
      </w:tr>
      <w:tr>
        <w:trPr>
          <w:trHeight w:val="20"/>
        </w:trPr>
        <w:tc>
          <w:tcPr>
            <w:tcW w:w="8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(8,419)</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(39,033)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(102,862)</w:t>
            </w:r>
          </w:p>
        </w:tc>
      </w:tr>
      <w:tr>
        <w:trPr>
          <w:trHeight w:val="20"/>
        </w:trPr>
        <w:tc>
          <w:tcPr>
            <w:tcW w:w="8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46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460" w:type="dxa"/>
            <w:vAlign w:val="bottom"/>
            <w:tcBorders>
              <w:bottom w:val="single" w:sz="8" w:color="auto"/>
            </w:tcBorders>
            <w:gridSpan w:val="5"/>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2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(Loss) Income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2015</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30,116,633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$313,344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(309,843)</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public offering,</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net of offering costs</w:t>
            </w:r>
          </w:p>
        </w:tc>
        <w:tc>
          <w:tcPr>
            <w:tcW w:w="1100" w:type="dxa"/>
            <w:vAlign w:val="bottom"/>
            <w:gridSpan w:val="3"/>
          </w:tcPr>
          <w:p>
            <w:pPr>
              <w:ind w:left="160"/>
              <w:spacing w:after="0" w:line="203" w:lineRule="exact"/>
              <w:rPr>
                <w:sz w:val="20"/>
                <w:szCs w:val="20"/>
                <w:color w:val="auto"/>
              </w:rPr>
            </w:pPr>
            <w:r>
              <w:rPr>
                <w:rFonts w:ascii="Arial" w:cs="Arial" w:eastAsia="Arial" w:hAnsi="Arial"/>
                <w:sz w:val="18"/>
                <w:szCs w:val="18"/>
                <w:color w:val="auto"/>
              </w:rPr>
              <w:t>6,325,000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w:t>
            </w:r>
          </w:p>
        </w:tc>
        <w:tc>
          <w:tcPr>
            <w:tcW w:w="10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59,163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59,170</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At-the-Market</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Agreement, net of offering costs</w:t>
            </w:r>
          </w:p>
        </w:tc>
        <w:tc>
          <w:tcPr>
            <w:tcW w:w="9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388,166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4,739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Issuance of common stock related to stock</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incentive plans</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284,790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1,243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11,131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11,131</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Net unrealized gain on available-for-sale securities</w:t>
            </w:r>
          </w:p>
        </w:tc>
        <w:tc>
          <w:tcPr>
            <w:tcW w:w="11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(103,102)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(103,102)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Balances at December 31, 2016</w:t>
            </w:r>
          </w:p>
        </w:tc>
        <w:tc>
          <w:tcPr>
            <w:tcW w:w="960" w:type="dxa"/>
            <w:vAlign w:val="bottom"/>
          </w:tcPr>
          <w:p>
            <w:pPr>
              <w:jc w:val="right"/>
              <w:spacing w:after="0"/>
              <w:rPr>
                <w:sz w:val="20"/>
                <w:szCs w:val="20"/>
                <w:color w:val="auto"/>
              </w:rPr>
            </w:pPr>
            <w:r>
              <w:rPr>
                <w:rFonts w:ascii="Arial" w:cs="Arial" w:eastAsia="Arial" w:hAnsi="Arial"/>
                <w:sz w:val="18"/>
                <w:szCs w:val="18"/>
                <w:color w:val="auto"/>
              </w:rPr>
              <w:t>37,114,589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389,620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(412,945)</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(23,028)</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At-the-Market</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Agreement, net of offering costs</w:t>
            </w:r>
          </w:p>
        </w:tc>
        <w:tc>
          <w:tcPr>
            <w:tcW w:w="9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355,821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Issuance of common stock related to stock</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incentive plans</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742,095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w:t>
            </w:r>
          </w:p>
        </w:tc>
        <w:tc>
          <w:tcPr>
            <w:tcW w:w="10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2,342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Net unrealized gain on available-for-sale securities</w:t>
            </w:r>
          </w:p>
        </w:tc>
        <w:tc>
          <w:tcPr>
            <w:tcW w:w="11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(39,062)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Balances at December 31, 2017</w:t>
            </w:r>
          </w:p>
        </w:tc>
        <w:tc>
          <w:tcPr>
            <w:tcW w:w="960" w:type="dxa"/>
            <w:vAlign w:val="bottom"/>
          </w:tcPr>
          <w:p>
            <w:pPr>
              <w:jc w:val="right"/>
              <w:spacing w:after="0"/>
              <w:rPr>
                <w:sz w:val="20"/>
                <w:szCs w:val="20"/>
                <w:color w:val="auto"/>
              </w:rPr>
            </w:pPr>
            <w:r>
              <w:rPr>
                <w:rFonts w:ascii="Arial" w:cs="Arial" w:eastAsia="Arial" w:hAnsi="Arial"/>
                <w:sz w:val="18"/>
                <w:szCs w:val="18"/>
                <w:color w:val="auto"/>
              </w:rPr>
              <w:t>38,212,505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$403,077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(452,007)</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(48,603)</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Adoption of ASU 2014-09, Revenue from</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Contracts with Customers (Topic 606)</w:t>
            </w:r>
          </w:p>
        </w:tc>
        <w:tc>
          <w:tcPr>
            <w:tcW w:w="1100" w:type="dxa"/>
            <w:vAlign w:val="bottom"/>
            <w:gridSpan w:val="3"/>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98,322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98,322</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Issuance of common stock related to stock</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80"/>
              <w:spacing w:after="0" w:line="203" w:lineRule="exact"/>
              <w:rPr>
                <w:sz w:val="20"/>
                <w:szCs w:val="20"/>
                <w:color w:val="auto"/>
              </w:rPr>
            </w:pPr>
            <w:r>
              <w:rPr>
                <w:rFonts w:ascii="Arial" w:cs="Arial" w:eastAsia="Arial" w:hAnsi="Arial"/>
                <w:sz w:val="18"/>
                <w:szCs w:val="18"/>
                <w:color w:val="auto"/>
              </w:rPr>
              <w:t>incentive plans</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447,641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Net unrealized loss on available-for-sale securities</w:t>
            </w:r>
          </w:p>
        </w:tc>
        <w:tc>
          <w:tcPr>
            <w:tcW w:w="110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(8,101)</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960" w:type="dxa"/>
            <w:vAlign w:val="bottom"/>
          </w:tcPr>
          <w:p>
            <w:pPr>
              <w:jc w:val="right"/>
              <w:spacing w:after="0"/>
              <w:rPr>
                <w:sz w:val="20"/>
                <w:szCs w:val="20"/>
                <w:color w:val="auto"/>
              </w:rPr>
            </w:pPr>
            <w:r>
              <w:rPr>
                <w:rFonts w:ascii="Arial" w:cs="Arial" w:eastAsia="Arial" w:hAnsi="Arial"/>
                <w:sz w:val="18"/>
                <w:szCs w:val="18"/>
                <w:color w:val="auto"/>
              </w:rPr>
              <w:t>38,660,146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410,008</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(361,786)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48,231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(8,101)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(39,062)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(103,102)</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1,691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1,710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6,842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9,414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11,131</w:t>
            </w: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receivable and other receivables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68,184</w:t>
            </w: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Income tax refund receivable</w:t>
            </w: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(1,098)</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and other current assets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684</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Accrued liabilities, income tax payable and other liabilities</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(4,572)</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clinical liabilities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(1,698)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(17,420)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9,633</w:t>
            </w:r>
          </w:p>
        </w:tc>
        <w:tc>
          <w:tcPr>
            <w:tcW w:w="0" w:type="dxa"/>
            <w:vAlign w:val="bottom"/>
          </w:tcPr>
          <w:p>
            <w:pPr>
              <w:spacing w:after="0"/>
              <w:rPr>
                <w:sz w:val="1"/>
                <w:szCs w:val="1"/>
                <w:color w:val="auto"/>
              </w:rPr>
            </w:pPr>
          </w:p>
        </w:tc>
      </w:tr>
      <w:tr>
        <w:trPr>
          <w:trHeight w:val="203"/>
        </w:trPr>
        <w:tc>
          <w:tcPr>
            <w:tcW w:w="7600" w:type="dxa"/>
            <w:vAlign w:val="bottom"/>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(44,421)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(36,045)</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(21,272)</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rent</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(44,862)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(84,970)</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(36,936)</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(585)</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Purchases of short-term investments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(82,305)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(127,376)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(207,283)</w:t>
            </w:r>
          </w:p>
        </w:tc>
        <w:tc>
          <w:tcPr>
            <w:tcW w:w="0" w:type="dxa"/>
            <w:vAlign w:val="bottom"/>
          </w:tcPr>
          <w:p>
            <w:pPr>
              <w:spacing w:after="0"/>
              <w:rPr>
                <w:sz w:val="1"/>
                <w:szCs w:val="1"/>
                <w:color w:val="auto"/>
              </w:rPr>
            </w:pPr>
          </w:p>
        </w:tc>
      </w:tr>
      <w:tr>
        <w:trPr>
          <w:trHeight w:val="209"/>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Maturities of short-term investments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124,142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185,211</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41,182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57,250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(29,703)</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Proceeds from issuance of common stock related to the exercise of options and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employee stock plan purchases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2,343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line="202" w:lineRule="exact"/>
              <w:rPr>
                <w:sz w:val="20"/>
                <w:szCs w:val="20"/>
                <w:color w:val="auto"/>
              </w:rPr>
            </w:pPr>
            <w:r>
              <w:rPr>
                <w:rFonts w:ascii="Arial" w:cs="Arial" w:eastAsia="Arial" w:hAnsi="Arial"/>
                <w:sz w:val="18"/>
                <w:szCs w:val="18"/>
                <w:color w:val="auto"/>
              </w:rPr>
              <w:t>Net proceeds from issuance of common stock under At-the-market Agreement</w:t>
            </w: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1,701</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proceeds from issuance of common stock upon public offering</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(3,591)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(23,676)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0"/>
        </w:trPr>
        <w:tc>
          <w:tcPr>
            <w:tcW w:w="760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36,953</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9,686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13,277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36,953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liabilities for purchase of property and equipment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OncoMed Pharmaceuticals, Inc.</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OncoMed Pharmaceuticals, Inc. (“OncoMed”, the “Company”, “us”, “we”, or “our”) is a clinical-stage biopharmaceutical company focused on developing novel therapeutics that address the fundamental biology driving cancer’s growth, resistance, recurrence and metastasis. The Company currently has two therapeutic candidates in active clinical development targeting pathways regulating cancer, including cancer stem cell, or CSC, pathways or immuno-oncology. The Company’s operations are based in Redwood City, California and it operates in one segment.</w:t>
      </w:r>
    </w:p>
    <w:p>
      <w:pPr>
        <w:spacing w:after="0" w:line="288" w:lineRule="exact"/>
        <w:rPr>
          <w:sz w:val="20"/>
          <w:szCs w:val="20"/>
          <w:color w:val="auto"/>
        </w:rPr>
      </w:pPr>
    </w:p>
    <w:p>
      <w:pPr>
        <w:ind w:left="120" w:right="6940" w:hanging="4"/>
        <w:spacing w:after="0" w:line="372" w:lineRule="auto"/>
        <w:tabs>
          <w:tab w:leader="none" w:pos="32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560"/>
        <w:spacing w:after="0" w:line="236" w:lineRule="auto"/>
        <w:rPr>
          <w:sz w:val="20"/>
          <w:szCs w:val="20"/>
          <w:color w:val="auto"/>
        </w:rPr>
      </w:pPr>
      <w:r>
        <w:rPr>
          <w:rFonts w:ascii="Arial" w:cs="Arial" w:eastAsia="Arial" w:hAnsi="Arial"/>
          <w:sz w:val="18"/>
          <w:szCs w:val="18"/>
          <w:color w:val="auto"/>
        </w:rPr>
        <w:t>The Company’s financial statements have been prepared in accordance with U.S. generally accepted accounting principles (“U.S.</w:t>
      </w:r>
    </w:p>
    <w:p>
      <w:pPr>
        <w:ind w:left="120"/>
        <w:spacing w:after="0"/>
        <w:rPr>
          <w:sz w:val="20"/>
          <w:szCs w:val="20"/>
          <w:color w:val="auto"/>
        </w:rPr>
      </w:pPr>
      <w:r>
        <w:rPr>
          <w:rFonts w:ascii="Arial" w:cs="Arial" w:eastAsia="Arial" w:hAnsi="Arial"/>
          <w:sz w:val="18"/>
          <w:szCs w:val="18"/>
          <w:color w:val="auto"/>
        </w:rPr>
        <w:t>GAAP”).</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judgments that affect the amounts reported in the financial statements and accompanying notes. On an ongoing basis, management evaluates its estimates, including those related to revenue recognition, preclinical study and clinical trial accruals, fair value of assets and liabilities, stock-based compensation, restructuring charges and income taxes. Management bases its estimates on historical experience and on various other market-specific and relevant assumptions that management believes to be reasonable under the circumstances. Actual results may differ from those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The Company considers all highly liquid investments with original maturities of 90 days or less at the date of purchase to be cash and cash equivalents.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Short-term investments consist of debt securities classified as available-for-sale and have maturities greater than 90 days, but less than 365 days from the date of acquisition. Short-term investments are carried at fair value based upon quoted market prices. Unrealized gains and losses on available-for-sale securities are excluded from earnings and were reported as a component of accumulated other comprehensive income. The cost of available-for-sale securities sold is based on the specific-identification method.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126"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Other comprehensive (loss) income includes certain changes in equity from non-owner sources that are excluded from net loss, specifically, unrealized gains and losses on available-for-sale investments and the related tax impact.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26"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short-term investments. Cash and short-term investments are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040"/>
          </w:cols>
          <w:pgMar w:left="320" w:top="459" w:right="5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20"/>
        <w:spacing w:after="0" w:line="246" w:lineRule="auto"/>
        <w:rPr>
          <w:sz w:val="20"/>
          <w:szCs w:val="20"/>
          <w:color w:val="auto"/>
        </w:rPr>
      </w:pPr>
      <w:r>
        <w:rPr>
          <w:rFonts w:ascii="Arial" w:cs="Arial" w:eastAsia="Arial" w:hAnsi="Arial"/>
          <w:sz w:val="18"/>
          <w:szCs w:val="18"/>
          <w:color w:val="auto"/>
        </w:rPr>
        <w:t>invested through banks and other financial institutions in the United States. Such deposits may be in excess of insured limits. The Company maintains cash and investments with various high credit quality and capitalized financial institutions.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ind w:left="120" w:firstLine="440"/>
        <w:spacing w:after="0" w:line="252"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is calculated using the straight-line method over the estimated useful lives of the assets, which range from three to five years. Leasehold improvements are amortized over the shorter of their estimated useful lives or the remaining life of the lease at the time the asset is placed into service. In December 2018, the Company changed the estimated useful life of its leasehold improvements to better reflect the period during which these assets are expected to remain in service. The change in estimated useful life has been accounted for as a change in accounting estimate. The remaining carrying amounts of the leasehold improvements as of December 31, 2018 will be amortized prospectively over one year up to December 31, 2019. The change in estimated useful life increased loss from operations and net loss by approximately $26,000, or less than $0.01 per share, as reported in the Statement of Operations for the year ended December 31, 2018.</w:t>
      </w:r>
    </w:p>
    <w:p>
      <w:pPr>
        <w:spacing w:after="0" w:line="194"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 xml:space="preserve">For assets held for sale, the property and equipment (the “disposal group”) are measured at the lower of their carrying amount or fair value less cost to sell. Losses are recognized for any initial or subsequent write-down to fair value less cost to sell, while gains are recognized for any subsequent increase in fair value less cost to sell, but not in excess of the cumulative loss previously recognized. Any gains or losses not previously recognized that result from the sale of the disposal group shall be recognized at the date of sale. Property and equipment are not depreciated while classified as held for sale. During the fourth quarter of 2018, certain property and equipment qualified as held for sale treatment. See Note 5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to the Notes to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Through December 31, 2018, there have been no such impairment losses.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Effective January 1, 2018, the Company adopted Accounting Standards Codification, or ASC, Topic 606, Revenue from Contracts with Customers, using the modified retrospective transition method. Under this method, the Company recorded a cumulative adjustment to the opening balance of accumulated deficit and to deferred revenue. Under Topic 606, the Company recognizes revenue when it transfers control of promised goods or services to its customers in an amount that reflects the consideration which the Company expects to receive in exchange for those goods or services. 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At contract inception, once a contract is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determined to be within the scope of Topic 606, the Company assesses the goods or services promised within the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Company evaluated its existing contracts and only applied Topic 606 to those contracts that were not completed at January 1, 2018. As a result of this evaluation, the Company determined that only its collaboration with Celgene Corporation (“Celgene”) is within the scope of Topic 606. The terms of this arrangement include payment to the Company of a non-refundable, upfront fee; potential development, regulatory and sales milestones; program opt-in payments; and royalties on net product sales. Each of these payments results in collaboration revenue, except for revenues from royalties on net product sales, which would be classified as royalty revenues. In determining the appropriate amount of revenue to be recognized as it fulfills its obligations under its collaboration agreement with Celgene, the Company applies the five-step model. As part of the accounting for this arrangement, the Company must develop assumptions that require judgment to determine the stand-alone selling price for each performance obligation identified in the contract. The Company also must develop assumptions that require judgment in determining the measure of progress used to recognize revenue.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Milestone Payments</w:t>
      </w:r>
    </w:p>
    <w:p>
      <w:pPr>
        <w:spacing w:after="0" w:line="122"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At the inception of each arrangement that includes development, regulatory or commercial milestone payments, the Company evaluates whether the milestones are considered probable of being reached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partner, such as regulatory approvals, are not considered probable of being achieved until those approvals are received or the underlying activity has been completed.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revenues and earnings in the period of adjustment.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Customers whose collaboration revenue accounted for 10% or more of total revenues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24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69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3"/>
                <w:szCs w:val="13"/>
                <w:color w:val="auto"/>
              </w:rPr>
            </w:pPr>
          </w:p>
        </w:tc>
      </w:tr>
      <w:tr>
        <w:trPr>
          <w:trHeight w:val="196"/>
        </w:trPr>
        <w:tc>
          <w:tcPr>
            <w:tcW w:w="82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GlaxoSmithKline LLC (“GSK”)</w:t>
            </w:r>
          </w:p>
        </w:tc>
        <w:tc>
          <w:tcPr>
            <w:tcW w:w="4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03"/>
        </w:trPr>
        <w:tc>
          <w:tcPr>
            <w:tcW w:w="8200" w:type="dxa"/>
            <w:vAlign w:val="bottom"/>
            <w:gridSpan w:val="3"/>
          </w:tcPr>
          <w:p>
            <w:pPr>
              <w:spacing w:after="0" w:line="202" w:lineRule="exact"/>
              <w:rPr>
                <w:sz w:val="20"/>
                <w:szCs w:val="20"/>
                <w:color w:val="auto"/>
              </w:rPr>
            </w:pPr>
            <w:r>
              <w:rPr>
                <w:rFonts w:ascii="Arial" w:cs="Arial" w:eastAsia="Arial" w:hAnsi="Arial"/>
                <w:sz w:val="18"/>
                <w:szCs w:val="18"/>
                <w:color w:val="auto"/>
              </w:rPr>
              <w:t>Bayer Pharma AG (“Bayer”)</w:t>
            </w:r>
          </w:p>
        </w:tc>
        <w:tc>
          <w:tcPr>
            <w:tcW w:w="1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8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Celgene Corporation (“Celgene”)</w:t>
            </w:r>
          </w:p>
        </w:tc>
        <w:tc>
          <w:tcPr>
            <w:tcW w:w="1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94%</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w:t>
            </w:r>
          </w:p>
        </w:tc>
      </w:tr>
      <w:tr>
        <w:trPr>
          <w:trHeight w:val="135"/>
        </w:trPr>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960" w:type="dxa"/>
            <w:vAlign w:val="bottom"/>
            <w:gridSpan w:val="2"/>
          </w:tcPr>
          <w:p>
            <w:pPr>
              <w:ind w:left="180"/>
              <w:spacing w:after="0"/>
              <w:rPr>
                <w:sz w:val="20"/>
                <w:szCs w:val="20"/>
                <w:color w:val="auto"/>
              </w:rPr>
            </w:pPr>
            <w:r>
              <w:rPr>
                <w:rFonts w:ascii="Arial" w:cs="Arial" w:eastAsia="Arial" w:hAnsi="Arial"/>
                <w:sz w:val="18"/>
                <w:szCs w:val="18"/>
                <w:i w:val="1"/>
                <w:iCs w:val="1"/>
                <w:color w:val="auto"/>
              </w:rPr>
              <w:t>less than 10%</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120" w:right="780" w:firstLine="440"/>
        <w:spacing w:after="0" w:line="246" w:lineRule="auto"/>
        <w:rPr>
          <w:sz w:val="20"/>
          <w:szCs w:val="20"/>
          <w:color w:val="auto"/>
        </w:rPr>
      </w:pPr>
      <w:r>
        <w:rPr>
          <w:rFonts w:ascii="Arial" w:cs="Arial" w:eastAsia="Arial" w:hAnsi="Arial"/>
          <w:sz w:val="18"/>
          <w:szCs w:val="18"/>
          <w:color w:val="auto"/>
        </w:rPr>
        <w:t>Research and development costs are expensed as incurred. Research and development costs consist of salaries and other personnel-related expenses, including associated stock-based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compensation, consulting fees, lab supplies, and facility costs, as well as fees paid to other entities that conduct certain research, development and manufacturing activities on behalf of the Company.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 Accruals</w:t>
      </w:r>
    </w:p>
    <w:p>
      <w:pPr>
        <w:spacing w:after="0" w:line="12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7"/>
          <w:szCs w:val="17"/>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actual costs through discussions with internal personnel and external service providers as to the progress or stage of completion of trials or services and the agreed-upon fee to be paid for such services.</w:t>
      </w:r>
    </w:p>
    <w:p>
      <w:pPr>
        <w:spacing w:after="0" w:line="189" w:lineRule="exact"/>
        <w:rPr>
          <w:sz w:val="20"/>
          <w:szCs w:val="20"/>
          <w:color w:val="auto"/>
        </w:rPr>
      </w:pPr>
    </w:p>
    <w:p>
      <w:pPr>
        <w:ind w:left="120" w:right="640" w:firstLine="440"/>
        <w:spacing w:after="0" w:line="274" w:lineRule="auto"/>
        <w:rPr>
          <w:sz w:val="20"/>
          <w:szCs w:val="20"/>
          <w:color w:val="auto"/>
        </w:rPr>
      </w:pPr>
      <w:r>
        <w:rPr>
          <w:rFonts w:ascii="Arial" w:cs="Arial" w:eastAsia="Arial" w:hAnsi="Arial"/>
          <w:sz w:val="17"/>
          <w:szCs w:val="17"/>
          <w:color w:val="auto"/>
        </w:rPr>
        <w:t>Nonrefundable advance payments for goods and services that will be used or rendered in future research and development activities, are deferred and recognized as expense in the period that the related goods are delivered or services are performed.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Company recognizes compensation expense for all share-based payment awards made to employees and directors based on estimated fair values. For employee stock options, the Company determines the grant date fair value of the awards using the Black-Scholes option-pricing model and generally recognizes the fair value as stock-based compensation expense on a straight-line basis over the vesting period of the respective awards. Stock-based compensation expense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For restricted stock, the compensation cost for these awards is based on the closing price of the Company’s common stock on the date of grant and recognized as compensation expense on a straight-line basis over the requisite service period.</w:t>
      </w:r>
    </w:p>
    <w:p>
      <w:pPr>
        <w:spacing w:after="0" w:line="190"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 xml:space="preserve">In the second quarter of 2018, the Company early adopted ASU 2018-07, </w:t>
      </w:r>
      <w:r>
        <w:rPr>
          <w:rFonts w:ascii="Arial" w:cs="Arial" w:eastAsia="Arial" w:hAnsi="Arial"/>
          <w:sz w:val="18"/>
          <w:szCs w:val="18"/>
          <w:i w:val="1"/>
          <w:iCs w:val="1"/>
          <w:color w:val="auto"/>
        </w:rPr>
        <w:t>Stock Compensation</w:t>
      </w:r>
      <w:r>
        <w:rPr>
          <w:rFonts w:ascii="Arial" w:cs="Arial" w:eastAsia="Arial" w:hAnsi="Arial"/>
          <w:sz w:val="18"/>
          <w:szCs w:val="18"/>
          <w:color w:val="auto"/>
        </w:rPr>
        <w:t>. ASU 2018-07 clarifies the accounting for share-based payment transactions for acquiring goods and services from non-employees. Specifically, the standard aligns the accounting for payments to non-employees to match the accounting for payments to employees, and no longer accounting for these transactions differently. The adoption of the standard did not have material impact on the Company’s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Company rents its office space and facilities under cancelable and non-cancelable operating lease agreements and recognizes related rent expense on a straight-line basis over the term of the lease. The Company’s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The Company does not assume renewals in its determination of the lease term unless they are deemed to be reasonably assured at the inception of the lease. The Company begins recognizing rent expense on the date that the Company obtains the legal right to use and control the leased space.</w:t>
      </w:r>
    </w:p>
    <w:p>
      <w:pPr>
        <w:spacing w:after="0" w:line="203"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Company entered into a sublease agreement during the fourth quarter of 2018. The Company records sublease income as a reduction of rent expense.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00"/>
          </w:cols>
          <w:pgMar w:left="320" w:top="459" w:right="57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26"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Restructuring charges consist of severance, other one-time benefits and other employee related charges. Liabilities for costs associated with a restructuring activity are measured at fair value and are recognized when the liability is incurred. One-time termination benefits are expensed at the date the Company notifies the employee, unless the employee will continue to provide future services, in which case the benefits are expensed ratably over the future service period.</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The Company continually evaluates the adequacy of the remaining liabilities under its restructuring initiatives. Although the Company believes that these estimates accurately reflect the costs of the Company’s restructuring plan, actual results may differ and thereby require the Company to record an additional provision or reverse a portion of such a provision.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Company accounts for income taxes using the liability method under which deferred tax assets and liabilities are determined based on differences between financial reporting and tax basis of assets and liabilities and are measured using the enacted tax rates and laws that will be in effect when the differences are expected to reverse. Valuation allowances are established when necessary to reduce deferred tax assets to the amount which is more likely than not to be realizable.</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recognition, derecognition and measurement of a tax position is based on management’s best judgment given the facts, circumstances and information available at each reporting date. The Company’s policy is to recognize interest and penalties related to the underpayment of income taxes as a component of income tax expense. To date, there have been no interest or penalties charged in relation to the unrecognized tax benefits.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common shares outstanding during the period, without consideration for common stock equivalents. Diluted net loss per common share is computed by dividing the net loss by the weighted-average number of common shares and common share equivalents outstanding for the period determined using the treasury-stock method. For purposes of this calculation, potentially dilutive securities consisting of stock options and restricted stock units are considered to be common stock equivalents and were excluded in the calculation of diluted net loss per common share because their effect would be anti-dilutive for all periods presented.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Newly Adopted and Recent Accounting Pronouncements</w:t>
      </w:r>
    </w:p>
    <w:p>
      <w:pPr>
        <w:spacing w:after="0" w:line="108" w:lineRule="exact"/>
        <w:rPr>
          <w:sz w:val="20"/>
          <w:szCs w:val="20"/>
          <w:color w:val="auto"/>
        </w:rPr>
      </w:pPr>
    </w:p>
    <w:p>
      <w:pPr>
        <w:ind w:left="120" w:right="180"/>
        <w:spacing w:after="0" w:line="267" w:lineRule="auto"/>
        <w:rPr>
          <w:sz w:val="20"/>
          <w:szCs w:val="20"/>
          <w:color w:val="auto"/>
        </w:rPr>
      </w:pPr>
      <w:r>
        <w:rPr>
          <w:rFonts w:ascii="Arial" w:cs="Arial" w:eastAsia="Arial" w:hAnsi="Arial"/>
          <w:sz w:val="18"/>
          <w:szCs w:val="18"/>
          <w:i w:val="1"/>
          <w:iCs w:val="1"/>
          <w:color w:val="auto"/>
        </w:rPr>
        <w:t>Accounting Standard Update (“ASU”) No. 2014-09, Revenue from Contracts with Customers (Topic 606), which supersedes the revenue recognition requirements in ASC 605, Revenue Recognition.</w:t>
      </w:r>
    </w:p>
    <w:p>
      <w:pPr>
        <w:spacing w:after="0" w:line="7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May 2014, the Financial Accounting Standards Board (“FASB”) issued a comprehensive new standard on revenue from contracts with customers, ASU No. 2014-09, Revenue from Contracts with Customers, or Topic 606. The standard’s core principle is that a reporting entity will recognize revenue when it transfers promised goods or services to customers in an amount that reflects the consideration to which the entity expects to be entitled in exchange for those goods or services. Entities have the option of using either a full retrospective or a modified retrospective approach to adopt this new guidance. In 2016, the FASB updated the guidance for reporting revenue gross versus net to improve the implementation guidance on principal versus agent considerations, and for identifying performance obligations and the accounting of intellectual property licenses. In addition, the FASB introduced practical expedients and made narrow scope improvements to the new accounting guidance.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Collaboration with Celgene</w:t>
      </w:r>
    </w:p>
    <w:p>
      <w:pPr>
        <w:spacing w:after="0" w:line="12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Company adopted the accounting standard update on January 1, 2018 using the modified retrospective approach, for its collaboration agreement with Celgene. Therefore, comparative historical information will not be adjusted and will continue to be reported under ASC 605 with the impact of the transition reflected in the opening balance of accumulated deficit as of January 1, 2018. The consideration the Company is eligible to receive under this agreement includes upfront payments, milestone payments and program opt-in payments. The new revenue recognition standard differs from ASC 605 in many respects, such as in the accounting for variable consideration and the measurement of progress toward completion of performance obligations. The most significant impact of the standard relates to the Company’s method of revenue recognition for performance obligations that are delivered over time. Under the new standard, milestone payments are included in the transaction price as variable consideration, subject to a constraint, and are allocated to the performance obligations in the contract when recognized. Through December 31, 2017, the Company also received payments from Celgene to reimburse the costs of research and development services performed by the Company; these payments were historically recorded as other revenue. As the performance of these research and development services was at the Company’s discretion and are not reflective of a commitment or performance obligation pursuant to the Celgene agreement, the reimbursement paid to the Company has been excluded from the transaction price.</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Company’s deferred revenue associated with its Celgene collaboration agreement as of December 31, 2017 under Topic 605 was $143.8 million. As a result of adopting Topic 606, the Company recorded a $98.3 million reduction to its deferred revenue and opening accumulated deficit on January 1, 2018 as a result of the cumulative impact of the change in the recognition of the upfront and milestone payments using the input method (described further in Note 5, “Collaborations”) under Topic 606, rather than on a ratable basis which was applied in prior periods. Under Topic 606, collaboration revenue under the Company’s collaboration agreement with Celgene from inception of the agreement through January 1, 2018 was $186.2 million and deferred revenue was $45.5 million as of January 1, 2018. At adoption date, the remaining performance obligation under the contract was estimated to be substantially complete by the third quarter of 2019. At December 31, 2018, the Company evaluated the development program status of the remaining product candidate under the collaboration agreement with Celgene, etigilimab, and estimated that the remaining performance obligation under the contract will be completed by the first quarter of 2019.</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Collaborations with Bayer and GSK</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the GSK collaboration was terminated in its entirety on October 28, 2017, this arrangement was outside the scope of Topic 606 as of the adoption date. For the Bayer collaboration, Bayer terminated all biologic therapeutic programs under the collaboration effective June 16, 2017, while the small molecule therapeutics program remained active. Refer to Note 5, “Collaborations,” for further details. The Company has determined that the small molecule therapeutic program remaining as of December 31, 2017 is immaterial in the context of the collaboration agreement relative to the biologics therapeutic programs that was terminated during 2017. The Company’s performance obligations under the small molecule therapeutic program with respect to Bayer were substantially complete at December 31, 2017, and any future receipts in the form of milestones or royalties are contingent upon the achievement of specified development, commercial and/or sales targets. The Company has concluded that there was no transition adjustment to be recognized on January 1, 2018 for these two agreements.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20"/>
          </w:cols>
          <w:pgMar w:left="320" w:top="459" w:right="45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Adoption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impact of adopting Topic 606 on select balance sheets and statement of operations line items: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700" w:type="dxa"/>
            <w:vAlign w:val="bottom"/>
            <w:gridSpan w:val="2"/>
            <w:vMerge w:val="restart"/>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2"/>
        </w:trPr>
        <w:tc>
          <w:tcPr>
            <w:tcW w:w="1000" w:type="dxa"/>
            <w:vAlign w:val="bottom"/>
            <w:tcBorders>
              <w:bottom w:val="single" w:sz="8" w:color="auto"/>
            </w:tcBorders>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175"/>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Adjustment</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0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Sheets:</w:t>
            </w:r>
          </w:p>
        </w:tc>
        <w:tc>
          <w:tcPr>
            <w:tcW w:w="1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Deferred revenue, current portion</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82,193</w:t>
            </w:r>
          </w:p>
        </w:tc>
        <w:tc>
          <w:tcPr>
            <w:tcW w:w="440" w:type="dxa"/>
            <w:vAlign w:val="bottom"/>
          </w:tcPr>
          <w:p>
            <w:pPr>
              <w:spacing w:after="0"/>
              <w:rPr>
                <w:sz w:val="17"/>
                <w:szCs w:val="17"/>
                <w:color w:val="auto"/>
              </w:rPr>
            </w:pP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 (51,299)</w:t>
            </w:r>
          </w:p>
        </w:tc>
        <w:tc>
          <w:tcPr>
            <w:tcW w:w="380" w:type="dxa"/>
            <w:vAlign w:val="bottom"/>
          </w:tcPr>
          <w:p>
            <w:pPr>
              <w:spacing w:after="0"/>
              <w:rPr>
                <w:sz w:val="17"/>
                <w:szCs w:val="17"/>
                <w:color w:val="auto"/>
              </w:rPr>
            </w:pPr>
          </w:p>
        </w:tc>
        <w:tc>
          <w:tcPr>
            <w:tcW w:w="9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30,894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 non-current portion</w:t>
            </w: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61,645</w:t>
            </w:r>
          </w:p>
        </w:tc>
        <w:tc>
          <w:tcPr>
            <w:tcW w:w="4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(47,023)</w:t>
            </w:r>
          </w:p>
        </w:tc>
        <w:tc>
          <w:tcPr>
            <w:tcW w:w="3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00" w:type="dxa"/>
            <w:vAlign w:val="bottom"/>
            <w:gridSpan w:val="3"/>
          </w:tcPr>
          <w:p>
            <w:pPr>
              <w:ind w:left="360"/>
              <w:spacing w:after="0"/>
              <w:rPr>
                <w:sz w:val="20"/>
                <w:szCs w:val="20"/>
                <w:color w:val="auto"/>
              </w:rPr>
            </w:pPr>
            <w:r>
              <w:rPr>
                <w:rFonts w:ascii="Arial" w:cs="Arial" w:eastAsia="Arial" w:hAnsi="Arial"/>
                <w:sz w:val="18"/>
                <w:szCs w:val="18"/>
                <w:color w:val="auto"/>
              </w:rPr>
              <w:t>Accumulated deficit</w:t>
            </w:r>
          </w:p>
        </w:tc>
        <w:tc>
          <w:tcPr>
            <w:tcW w:w="3100" w:type="dxa"/>
            <w:vAlign w:val="bottom"/>
            <w:gridSpan w:val="6"/>
          </w:tcPr>
          <w:p>
            <w:pPr>
              <w:jc w:val="right"/>
              <w:ind w:right="420"/>
              <w:spacing w:after="0"/>
              <w:rPr>
                <w:sz w:val="20"/>
                <w:szCs w:val="20"/>
                <w:color w:val="auto"/>
              </w:rPr>
            </w:pPr>
            <w:r>
              <w:rPr>
                <w:rFonts w:ascii="Arial" w:cs="Arial" w:eastAsia="Arial" w:hAnsi="Arial"/>
                <w:sz w:val="18"/>
                <w:szCs w:val="18"/>
                <w:color w:val="auto"/>
              </w:rPr>
              <w:t>(452,007)</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98,322</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(353,685)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11"/>
          </w:tcPr>
          <w:p>
            <w:pPr>
              <w:ind w:left="280"/>
              <w:spacing w:after="0"/>
              <w:rPr>
                <w:sz w:val="20"/>
                <w:szCs w:val="20"/>
                <w:color w:val="auto"/>
              </w:rPr>
            </w:pPr>
            <w:r>
              <w:rPr>
                <w:rFonts w:ascii="Arial" w:cs="Arial" w:eastAsia="Arial" w:hAnsi="Arial"/>
                <w:sz w:val="14"/>
                <w:szCs w:val="14"/>
                <w:b w:val="1"/>
                <w:bCs w:val="1"/>
                <w:color w:val="auto"/>
              </w:rPr>
              <w:t>For the year ended December 31, 2018</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Balances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without the</w:t>
            </w:r>
          </w:p>
        </w:tc>
        <w:tc>
          <w:tcPr>
            <w:tcW w:w="0" w:type="dxa"/>
            <w:vAlign w:val="bottom"/>
          </w:tcPr>
          <w:p>
            <w:pPr>
              <w:spacing w:after="0"/>
              <w:rPr>
                <w:sz w:val="1"/>
                <w:szCs w:val="1"/>
                <w:color w:val="auto"/>
              </w:rPr>
            </w:pPr>
          </w:p>
        </w:tc>
      </w:tr>
      <w:tr>
        <w:trPr>
          <w:trHeight w:val="162"/>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under Topic</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adoption of</w:t>
            </w:r>
          </w:p>
        </w:tc>
        <w:tc>
          <w:tcPr>
            <w:tcW w:w="0" w:type="dxa"/>
            <w:vAlign w:val="bottom"/>
          </w:tcPr>
          <w:p>
            <w:pPr>
              <w:spacing w:after="0"/>
              <w:rPr>
                <w:sz w:val="1"/>
                <w:szCs w:val="1"/>
                <w:color w:val="auto"/>
              </w:rPr>
            </w:pPr>
          </w:p>
        </w:tc>
      </w:tr>
      <w:tr>
        <w:trPr>
          <w:trHeight w:val="182"/>
        </w:trPr>
        <w:tc>
          <w:tcPr>
            <w:tcW w:w="5700" w:type="dxa"/>
            <w:vAlign w:val="bottom"/>
            <w:gridSpan w:val="3"/>
            <w:vMerge w:val="continue"/>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606</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Adjustment</w:t>
            </w:r>
          </w:p>
        </w:tc>
        <w:tc>
          <w:tcPr>
            <w:tcW w:w="10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Topic 606</w:t>
            </w:r>
          </w:p>
        </w:tc>
        <w:tc>
          <w:tcPr>
            <w:tcW w:w="0" w:type="dxa"/>
            <w:vAlign w:val="bottom"/>
          </w:tcPr>
          <w:p>
            <w:pPr>
              <w:spacing w:after="0"/>
              <w:rPr>
                <w:sz w:val="1"/>
                <w:szCs w:val="1"/>
                <w:color w:val="auto"/>
              </w:rPr>
            </w:pPr>
          </w:p>
        </w:tc>
      </w:tr>
      <w:tr>
        <w:trPr>
          <w:trHeight w:val="176"/>
        </w:trPr>
        <w:tc>
          <w:tcPr>
            <w:tcW w:w="254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Statements of Operations:</w:t>
            </w:r>
          </w:p>
        </w:tc>
        <w:tc>
          <w:tcPr>
            <w:tcW w:w="316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Collaboration revenue</w:t>
            </w:r>
          </w:p>
        </w:tc>
        <w:tc>
          <w:tcPr>
            <w:tcW w:w="1960" w:type="dxa"/>
            <w:vAlign w:val="bottom"/>
            <w:gridSpan w:val="3"/>
          </w:tcPr>
          <w:p>
            <w:pPr>
              <w:ind w:left="18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44,421</w:t>
            </w:r>
          </w:p>
        </w:tc>
        <w:tc>
          <w:tcPr>
            <w:tcW w:w="12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  58,321</w:t>
            </w:r>
          </w:p>
        </w:tc>
        <w:tc>
          <w:tcPr>
            <w:tcW w:w="9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$ 102,742</w:t>
            </w:r>
          </w:p>
        </w:tc>
        <w:tc>
          <w:tcPr>
            <w:tcW w:w="0" w:type="dxa"/>
            <w:vAlign w:val="bottom"/>
          </w:tcPr>
          <w:p>
            <w:pPr>
              <w:spacing w:after="0"/>
              <w:rPr>
                <w:sz w:val="1"/>
                <w:szCs w:val="1"/>
                <w:color w:val="auto"/>
              </w:rPr>
            </w:pPr>
          </w:p>
        </w:tc>
      </w:tr>
      <w:tr>
        <w:trPr>
          <w:trHeight w:val="203"/>
        </w:trPr>
        <w:tc>
          <w:tcPr>
            <w:tcW w:w="57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(loss) from operations</w:t>
            </w: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(10,045)</w:t>
            </w:r>
          </w:p>
        </w:tc>
        <w:tc>
          <w:tcPr>
            <w:tcW w:w="12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58,321</w:t>
            </w:r>
          </w:p>
        </w:tc>
        <w:tc>
          <w:tcPr>
            <w:tcW w:w="9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48,276</w:t>
            </w:r>
          </w:p>
        </w:tc>
        <w:tc>
          <w:tcPr>
            <w:tcW w:w="0" w:type="dxa"/>
            <w:vAlign w:val="bottom"/>
          </w:tcPr>
          <w:p>
            <w:pPr>
              <w:spacing w:after="0"/>
              <w:rPr>
                <w:sz w:val="1"/>
                <w:szCs w:val="1"/>
                <w:color w:val="auto"/>
              </w:rPr>
            </w:pPr>
          </w:p>
        </w:tc>
      </w:tr>
      <w:tr>
        <w:trPr>
          <w:trHeight w:val="203"/>
        </w:trPr>
        <w:tc>
          <w:tcPr>
            <w:tcW w:w="57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Net income (loss)</w:t>
            </w: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(8,101)</w:t>
            </w:r>
          </w:p>
        </w:tc>
        <w:tc>
          <w:tcPr>
            <w:tcW w:w="12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58,321</w:t>
            </w:r>
          </w:p>
        </w:tc>
        <w:tc>
          <w:tcPr>
            <w:tcW w:w="9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50,220</w:t>
            </w:r>
          </w:p>
        </w:tc>
        <w:tc>
          <w:tcPr>
            <w:tcW w:w="0" w:type="dxa"/>
            <w:vAlign w:val="bottom"/>
          </w:tcPr>
          <w:p>
            <w:pPr>
              <w:spacing w:after="0"/>
              <w:rPr>
                <w:sz w:val="1"/>
                <w:szCs w:val="1"/>
                <w:color w:val="auto"/>
              </w:rPr>
            </w:pPr>
          </w:p>
        </w:tc>
      </w:tr>
      <w:tr>
        <w:trPr>
          <w:trHeight w:val="203"/>
        </w:trPr>
        <w:tc>
          <w:tcPr>
            <w:tcW w:w="57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income (loss) per common shares, basic</w:t>
            </w: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(0.21)</w:t>
            </w:r>
          </w:p>
        </w:tc>
        <w:tc>
          <w:tcPr>
            <w:tcW w:w="12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1.52</w:t>
            </w:r>
          </w:p>
        </w:tc>
        <w:tc>
          <w:tcPr>
            <w:tcW w:w="9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7"/>
        </w:trPr>
        <w:tc>
          <w:tcPr>
            <w:tcW w:w="5700" w:type="dxa"/>
            <w:vAlign w:val="bottom"/>
            <w:gridSpan w:val="3"/>
          </w:tcPr>
          <w:p>
            <w:pPr>
              <w:ind w:left="360"/>
              <w:spacing w:after="0"/>
              <w:rPr>
                <w:sz w:val="20"/>
                <w:szCs w:val="20"/>
                <w:color w:val="auto"/>
              </w:rPr>
            </w:pPr>
            <w:r>
              <w:rPr>
                <w:rFonts w:ascii="Arial" w:cs="Arial" w:eastAsia="Arial" w:hAnsi="Arial"/>
                <w:sz w:val="18"/>
                <w:szCs w:val="18"/>
                <w:color w:val="auto"/>
              </w:rPr>
              <w:t>Net income (loss) per common shares, diluted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(0.21)</w:t>
            </w:r>
          </w:p>
        </w:tc>
        <w:tc>
          <w:tcPr>
            <w:tcW w:w="1260" w:type="dxa"/>
            <w:vAlign w:val="bottom"/>
            <w:gridSpan w:val="4"/>
          </w:tcPr>
          <w:p>
            <w:pPr>
              <w:jc w:val="right"/>
              <w:ind w:right="380"/>
              <w:spacing w:after="0"/>
              <w:rPr>
                <w:sz w:val="20"/>
                <w:szCs w:val="20"/>
                <w:color w:val="auto"/>
              </w:rPr>
            </w:pPr>
            <w:r>
              <w:rPr>
                <w:rFonts w:ascii="Arial" w:cs="Arial" w:eastAsia="Arial" w:hAnsi="Arial"/>
                <w:sz w:val="18"/>
                <w:szCs w:val="18"/>
                <w:color w:val="auto"/>
              </w:rPr>
              <w:t>1.51</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Balances</w:t>
      </w:r>
    </w:p>
    <w:p>
      <w:pPr>
        <w:spacing w:after="0" w:line="12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Upfront payments and fees may be required to be recorded as deferred revenue upon receipt or when due, and recognized in a future period when or as the Company performs its obligations under these arrangements. Amounts payable to the Company are recorded as accounts receivable when the Company’s right to consideration is unconditional.</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the Company’s contract liabilities, which consisted of deferred revenue, decreased by a total of</w:t>
      </w:r>
    </w:p>
    <w:p>
      <w:pPr>
        <w:ind w:left="120"/>
        <w:spacing w:after="0" w:line="234" w:lineRule="auto"/>
        <w:rPr>
          <w:sz w:val="20"/>
          <w:szCs w:val="20"/>
          <w:color w:val="auto"/>
        </w:rPr>
      </w:pPr>
      <w:r>
        <w:rPr>
          <w:rFonts w:ascii="Arial" w:cs="Arial" w:eastAsia="Arial" w:hAnsi="Arial"/>
          <w:sz w:val="18"/>
          <w:szCs w:val="18"/>
          <w:color w:val="auto"/>
        </w:rPr>
        <w:t>$142.7 million from December 31, 2017, of which $98.3 million was related to the cumulative adjustment to the opening balance of</w:t>
      </w:r>
    </w:p>
    <w:p>
      <w:pPr>
        <w:ind w:left="120"/>
        <w:spacing w:after="0" w:line="235" w:lineRule="auto"/>
        <w:rPr>
          <w:sz w:val="20"/>
          <w:szCs w:val="20"/>
          <w:color w:val="auto"/>
        </w:rPr>
      </w:pPr>
      <w:r>
        <w:rPr>
          <w:rFonts w:ascii="Arial" w:cs="Arial" w:eastAsia="Arial" w:hAnsi="Arial"/>
          <w:sz w:val="18"/>
          <w:szCs w:val="18"/>
          <w:color w:val="auto"/>
        </w:rPr>
        <w:t>accumulated deficit upon the adoption of Topic 606 on January 1, 2018 and $44.4 million related to revenue recognized for the year ended</w:t>
      </w:r>
    </w:p>
    <w:p>
      <w:pPr>
        <w:ind w:left="120"/>
        <w:spacing w:after="0" w:line="235" w:lineRule="auto"/>
        <w:rPr>
          <w:sz w:val="20"/>
          <w:szCs w:val="20"/>
          <w:color w:val="auto"/>
        </w:rPr>
      </w:pPr>
      <w:r>
        <w:rPr>
          <w:rFonts w:ascii="Arial" w:cs="Arial" w:eastAsia="Arial" w:hAnsi="Arial"/>
          <w:sz w:val="18"/>
          <w:szCs w:val="18"/>
          <w:color w:val="auto"/>
        </w:rPr>
        <w:t>December 31, 2018. Upon adoption of the standard as of January 1, 2018, the Company had a $45.5 million contract liability. As of</w:t>
      </w:r>
    </w:p>
    <w:p>
      <w:pPr>
        <w:ind w:left="120"/>
        <w:spacing w:after="0" w:line="235" w:lineRule="auto"/>
        <w:rPr>
          <w:sz w:val="20"/>
          <w:szCs w:val="20"/>
          <w:color w:val="auto"/>
        </w:rPr>
      </w:pPr>
      <w:r>
        <w:rPr>
          <w:rFonts w:ascii="Arial" w:cs="Arial" w:eastAsia="Arial" w:hAnsi="Arial"/>
          <w:sz w:val="18"/>
          <w:szCs w:val="18"/>
          <w:color w:val="auto"/>
        </w:rPr>
        <w:t>December 31, 2018, the Company had a $1.1 million contract liability. The remaining performance obligation under the contract is</w:t>
      </w:r>
    </w:p>
    <w:p>
      <w:pPr>
        <w:ind w:left="120"/>
        <w:spacing w:after="0"/>
        <w:rPr>
          <w:sz w:val="20"/>
          <w:szCs w:val="20"/>
          <w:color w:val="auto"/>
        </w:rPr>
      </w:pPr>
      <w:r>
        <w:rPr>
          <w:rFonts w:ascii="Arial" w:cs="Arial" w:eastAsia="Arial" w:hAnsi="Arial"/>
          <w:sz w:val="18"/>
          <w:szCs w:val="18"/>
          <w:color w:val="auto"/>
        </w:rPr>
        <w:t>expected to be substantially complete by the first quarter of 2019.</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No. 2016-02, Leases (Topic 842)</w:t>
      </w:r>
    </w:p>
    <w:p>
      <w:pPr>
        <w:spacing w:after="0" w:line="10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This ASU becomes effective in the first quarter of fiscal year 2019 and early adoption is permitted. This ASU is required to be applied with a modified retrospective approach and requires application of the new standard at the beginning of the earliest comparative period presented. In July 2018, the FASB issued 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In issuing ASU No. 2018-11, the FASB decided to provide another transition method in addition to the existing transition method by allowing entities to initially apply the new leases standard at the adoption date and recognize a cumulative-effect adjustment to the opening balance of retained earnings in the period of</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adoption. The Company is currently evaluating our population of leases and are continuing to assess all potential impacts of ASU 2016-02 and ASU 2018-11, but currently believe that the most significant impact relates to the Company’s accounting for office building operating leases. The Company anticipates recognition of additional assets and corresponding liabilities related to leases upon adoption, but have not yet quantified these at this time. The Company will adopt the standard effective January 1, 2019 and plan to utilize the transition method stated in ASU 2018-11.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No. 2018-07, Improvement to Nonemployees Share-based Payment Accounting (Topic 718)</w:t>
      </w:r>
    </w:p>
    <w:p>
      <w:pPr>
        <w:spacing w:after="0" w:line="104" w:lineRule="exact"/>
        <w:rPr>
          <w:sz w:val="20"/>
          <w:szCs w:val="20"/>
          <w:color w:val="auto"/>
        </w:rPr>
      </w:pPr>
    </w:p>
    <w:p>
      <w:pPr>
        <w:ind w:left="120" w:right="80" w:firstLine="440"/>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Stock Compensation</w:t>
      </w:r>
      <w:r>
        <w:rPr>
          <w:rFonts w:ascii="Arial" w:cs="Arial" w:eastAsia="Arial" w:hAnsi="Arial"/>
          <w:sz w:val="18"/>
          <w:szCs w:val="18"/>
          <w:color w:val="auto"/>
        </w:rPr>
        <w:t>. ASU No. 2018-07 simplifies the accounting for share-based payments to nonemployees by aligning it with the accounting for share-based payments to employees, with certain exceptions. The guidance is effective for fiscal years beginning after December 15, 2019, and interim periods within fiscal years beginning after December 15, 2020. Early adoption is permitted, but not earlier than the Company’s adoption of Topic 606. The Company chose to adopt the guidance early, in the second quarter of 2018. The adoption of the standard did not have material impact on the Company’s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Cash and Investments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securities, not including cash at December 31, 2018 and 2017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80" w:type="dxa"/>
            <w:vAlign w:val="bottom"/>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w w:val="99"/>
              </w:rPr>
              <w:t>Amortized</w:t>
            </w:r>
          </w:p>
        </w:tc>
        <w:tc>
          <w:tcPr>
            <w:tcW w:w="1920" w:type="dxa"/>
            <w:vAlign w:val="bottom"/>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restart"/>
          </w:tcPr>
          <w:p>
            <w:pPr>
              <w:jc w:val="right"/>
              <w:ind w:right="740"/>
              <w:spacing w:after="0"/>
              <w:rPr>
                <w:sz w:val="20"/>
                <w:szCs w:val="20"/>
                <w:color w:val="auto"/>
              </w:rPr>
            </w:pPr>
            <w:r>
              <w:rPr>
                <w:rFonts w:ascii="Arial" w:cs="Arial" w:eastAsia="Arial" w:hAnsi="Arial"/>
                <w:sz w:val="16"/>
                <w:szCs w:val="16"/>
                <w:b w:val="1"/>
                <w:bCs w:val="1"/>
                <w:color w:val="auto"/>
              </w:rPr>
              <w:t>Cost</w:t>
            </w: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52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Gains</w:t>
            </w:r>
          </w:p>
        </w:tc>
        <w:tc>
          <w:tcPr>
            <w:tcW w:w="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Money market funds</w:t>
            </w:r>
          </w:p>
        </w:tc>
        <w:tc>
          <w:tcPr>
            <w:tcW w:w="2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275</w:t>
            </w:r>
          </w:p>
        </w:tc>
        <w:tc>
          <w:tcPr>
            <w:tcW w:w="5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90"/>
              </w:rPr>
              <w:t>$ —</w:t>
            </w: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U.S. treasury bills</w:t>
            </w: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47,688</w:t>
            </w:r>
          </w:p>
        </w:tc>
        <w:tc>
          <w:tcPr>
            <w:tcW w:w="42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(29)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47,659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47,963</w:t>
            </w:r>
          </w:p>
        </w:tc>
        <w:tc>
          <w:tcPr>
            <w:tcW w:w="42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90"/>
              </w:rPr>
              <w:t>$ —</w:t>
            </w:r>
          </w:p>
        </w:tc>
        <w:tc>
          <w:tcPr>
            <w:tcW w:w="78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(29)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47,934</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2"/>
            <w:vMerge w:val="continue"/>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Cash equivalents</w:t>
            </w: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45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47,659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47,934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As of December 31, 2018, the Company had a total of $57.3 million in cash, cash equivalents and short-term investments, which includes $9.7 million in cash and cash equivalents and $47.6 million in short-term investments.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40" w:type="dxa"/>
            <w:vAlign w:val="bottom"/>
            <w:vMerge w:val="restart"/>
          </w:tcPr>
          <w:p>
            <w:pPr>
              <w:spacing w:after="0"/>
              <w:rPr>
                <w:sz w:val="13"/>
                <w:szCs w:val="13"/>
                <w:color w:val="auto"/>
              </w:rPr>
            </w:pPr>
          </w:p>
        </w:tc>
        <w:tc>
          <w:tcPr>
            <w:tcW w:w="2320" w:type="dxa"/>
            <w:vAlign w:val="bottom"/>
          </w:tcPr>
          <w:p>
            <w:pPr>
              <w:spacing w:after="0"/>
              <w:rPr>
                <w:sz w:val="13"/>
                <w:szCs w:val="13"/>
                <w:color w:val="auto"/>
              </w:rPr>
            </w:pPr>
          </w:p>
        </w:tc>
        <w:tc>
          <w:tcPr>
            <w:tcW w:w="12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w:t>
            </w:r>
          </w:p>
        </w:tc>
        <w:tc>
          <w:tcPr>
            <w:tcW w:w="1580" w:type="dxa"/>
            <w:vAlign w:val="bottom"/>
            <w:gridSpan w:val="5"/>
          </w:tcPr>
          <w:p>
            <w:pPr>
              <w:ind w:left="200"/>
              <w:spacing w:after="0" w:line="155" w:lineRule="exact"/>
              <w:rPr>
                <w:sz w:val="20"/>
                <w:szCs w:val="20"/>
                <w:color w:val="auto"/>
              </w:rPr>
            </w:pPr>
            <w:r>
              <w:rPr>
                <w:rFonts w:ascii="Arial" w:cs="Arial" w:eastAsia="Arial" w:hAnsi="Arial"/>
                <w:sz w:val="14"/>
                <w:szCs w:val="14"/>
                <w:b w:val="1"/>
                <w:bCs w:val="1"/>
                <w:color w:val="auto"/>
              </w:rPr>
              <w:t>Gross Unrealized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4"/>
                <w:szCs w:val="14"/>
                <w:color w:val="auto"/>
              </w:rPr>
            </w:pPr>
          </w:p>
        </w:tc>
        <w:tc>
          <w:tcPr>
            <w:tcW w:w="7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Losses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Money market funds</w:t>
            </w:r>
          </w:p>
        </w:tc>
        <w:tc>
          <w:tcPr>
            <w:tcW w:w="2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w:t>
            </w:r>
          </w:p>
        </w:tc>
        <w:tc>
          <w:tcPr>
            <w:tcW w:w="5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U.S. treasury bills</w:t>
            </w: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89,525</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89,814</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89,624</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$ 289</w:t>
            </w:r>
          </w:p>
        </w:tc>
        <w:tc>
          <w:tcPr>
            <w:tcW w:w="48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89,913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gridSpan w:val="2"/>
            <w:vMerge w:val="continue"/>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Cash equivalents</w:t>
            </w:r>
          </w:p>
        </w:tc>
        <w:tc>
          <w:tcPr>
            <w:tcW w:w="2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45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89,814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89,913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As of December 31, 2017, the Company had a total of $103.1 million in cash, cash equivalents and short-term investments, which includes $13.3 million in cash and cash equivalents and $89.8 million in and short-term investments.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40"/>
          </w:cols>
          <w:pgMar w:left="320" w:top="459" w:right="43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All available-for-sale securities held as of December 31, 2018 had contractual maturities of less than one year. There have been no significant realized gains or losses on available-for-sale securities for the periods presented.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records its financial assets and liabilities at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10" w:lineRule="exact"/>
        <w:rPr>
          <w:sz w:val="20"/>
          <w:szCs w:val="20"/>
          <w:color w:val="auto"/>
        </w:rPr>
      </w:pPr>
    </w:p>
    <w:p>
      <w:pPr>
        <w:ind w:left="1080" w:hanging="424"/>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Level 1: Inputs which include quoted prices in active markets for identical assets and liabilities.</w:t>
      </w:r>
    </w:p>
    <w:p>
      <w:pPr>
        <w:spacing w:after="0" w:line="117" w:lineRule="exact"/>
        <w:rPr>
          <w:rFonts w:ascii="Arial" w:cs="Arial" w:eastAsia="Arial" w:hAnsi="Arial"/>
          <w:sz w:val="18"/>
          <w:szCs w:val="18"/>
          <w:color w:val="auto"/>
        </w:rPr>
      </w:pPr>
    </w:p>
    <w:p>
      <w:pPr>
        <w:ind w:left="1080" w:right="220" w:hanging="424"/>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8" w:lineRule="exact"/>
        <w:rPr>
          <w:rFonts w:ascii="Arial" w:cs="Arial" w:eastAsia="Arial" w:hAnsi="Arial"/>
          <w:sz w:val="18"/>
          <w:szCs w:val="18"/>
          <w:color w:val="auto"/>
        </w:rPr>
      </w:pPr>
    </w:p>
    <w:p>
      <w:pPr>
        <w:ind w:left="1080" w:right="320" w:hanging="424"/>
        <w:spacing w:after="0" w:line="246"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in such measurements were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940" w:type="dxa"/>
            <w:vAlign w:val="bottom"/>
            <w:vMerge w:val="restart"/>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2018</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4"/>
                <w:szCs w:val="14"/>
                <w:color w:val="auto"/>
              </w:rPr>
            </w:pPr>
          </w:p>
        </w:tc>
        <w:tc>
          <w:tcPr>
            <w:tcW w:w="12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$ 275</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U.S. treasury bills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47,659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47,659</w:t>
            </w: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$ 275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47,659</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47,934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940" w:type="dxa"/>
            <w:vAlign w:val="bottom"/>
            <w:vMerge w:val="restart"/>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4"/>
                <w:szCs w:val="14"/>
                <w:color w:val="auto"/>
              </w:rPr>
            </w:pPr>
          </w:p>
        </w:tc>
        <w:tc>
          <w:tcPr>
            <w:tcW w:w="12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6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U.S. treasury bills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89,814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89,814</w:t>
            </w: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89,814</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89,913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Where quoted prices are available in an active market, securities are classified as Level 1. When quoted market prices are not available for the specific security, then the Company estimates fair value by using benchmark yields, reported trades, broker/dealer quotes, and issuer spreads. The Company classifies U.S. Treasury securities as Level 2. There were no transfers between Level 1 and Level 2 during the periods presented.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40"/>
          </w:cols>
          <w:pgMar w:left="320" w:top="459" w:right="43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 net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380" w:type="dxa"/>
            <w:vAlign w:val="bottom"/>
            <w:vMerge w:val="restart"/>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2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1,440</w:t>
            </w: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1,935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Furniture and fixtures</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3"/>
        </w:trPr>
        <w:tc>
          <w:tcPr>
            <w:tcW w:w="6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9,598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11,453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23,452</w:t>
            </w: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(10,830)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(20,177)</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623</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Depreciation expense for the years ended December 31, 2018, 2017 and 2016 was $1.7 million, $1.7 million and $1.8 million, respectively</w:t>
      </w:r>
    </w:p>
    <w:p>
      <w:pPr>
        <w:spacing w:after="0" w:line="19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reviews the estimated useful lives of its property and equipment on an ongoing basis. Effective December 1, 2018, the Company changed its estimated useful life of leasehold improvements and this change has been accounted for as a change in accounting estimate. The remaining carrying amounts of the leasehold improvements as of December 31, 2018 will be amortized prospectively over one year up to December 31, 2019. The change in estimated useful life increased net loss by approximately $26,000, or less than $0.01 per share, as reported in the Statement of Operations for the year ended December 31, 2018.</w:t>
      </w:r>
    </w:p>
    <w:p>
      <w:pPr>
        <w:spacing w:after="0" w:line="20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In the fourth quarter of 2018, property and equipment with net book value of $1.4 million qualified as held for sale treatment. Assets held for sale are measured at the lower of their carrying amount or fair value less cost to sell. The property and equipment are not depreciated while classified as held for sale. As of December 31, 2018, assets held for sale were composed mainly of laboratory equipment and were recorded at $ 1.4 million. Subsequently, in January 2019, the Company sold the property and equipment classified as held for sale for net sale proceeds of approximately $1.4 million. No impairment loss was recorded for such assets held for sale as of December 31, 2018.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Accrued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4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6"/>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 related</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988</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4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related</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1,809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2,733</w:t>
            </w:r>
          </w:p>
        </w:tc>
        <w:tc>
          <w:tcPr>
            <w:tcW w:w="0" w:type="dxa"/>
            <w:vAlign w:val="bottom"/>
          </w:tcPr>
          <w:p>
            <w:pPr>
              <w:spacing w:after="0"/>
              <w:rPr>
                <w:sz w:val="1"/>
                <w:szCs w:val="1"/>
                <w:color w:val="auto"/>
              </w:rPr>
            </w:pPr>
          </w:p>
        </w:tc>
      </w:tr>
      <w:tr>
        <w:trPr>
          <w:trHeight w:val="203"/>
        </w:trPr>
        <w:tc>
          <w:tcPr>
            <w:tcW w:w="9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1,571</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40" w:type="dxa"/>
            <w:vAlign w:val="bottom"/>
            <w:gridSpan w:val="2"/>
          </w:tcPr>
          <w:p>
            <w:pPr>
              <w:ind w:left="360"/>
              <w:spacing w:after="0"/>
              <w:rPr>
                <w:sz w:val="20"/>
                <w:szCs w:val="20"/>
                <w:color w:val="auto"/>
              </w:rPr>
            </w:pPr>
            <w:r>
              <w:rPr>
                <w:rFonts w:ascii="Arial" w:cs="Arial" w:eastAsia="Arial" w:hAnsi="Arial"/>
                <w:sz w:val="18"/>
                <w:szCs w:val="18"/>
                <w:color w:val="auto"/>
              </w:rPr>
              <w:t>Total accrued liabilities</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4,368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3,940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7960" w:hanging="4"/>
        <w:spacing w:after="0" w:line="372" w:lineRule="auto"/>
        <w:tabs>
          <w:tab w:leader="none" w:pos="32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leases an office and laboratory facility in Redwood City, California under a lease agreement that was originally set to expire in January 2019 and included a lease extension option for two additional three-year terms. During the fourth quarter of 2016, the Company signed an amendment to the lease agreement to extend the lease term through May 2028 with an option to extend the lease for an additional three-year term.</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40"/>
          </w:cols>
          <w:pgMar w:left="320" w:top="459" w:right="4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80" w:firstLine="440"/>
        <w:spacing w:after="0" w:line="238" w:lineRule="auto"/>
        <w:rPr>
          <w:sz w:val="20"/>
          <w:szCs w:val="20"/>
          <w:color w:val="auto"/>
        </w:rPr>
      </w:pPr>
      <w:r>
        <w:rPr>
          <w:rFonts w:ascii="Arial" w:cs="Arial" w:eastAsia="Arial" w:hAnsi="Arial"/>
          <w:sz w:val="18"/>
          <w:szCs w:val="18"/>
          <w:color w:val="auto"/>
        </w:rPr>
        <w:t>The amendment to the lease agreement includes a 10-year cancelable lease agreement for additional office and laboratory space that expires in May 2028, subject to the Company’s three-year lease extension option described above. The Company exercised its right to terminate the lease agreement for this additional space prior to September 2017. The exercise of such cancelation did not result in an economic penalty to the Company.</w:t>
      </w:r>
    </w:p>
    <w:p>
      <w:pPr>
        <w:spacing w:after="0" w:line="205"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As of December 31, 2018, future minimum annual rental payments under the Company’s non-cancelable operating lease agreement are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Leases, net of</w:t>
            </w:r>
          </w:p>
        </w:tc>
        <w:tc>
          <w:tcPr>
            <w:tcW w:w="0" w:type="dxa"/>
            <w:vAlign w:val="bottom"/>
          </w:tcPr>
          <w:p>
            <w:pPr>
              <w:spacing w:after="0"/>
              <w:rPr>
                <w:sz w:val="1"/>
                <w:szCs w:val="1"/>
                <w:color w:val="auto"/>
              </w:rPr>
            </w:pPr>
          </w:p>
        </w:tc>
      </w:tr>
      <w:tr>
        <w:trPr>
          <w:trHeight w:val="162"/>
        </w:trPr>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182"/>
        </w:trPr>
        <w:tc>
          <w:tcPr>
            <w:tcW w:w="9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9"/>
        </w:trPr>
        <w:tc>
          <w:tcPr>
            <w:tcW w:w="1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2019</w:t>
            </w:r>
          </w:p>
        </w:tc>
        <w:tc>
          <w:tcPr>
            <w:tcW w:w="8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0"/>
        </w:trPr>
        <w:tc>
          <w:tcPr>
            <w:tcW w:w="9980" w:type="dxa"/>
            <w:vAlign w:val="bottom"/>
            <w:gridSpan w:val="2"/>
          </w:tcPr>
          <w:p>
            <w:pPr>
              <w:spacing w:after="0" w:line="202" w:lineRule="exact"/>
              <w:rPr>
                <w:sz w:val="20"/>
                <w:szCs w:val="20"/>
                <w:color w:val="auto"/>
              </w:rPr>
            </w:pPr>
            <w:r>
              <w:rPr>
                <w:rFonts w:ascii="Arial" w:cs="Arial" w:eastAsia="Arial" w:hAnsi="Arial"/>
                <w:sz w:val="18"/>
                <w:szCs w:val="18"/>
                <w:color w:val="auto"/>
              </w:rPr>
              <w:t>2024 and thereafter</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9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minimum payments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23,803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Through December 31, 2018, the landlord provided the Company a tenant improvement allowance for a total of $8.0 million for its office and laboratory expansion in prior years and office improvements. The Company recorded the tenant improvement allowance received as leasehold improvements under the property and equipment account and deferred rent liability on the accompanying balance sheets.</w:t>
      </w:r>
    </w:p>
    <w:p>
      <w:pPr>
        <w:spacing w:after="0" w:line="205"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In October 2018 and January 2019, the Company subleased a specified portion of the Company’s office facility located in Redwood City, California. These subleases have terms of 12 to 24 months and will expire in 2020. The aggregate sublease proceeds of $1.6 million and $0.8 million for the years ending December 31, 2019 and 2020, respectively, are included in the table above.</w:t>
      </w:r>
    </w:p>
    <w:p>
      <w:pPr>
        <w:spacing w:after="0" w:line="20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operating lease agreement contains rent escalation provisions and tenant improvement allowances. The total rent obligation is being expensed ratably over the term of the agreement. Rent expense for year ended December 31, 2018 was $2.3 million, net of sublease income of $0.1 million. Rent expense for years ended December 31 2017 and 2016 was $2.4 million and $1.6 million,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as permitted under Delaware law and in accordance with its certificate of incorporation and bylaws, and pursuant to indemnification agreements with certain of its officers and directors, indemnifies its officers and directors for certain events or occurrences, subject to certain limits, while the officer or director is or was serving at the Company’s request in such capacity. The term of the indemnification period lasts as long as an officer or director may be subject to any proceeding arising out of acts or omissions of such officer or director in such capacity.</w:t>
      </w:r>
    </w:p>
    <w:p>
      <w:pPr>
        <w:spacing w:after="0" w:line="202"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maximum amount of potential future indemnification is unlimited; however, the Company currently holds director and officer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40"/>
          </w:cols>
          <w:pgMar w:left="320" w:top="459" w:right="4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License Agreement</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2004, the Company assumed an exclusive, worldwide license agreement with the University of Michigan relating to the use of certain patents and technology relating to its cancer stem cell (“CSC”) technology for which an up-front fee of $10,000 had been paid and the Company issued 7,796 shares of its common stock. Pursuant to the agreement, the Company is obligated to make low single-digit royalty payments to the University of Michigan on net sales of its or its licensees’ products and processes covered under the agreement, pay an annual license maintenance fee, and reimburse the University of Michigan for costs of prosecution and maintenance of the licensed patents which reduces future royalty obligations. With respect to one family of licensed patent applications that does not relate to any of the Company’s lead therapeutic programs, the Company is also required to pay a tiered, single-digit percentage of any sublicense revenues, including any upfront or milestone payments, received from any sublicensees under such family of patents. Once the University of Michigan has received $10.0 million in royalties, the Company may at its option convert the license to a fully paid-up license provided the Company transfers additional shares of nonvoting common stock equal to 0.25% of the fully diluted shares then outstanding to the University of Michigan. The amounts incurred for patent legal costs amounted to $27,000, $32,000 and $69,000 for the years ended December 31, 2018, 2017 and 2016, respectively, all of which has been recorded as general and administrative expense in the statements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Collaborations</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has entered into three collaboration arrangements, each having multiple deliverables under which the Company received non-refundable upfront payments. For collaborations where the Company has determined that there is a single unit of accounting the Company recognizes revenue related to the upfront payments ratably over its estimated period of performance for each collaboration. Two of these collaboration agreements have since been entirely or substantially terminated.</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Company’s prior and current collaboration arrangements include contractual milestones, which relate to the achievement of pre-specified research, development, regulatory and commercialization events. The milestone events contained in the Company’s alliances coincide with the progression of the Company’s product candidates from research and development, to regulatory approval and through to commercialization. The process of successfully discovering a new product candidate, having it selected by the alliance partner for development, having it approved and ultimately sold for a profit is highly uncertain. As such, the milestone payments that the Company may earn from its collaborators involve a significant degree of risk to achieve.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milestones in the Company’s strategic alliances may include the following types of events:</w:t>
      </w:r>
    </w:p>
    <w:p>
      <w:pPr>
        <w:spacing w:after="0" w:line="117" w:lineRule="exact"/>
        <w:rPr>
          <w:sz w:val="20"/>
          <w:szCs w:val="20"/>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Completion of pre-clinical research and development work leading to selection of product clinical candidates.</w:t>
      </w:r>
    </w:p>
    <w:p>
      <w:pPr>
        <w:spacing w:after="0" w:line="117" w:lineRule="exact"/>
        <w:rPr>
          <w:rFonts w:ascii="Arial" w:cs="Arial" w:eastAsia="Arial" w:hAnsi="Arial"/>
          <w:sz w:val="18"/>
          <w:szCs w:val="18"/>
          <w:color w:val="auto"/>
        </w:rPr>
      </w:pPr>
    </w:p>
    <w:p>
      <w:pPr>
        <w:ind w:left="1080" w:right="1040" w:hanging="424"/>
        <w:spacing w:after="0" w:line="246" w:lineRule="auto"/>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Advancement of candidates into clinical development, which may include filing of investigational new drug (“IND”) applications.</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Initiation of Phase I, Phase II or Phase III clinical trials.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Achievement of certain scientific or development events.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Regulatory milestones may include the following types of events:</w:t>
      </w:r>
    </w:p>
    <w:p>
      <w:pPr>
        <w:spacing w:after="0" w:line="117" w:lineRule="exact"/>
        <w:rPr>
          <w:sz w:val="20"/>
          <w:szCs w:val="20"/>
          <w:color w:val="auto"/>
        </w:rPr>
      </w:pPr>
    </w:p>
    <w:p>
      <w:pPr>
        <w:ind w:left="1080" w:right="240" w:hanging="424"/>
        <w:spacing w:after="0" w:line="246"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Filing of regulatory applications for marketing approval such as a New Drug Application in the United States, or a Marketing Authorization Application in Europe.</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Marketing approval in a major market, such as the United States, Europe or Japan.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20"/>
          </w:cols>
          <w:pgMar w:left="320" w:top="459" w:right="45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Commercialization milestones may include the following types of events:</w:t>
      </w:r>
    </w:p>
    <w:p>
      <w:pPr>
        <w:spacing w:after="0" w:line="117" w:lineRule="exact"/>
        <w:rPr>
          <w:sz w:val="20"/>
          <w:szCs w:val="20"/>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Product sales in excess of pre-specified thresholds.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Collaboration Related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recognized the following revenues from its prior and current collaboration agreements during the years ended</w:t>
      </w:r>
    </w:p>
    <w:p>
      <w:pPr>
        <w:ind w:left="120"/>
        <w:spacing w:after="0"/>
        <w:rPr>
          <w:sz w:val="20"/>
          <w:szCs w:val="20"/>
          <w:color w:val="auto"/>
        </w:rPr>
      </w:pPr>
      <w:r>
        <w:rPr>
          <w:rFonts w:ascii="Arial" w:cs="Arial" w:eastAsia="Arial" w:hAnsi="Arial"/>
          <w:sz w:val="18"/>
          <w:szCs w:val="18"/>
          <w:color w:val="auto"/>
        </w:rPr>
        <w:t>December 31, 2018, 2017 and 2016:</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800" w:type="dxa"/>
            <w:vAlign w:val="bottom"/>
            <w:gridSpan w:val="7"/>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2640" w:type="dxa"/>
            <w:vAlign w:val="bottom"/>
          </w:tcPr>
          <w:p>
            <w:pPr>
              <w:spacing w:after="0"/>
              <w:rPr>
                <w:sz w:val="14"/>
                <w:szCs w:val="14"/>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Celgene:</w:t>
            </w:r>
          </w:p>
        </w:tc>
        <w:tc>
          <w:tcPr>
            <w:tcW w:w="26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Recognition of upfront payment</w:t>
            </w:r>
          </w:p>
        </w:tc>
        <w:tc>
          <w:tcPr>
            <w:tcW w:w="36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$44,421</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$35,588</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revenue</w:t>
            </w:r>
          </w:p>
        </w:tc>
        <w:tc>
          <w:tcPr>
            <w:tcW w:w="26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720"/>
              <w:spacing w:after="0"/>
              <w:rPr>
                <w:sz w:val="20"/>
                <w:szCs w:val="20"/>
                <w:color w:val="auto"/>
              </w:rPr>
            </w:pPr>
            <w:r>
              <w:rPr>
                <w:rFonts w:ascii="Arial" w:cs="Arial" w:eastAsia="Arial" w:hAnsi="Arial"/>
                <w:sz w:val="18"/>
                <w:szCs w:val="18"/>
                <w:color w:val="auto"/>
              </w:rPr>
              <w:t>Celgene total</w:t>
            </w:r>
          </w:p>
        </w:tc>
        <w:tc>
          <w:tcPr>
            <w:tcW w:w="3680" w:type="dxa"/>
            <w:vAlign w:val="bottom"/>
            <w:gridSpan w:val="3"/>
          </w:tcPr>
          <w:p>
            <w:pPr>
              <w:jc w:val="right"/>
              <w:ind w:right="380"/>
              <w:spacing w:after="0"/>
              <w:rPr>
                <w:sz w:val="20"/>
                <w:szCs w:val="20"/>
                <w:color w:val="auto"/>
              </w:rPr>
            </w:pPr>
            <w:r>
              <w:rPr>
                <w:rFonts w:ascii="Arial" w:cs="Arial" w:eastAsia="Arial" w:hAnsi="Arial"/>
                <w:sz w:val="18"/>
                <w:szCs w:val="18"/>
                <w:color w:val="auto"/>
              </w:rPr>
              <w:t>44,421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35,997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21,833</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Bayer:</w:t>
            </w:r>
          </w:p>
        </w:tc>
        <w:tc>
          <w:tcPr>
            <w:tcW w:w="26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Recognition of upfront payments</w:t>
            </w:r>
          </w:p>
        </w:tc>
        <w:tc>
          <w:tcPr>
            <w:tcW w:w="2640" w:type="dxa"/>
            <w:vAlign w:val="bottom"/>
          </w:tcPr>
          <w:p>
            <w:pPr>
              <w:spacing w:after="0"/>
              <w:rPr>
                <w:sz w:val="17"/>
                <w:szCs w:val="17"/>
                <w:color w:val="auto"/>
              </w:rPr>
            </w:pPr>
          </w:p>
        </w:tc>
        <w:tc>
          <w:tcPr>
            <w:tcW w:w="10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278</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revenue</w:t>
            </w:r>
          </w:p>
        </w:tc>
        <w:tc>
          <w:tcPr>
            <w:tcW w:w="26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80" w:type="dxa"/>
            <w:vAlign w:val="bottom"/>
            <w:gridSpan w:val="2"/>
          </w:tcPr>
          <w:p>
            <w:pPr>
              <w:ind w:left="720"/>
              <w:spacing w:after="0"/>
              <w:rPr>
                <w:sz w:val="20"/>
                <w:szCs w:val="20"/>
                <w:color w:val="auto"/>
              </w:rPr>
            </w:pPr>
            <w:r>
              <w:rPr>
                <w:rFonts w:ascii="Arial" w:cs="Arial" w:eastAsia="Arial" w:hAnsi="Arial"/>
                <w:sz w:val="18"/>
                <w:szCs w:val="18"/>
                <w:color w:val="auto"/>
              </w:rPr>
              <w:t>Bayer total</w:t>
            </w:r>
          </w:p>
        </w:tc>
        <w:tc>
          <w:tcPr>
            <w:tcW w:w="26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GSK:</w:t>
            </w:r>
          </w:p>
        </w:tc>
        <w:tc>
          <w:tcPr>
            <w:tcW w:w="26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Recognition of upfront payment</w:t>
            </w:r>
          </w:p>
        </w:tc>
        <w:tc>
          <w:tcPr>
            <w:tcW w:w="2640" w:type="dxa"/>
            <w:vAlign w:val="bottom"/>
          </w:tcPr>
          <w:p>
            <w:pPr>
              <w:spacing w:after="0"/>
              <w:rPr>
                <w:sz w:val="17"/>
                <w:szCs w:val="17"/>
                <w:color w:val="auto"/>
              </w:rPr>
            </w:pPr>
          </w:p>
        </w:tc>
        <w:tc>
          <w:tcPr>
            <w:tcW w:w="10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150</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revenue</w:t>
            </w:r>
          </w:p>
        </w:tc>
        <w:tc>
          <w:tcPr>
            <w:tcW w:w="26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80" w:type="dxa"/>
            <w:vAlign w:val="bottom"/>
            <w:gridSpan w:val="2"/>
          </w:tcPr>
          <w:p>
            <w:pPr>
              <w:ind w:left="720"/>
              <w:spacing w:after="0"/>
              <w:rPr>
                <w:sz w:val="20"/>
                <w:szCs w:val="20"/>
                <w:color w:val="auto"/>
              </w:rPr>
            </w:pPr>
            <w:r>
              <w:rPr>
                <w:rFonts w:ascii="Arial" w:cs="Arial" w:eastAsia="Arial" w:hAnsi="Arial"/>
                <w:sz w:val="18"/>
                <w:szCs w:val="18"/>
                <w:color w:val="auto"/>
              </w:rPr>
              <w:t>GSK total</w:t>
            </w:r>
          </w:p>
        </w:tc>
        <w:tc>
          <w:tcPr>
            <w:tcW w:w="2640" w:type="dxa"/>
            <w:vAlign w:val="bottom"/>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related revenue</w:t>
            </w:r>
          </w:p>
        </w:tc>
        <w:tc>
          <w:tcPr>
            <w:tcW w:w="36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44,421</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38,154</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ASU No. 2014-09</w:t>
      </w:r>
    </w:p>
    <w:p>
      <w:pPr>
        <w:spacing w:after="0" w:line="126"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On January 1, 2018, the Company adopted ASU No. 2014-09 using the modified retrospective method. Results for reporting periods beginning after January 1, 2018 are presented under Topic 606, while prior period amounts are not adjusted and continue to be reported in accordance with Topic 605.</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Celgene Strategic Alliance</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In December 2013, the Company entered into a Master Research and Collaboration Agreement (the “Agreement”) with Celgene pursuant to which the Company and Celgene were to collaborate on research and development programs directed to the discovery and development of novel biologic therapeutic programs, and, if Celgene exercised its option to do so, the discovery, development and commercialization of novel small molecule therapeutics.</w:t>
      </w:r>
    </w:p>
    <w:p>
      <w:pPr>
        <w:spacing w:after="0" w:line="20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etigilimab program is the last remaining biologic therapeutic program that is currently active under the collaboration agreement with Celgene. Celgene has an option to obtain an exclusive license to develop further and commercialize biologic therapeutics in the etigilimab program, which may be exercised during time periods specified in the collaboration agreement through the earlier of completion of a certain clinical trial or the twelfth anniversary of the date of the collaboration agreement. Pursuant to the agreement, the Company will lead the development of etigilimab prior to Celgene’s exercise of its option for the etigilimab program. The Company is responsible for funding all research and development activities that we choose to undertake for therapeutics in the etigilimab program prior to Celgene’s exercise of the option for the program. Upon option exercise by Celgene, the Company will be required to enter into an agreed form of a license agreement with Celgene, pursuant to which Celgene retains all rights to develop further and commercialize biologic therapeutic</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40"/>
          </w:cols>
          <w:pgMar w:left="320" w:top="459" w:right="4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products in the etigilimab program on a worldwide basis, with certain support for development from the Company.</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eligible to receive a $35.0 million opt-in payment upon Celgene’s exercise of the option for the etigilimab program.</w:t>
      </w:r>
    </w:p>
    <w:p>
      <w:pPr>
        <w:ind w:left="120"/>
        <w:spacing w:after="0" w:line="234" w:lineRule="auto"/>
        <w:rPr>
          <w:sz w:val="20"/>
          <w:szCs w:val="20"/>
          <w:color w:val="auto"/>
        </w:rPr>
      </w:pPr>
      <w:r>
        <w:rPr>
          <w:rFonts w:ascii="Arial" w:cs="Arial" w:eastAsia="Arial" w:hAnsi="Arial"/>
          <w:sz w:val="18"/>
          <w:szCs w:val="18"/>
          <w:color w:val="auto"/>
        </w:rPr>
        <w:t>The collaboration also includes milestone payments for achievement of specified development, regulatory and commercial milestones,</w:t>
      </w:r>
    </w:p>
    <w:p>
      <w:pPr>
        <w:ind w:left="120"/>
        <w:spacing w:after="0" w:line="235" w:lineRule="auto"/>
        <w:rPr>
          <w:sz w:val="20"/>
          <w:szCs w:val="20"/>
          <w:color w:val="auto"/>
        </w:rPr>
      </w:pPr>
      <w:r>
        <w:rPr>
          <w:rFonts w:ascii="Arial" w:cs="Arial" w:eastAsia="Arial" w:hAnsi="Arial"/>
          <w:sz w:val="18"/>
          <w:szCs w:val="18"/>
          <w:color w:val="auto"/>
        </w:rPr>
        <w:t>paid on a per-product and per-program basis. The option exercise payments and payments for achievement of development, regulatory</w:t>
      </w:r>
    </w:p>
    <w:p>
      <w:pPr>
        <w:ind w:left="120"/>
        <w:spacing w:after="0" w:line="235" w:lineRule="auto"/>
        <w:rPr>
          <w:sz w:val="20"/>
          <w:szCs w:val="20"/>
          <w:color w:val="auto"/>
        </w:rPr>
      </w:pPr>
      <w:r>
        <w:rPr>
          <w:rFonts w:ascii="Arial" w:cs="Arial" w:eastAsia="Arial" w:hAnsi="Arial"/>
          <w:sz w:val="18"/>
          <w:szCs w:val="18"/>
          <w:color w:val="auto"/>
        </w:rPr>
        <w:t>and commercial milestones under the agreement may total up to $440.0 million, for products in the etigilimab program, including the</w:t>
      </w:r>
    </w:p>
    <w:p>
      <w:pPr>
        <w:ind w:left="120"/>
        <w:spacing w:after="0" w:line="235" w:lineRule="auto"/>
        <w:rPr>
          <w:sz w:val="20"/>
          <w:szCs w:val="20"/>
          <w:color w:val="auto"/>
        </w:rPr>
      </w:pPr>
      <w:r>
        <w:rPr>
          <w:rFonts w:ascii="Arial" w:cs="Arial" w:eastAsia="Arial" w:hAnsi="Arial"/>
          <w:sz w:val="18"/>
          <w:szCs w:val="18"/>
          <w:color w:val="auto"/>
        </w:rPr>
        <w:t>$35.0 million opt-in payment. The Company previously received a $2.5 million milestone payment for the etigilimab program. Accordingly,</w:t>
      </w:r>
    </w:p>
    <w:p>
      <w:pPr>
        <w:ind w:left="120"/>
        <w:spacing w:after="0" w:line="235" w:lineRule="auto"/>
        <w:rPr>
          <w:sz w:val="20"/>
          <w:szCs w:val="20"/>
          <w:color w:val="auto"/>
        </w:rPr>
      </w:pPr>
      <w:r>
        <w:rPr>
          <w:rFonts w:ascii="Arial" w:cs="Arial" w:eastAsia="Arial" w:hAnsi="Arial"/>
          <w:sz w:val="18"/>
          <w:szCs w:val="18"/>
          <w:color w:val="auto"/>
        </w:rPr>
        <w:t>the future potential milestone payments for products in the etigilimab program under the collaboration total up to $437.5 million, including</w:t>
      </w:r>
    </w:p>
    <w:p>
      <w:pPr>
        <w:ind w:left="120"/>
        <w:spacing w:after="0" w:line="234" w:lineRule="auto"/>
        <w:rPr>
          <w:sz w:val="20"/>
          <w:szCs w:val="20"/>
          <w:color w:val="auto"/>
        </w:rPr>
      </w:pPr>
      <w:r>
        <w:rPr>
          <w:rFonts w:ascii="Arial" w:cs="Arial" w:eastAsia="Arial" w:hAnsi="Arial"/>
          <w:sz w:val="18"/>
          <w:szCs w:val="18"/>
          <w:color w:val="auto"/>
        </w:rPr>
        <w:t>the $35.0 million opt-in payment. For the etigilimab program, if the option is exercised and the program is successfully commercialized by</w:t>
      </w:r>
    </w:p>
    <w:p>
      <w:pPr>
        <w:ind w:left="120"/>
        <w:spacing w:after="0" w:line="235" w:lineRule="auto"/>
        <w:rPr>
          <w:sz w:val="20"/>
          <w:szCs w:val="20"/>
          <w:color w:val="auto"/>
        </w:rPr>
      </w:pPr>
      <w:r>
        <w:rPr>
          <w:rFonts w:ascii="Arial" w:cs="Arial" w:eastAsia="Arial" w:hAnsi="Arial"/>
          <w:sz w:val="18"/>
          <w:szCs w:val="18"/>
          <w:color w:val="auto"/>
        </w:rPr>
        <w:t>Celgene, the Company is eligible to receive tiered royalties equal to a percentage of net product sales worldwide in the high-single digits</w:t>
      </w:r>
    </w:p>
    <w:p>
      <w:pPr>
        <w:ind w:left="120"/>
        <w:spacing w:after="0" w:line="235" w:lineRule="auto"/>
        <w:rPr>
          <w:sz w:val="20"/>
          <w:szCs w:val="20"/>
          <w:color w:val="auto"/>
        </w:rPr>
      </w:pPr>
      <w:r>
        <w:rPr>
          <w:rFonts w:ascii="Arial" w:cs="Arial" w:eastAsia="Arial" w:hAnsi="Arial"/>
          <w:sz w:val="18"/>
          <w:szCs w:val="18"/>
          <w:color w:val="auto"/>
        </w:rPr>
        <w:t>to the mid-teens. The Company is not eligible to receive any further research or development milestone payments for etigilimab prior to</w:t>
      </w:r>
    </w:p>
    <w:p>
      <w:pPr>
        <w:ind w:left="120"/>
        <w:spacing w:after="0"/>
        <w:rPr>
          <w:sz w:val="20"/>
          <w:szCs w:val="20"/>
          <w:color w:val="auto"/>
        </w:rPr>
      </w:pPr>
      <w:r>
        <w:rPr>
          <w:rFonts w:ascii="Arial" w:cs="Arial" w:eastAsia="Arial" w:hAnsi="Arial"/>
          <w:sz w:val="18"/>
          <w:szCs w:val="18"/>
          <w:color w:val="auto"/>
        </w:rPr>
        <w:t>Celgene’s decision regarding option exercise with respect to etigilimab.</w:t>
      </w:r>
    </w:p>
    <w:p>
      <w:pPr>
        <w:spacing w:after="0" w:line="21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collaboration agreement with Celgene will terminate upon the expiration of all of Celgene’s payment obligations under the license agreement entered into with respect to the etigilimab program following Celgene’s exercise of an option for such program, or if Celgene’s option on the etigilimab program expires without Celgene exercising its option. The collaboration agreement may be terminated by either party for the insolvency of, or an uncured material breach of the collaboration agreement by the other party. In addition, Celgene may terminate the collaboration agreement in its entirety or with respect to the etigilimab program, for any reason, upon 120 days’ prior written notice to us and upon 60 days’ prior written notice in the event that Celgene reasonably believes that such termination is necessary in order to comply with any antitrust laws. The Company may also terminate the collaboration agreement with respect to the etigilimab program in the event that Celgene challenges the licensed patents with respect to such program.</w:t>
      </w:r>
    </w:p>
    <w:p>
      <w:pPr>
        <w:spacing w:after="0" w:line="208"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Celgene does not exercise its option with respect to the etigilimab program before the option for that program expires, the Company will retain worldwide rights to such program. In addition, under certain termination circumstances, the Company would also have worldwide rights to the etigilimab program.</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collaboration agreement with Celgene previously included the demcizumab, navicixizumab, and rosmantuzumab biologic therapeutic programs. Celgene, however, terminated the collaboration agreement with respect to both demcizumab and navicixizumab, effective January 23, 2019, and terminated the collaboration agreement with respect to rosmantuzumab, effective February 12, 2019. Prior to such terminations, Celgene had options to obtain an exclusive license to develop further and commercialize biologic therapeutics in these programs under the agreement. As a result of these terminations, the Company now has worldwide rights to each of these programs, including navicixizumab. Under certain circumstances, the Company may owe Celgene single-digit percentage royalties on therapeutic products in these programs if we elect to continue to commercialize them and they are successfully commercialized, subject to a cap.</w:t>
      </w:r>
    </w:p>
    <w:p>
      <w:pPr>
        <w:spacing w:after="0" w:line="20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Celgene previously had the right to designate up to two additional biologic therapeutic programs targeting the RSPO-LGR signaling pathway or an undisclosed pathway for inclusion in the collaboration, but this right expired on the fourth anniversary of the date of the collaboration agreement. Celgene also had an additional option, which expired unexercised on the fourth anniversary of the date of the collaboration agreement, that would have permitted Celgene to discover, develop and commercialize small molecule therapeutics directed to targets in an undisclosed pathway under the collaboration.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20"/>
          </w:cols>
          <w:pgMar w:left="320" w:top="459" w:right="45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Under the terms of the collaboration agreement with Celgene, the Company received an upfront cash payment of $ 155.0 million in December 2013. In addition, Celgene purchased 1,470,588 shares of the Company’s common stock at a price of $15.13 per share, resulting in gross proceeds of $22.2 million. The price paid by Celgene for the common stock represented a premium over the closing price of the Company’s common stock on the date of the collaboration. The Company accounted for the $1.7 million premium as additional consideration under the Agreement and the common stock was recorded at its fair market value of $20.5 million. As of December 31, 2018, the Company is not eligible to receive any milestone payments under its collaboration with Celgene prior to the point that Celgene exercises its remaining option. The Company is eligible to receive up to approximately $35.0 million of contingent consideration if Celgene exercises its options for the etigilimab program. Following Celgene’s exercise of its option for the etigilimab program, Celgene will have exclusive development and commercialization rights worldwide, with the Company eligible to receive milestones and tiered royalties equal to a percentage of net product sales worldwide in the high-single digits to the mid-teens. If Celgene successfully develops and commercializes product candidates in the etigilimab program, the Company could receive additional contingent consideration of up to $402.5 million for the achievement of post-option exercise development, regulatory events and sales milestones.</w:t>
      </w:r>
    </w:p>
    <w:p>
      <w:pPr>
        <w:spacing w:after="0" w:line="204"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The Company assessed its collaboration agreement with Celgene in accordance with Topic 606 and concluded that Celgene is a customer. The Company determined that its performance obligation under the arrangement with Celgene is research and development services. As part of the promised research and development services, the Company may provide the resultant data to Celgene to assist Celgene in determining whether or not to exercise its options. Under the arrangement, Celgene has options to further develop and commercialize biologic therapeutics in each program under the collaboration, which may be exercised during time periods specified in the agreement. Upon Celgene’s exercise of its option for certain programs, the Company may, at its discretion, gain co-development and co-commercialization rights and corresponding obligations. The Company determined that the exclusive option(s) provided to Celgene is not a material right under Topic 606 and thus it is not a performance obligation. Based on its assessment, the Company has identified the research and development services as the only performance obligation at the inception of the collaboration agreement.</w:t>
      </w:r>
    </w:p>
    <w:p>
      <w:pPr>
        <w:spacing w:after="0" w:line="207"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Prior to recognizing revenue, the Company estimates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Variable consideration includes payments based upon the achievement of specified milestones, and royalty payments based on product sales derived from the collaboration. Under the collaboration agreement, the Company determined that the non-refundable upfront cash payment of $155.0 million and stock premium of $1.7 million received in December 2013 constitute consideration to be included in the transaction price. The Company also included in the transaction price the $70.0 million demcizumab (anti-DLL4, OMP-21M18) safety milestone that was achieved in December 2015 and the two designation milestone payments of</w:t>
      </w:r>
    </w:p>
    <w:p>
      <w:pPr>
        <w:spacing w:after="0" w:line="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$2.5 million each for the designation of rosmantuzumab and etigilimab as clinical candidates in 2014 and 2015, respectively. The total consideration received of $231.7 million constitutes the transaction price at the transition date for Topic 606. Through December 31, 2017, the Company also received a total of $2.5 million in the aggregate from Celgene to reimburse the costs of research and development services performed by the Company; these reimbursements have historically been recorded as other revenue. As the performance of these research and development services was at the Company’s discretion and is not a commitment or performance obligation pursuant to the Celgene collaboration agreement, the reimbursement paid to the Company has been excluded from the transaction price. None of the remaining development and regulatory milestone amounts have been included in the transaction price, as all milestone amounts were fully constrained as of January 1, 2018 and December 31, 2018. As part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20"/>
          </w:cols>
          <w:pgMar w:left="320" w:top="459" w:right="45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of the Company’s evaluation of the constraint, the Company considered numerous factors, including that receipt of the milestone amounts is outside the control of the Company and contingent upon success in future clinical trials. Any consideration related to sales milestones and royalties on net product sales will be recognized at the later of when the related sales occur or the performance obligation to which some or all of the sales milestone or royalty has been allocated is satisfied (in whole or in part) and therefore have also been excluded from the transaction price. The Company will re-evaluate the transaction price in each reporting period and as uncertain events are resolved or other changes in circumstances occur.</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impact of adopting Topic 606 on the accounting treatment of the Company’s collaboration agreement with Celgene primarily relates to the change in the timing of revenue recognition of the transaction price. The Company’s deferred revenue associated with its Celgene collaboration agreement as of December 31, 2017 under Topic 605 was $143.8 million. Upon adoption of Topic 606 as of January 1, 2018, the Company recognized a cumulative catch up adjustment of $98.3 million, which was recorded as a decrease to the opening balance of accumulated deficit, and a corresponding decrease in the deferred revenue balance from the Company’s collaboration with Celgene.</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Following the adoption of Topic 606, the Company recognizes collaboration revenue by measuring the progress toward complete satisfaction of the performance obligation using an input measure. The Company concluded the method that best correlates with progress of the services provided to Celgene is the input method, based on actual costs incurred to date compared to the overall total expected costs to satisfy the performance obligation. The Company will evaluate the estimate of expected costs to satisfy the performance obligation each reporting period and make adjustments for any significant changes. Under Topic 606, collaboration revenue under the Company’s collaboration agreement with Celgene was $44.4 million for the year ended December 31, 2018 and deferred revenue balance was $ 1.1 million as of December 31, 2018. Upon adoption of Topic 606, the Company initially estimated that the performance obligation under the contract would be substantially completed by the third quarter of 2019. At December 31, 2018, the Company evaluated the development program status of the etigilimab program, the only program remaining under the collaboration agreement with Celgene, and determined that the performance obligation will be completed by the first quarter of 2019. The change in the timing of revenue recognition resulted in an increase in revenue and corresponding decreases in net loss of $7.7 million and net loss per common share, basic and diluted, of $0.20 per share for the year ended December 31, 2018.</w:t>
      </w:r>
    </w:p>
    <w:p>
      <w:pPr>
        <w:spacing w:after="0" w:line="20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As of December 31, 2018, the Company was eligible to receive in its collaboration with Celgene up to approximately $35.0 million of contingent consideration if Celgene exercises its options on the etigilimab program. If Celgene successfully develops and commercializes the etigilimab program, the Company could receive additional contingent consideration of up to approximately $402.5 million for the achievement of post-option exercise development, regulatory events and sales milestones. As all contingent consideration is based solely on the performance of Celgene, the Company would recognize the contingent payments upon receipt immediately as collaboration revenue if the Company had no further performance obligations under the agreement with Celgene.</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the fourth quarter of 2018, the Company recorded a receivable and a deferred revenue of $2.6 million for the sale of a tumor bank to Celgene. The Company recognized the receivable as of December 31, 2018 because the right to the consideration is considered unconditional. Subsequently, in January 2019, the Company recognized the revenue upon delivery of the tumor bank to Celgene. The sale is not considered a commitment or performance obligation pursuant to the Celgene collaboration agreement, hence is excluded from the collaboration transaction price.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20"/>
          </w:cols>
          <w:pgMar w:left="320" w:top="459" w:right="45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Bayer Strategic Alliance</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June 15, 2010, the Company entered into a Collaboration and Option Agreement with Bayer. The agreement sets forth an alliance to discover, develop and market novel biologic and small molecule therapeutics affecting targets within the Wnt signaling pathway. The Company received an upfront payment of $40.0 million upon execution of the collaboration agreement in 2010 and a $5.0 million milestone payment in 2012. The Company initially recognized the payments as deferred revenue and amortized to revenue on a ratable basis through the second quarter of 2017, as permitted by the legacy revenue recognition guidance.</w:t>
      </w:r>
    </w:p>
    <w:p>
      <w:pPr>
        <w:spacing w:after="0" w:line="202"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Effective June 16, 2017, Bayer terminated all biologic therapeutic programs under the collaboration. The Company is no longer eligible to receive any payments under its collaboration with Bayer with respect to biologic therapeutic candidates.</w:t>
      </w:r>
    </w:p>
    <w:p>
      <w:pPr>
        <w:spacing w:after="0" w:line="19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With respect to the Wnt pathway small molecule program, the Company and Bayer under the collaboration agreement agreed to jointly conduct research to discover potential new small molecule therapeutics targeting the Wnt pathway. Bayer may, within a specified time period, elect to advance such small molecule therapeutics into further development, and obtain an exclusive license to commercialize such therapeutics. Bayer leads discovery, development, and commercialization of such small molecule therapeutics. As of December 31, 2018, the Company remains eligible to receive up to $27.0 million in development milestone payments for each small molecule candidates. If Bayer successfully develops and commercializes small molecule candidates for more than one indication, the Company could receive contingent consideration payments for each small molecule candidate of up to $15.0 million for the achievement of certain regulatory events and up to $70.0 million upon the achievement of specified future product sales. As all such contingent consideration is based solely on the performance of Bayer, the Company would recognize the contingent payments upon receipt immediately as collaboration revenue.</w:t>
      </w:r>
    </w:p>
    <w:p>
      <w:pPr>
        <w:spacing w:after="0" w:line="20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evaluated the agreement under Topic 606, and determined that the small molecule therapeutic program remaining as of December 31, 2017 is immaterial in the context of the collaboration agreement relative to the biologics therapeutic programs that was terminated during 2017. Further, the Company’s performance obligations under the small molecule therapeutic program were substantially complete at December 31, 2017, and any future receipts in the form of milestones or royalties are contingent upon the achievement of specified development, commercial and/or sales targets by Bayer.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GSK Strategic Alliance</w:t>
      </w:r>
    </w:p>
    <w:p>
      <w:pPr>
        <w:spacing w:after="0" w:line="12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On December 7, 2007, the Company entered into a Collaboration and Option Agreement with GSK. The agreement was formed to discover, develop and market novel antibody therapeutics to target CSCs. The agreement gave GSK the option to obtain an exclusive license for certain product candidates targeting the Notch signaling pathway.</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2007, the Company received an initial payment of $35.0 million, with half in the form of an equity investment by GSK in the Company’s Series B-2 convertible preferred stock and the other half as an up-front cash payment which was initially recorded as deferred revenue. The 1,441,396 shares of Series B-2 convertible preferred stock sold by the Company to GSK were issued at a premium of $4.3 million above the estimated fair value of convertible preferred stock at the time of issuance. This premium was considered an additional up-front payment and was added to the $17.5 million deferred revenue and was amortized to revenue on a ratable basis through the first quarter of 2017, as permitted by the legacy revenue recognition guidance.</w:t>
      </w:r>
    </w:p>
    <w:p>
      <w:pPr>
        <w:spacing w:after="0" w:line="205"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Effective October 28, 2017, GSK terminated the agreement in its entirety. As a result of such termination, the Company is no longer eligible to receive any payments under the collaboration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00"/>
          </w:cols>
          <w:pgMar w:left="320" w:top="459" w:right="47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agreement with GSK and the Company has no remaining performance obligations. As the GSK collaboration was terminated in its entirety on October 28, 2017, this arrangement is outside the scope of Topic 606 as of the adoption date.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Lonza Sales AG Agreement</w:t>
      </w:r>
    </w:p>
    <w:p>
      <w:pPr>
        <w:spacing w:after="0" w:line="126"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In August 2012, the Company entered into a multi-product license agreement with Lonza Sales AG (“Lonza”). This agreement relates to the process development and manufacturing of the Company’s biologics portfolio with Lonza. Under the multi-product license agreement, the Company receives licenses to utilize Lonza’s glutamine synthetase gene expression system and related technologies for commercial production of the Company’s product candidates. Under this license agreement, the Company paid an upfront payment of $488,000 which was recorded to research and development expense during 2012 and is obligated to pay Lonza certain payments up to £200,000 (approximately $254,000) per licensed product on achievement of specified milestones, and royalties up to the very low single digits on sales of its licensed products. There has been no further payment made by the Company to Lonza pursuant to the license agreement for the years ended December 31, 2018, 2017 and 2016.</w:t>
      </w:r>
    </w:p>
    <w:p>
      <w:pPr>
        <w:spacing w:after="0" w:line="20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multi-product license agreement shall remain in force on a product by product and country by country basis until expiration of the Company’s obligation to make payments to Lonza with respect to such product in such country. The agreement can otherwise be terminated by the Company for any reason or no reason upon advance written notice to Lonza, or by either the Company or Lonza upon the other party’s material breach of the agreement, or if the other party ceases to carry on business. Lonza may also terminate the licenses granted under the agreement if the Company challenges any of the Lonza patent rights.</w:t>
      </w:r>
    </w:p>
    <w:p>
      <w:pPr>
        <w:spacing w:after="0" w:line="288" w:lineRule="exact"/>
        <w:rPr>
          <w:sz w:val="20"/>
          <w:szCs w:val="20"/>
          <w:color w:val="auto"/>
        </w:rPr>
      </w:pPr>
    </w:p>
    <w:p>
      <w:pPr>
        <w:ind w:left="120" w:right="8920" w:hanging="4"/>
        <w:spacing w:after="0" w:line="381" w:lineRule="auto"/>
        <w:tabs>
          <w:tab w:leader="none" w:pos="42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Stock Incentive Plans</w:t>
      </w:r>
    </w:p>
    <w:p>
      <w:pPr>
        <w:ind w:left="560"/>
        <w:spacing w:after="0"/>
        <w:rPr>
          <w:sz w:val="20"/>
          <w:szCs w:val="20"/>
          <w:color w:val="auto"/>
        </w:rPr>
      </w:pPr>
      <w:r>
        <w:rPr>
          <w:rFonts w:ascii="Arial" w:cs="Arial" w:eastAsia="Arial" w:hAnsi="Arial"/>
          <w:sz w:val="18"/>
          <w:szCs w:val="18"/>
          <w:b w:val="1"/>
          <w:bCs w:val="1"/>
          <w:i w:val="1"/>
          <w:iCs w:val="1"/>
          <w:color w:val="auto"/>
        </w:rPr>
        <w:t>2004 Plan</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Company granted options under its 2004 Stock Incentive Plan (the “2004 Plan”) until July 2013 when it was terminated as to future awards, although it continues to govern the terms of options that remain outstanding under the 2004 Plan. The 2004 Plan provided for the award of restricted shares, grants of incentive and nonstatutory stock options, and sales of shares of the Company’s common stock. Awards can be made to employees, outside directors, and consultants of the Company. Stock options granted generally vest over a period of five years from the date of grant, with 20% of the total grant vesting on the first anniversary of the option vesting commencement date and 1/48 of the remaining grant vesting each month thereafter. Restricted stock issuances and early exercise of stock options were subject to the Company’s right of repurchase at the original issuance price, which right lapses over the vesting period of the stock. In connection with the Board of Directors’ and stockholders’ approval of the 2013 Plan, all remaining shares available for future award under the 2004 Plan were transferred to 2013 Plan, and the 2004 Plan was terminated as to future awards.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2013 Plan</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July 2013, the Company’s Board of Directors and stockholders approved the 2013 Equity Incentive Award Plan (the “2013 Plan”). Under the 2013 Plan, the Company initially reserved 500,000 shares of common stock for issuance as of its effective date of July 17, 2013, plus 90,125 shares which were then available for issuance under the Company’s 2004 Plan. The number of shares reserved for issuance under the 2013 Plan will increase by the number of shares represented by awards outstanding under the 2004 Plan that are forfeited or lapse unexercised and which following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120"/>
          </w:cols>
          <w:pgMar w:left="320" w:top="459" w:right="4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July 17, 2013 are not issued under the 2004 Plan. Additionally, on the first day of each calendar year, beginning in 2014 and ending in 2023, the number of shares in the reserve will increase by the least of 1,500,000 shares, 4% of the shares of the Company’s common stock outstanding (on an as-converted basis) on the last day of the immediately preceding fiscal year or such smaller number of shares of stock as determined by the Company’s Board of Directors. The 2013 Plan authorizes discretionary grants of incentive stock options, nonqualified stock options, restricted stock, restricted stock units, performance awards, dividend equivalents, stock payments, deferred stock, deferred stock units, and stock appreciation rights to employees and consultants of the Company, or any of its qualifying affiliates, and to members of the Board of Directors. The exercise price per share subject to each option shall not be less than 100% of the fair value of the common stock on the date of grant. In addition, in the case of incentive stock options granted to a greater than 10% stockholder, such price shall not be less than 110% of the fair value on the date the option is granted. The term of the options shall not be more than 10 years from the grant date, or 5 years from the date an incentive stock option is granted to a greater than 10% stockholder. Stock options granted generally vest over a period of four years from the date of grant, with 25% of the total grant vesting on the first anniversary of the option vesting commencement date and 1/48th of the original grant vesting each month thereafter for stock options granted upon hiring, and with 1/48th of the total grant vesting each month after the option vesting commencement date for any stock options granted after the hiring date.</w:t>
      </w:r>
    </w:p>
    <w:p>
      <w:pPr>
        <w:spacing w:after="0" w:line="21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of December 31, 2018, a total of 8,217,239 shares of common stock have been authorized under the 2013 Plan. As of December 31, 2018, a total of 4,140,554 shares are subject to options and restricted stock units (“RSUs”) outstanding under the 2013 Plan. There are 310,453 shares subject to options outstanding under the 2004 Plan as of December 31, 2018, which will become available for issuance under the 2013 Plan to the extent the options are forfeited or lapse unexercised without issuance of such shares under the 2004 Plan. On January 1, 2018, an additional 1,500,000 shares of the Company’s common stock became available for future issuance as a result of the annual increase provision in the 2013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Reserved for Future Issuances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common stock reserved for future issuance: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vMerge w:val="restart"/>
          </w:tcPr>
          <w:p>
            <w:pPr>
              <w:spacing w:after="0"/>
              <w:rPr>
                <w:sz w:val="14"/>
                <w:szCs w:val="14"/>
                <w:color w:val="auto"/>
              </w:rPr>
            </w:pPr>
          </w:p>
        </w:tc>
        <w:tc>
          <w:tcPr>
            <w:tcW w:w="53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100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632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Outstanding stock options and RSUs</w:t>
            </w:r>
          </w:p>
        </w:tc>
        <w:tc>
          <w:tcPr>
            <w:tcW w:w="53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4,451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Reserved for future equity award grants</w:t>
            </w:r>
          </w:p>
        </w:tc>
        <w:tc>
          <w:tcPr>
            <w:tcW w:w="63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Reserved for future ESPP issuances</w:t>
            </w:r>
          </w:p>
        </w:tc>
        <w:tc>
          <w:tcPr>
            <w:tcW w:w="53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gridSpan w:val="2"/>
          </w:tcPr>
          <w:p>
            <w:pPr>
              <w:spacing w:after="0"/>
              <w:rPr>
                <w:sz w:val="20"/>
                <w:szCs w:val="20"/>
                <w:color w:val="auto"/>
              </w:rPr>
            </w:pPr>
            <w:r>
              <w:rPr>
                <w:rFonts w:ascii="Arial" w:cs="Arial" w:eastAsia="Arial" w:hAnsi="Arial"/>
                <w:sz w:val="18"/>
                <w:szCs w:val="18"/>
                <w:color w:val="auto"/>
              </w:rPr>
              <w:t>Total common stock reserved for future issuances</w:t>
            </w:r>
          </w:p>
        </w:tc>
        <w:tc>
          <w:tcPr>
            <w:tcW w:w="53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380" w:type="dxa"/>
            <w:vAlign w:val="bottom"/>
            <w:gridSpan w:val="3"/>
          </w:tcPr>
          <w:p>
            <w:pPr>
              <w:ind w:left="680"/>
              <w:spacing w:after="0"/>
              <w:rPr>
                <w:sz w:val="20"/>
                <w:szCs w:val="20"/>
                <w:color w:val="auto"/>
              </w:rPr>
            </w:pPr>
            <w:r>
              <w:rPr>
                <w:rFonts w:ascii="Arial" w:cs="Arial" w:eastAsia="Arial" w:hAnsi="Arial"/>
                <w:sz w:val="18"/>
                <w:szCs w:val="18"/>
                <w:color w:val="auto"/>
              </w:rPr>
              <w:t>F-96</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stock option activity for the year ended 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Stock Option Outstanding</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exercise price and contractual life)</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Number of</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Contractual</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2"/>
        </w:trPr>
        <w:tc>
          <w:tcPr>
            <w:tcW w:w="6840" w:type="dxa"/>
            <w:vAlign w:val="bottom"/>
            <w:gridSpan w:val="2"/>
            <w:vMerge w:val="continue"/>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9"/>
        </w:trPr>
        <w:tc>
          <w:tcPr>
            <w:tcW w:w="3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Balances at December 31, 2017</w:t>
            </w:r>
          </w:p>
        </w:tc>
        <w:tc>
          <w:tcPr>
            <w:tcW w:w="29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5,217</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10.70</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w:t>
            </w: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80"/>
              <w:spacing w:after="0" w:line="189" w:lineRule="exact"/>
              <w:rPr>
                <w:sz w:val="20"/>
                <w:szCs w:val="20"/>
                <w:color w:val="auto"/>
              </w:rPr>
            </w:pPr>
            <w:r>
              <w:rPr>
                <w:rFonts w:ascii="Arial" w:cs="Arial" w:eastAsia="Arial" w:hAnsi="Arial"/>
                <w:sz w:val="18"/>
                <w:szCs w:val="18"/>
                <w:color w:val="auto"/>
                <w:w w:val="93"/>
              </w:rPr>
              <w:t>913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1,744</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3.34</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(2,816)</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8.69</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2018</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4,145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8.96</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gridSpan w:val="2"/>
          </w:tcPr>
          <w:p>
            <w:pPr>
              <w:spacing w:after="0" w:line="196" w:lineRule="exact"/>
              <w:rPr>
                <w:sz w:val="20"/>
                <w:szCs w:val="20"/>
                <w:color w:val="auto"/>
              </w:rPr>
            </w:pPr>
            <w:r>
              <w:rPr>
                <w:rFonts w:ascii="Arial" w:cs="Arial" w:eastAsia="Arial" w:hAnsi="Arial"/>
                <w:sz w:val="18"/>
                <w:szCs w:val="18"/>
                <w:color w:val="auto"/>
              </w:rPr>
              <w:t>Options vested and expected to vest—December 31, 2018</w:t>
            </w:r>
          </w:p>
        </w:tc>
        <w:tc>
          <w:tcPr>
            <w:tcW w:w="10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3,945</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8.88</w:t>
            </w:r>
          </w:p>
        </w:tc>
        <w:tc>
          <w:tcPr>
            <w:tcW w:w="10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64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Options exercisable—December 31, 2018</w:t>
            </w:r>
          </w:p>
        </w:tc>
        <w:tc>
          <w:tcPr>
            <w:tcW w:w="10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11.44</w:t>
            </w:r>
          </w:p>
        </w:tc>
        <w:tc>
          <w:tcPr>
            <w:tcW w:w="10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The total fair value of options vested were $5.5 million, $7.1 million and $9.2 million for the years ended December 31, 2018, 2017 and 2016, respectively. There were no options exercised during the year ended December 31, 2018. The aggregate intrinsic value of options exercised were $1.4 million and $0.8 million for the years ended December 31, 2017, and 2016, respectively. The stock options outstanding have no intrinsic value as of December 31, 2018.</w:t>
      </w:r>
    </w:p>
    <w:p>
      <w:pPr>
        <w:spacing w:after="0" w:line="205"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weighted-average grant date estimated fair value of options granted during the years ended December 31, 2018, 2017 and 2016 were $2.32, $3.66 and $8.23 per share, respectively.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RSU activity for the year ended 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Restricted Stock Units Outstanding</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Grant Date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grant date fair value and contractual life)</w:t>
            </w:r>
          </w:p>
        </w:tc>
        <w:tc>
          <w:tcPr>
            <w:tcW w:w="26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Number of</w:t>
            </w:r>
          </w:p>
        </w:tc>
        <w:tc>
          <w:tcPr>
            <w:tcW w:w="3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2"/>
        </w:trPr>
        <w:tc>
          <w:tcPr>
            <w:tcW w:w="4280" w:type="dxa"/>
            <w:vAlign w:val="bottom"/>
            <w:tcBorders>
              <w:bottom w:val="single" w:sz="8" w:color="auto"/>
            </w:tcBorders>
            <w:vMerge w:val="continue"/>
          </w:tcPr>
          <w:p>
            <w:pPr>
              <w:spacing w:after="0"/>
              <w:rPr>
                <w:sz w:val="15"/>
                <w:szCs w:val="15"/>
                <w:color w:val="auto"/>
              </w:rPr>
            </w:pPr>
          </w:p>
        </w:tc>
        <w:tc>
          <w:tcPr>
            <w:tcW w:w="26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Share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Life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0"/>
        </w:trPr>
        <w:tc>
          <w:tcPr>
            <w:tcW w:w="42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Balances at December 31, 2017</w:t>
            </w:r>
          </w:p>
        </w:tc>
        <w:tc>
          <w:tcPr>
            <w:tcW w:w="26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880</w:t>
            </w: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5.33</w:t>
            </w: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3,606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Awarded</w:t>
            </w:r>
          </w:p>
        </w:tc>
        <w:tc>
          <w:tcPr>
            <w:tcW w:w="3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70</w:t>
            </w:r>
          </w:p>
        </w:tc>
        <w:tc>
          <w:tcPr>
            <w:tcW w:w="13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2.29</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Released</w:t>
            </w:r>
          </w:p>
        </w:tc>
        <w:tc>
          <w:tcPr>
            <w:tcW w:w="3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(402)</w:t>
            </w:r>
          </w:p>
        </w:tc>
        <w:tc>
          <w:tcPr>
            <w:tcW w:w="13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4.57</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Forfeited</w:t>
            </w:r>
          </w:p>
        </w:tc>
        <w:tc>
          <w:tcPr>
            <w:tcW w:w="2640" w:type="dxa"/>
            <w:vAlign w:val="bottom"/>
          </w:tcPr>
          <w:p>
            <w:pPr>
              <w:spacing w:after="0"/>
              <w:rPr>
                <w:sz w:val="18"/>
                <w:szCs w:val="18"/>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(242)</w:t>
            </w:r>
          </w:p>
        </w:tc>
        <w:tc>
          <w:tcPr>
            <w:tcW w:w="13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5.60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2018</w:t>
            </w:r>
          </w:p>
        </w:tc>
        <w:tc>
          <w:tcPr>
            <w:tcW w:w="264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5.41</w:t>
            </w: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80" w:firstLine="440"/>
        <w:spacing w:after="0" w:line="246" w:lineRule="auto"/>
        <w:rPr>
          <w:sz w:val="20"/>
          <w:szCs w:val="20"/>
          <w:color w:val="auto"/>
        </w:rPr>
      </w:pPr>
      <w:r>
        <w:rPr>
          <w:rFonts w:ascii="Arial" w:cs="Arial" w:eastAsia="Arial" w:hAnsi="Arial"/>
          <w:sz w:val="18"/>
          <w:szCs w:val="18"/>
          <w:color w:val="auto"/>
        </w:rPr>
        <w:t>The total fair value of RSUs vested was $1.8 million, $6.4 million and $2.2 million for the years ended December 31, 2018, 2017 and 2016, respectively. The aggregate intrinsic value of the non-vested RSUs was $0.2 million as of December 31, 2018.</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Company’s Employee Stock Purchase Plan (the “ESPP”) allows eligible employees to purchase shares of the Company’s common stock at a discount through payroll deductions of up to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140"/>
          </w:cols>
          <w:pgMar w:left="320" w:top="459" w:right="43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day of the offering period.</w:t>
      </w:r>
    </w:p>
    <w:p>
      <w:pPr>
        <w:spacing w:after="0" w:line="203"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On January 1, 2018, as a result of the annual increase provision in the ESPP plan, an additional 350,000 shares of the Company’s common stock became available for future issuance. As of December 31, 2018, a total of 1,893,620 shares of common stock have been authorized and 1,510,518 shares of common stock are available for future issuance under the Company’s ESPP.</w:t>
      </w:r>
    </w:p>
    <w:p>
      <w:pPr>
        <w:spacing w:after="0" w:line="185" w:lineRule="exact"/>
        <w:rPr>
          <w:sz w:val="20"/>
          <w:szCs w:val="20"/>
          <w:color w:val="auto"/>
        </w:rPr>
      </w:pPr>
    </w:p>
    <w:p>
      <w:pPr>
        <w:ind w:left="120" w:right="340" w:firstLine="440"/>
        <w:spacing w:after="0" w:line="245" w:lineRule="auto"/>
        <w:rPr>
          <w:sz w:val="20"/>
          <w:szCs w:val="20"/>
          <w:color w:val="auto"/>
        </w:rPr>
      </w:pPr>
      <w:r>
        <w:rPr>
          <w:rFonts w:ascii="Arial" w:cs="Arial" w:eastAsia="Arial" w:hAnsi="Arial"/>
          <w:sz w:val="18"/>
          <w:szCs w:val="18"/>
          <w:color w:val="auto"/>
        </w:rPr>
        <w:t xml:space="preserve">In accordance with the terms of the Merger Agreement (see Note 16 </w:t>
      </w:r>
      <w:r>
        <w:rPr>
          <w:rFonts w:ascii="Arial" w:cs="Arial" w:eastAsia="Arial" w:hAnsi="Arial"/>
          <w:sz w:val="18"/>
          <w:szCs w:val="18"/>
          <w:i w:val="1"/>
          <w:iCs w:val="1"/>
          <w:color w:val="auto"/>
        </w:rPr>
        <w:t>Potential Business Combination with Mereo BioPharma</w:t>
      </w:r>
      <w:r>
        <w:rPr>
          <w:rFonts w:ascii="Arial" w:cs="Arial" w:eastAsia="Arial" w:hAnsi="Arial"/>
          <w:sz w:val="18"/>
          <w:szCs w:val="18"/>
          <w:color w:val="auto"/>
        </w:rPr>
        <w:t>), on February 23, 2019, the Board of Directors determined that the offering period ending on February 28, 2019 would be the final offering period under the ESPP and that, contingent upon the consummation of the Merger, the ESPP would terminate immediately prior to the effective time of the Merger.</w:t>
      </w:r>
    </w:p>
    <w:p>
      <w:pPr>
        <w:spacing w:after="0" w:line="199"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During the years ended December 31, 2018, 2017 and 2016, employees purchased an aggregate of 45,352 shares, 88,982 shares and 111,633 shares under the Company’s ESPP, respectively, at a weighted-average price per share of $1.97, $7.16 and $8.21, respectively. During the years ended December 31, 2018, 2017 and 2016, the weighted-average fair value per share granted under the Company’s ESPP were $1.54, $3.39 and $5.06,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Employee stock-based compensation expense was calculated based on awards expected to vest and has been reduced for estimated forfeitures. Forfeitures are estimated at the time of grant and revised, if necessary, in subsequent periods if actual forfeitures differ from those estimates.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recognized was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gridSpan w:val="9"/>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7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w:t>
            </w: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$3,380</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$4,886</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5,892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3,397</w:t>
            </w: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4,522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6,842</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9,414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11,131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As of December 31, 2018, the Company had $4.3 million, $0.8 million and $2,000 of unrecognized compensation expense related to unvested stock options, RSUs and ESPP, respectively, which are expected to be recognized over an estimated weighted-average period of 2.5 years, 1.0 years and 0.2 years,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126"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fair value of stock options granted and purchases under the Company’s ESPP is estimated using the Black-Scholes option pricing model.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40"/>
          </w:cols>
          <w:pgMar w:left="320" w:top="459" w:right="43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stock options granted was estimated as of the grant date using the following assumptions: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79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3"/>
                <w:szCs w:val="13"/>
                <w:color w:val="auto"/>
              </w:rPr>
            </w:pPr>
          </w:p>
        </w:tc>
      </w:tr>
      <w:tr>
        <w:trPr>
          <w:trHeight w:val="196"/>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volatility</w:t>
            </w:r>
          </w:p>
        </w:tc>
        <w:tc>
          <w:tcPr>
            <w:tcW w:w="1220" w:type="dxa"/>
            <w:vAlign w:val="bottom"/>
            <w:gridSpan w:val="2"/>
            <w:shd w:val="clear" w:color="auto" w:fill="CCEEFF"/>
          </w:tcPr>
          <w:p>
            <w:pPr>
              <w:jc w:val="right"/>
              <w:ind w:right="588"/>
              <w:spacing w:after="0" w:line="196" w:lineRule="exact"/>
              <w:rPr>
                <w:sz w:val="20"/>
                <w:szCs w:val="20"/>
                <w:color w:val="auto"/>
              </w:rPr>
            </w:pPr>
            <w:r>
              <w:rPr>
                <w:rFonts w:ascii="Arial" w:cs="Arial" w:eastAsia="Arial" w:hAnsi="Arial"/>
                <w:sz w:val="18"/>
                <w:szCs w:val="18"/>
                <w:color w:val="auto"/>
              </w:rPr>
              <w:t>78.1%</w:t>
            </w:r>
          </w:p>
        </w:tc>
        <w:tc>
          <w:tcPr>
            <w:tcW w:w="12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75.8%</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71.9%</w:t>
            </w: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Weighted-average expected term (years)</w:t>
            </w:r>
          </w:p>
        </w:tc>
        <w:tc>
          <w:tcPr>
            <w:tcW w:w="1220" w:type="dxa"/>
            <w:vAlign w:val="bottom"/>
            <w:gridSpan w:val="2"/>
          </w:tcPr>
          <w:p>
            <w:pPr>
              <w:jc w:val="right"/>
              <w:ind w:right="748"/>
              <w:spacing w:after="0" w:line="202" w:lineRule="exact"/>
              <w:rPr>
                <w:sz w:val="20"/>
                <w:szCs w:val="20"/>
                <w:color w:val="auto"/>
              </w:rPr>
            </w:pPr>
            <w:r>
              <w:rPr>
                <w:rFonts w:ascii="Arial" w:cs="Arial" w:eastAsia="Arial" w:hAnsi="Arial"/>
                <w:sz w:val="18"/>
                <w:szCs w:val="18"/>
                <w:color w:val="auto"/>
              </w:rPr>
              <w:t>6.2</w:t>
            </w:r>
          </w:p>
        </w:tc>
        <w:tc>
          <w:tcPr>
            <w:tcW w:w="12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6.2</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w:t>
            </w: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22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2.6%</w:t>
            </w:r>
          </w:p>
        </w:tc>
        <w:tc>
          <w:tcPr>
            <w:tcW w:w="12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217"/>
        </w:trPr>
        <w:tc>
          <w:tcPr>
            <w:tcW w:w="7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stock purchase rights granted under the Company’s ESPP was estimated using the following assumptions: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Borders>
              <w:bottom w:val="single" w:sz="8" w:color="auto"/>
            </w:tcBorders>
          </w:tcPr>
          <w:p>
            <w:pPr>
              <w:spacing w:after="0"/>
              <w:rPr>
                <w:sz w:val="16"/>
                <w:szCs w:val="16"/>
                <w:color w:val="auto"/>
              </w:rPr>
            </w:pPr>
          </w:p>
        </w:tc>
      </w:tr>
      <w:tr>
        <w:trPr>
          <w:trHeight w:val="169"/>
        </w:trPr>
        <w:tc>
          <w:tcPr>
            <w:tcW w:w="6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66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74"/>
              <w:spacing w:after="0"/>
              <w:rPr>
                <w:sz w:val="20"/>
                <w:szCs w:val="20"/>
                <w:color w:val="auto"/>
              </w:rPr>
            </w:pPr>
            <w:r>
              <w:rPr>
                <w:rFonts w:ascii="Arial" w:cs="Arial" w:eastAsia="Arial" w:hAnsi="Arial"/>
                <w:sz w:val="14"/>
                <w:szCs w:val="14"/>
                <w:b w:val="1"/>
                <w:bCs w:val="1"/>
                <w:color w:val="auto"/>
              </w:rPr>
              <w:t>2016</w:t>
            </w: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volatility</w:t>
            </w:r>
          </w:p>
        </w:tc>
        <w:tc>
          <w:tcPr>
            <w:tcW w:w="15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66.5%–93.7%</w:t>
            </w: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54.0%–93.7%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ind w:right="54"/>
              <w:spacing w:after="0" w:line="196" w:lineRule="exact"/>
              <w:rPr>
                <w:sz w:val="20"/>
                <w:szCs w:val="20"/>
                <w:color w:val="auto"/>
              </w:rPr>
            </w:pPr>
            <w:r>
              <w:rPr>
                <w:rFonts w:ascii="Arial" w:cs="Arial" w:eastAsia="Arial" w:hAnsi="Arial"/>
                <w:sz w:val="18"/>
                <w:szCs w:val="18"/>
                <w:color w:val="auto"/>
                <w:w w:val="99"/>
              </w:rPr>
              <w:t>45.4%–104.5%</w:t>
            </w: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Weighted-average expected term (years)</w:t>
            </w: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95"/>
              </w:rPr>
              <w:t>0.5</w:t>
            </w:r>
          </w:p>
        </w:tc>
        <w:tc>
          <w:tcPr>
            <w:tcW w:w="1660" w:type="dxa"/>
            <w:vAlign w:val="bottom"/>
            <w:gridSpan w:val="2"/>
          </w:tcPr>
          <w:p>
            <w:pPr>
              <w:jc w:val="center"/>
              <w:ind w:left="42"/>
              <w:spacing w:after="0" w:line="202" w:lineRule="exact"/>
              <w:rPr>
                <w:sz w:val="20"/>
                <w:szCs w:val="20"/>
                <w:color w:val="auto"/>
              </w:rPr>
            </w:pPr>
            <w:r>
              <w:rPr>
                <w:rFonts w:ascii="Arial" w:cs="Arial" w:eastAsia="Arial" w:hAnsi="Arial"/>
                <w:sz w:val="18"/>
                <w:szCs w:val="18"/>
                <w:color w:val="auto"/>
              </w:rPr>
              <w:t>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54"/>
              <w:spacing w:after="0" w:line="202" w:lineRule="exact"/>
              <w:rPr>
                <w:sz w:val="20"/>
                <w:szCs w:val="20"/>
                <w:color w:val="auto"/>
              </w:rPr>
            </w:pPr>
            <w:r>
              <w:rPr>
                <w:rFonts w:ascii="Arial" w:cs="Arial" w:eastAsia="Arial" w:hAnsi="Arial"/>
                <w:sz w:val="18"/>
                <w:szCs w:val="18"/>
                <w:color w:val="auto"/>
              </w:rPr>
              <w:t>0.5</w:t>
            </w: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1.10%–2.28%</w:t>
            </w:r>
          </w:p>
        </w:tc>
        <w:tc>
          <w:tcPr>
            <w:tcW w:w="12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9"/>
              </w:rPr>
              <w:t>0.47%–1.10%</w:t>
            </w:r>
          </w:p>
        </w:tc>
        <w:tc>
          <w:tcPr>
            <w:tcW w:w="1520" w:type="dxa"/>
            <w:vAlign w:val="bottom"/>
            <w:shd w:val="clear" w:color="auto" w:fill="CCEEFF"/>
          </w:tcPr>
          <w:p>
            <w:pPr>
              <w:jc w:val="center"/>
              <w:ind w:right="74"/>
              <w:spacing w:after="0" w:line="202" w:lineRule="exact"/>
              <w:rPr>
                <w:sz w:val="20"/>
                <w:szCs w:val="20"/>
                <w:color w:val="auto"/>
              </w:rPr>
            </w:pPr>
            <w:r>
              <w:rPr>
                <w:rFonts w:ascii="Arial" w:cs="Arial" w:eastAsia="Arial" w:hAnsi="Arial"/>
                <w:sz w:val="18"/>
                <w:szCs w:val="18"/>
                <w:color w:val="auto"/>
                <w:w w:val="99"/>
              </w:rPr>
              <w:t>0.26%–0.50%</w:t>
            </w:r>
          </w:p>
        </w:tc>
      </w:t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right="54"/>
              <w:spacing w:after="0"/>
              <w:rPr>
                <w:sz w:val="20"/>
                <w:szCs w:val="20"/>
                <w:color w:val="auto"/>
              </w:rPr>
            </w:pPr>
            <w:r>
              <w:rPr>
                <w:rFonts w:ascii="Arial" w:cs="Arial" w:eastAsia="Arial" w:hAnsi="Arial"/>
                <w:sz w:val="18"/>
                <w:szCs w:val="18"/>
                <w:color w:val="auto"/>
                <w:w w:val="99"/>
              </w:rPr>
              <w:t>—</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Volatility</w:t>
      </w:r>
    </w:p>
    <w:p>
      <w:pPr>
        <w:spacing w:after="0" w:line="12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Since the Company has limited information on the volatility of its common stock due to no significant trading history, the expected stock price volatility was calculated based on a blend of the historical volatilities of the Company’s own stock and of the common stock of comparable publicly traded biopharmaceutical companies over a period equal to the expected term of the stock option grants. The comparable companies were chosen based on their similar size, stage in the life cycle, and financial leverage to the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Expected Term</w:t>
      </w:r>
    </w:p>
    <w:p>
      <w:pPr>
        <w:spacing w:after="0" w:line="122"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The Company has very limited historical information to develop reasonable expectations about future exercise patterns and post-vesting employment termination behavior for its stock-option grants. As such, the expected term was estimated using the simplified method.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Risk-Free Rate</w:t>
      </w:r>
    </w:p>
    <w:p>
      <w:pPr>
        <w:spacing w:after="0" w:line="122"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The risk-free interest rate assumption is based on the zero-coupon U.S. Treasury instruments on the date of grant with a maturity date consistent with the expected term of the Company’s stock option grants.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Expected Dividend Yield</w:t>
      </w:r>
    </w:p>
    <w:p>
      <w:pPr>
        <w:spacing w:after="0" w:line="122"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To date, the Company has not declared or paid any cash dividends and does not have any plans to do so in the future. Therefore, the Company used an expected dividend yield of zero.</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Issuance under At-the-Market Agreement</w:t>
      </w:r>
    </w:p>
    <w:p>
      <w:pPr>
        <w:spacing w:after="0" w:line="12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Pursuant to a sales agreement (the “ATM Agreement”) with Cantor Fitzgerald &amp; Co. (“Cantor Fitzgerald”), the Company sold 355,821 and 388,166 shares for the years ended December 31, 2017 and 2016, respectively, at a weighted average price per share of $4.93 and $12.59, respectively. The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140"/>
          </w:cols>
          <w:pgMar w:left="320" w:top="459" w:right="43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60"/>
        <w:spacing w:after="0"/>
        <w:rPr>
          <w:sz w:val="20"/>
          <w:szCs w:val="20"/>
          <w:color w:val="auto"/>
        </w:rPr>
      </w:pPr>
      <w:r>
        <w:rPr>
          <w:rFonts w:ascii="Arial" w:cs="Arial" w:eastAsia="Arial" w:hAnsi="Arial"/>
          <w:sz w:val="18"/>
          <w:szCs w:val="18"/>
          <w:color w:val="auto"/>
        </w:rPr>
        <w:t>Company received net proceeds of $1.7 million and $4.7 million, net of offering costs, for the years ended December 31, 2017 and 2016, respectively. The shares were issued under the Company’s shelf registration statement on Form S-3 (File No. 333-204914) filed with the SEC in June 2015.</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May 2018, the Company filed a new shelf registration statement on Form S-3 (File No. 333-225225) which permits the issuance and sale of up to a maximum aggregate offering price of $ 30.0 million of the Company’s common stock that may be issued and sold under the ATM Agreement with Cantor Fitzgerald in one or more at-the-market offerings. Following the effectiveness of the new shelf registration statement on Form S-3 (File No. 333-225225) in June 2018, no additional securities covered by the prior shelf registration statement on Form S-3 (File No. 333-204914) shall be offered or sold. For the year ended December 31, 2018, the Company has not sold any securities under the new shelf registration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On August 23, 2016, the Company closed the sale of an aggregate of 6,325,000 shares of its common stock, at a public offering price of $10.00 per share. The shares were issued pursuant to a prospectus supplement filed with the SEC on August 17, 2016, and related prospectus, pursuant to the Company’s shelf registration statement on Form S-3 filed on June 12, 2015. The Company received net offering proceeds of approximately $59.2 million, net of underwriting discounts and commissions and offering costs.</w:t>
      </w:r>
    </w:p>
    <w:p>
      <w:pPr>
        <w:spacing w:after="0" w:line="291" w:lineRule="exact"/>
        <w:rPr>
          <w:sz w:val="20"/>
          <w:szCs w:val="20"/>
          <w:color w:val="auto"/>
        </w:rPr>
      </w:pPr>
    </w:p>
    <w:p>
      <w:pPr>
        <w:ind w:left="120" w:right="8780" w:hanging="4"/>
        <w:spacing w:after="0" w:line="394" w:lineRule="auto"/>
        <w:tabs>
          <w:tab w:leader="none" w:pos="42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b w:val="1"/>
          <w:bCs w:val="1"/>
          <w:i w:val="1"/>
          <w:iCs w:val="1"/>
          <w:color w:val="auto"/>
        </w:rPr>
        <w:t>2018 Restructuring</w:t>
      </w:r>
    </w:p>
    <w:p>
      <w:pPr>
        <w:spacing w:after="0" w:line="1" w:lineRule="exact"/>
        <w:rPr>
          <w:sz w:val="20"/>
          <w:szCs w:val="20"/>
          <w:color w:val="auto"/>
        </w:rPr>
      </w:pPr>
    </w:p>
    <w:p>
      <w:pPr>
        <w:jc w:val="both"/>
        <w:ind w:left="120" w:right="140" w:firstLine="440"/>
        <w:spacing w:after="0" w:line="248" w:lineRule="auto"/>
        <w:rPr>
          <w:sz w:val="20"/>
          <w:szCs w:val="20"/>
          <w:color w:val="auto"/>
        </w:rPr>
      </w:pPr>
      <w:r>
        <w:rPr>
          <w:rFonts w:ascii="Arial" w:cs="Arial" w:eastAsia="Arial" w:hAnsi="Arial"/>
          <w:sz w:val="17"/>
          <w:szCs w:val="17"/>
          <w:color w:val="auto"/>
        </w:rPr>
        <w:t>In connection with the proposed Merger, on December 1, 2018, the Company’s Board of Directors approved a restructuring plan to reduce the Company’s workforce by 75%. Under the 2018 restructuring plan, the Company recorded $1.9 million of restructuring charges consisting of one-time severance payments and other employee related costs, and other charges during the fourth quarter of 2018.</w:t>
      </w:r>
    </w:p>
    <w:p>
      <w:pPr>
        <w:spacing w:after="0" w:line="2"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Restructuring charges are included in operating expenses in the statement of operations. The restructuring plan is ongoing and the Company expects to complete the actions associated with the restructuring in the first quarter of 2019.</w:t>
      </w:r>
    </w:p>
    <w:p>
      <w:pPr>
        <w:spacing w:after="0" w:line="197" w:lineRule="exact"/>
        <w:rPr>
          <w:sz w:val="20"/>
          <w:szCs w:val="20"/>
          <w:color w:val="auto"/>
        </w:rPr>
      </w:pPr>
    </w:p>
    <w:p>
      <w:pPr>
        <w:ind w:left="120" w:right="200" w:firstLine="440"/>
        <w:spacing w:after="0" w:line="274" w:lineRule="auto"/>
        <w:rPr>
          <w:sz w:val="20"/>
          <w:szCs w:val="20"/>
          <w:color w:val="auto"/>
        </w:rPr>
      </w:pPr>
      <w:r>
        <w:rPr>
          <w:rFonts w:ascii="Arial" w:cs="Arial" w:eastAsia="Arial" w:hAnsi="Arial"/>
          <w:sz w:val="17"/>
          <w:szCs w:val="17"/>
          <w:color w:val="auto"/>
        </w:rPr>
        <w:t>The following table provides a summary of restructuring activity during the fourth quarter of 2018 and the related liabilities recorded in the accrued liabilities in the balance sheet. The Company expects to pay out its restructuring liability by the first quarter of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Employee</w:t>
            </w:r>
          </w:p>
        </w:tc>
        <w:tc>
          <w:tcPr>
            <w:tcW w:w="0" w:type="dxa"/>
            <w:vAlign w:val="bottom"/>
          </w:tcPr>
          <w:p>
            <w:pPr>
              <w:spacing w:after="0"/>
              <w:rPr>
                <w:sz w:val="1"/>
                <w:szCs w:val="1"/>
                <w:color w:val="auto"/>
              </w:rPr>
            </w:pPr>
          </w:p>
        </w:tc>
      </w:tr>
      <w:tr>
        <w:trPr>
          <w:trHeight w:val="162"/>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300" w:type="dxa"/>
            <w:vAlign w:val="bottom"/>
            <w:vMerge w:val="restart"/>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Severance and</w:t>
            </w:r>
          </w:p>
        </w:tc>
        <w:tc>
          <w:tcPr>
            <w:tcW w:w="0" w:type="dxa"/>
            <w:vAlign w:val="bottom"/>
          </w:tcPr>
          <w:p>
            <w:pPr>
              <w:spacing w:after="0"/>
              <w:rPr>
                <w:sz w:val="1"/>
                <w:szCs w:val="1"/>
                <w:color w:val="auto"/>
              </w:rPr>
            </w:pPr>
          </w:p>
        </w:tc>
      </w:tr>
      <w:tr>
        <w:trPr>
          <w:trHeight w:val="182"/>
        </w:trPr>
        <w:tc>
          <w:tcPr>
            <w:tcW w:w="100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Other Costs</w:t>
            </w:r>
          </w:p>
        </w:tc>
        <w:tc>
          <w:tcPr>
            <w:tcW w:w="0" w:type="dxa"/>
            <w:vAlign w:val="bottom"/>
          </w:tcPr>
          <w:p>
            <w:pPr>
              <w:spacing w:after="0"/>
              <w:rPr>
                <w:sz w:val="1"/>
                <w:szCs w:val="1"/>
                <w:color w:val="auto"/>
              </w:rPr>
            </w:pPr>
          </w:p>
        </w:tc>
      </w:tr>
      <w:tr>
        <w:trPr>
          <w:trHeight w:val="190"/>
        </w:trPr>
        <w:tc>
          <w:tcPr>
            <w:tcW w:w="6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as of December 31, 2017</w:t>
            </w:r>
          </w:p>
        </w:tc>
        <w:tc>
          <w:tcPr>
            <w:tcW w:w="3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Costs incurred</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cash payments</w:t>
            </w:r>
          </w:p>
        </w:tc>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Less non-cash settlements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2018</w:t>
            </w:r>
          </w:p>
        </w:tc>
        <w:tc>
          <w:tcPr>
            <w:tcW w:w="35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Restructuring</w:t>
      </w:r>
    </w:p>
    <w:p>
      <w:pPr>
        <w:spacing w:after="0" w:line="126"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On April 24, 2017, the Company’s Board of Directors approved a restructuring plan to reduce operating costs and better align its workforce with the needs of its business following the Company’s announcements that its Phase II “YOSEMITE” clinical trial of demcizumab did not meet its primary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40"/>
          </w:cols>
          <w:pgMar w:left="320" w:top="459" w:right="43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endpoint and would be discontinued, its Phase II “PINNACLE” clinical trial of tarextumab did not meet its endpoints, its partner Bayer had decided not to exercise its option to license vantictumab and ipafricept, and enrollment would be discontinued in the Phase Ib clinical trial of brontictuzumab. The restructuring plan provided for a 48% reduction in the Company’s workforce. Under the 2017 restructuring plan, the Company recorded $2.5 million in restructuring charges consisting of one-time severance payments and other employee related costs, and other charges during the year ended December 31, 2017. Restructuring charges are included in operating expenses in the statement of operations. The Company has substantially completed this plan and paid the restructuring cost at the end of the fourth quarter of 2017. No charges were recorded in the periods after December 31, 2017.</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Income Taxes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For the year ended December 31, 2018, the Company recorded an income tax benefit of $0.4 million in the statement of operations as a result of a lapse of statute of limitations on uncertain tax positions. For the year ended December 31, 2017, the Company recorded an income tax benefit of $1.1 million due to an Alternative Minimum Tax (“AMT”) refundable credit as a result of the Tax Cuts and Jobs Act (“Tax Act”), enacted on December 22, 2017. For the year ended December 31, 2016, the Company recorded an income tax provision of $14,000 due to interest on uncertain tax positions.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before income taxes for the years ended December 31, 2018, 2017 and 2016 was from the United States.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income tax provision (benefit)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vMerge w:val="restart"/>
          </w:tcPr>
          <w:p>
            <w:pPr>
              <w:spacing w:after="0"/>
              <w:rPr>
                <w:sz w:val="15"/>
                <w:szCs w:val="15"/>
                <w:color w:val="auto"/>
              </w:rPr>
            </w:pPr>
          </w:p>
        </w:tc>
        <w:tc>
          <w:tcPr>
            <w:tcW w:w="3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3540" w:type="dxa"/>
            <w:vAlign w:val="bottom"/>
          </w:tcPr>
          <w:p>
            <w:pPr>
              <w:spacing w:after="0"/>
              <w:rPr>
                <w:sz w:val="14"/>
                <w:szCs w:val="14"/>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82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5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w:t>
            </w:r>
          </w:p>
        </w:tc>
        <w:tc>
          <w:tcPr>
            <w:tcW w:w="35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left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Federal</w:t>
            </w:r>
          </w:p>
        </w:tc>
        <w:tc>
          <w:tcPr>
            <w:tcW w:w="4460" w:type="dxa"/>
            <w:vAlign w:val="bottom"/>
            <w:gridSpan w:val="4"/>
          </w:tcPr>
          <w:p>
            <w:pPr>
              <w:jc w:val="right"/>
              <w:ind w:right="328"/>
              <w:spacing w:after="0" w:line="202" w:lineRule="exact"/>
              <w:rPr>
                <w:sz w:val="20"/>
                <w:szCs w:val="20"/>
                <w:color w:val="auto"/>
              </w:rPr>
            </w:pPr>
            <w:r>
              <w:rPr>
                <w:rFonts w:ascii="Arial" w:cs="Arial" w:eastAsia="Arial" w:hAnsi="Arial"/>
                <w:sz w:val="18"/>
                <w:szCs w:val="18"/>
                <w:color w:val="auto"/>
              </w:rPr>
              <w:t>$(383)</w:t>
            </w:r>
          </w:p>
        </w:tc>
        <w:tc>
          <w:tcPr>
            <w:tcW w:w="1320" w:type="dxa"/>
            <w:vAlign w:val="bottom"/>
            <w:gridSpan w:val="4"/>
          </w:tcPr>
          <w:p>
            <w:pPr>
              <w:jc w:val="right"/>
              <w:ind w:right="440"/>
              <w:spacing w:after="0" w:line="202" w:lineRule="exact"/>
              <w:rPr>
                <w:sz w:val="20"/>
                <w:szCs w:val="20"/>
                <w:color w:val="auto"/>
              </w:rPr>
            </w:pPr>
            <w:r>
              <w:rPr>
                <w:rFonts w:ascii="Arial" w:cs="Arial" w:eastAsia="Arial" w:hAnsi="Arial"/>
                <w:sz w:val="18"/>
                <w:szCs w:val="18"/>
                <w:color w:val="auto"/>
              </w:rPr>
              <w:t>$(1,084)</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35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Borders>
              <w:left w:val="single" w:sz="8" w:color="CCEEFF"/>
            </w:tcBorders>
            <w:shd w:val="clear" w:color="auto" w:fill="CCEEFF"/>
          </w:tcPr>
          <w:p>
            <w:pPr>
              <w:spacing w:after="0"/>
              <w:rPr>
                <w:sz w:val="17"/>
                <w:szCs w:val="17"/>
                <w:color w:val="auto"/>
              </w:rPr>
            </w:pPr>
          </w:p>
        </w:tc>
        <w:tc>
          <w:tcPr>
            <w:tcW w:w="1320" w:type="dxa"/>
            <w:vAlign w:val="bottom"/>
            <w:tcBorders>
              <w:right w:val="single" w:sz="8" w:color="CCEEFF"/>
            </w:tcBorders>
            <w:gridSpan w:val="4"/>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8"/>
                <w:szCs w:val="18"/>
                <w:color w:val="auto"/>
              </w:rPr>
            </w:pPr>
          </w:p>
        </w:tc>
        <w:tc>
          <w:tcPr>
            <w:tcW w:w="920" w:type="dxa"/>
            <w:vAlign w:val="bottom"/>
            <w:gridSpan w:val="3"/>
          </w:tcPr>
          <w:p>
            <w:pPr>
              <w:jc w:val="right"/>
              <w:ind w:right="328"/>
              <w:spacing w:after="0"/>
              <w:rPr>
                <w:sz w:val="20"/>
                <w:szCs w:val="20"/>
                <w:color w:val="auto"/>
              </w:rPr>
            </w:pPr>
            <w:r>
              <w:rPr>
                <w:rFonts w:ascii="Arial" w:cs="Arial" w:eastAsia="Arial" w:hAnsi="Arial"/>
                <w:sz w:val="18"/>
                <w:szCs w:val="18"/>
                <w:color w:val="auto"/>
              </w:rPr>
              <w:t>(382)</w:t>
            </w:r>
          </w:p>
        </w:tc>
        <w:tc>
          <w:tcPr>
            <w:tcW w:w="1320" w:type="dxa"/>
            <w:vAlign w:val="bottom"/>
            <w:gridSpan w:val="4"/>
          </w:tcPr>
          <w:p>
            <w:pPr>
              <w:jc w:val="right"/>
              <w:ind w:right="440"/>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Federal</w:t>
            </w: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w w:val="76"/>
              </w:rPr>
              <w:t>—</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3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color w:val="auto"/>
                <w:w w:val="76"/>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4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w w:val="76"/>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 (benefit)</w:t>
            </w:r>
          </w:p>
        </w:tc>
        <w:tc>
          <w:tcPr>
            <w:tcW w:w="4460" w:type="dxa"/>
            <w:vAlign w:val="bottom"/>
            <w:gridSpan w:val="4"/>
            <w:shd w:val="clear" w:color="auto" w:fill="CCEEFF"/>
          </w:tcPr>
          <w:p>
            <w:pPr>
              <w:jc w:val="right"/>
              <w:ind w:right="328"/>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w:t>
            </w:r>
          </w:p>
        </w:tc>
        <w:tc>
          <w:tcPr>
            <w:tcW w:w="1320" w:type="dxa"/>
            <w:vAlign w:val="bottom"/>
            <w:tcBorders>
              <w:right w:val="single" w:sz="8" w:color="CCEEFF"/>
            </w:tcBorders>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(1,083)</w:t>
            </w:r>
          </w:p>
        </w:tc>
        <w:tc>
          <w:tcPr>
            <w:tcW w:w="320" w:type="dxa"/>
            <w:vAlign w:val="bottom"/>
            <w:tcBorders>
              <w:right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
        </w:trPr>
        <w:tc>
          <w:tcPr>
            <w:tcW w:w="818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00" w:type="dxa"/>
            <w:vAlign w:val="bottom"/>
            <w:gridSpan w:val="6"/>
          </w:tcPr>
          <w:p>
            <w:pPr>
              <w:ind w:left="44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CCEEFF"/>
            </w:tcBorders>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gridSpan w:val="2"/>
          </w:tcPr>
          <w:p>
            <w:pPr>
              <w:spacing w:after="0"/>
              <w:rPr>
                <w:sz w:val="13"/>
                <w:szCs w:val="13"/>
                <w:color w:val="auto"/>
              </w:rPr>
            </w:pP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Tax at statutory federal rate</w:t>
            </w:r>
          </w:p>
        </w:tc>
        <w:tc>
          <w:tcPr>
            <w:tcW w:w="3680" w:type="dxa"/>
            <w:vAlign w:val="bottom"/>
            <w:gridSpan w:val="2"/>
            <w:shd w:val="clear" w:color="auto" w:fill="CCEEFF"/>
          </w:tcPr>
          <w:p>
            <w:pPr>
              <w:spacing w:after="0"/>
              <w:rPr>
                <w:sz w:val="17"/>
                <w:szCs w:val="17"/>
                <w:color w:val="auto"/>
              </w:rPr>
            </w:pPr>
          </w:p>
        </w:tc>
        <w:tc>
          <w:tcPr>
            <w:tcW w:w="780" w:type="dxa"/>
            <w:vAlign w:val="bottom"/>
            <w:gridSpan w:val="2"/>
            <w:shd w:val="clear" w:color="auto" w:fill="CCEEFF"/>
          </w:tcPr>
          <w:p>
            <w:pPr>
              <w:jc w:val="right"/>
              <w:ind w:right="208"/>
              <w:spacing w:after="0" w:line="196" w:lineRule="exact"/>
              <w:rPr>
                <w:sz w:val="20"/>
                <w:szCs w:val="20"/>
                <w:color w:val="auto"/>
              </w:rPr>
            </w:pPr>
            <w:r>
              <w:rPr>
                <w:rFonts w:ascii="Arial" w:cs="Arial" w:eastAsia="Arial" w:hAnsi="Arial"/>
                <w:sz w:val="18"/>
                <w:szCs w:val="18"/>
                <w:color w:val="auto"/>
              </w:rPr>
              <w:t>21%</w:t>
            </w:r>
          </w:p>
        </w:tc>
        <w:tc>
          <w:tcPr>
            <w:tcW w:w="22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50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State tax—net of federal benefit</w:t>
            </w:r>
          </w:p>
        </w:tc>
        <w:tc>
          <w:tcPr>
            <w:tcW w:w="4460" w:type="dxa"/>
            <w:vAlign w:val="bottom"/>
            <w:gridSpan w:val="4"/>
          </w:tcPr>
          <w:p>
            <w:pPr>
              <w:jc w:val="right"/>
              <w:ind w:right="208"/>
              <w:spacing w:after="0" w:line="202" w:lineRule="exact"/>
              <w:rPr>
                <w:sz w:val="20"/>
                <w:szCs w:val="20"/>
                <w:color w:val="auto"/>
              </w:rPr>
            </w:pPr>
            <w:r>
              <w:rPr>
                <w:rFonts w:ascii="Arial" w:cs="Arial" w:eastAsia="Arial" w:hAnsi="Arial"/>
                <w:sz w:val="18"/>
                <w:szCs w:val="18"/>
                <w:color w:val="auto"/>
              </w:rPr>
              <w:t>9%</w:t>
            </w:r>
          </w:p>
        </w:tc>
        <w:tc>
          <w:tcPr>
            <w:tcW w:w="8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 credits</w:t>
            </w:r>
          </w:p>
        </w:tc>
        <w:tc>
          <w:tcPr>
            <w:tcW w:w="4460" w:type="dxa"/>
            <w:vAlign w:val="bottom"/>
            <w:gridSpan w:val="4"/>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18%</w:t>
            </w: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50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Stock compensation</w:t>
            </w:r>
          </w:p>
        </w:tc>
        <w:tc>
          <w:tcPr>
            <w:tcW w:w="4460" w:type="dxa"/>
            <w:vAlign w:val="bottom"/>
            <w:gridSpan w:val="4"/>
          </w:tcPr>
          <w:p>
            <w:pPr>
              <w:jc w:val="right"/>
              <w:ind w:right="148"/>
              <w:spacing w:after="0" w:line="202" w:lineRule="exact"/>
              <w:rPr>
                <w:sz w:val="20"/>
                <w:szCs w:val="20"/>
                <w:color w:val="auto"/>
              </w:rPr>
            </w:pPr>
            <w:r>
              <w:rPr>
                <w:rFonts w:ascii="Arial" w:cs="Arial" w:eastAsia="Arial" w:hAnsi="Arial"/>
                <w:sz w:val="18"/>
                <w:szCs w:val="18"/>
                <w:color w:val="auto"/>
              </w:rPr>
              <w:t>(25)%</w:t>
            </w:r>
          </w:p>
        </w:tc>
        <w:tc>
          <w:tcPr>
            <w:tcW w:w="1320" w:type="dxa"/>
            <w:vAlign w:val="bottom"/>
            <w:gridSpan w:val="4"/>
          </w:tcPr>
          <w:p>
            <w:pPr>
              <w:jc w:val="right"/>
              <w:ind w:right="460"/>
              <w:spacing w:after="0" w:line="202" w:lineRule="exact"/>
              <w:rPr>
                <w:sz w:val="20"/>
                <w:szCs w:val="20"/>
                <w:color w:val="auto"/>
              </w:rPr>
            </w:pPr>
            <w:r>
              <w:rPr>
                <w:rFonts w:ascii="Arial" w:cs="Arial" w:eastAsia="Arial" w:hAnsi="Arial"/>
                <w:sz w:val="18"/>
                <w:szCs w:val="18"/>
                <w:color w:val="auto"/>
              </w:rPr>
              <w:t>(7)%</w:t>
            </w:r>
          </w:p>
        </w:tc>
        <w:tc>
          <w:tcPr>
            <w:tcW w:w="6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4460" w:type="dxa"/>
            <w:vAlign w:val="bottom"/>
            <w:gridSpan w:val="4"/>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(13)%</w:t>
            </w: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5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Transaction costs</w:t>
            </w:r>
          </w:p>
        </w:tc>
        <w:tc>
          <w:tcPr>
            <w:tcW w:w="4460" w:type="dxa"/>
            <w:vAlign w:val="bottom"/>
            <w:gridSpan w:val="4"/>
          </w:tcPr>
          <w:p>
            <w:pPr>
              <w:jc w:val="right"/>
              <w:ind w:right="148"/>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100" w:type="dxa"/>
            <w:vAlign w:val="bottom"/>
            <w:gridSpan w:val="3"/>
          </w:tcPr>
          <w:p>
            <w:pPr>
              <w:jc w:val="center"/>
              <w:ind w:right="64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Impact of corporate rate change on deferred taxes</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4"/>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(129)%</w:t>
            </w:r>
          </w:p>
        </w:tc>
        <w:tc>
          <w:tcPr>
            <w:tcW w:w="320" w:type="dxa"/>
            <w:vAlign w:val="bottom"/>
            <w:tcBorders>
              <w:right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3680" w:type="dxa"/>
            <w:vAlign w:val="bottom"/>
            <w:gridSpan w:val="2"/>
          </w:tcPr>
          <w:p>
            <w:pPr>
              <w:spacing w:after="0"/>
              <w:rPr>
                <w:sz w:val="17"/>
                <w:szCs w:val="17"/>
                <w:color w:val="auto"/>
              </w:rPr>
            </w:pPr>
          </w:p>
        </w:tc>
        <w:tc>
          <w:tcPr>
            <w:tcW w:w="78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(1)%</w:t>
            </w:r>
          </w:p>
        </w:tc>
        <w:tc>
          <w:tcPr>
            <w:tcW w:w="8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3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 benefit</w:t>
            </w:r>
          </w:p>
        </w:tc>
        <w:tc>
          <w:tcPr>
            <w:tcW w:w="3680" w:type="dxa"/>
            <w:vAlign w:val="bottom"/>
            <w:gridSpan w:val="2"/>
            <w:shd w:val="clear" w:color="auto" w:fill="CCEEFF"/>
          </w:tcPr>
          <w:p>
            <w:pPr>
              <w:spacing w:after="0"/>
              <w:rPr>
                <w:sz w:val="17"/>
                <w:szCs w:val="17"/>
                <w:color w:val="auto"/>
              </w:rPr>
            </w:pPr>
          </w:p>
        </w:tc>
        <w:tc>
          <w:tcPr>
            <w:tcW w:w="78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5%</w:t>
            </w: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5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460" w:type="dxa"/>
            <w:vAlign w:val="bottom"/>
            <w:gridSpan w:val="4"/>
          </w:tcPr>
          <w:p>
            <w:pPr>
              <w:jc w:val="right"/>
              <w:ind w:right="3288"/>
              <w:spacing w:after="0"/>
              <w:rPr>
                <w:sz w:val="20"/>
                <w:szCs w:val="20"/>
                <w:color w:val="auto"/>
              </w:rPr>
            </w:pPr>
            <w:r>
              <w:rPr>
                <w:rFonts w:ascii="Arial" w:cs="Arial" w:eastAsia="Arial" w:hAnsi="Arial"/>
                <w:sz w:val="18"/>
                <w:szCs w:val="18"/>
                <w:color w:val="auto"/>
              </w:rPr>
              <w:t>F-101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deferred tax assets as of December 31, 2018 and 2017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7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770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7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63,011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54,931</w:t>
            </w: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3"/>
        </w:trPr>
        <w:tc>
          <w:tcPr>
            <w:tcW w:w="87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Tax credit carryovers</w:t>
            </w: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65,719</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63,406</w:t>
            </w: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30,259</w:t>
            </w:r>
          </w:p>
        </w:tc>
        <w:tc>
          <w:tcPr>
            <w:tcW w:w="0" w:type="dxa"/>
            <w:vAlign w:val="bottom"/>
          </w:tcPr>
          <w:p>
            <w:pPr>
              <w:spacing w:after="0"/>
              <w:rPr>
                <w:sz w:val="1"/>
                <w:szCs w:val="1"/>
                <w:color w:val="auto"/>
              </w:rPr>
            </w:pPr>
          </w:p>
        </w:tc>
      </w:tr>
      <w:tr>
        <w:trPr>
          <w:trHeight w:val="203"/>
        </w:trPr>
        <w:tc>
          <w:tcPr>
            <w:tcW w:w="87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3,049</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Gross deferred tax assets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133,290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152,882</w:t>
            </w:r>
          </w:p>
        </w:tc>
        <w:tc>
          <w:tcPr>
            <w:tcW w:w="0" w:type="dxa"/>
            <w:vAlign w:val="bottom"/>
          </w:tcPr>
          <w:p>
            <w:pPr>
              <w:spacing w:after="0"/>
              <w:rPr>
                <w:sz w:val="1"/>
                <w:szCs w:val="1"/>
                <w:color w:val="auto"/>
              </w:rPr>
            </w:pPr>
          </w:p>
        </w:tc>
      </w:tr>
      <w:tr>
        <w:trPr>
          <w:trHeight w:val="203"/>
        </w:trPr>
        <w:tc>
          <w:tcPr>
            <w:tcW w:w="87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7"/>
                <w:szCs w:val="17"/>
                <w:color w:val="auto"/>
              </w:rPr>
            </w:pPr>
          </w:p>
        </w:tc>
        <w:tc>
          <w:tcPr>
            <w:tcW w:w="12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5"/>
              </w:rPr>
              <w:t>(133,290)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(152,882)</w:t>
            </w:r>
          </w:p>
        </w:tc>
        <w:tc>
          <w:tcPr>
            <w:tcW w:w="0" w:type="dxa"/>
            <w:vAlign w:val="bottom"/>
          </w:tcPr>
          <w:p>
            <w:pPr>
              <w:spacing w:after="0"/>
              <w:rPr>
                <w:sz w:val="1"/>
                <w:szCs w:val="1"/>
                <w:color w:val="auto"/>
              </w:rPr>
            </w:pPr>
          </w:p>
        </w:tc>
      </w:tr>
      <w:tr>
        <w:trPr>
          <w:trHeight w:val="210"/>
        </w:trPr>
        <w:tc>
          <w:tcPr>
            <w:tcW w:w="87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valuation allowance decreased by $19.6 million and $32.1 million for the years ended December 31, 2018 and 2017, respectively. The tax benefit of deductible temporary differences or carryforwards is recorded as a deferred tax asset to the extent that management assesses the realization is “more likely than not.” Future realization of the tax benefit ultimately depends on the existence of sufficient taxable income within the period available under the tax law. At December 31, 2018 and 2017, the Company has set up valuation allowances against all federal and state deferred tax assets because based on all available evidence, these deferred tax assets are not more likely than not to be realizable.</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December 22, 2017, the Tax Act was signed into law making significant changes to the Internal Revenue Code. Changes included the reduction of the federal corporate income tax rate from 35% to 21% and the repeal of corporate AMT. The Company recorded $1.1 million as income tax benefit in the fourth quarter of 2017, the period in which the legislation was enacted. The company expects a portion of the AMT to be refunded in the following 12 months.</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On December 22, 2017, SEC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The impact of the Act was finalized during the year ended December 31, 2018, and no change was made from the previously reported provisional amount.</w:t>
      </w:r>
    </w:p>
    <w:p>
      <w:pPr>
        <w:spacing w:after="0" w:line="20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At December 31, 2018, the Company had federal net operating loss carryforwards related to the 2018 tax year, amounting to</w:t>
      </w:r>
    </w:p>
    <w:p>
      <w:pPr>
        <w:ind w:left="120" w:right="80"/>
        <w:spacing w:after="0" w:line="237" w:lineRule="auto"/>
        <w:rPr>
          <w:sz w:val="20"/>
          <w:szCs w:val="20"/>
          <w:color w:val="auto"/>
        </w:rPr>
      </w:pPr>
      <w:r>
        <w:rPr>
          <w:rFonts w:ascii="Arial" w:cs="Arial" w:eastAsia="Arial" w:hAnsi="Arial"/>
          <w:sz w:val="18"/>
          <w:szCs w:val="18"/>
          <w:color w:val="auto"/>
        </w:rPr>
        <w:t>$39.1 million which carryforward indefinitely and $228.6 million which begin to expire in 2023. At December 31, 2018, the Company had state net operating loss carryforwards of $97.2 million, which begin to expire in 2028, if not utilized. At December 31, 2018, the Company also had federal and California research and development credit carryforwards aggregating approximately $25.4 million and $19.8 million, respectively. The federal credits will expire in 2025, if not utilized. California research and development credits have no expiration date. At December 31, 2018, the Company also had federal orphan drug credit and AMT carryforwards of approximately $39.3 million and $1.5 million, respectively. The federal orphan drug credits will begin to expire in 2034, if not utilized.</w:t>
      </w:r>
    </w:p>
    <w:p>
      <w:pPr>
        <w:spacing w:after="0" w:line="205" w:lineRule="exact"/>
        <w:rPr>
          <w:sz w:val="20"/>
          <w:szCs w:val="20"/>
          <w:color w:val="auto"/>
        </w:rPr>
      </w:pPr>
    </w:p>
    <w:p>
      <w:pPr>
        <w:jc w:val="both"/>
        <w:ind w:left="120" w:right="500" w:firstLine="440"/>
        <w:spacing w:after="0" w:line="261" w:lineRule="auto"/>
        <w:rPr>
          <w:sz w:val="20"/>
          <w:szCs w:val="20"/>
          <w:color w:val="auto"/>
        </w:rPr>
      </w:pPr>
      <w:r>
        <w:rPr>
          <w:rFonts w:ascii="Arial" w:cs="Arial" w:eastAsia="Arial" w:hAnsi="Arial"/>
          <w:sz w:val="17"/>
          <w:szCs w:val="17"/>
          <w:color w:val="auto"/>
        </w:rPr>
        <w:t>Under Sections 382 and 383 of Internal Revenue Code of 1986, as amended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140"/>
          </w:cols>
          <w:pgMar w:left="320" w:top="459" w:right="43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a cumulative change in our ownership by “5% shareholders” that exceeds 50 percentage points over a rolling three-year period. Similar rules may apply under state tax laws. The Company in the past experienced an ownership change which has impacted its ability to fully realize the benefit of these net operating loss carryforwards. If the Company experiences additional ownership changes as a result of future transactions in its stock, then the Company may be further limited in its ability to use its net operating loss carryforwards and other tax assets to reduce taxes owed on the net taxable income that the Company earns. Any such limitations on the ability to use its net operating loss carryforwards and other tax assets could adversely impact our business, financial condition and operating results.</w:t>
      </w:r>
    </w:p>
    <w:p>
      <w:pPr>
        <w:spacing w:after="0" w:line="205"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Company recognizes the financial statements effects of a tax position when it is more likely than not, based on technical merits, that the position will be sustained upon examination.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Company’s unrecognized tax benefits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360" w:type="dxa"/>
            <w:vAlign w:val="bottom"/>
            <w:vMerge w:val="restart"/>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7360" w:type="dxa"/>
            <w:vAlign w:val="bottom"/>
            <w:vMerge w:val="continue"/>
          </w:tcPr>
          <w:p>
            <w:pPr>
              <w:spacing w:after="0"/>
              <w:rPr>
                <w:sz w:val="14"/>
                <w:szCs w:val="14"/>
                <w:color w:val="auto"/>
              </w:rPr>
            </w:pPr>
          </w:p>
        </w:tc>
        <w:tc>
          <w:tcPr>
            <w:tcW w:w="6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7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beginning of year</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$16,658</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$14,260</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$10,022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Increase related to current year tax provision</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628</w:t>
            </w: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2,398</w:t>
            </w:r>
          </w:p>
        </w:tc>
        <w:tc>
          <w:tcPr>
            <w:tcW w:w="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related to prior year tax provision</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Decrease related to prior year tax provision</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(297)</w:t>
            </w:r>
          </w:p>
        </w:tc>
        <w:tc>
          <w:tcPr>
            <w:tcW w:w="22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end of year</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16,989</w:t>
            </w:r>
          </w:p>
        </w:tc>
        <w:tc>
          <w:tcPr>
            <w:tcW w:w="10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16,658</w:t>
            </w: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unrecognized tax benefits, if recognized and in absence of full valuation allowance, would impact the income tax provision by</w:t>
      </w:r>
    </w:p>
    <w:p>
      <w:pPr>
        <w:ind w:left="120"/>
        <w:spacing w:after="0" w:line="234" w:lineRule="auto"/>
        <w:rPr>
          <w:sz w:val="20"/>
          <w:szCs w:val="20"/>
          <w:color w:val="auto"/>
        </w:rPr>
      </w:pPr>
      <w:r>
        <w:rPr>
          <w:rFonts w:ascii="Arial" w:cs="Arial" w:eastAsia="Arial" w:hAnsi="Arial"/>
          <w:sz w:val="18"/>
          <w:szCs w:val="18"/>
          <w:color w:val="auto"/>
        </w:rPr>
        <w:t>$16.2 million and $15.9 million as of December 31, 2018 and 2017, respectively. As of December 31, 2018, the Company does not believe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 it is reasonably possible that its unrecognized tax benefits would significantly change in the following 12 months.</w:t>
      </w:r>
    </w:p>
    <w:p>
      <w:pPr>
        <w:spacing w:after="0" w:line="21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has elected to include interest and penalties as a component of tax expense. The Company recorded $15,000 and $14,000 of interest and penalties for the years ended December 31, 2017 and 2016, respectively. The Company recorded an income tax benefit of $86,000 as a result of lapse of statute of limitations for the year ended December 31, 2018. The Company recorded a liability for interest and penalties of $86,000 as of December 31, 2017. There is no liability recorded for interest and penalties as of December 31, 2018.</w:t>
      </w:r>
    </w:p>
    <w:p>
      <w:pPr>
        <w:spacing w:after="0" w:line="202"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The Company files federal and state income tax returns in the U.S. and California. Tax years from 2004 forward remain open to examination due to the carryover of net operating losses and other tax attributes.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Net Loss per Common Share</w:t>
      </w:r>
    </w:p>
    <w:p>
      <w:pPr>
        <w:spacing w:after="0" w:line="126"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following outstanding common stock equivalents were excluded from the computation of diluted net loss per common share for the periods presented because including them would have been antidilutive:</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40" w:type="dxa"/>
            <w:vAlign w:val="bottom"/>
            <w:vMerge w:val="restart"/>
          </w:tcPr>
          <w:p>
            <w:pPr>
              <w:spacing w:after="0"/>
              <w:rPr>
                <w:sz w:val="15"/>
                <w:szCs w:val="15"/>
                <w:color w:val="auto"/>
              </w:rPr>
            </w:pPr>
          </w:p>
        </w:tc>
        <w:tc>
          <w:tcPr>
            <w:tcW w:w="4400" w:type="dxa"/>
            <w:vAlign w:val="bottom"/>
          </w:tcPr>
          <w:p>
            <w:pPr>
              <w:spacing w:after="0"/>
              <w:rPr>
                <w:sz w:val="15"/>
                <w:szCs w:val="15"/>
                <w:color w:val="auto"/>
              </w:rPr>
            </w:pPr>
          </w:p>
        </w:tc>
        <w:tc>
          <w:tcPr>
            <w:tcW w:w="258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4400" w:type="dxa"/>
            <w:vAlign w:val="bottom"/>
          </w:tcPr>
          <w:p>
            <w:pPr>
              <w:spacing w:after="0"/>
              <w:rPr>
                <w:sz w:val="14"/>
                <w:szCs w:val="14"/>
                <w:color w:val="auto"/>
              </w:rPr>
            </w:pPr>
          </w:p>
        </w:tc>
        <w:tc>
          <w:tcPr>
            <w:tcW w:w="52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Options to purchase common stock</w:t>
            </w:r>
          </w:p>
        </w:tc>
        <w:tc>
          <w:tcPr>
            <w:tcW w:w="44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4,145</w:t>
            </w:r>
          </w:p>
        </w:tc>
        <w:tc>
          <w:tcPr>
            <w:tcW w:w="4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5,217</w:t>
            </w:r>
          </w:p>
        </w:tc>
        <w:tc>
          <w:tcPr>
            <w:tcW w:w="4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4,325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RSUs</w:t>
            </w:r>
          </w:p>
        </w:tc>
        <w:tc>
          <w:tcPr>
            <w:tcW w:w="440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w:t>
            </w:r>
          </w:p>
        </w:tc>
        <w:tc>
          <w:tcPr>
            <w:tcW w:w="48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880</w:t>
            </w:r>
          </w:p>
        </w:tc>
        <w:tc>
          <w:tcPr>
            <w:tcW w:w="48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4,451</w:t>
            </w:r>
          </w:p>
        </w:tc>
        <w:tc>
          <w:tcPr>
            <w:tcW w:w="10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6,097</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400" w:type="dxa"/>
            <w:vAlign w:val="bottom"/>
            <w:gridSpan w:val="3"/>
          </w:tcPr>
          <w:p>
            <w:pPr>
              <w:jc w:val="right"/>
              <w:ind w:right="3700"/>
              <w:spacing w:after="0"/>
              <w:rPr>
                <w:sz w:val="20"/>
                <w:szCs w:val="20"/>
                <w:color w:val="auto"/>
              </w:rPr>
            </w:pPr>
            <w:r>
              <w:rPr>
                <w:rFonts w:ascii="Arial" w:cs="Arial" w:eastAsia="Arial" w:hAnsi="Arial"/>
                <w:sz w:val="18"/>
                <w:szCs w:val="18"/>
                <w:color w:val="auto"/>
              </w:rPr>
              <w:t>F-103</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Selected Quarterly Financial Data (Unaudited)</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Selected quarterly results from operations for the years ended December 31, 2018 and 2017 are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54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2018 Quarter Ended</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June 30</w:t>
            </w:r>
          </w:p>
        </w:tc>
        <w:tc>
          <w:tcPr>
            <w:tcW w:w="13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revenue</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7,849</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6,870</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19,518</w:t>
            </w: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10,184</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13,781</w:t>
            </w:r>
          </w:p>
        </w:tc>
        <w:tc>
          <w:tcPr>
            <w:tcW w:w="220" w:type="dxa"/>
            <w:vAlign w:val="bottom"/>
          </w:tcPr>
          <w:p>
            <w:pPr>
              <w:spacing w:after="0"/>
              <w:rPr>
                <w:sz w:val="17"/>
                <w:szCs w:val="17"/>
                <w:color w:val="auto"/>
              </w:rPr>
            </w:pPr>
          </w:p>
        </w:tc>
        <w:tc>
          <w:tcPr>
            <w:tcW w:w="94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11,758</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13,727</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(3,976)</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6,115</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00" w:type="dxa"/>
            <w:vAlign w:val="bottom"/>
            <w:gridSpan w:val="2"/>
          </w:tcPr>
          <w:p>
            <w:pPr>
              <w:spacing w:after="0"/>
              <w:rPr>
                <w:sz w:val="20"/>
                <w:szCs w:val="20"/>
                <w:color w:val="auto"/>
              </w:rPr>
            </w:pPr>
            <w:r>
              <w:rPr>
                <w:rFonts w:ascii="Arial" w:cs="Arial" w:eastAsia="Arial" w:hAnsi="Arial"/>
                <w:sz w:val="18"/>
                <w:szCs w:val="18"/>
                <w:color w:val="auto"/>
              </w:rPr>
              <w:t>Basic and diluted net income (loss) per common share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(0.15)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3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540" w:type="dxa"/>
            <w:vAlign w:val="bottom"/>
            <w:vMerge w:val="restart"/>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2017 Quarter Ended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3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6,213</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6,195</w:t>
            </w:r>
          </w:p>
        </w:tc>
        <w:tc>
          <w:tcPr>
            <w:tcW w:w="3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5,106</w:t>
            </w: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20,640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28,971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21,630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16,131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12,395</w:t>
            </w:r>
          </w:p>
        </w:tc>
        <w:tc>
          <w:tcPr>
            <w:tcW w:w="0" w:type="dxa"/>
            <w:vAlign w:val="bottom"/>
          </w:tcPr>
          <w:p>
            <w:pPr>
              <w:spacing w:after="0"/>
              <w:rPr>
                <w:sz w:val="1"/>
                <w:szCs w:val="1"/>
                <w:color w:val="auto"/>
              </w:rPr>
            </w:pPr>
          </w:p>
        </w:tc>
      </w:tr>
      <w:tr>
        <w:trPr>
          <w:trHeight w:val="203"/>
        </w:trPr>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5"/>
              </w:rPr>
              <w:t>(22,608)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(15,225)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(10,692)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17"/>
        </w:trPr>
        <w:tc>
          <w:tcPr>
            <w:tcW w:w="6400" w:type="dxa"/>
            <w:vAlign w:val="bottom"/>
            <w:gridSpan w:val="2"/>
          </w:tcPr>
          <w:p>
            <w:pPr>
              <w:spacing w:after="0"/>
              <w:rPr>
                <w:sz w:val="20"/>
                <w:szCs w:val="20"/>
                <w:color w:val="auto"/>
              </w:rPr>
            </w:pPr>
            <w:r>
              <w:rPr>
                <w:rFonts w:ascii="Arial" w:cs="Arial" w:eastAsia="Arial" w:hAnsi="Arial"/>
                <w:sz w:val="18"/>
                <w:szCs w:val="18"/>
                <w:color w:val="auto"/>
              </w:rPr>
              <w:t>Basic and diluted net income (loss) per common share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(0.61)</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(0.28)</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Potential Business Combination with Mereo BioPharma</w:t>
      </w:r>
    </w:p>
    <w:p>
      <w:pPr>
        <w:spacing w:after="0" w:line="126"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On December 5, 2018, the Company entered into an Agreement and Plan of Merger and Reorganization (the “Merger Agreement”) with Mereo BioPharma Group plc, a public limited company incorporated under the laws of England and Wales (“Mereo”), Mereo US Holdings Inc., a Delaware corporation and a wholly-owned subsidiary of Mereo (“HoldCo”), and Mereo MergerCo One Inc., a Delaware corporation and an indirect wholly-owned subsidiary of Mereo (“Merger Sub”), pursuant to which, among other matters, and subject to the satisfaction or waiver of the conditions set forth in the Merger Agreement, Merger Sub will merge with and into OncoMed, with OncoMed surviving the merger as a wholly owned subsidiary of HoldCo, and an indirect wholly-owned subsidiary of Mereo (the “Merger”). The respective boards of directors of OncoMed and Mereo have each unanimously approved the Merger Agreement. The parties expect the Merger will be completed in the second quarter of 2019.</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6"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 January 2019, the Company signed an agreement to sublease a specified portion of the Company’s office facility located in Redwood City, California. The sublease has a term of 12 months through the end of 2019. The aggregate sublease proceeds for the term of the lease are approximately $0.8 million.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140"/>
          </w:cols>
          <w:pgMar w:left="320" w:top="459" w:right="43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MEREO BIOPHARMA GROUP PLC</w:t>
      </w:r>
    </w:p>
    <w:p>
      <w:pPr>
        <w:spacing w:after="0" w:line="21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following unaudited pro forma condensed combined financial information is comprised of the Unaudited Pro Forma Condensed Combined Statement of Operations for the year ended December 31, 2018 and interim period ended June 30, 2019, after giving effect to the merger of Mereo MergerCo One Inc. and OncoMed Pharmaceuticals, Inc. (“OncoMed”), with OncoMed surviving as a wholly-owned subsidiary of Mereo US Holdings Inc., and as an indirect wholly-owned subsidiary of Mereo BioPharma Group plc (“Mereo”) (the “Merger”) as if it had occurred on January 1, 2018.</w:t>
      </w:r>
    </w:p>
    <w:p>
      <w:pPr>
        <w:spacing w:after="0" w:line="20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Unaudited Pro Forma Condensed Combined Statement of Operations has been prepared using the principles of the acquisition method of accounting in accordance with International Financial Reporting Standards (“IFRS”) as issued by the International Accounting Standards Board (“IASB”), and in particular IFRS 3—Business Combinations (“IFRS 3”), under which the Merger qualifies as the acquisition of OncoMed by us. On the date of the acquisition, April 23, 2019, the identifiable assets and liabilities of OncoMed, were recorded by us at their respective fair values.</w:t>
      </w:r>
    </w:p>
    <w:p>
      <w:pPr>
        <w:spacing w:after="0" w:line="202"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Pro forma adjustments reflected in the Unaudited Pro Forma Condensed Combined Statement of Operations are based on items that are factually supportable and directly attributable to the Merger and which are expected to have a continuing impact on the consolidated entity.</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2018 has been prepared based on (i) our audited consolidated financial statements as of and for the year ended December 31, 2018 and (ii) the audited financial statements of OncoMed as of and for year ended December 31, 2018. The Unaudited Pro Forma Condensed Combined Statement of Operations for the interim period ended June 30, 2019 has been prepared based on (i) our unaudited consolidated interim financial statements as of and for the period ended June 30, 2019 and (ii) financial information received by us relating to OncoMed for the period January 1, 2019 through April 23, 2019.</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consolidated financial statements are prepared in accordance with IFRS as issued by the IASB. The audited financial statements of OncoMed as of and for the year ended December 31, 2018 and financial information received by us relating to OncoMed for the period January 1, 2019 through April 23, 2019 was prepared in accordance with generally accepted accounting principles in the United States (“U.S. GAAP”) and for the purposes of the Unaudited Pro Forma Condensed Combined Statement of Operations, have been converted to IFRS as issued by the IASB on a basis consistent with the accounting policies and presentation adopted by us.</w:t>
      </w:r>
    </w:p>
    <w:p>
      <w:pPr>
        <w:spacing w:after="0" w:line="20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As noted above, the Unaudited Pro Forma Condensed Combined Statement of Operations has been prepared using the acquisition method of accounting in accordance with IFRS 3. The accounting for the acquisition is dependent upon certain valuations that are preliminary and subject to change. We will finalize amounts as we obtain the information necessary to complete the measurement processes. Accordingly, the pro forma adjustments are preliminary. Differences between these preliminary estimates and the final acquisition accounting may occur and these differences could be material. The differences, if any, could have a material impact on the accompanying Unaudited Pro Forma Condensed Combined Statement of Operations and our future results of operations and financial position.</w:t>
      </w:r>
    </w:p>
    <w:p>
      <w:pPr>
        <w:spacing w:after="0" w:line="20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Unaudited Pro Forma Condensed Combined Statement of Operations has been prepared by our management in accordance with Securities and Exchange Commission (“SEC”) Regulation S-X Article 11 for illustrative purposes only. The Unaudited Pro Forma Condensed Combined Statement 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00"/>
          </w:cols>
          <w:pgMar w:left="320" w:top="459" w:right="47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Operations does not purport to represent what the actual results of our operations would have been had the Merger occurred on the respective dates assumed, nor is it indicative of the future results of the consolidated company. The Unaudited Pro Forma Condensed Combined Statement of Operations for the year ended December 31, 2018 and interim period ended June 30, 2019 do not reflect any cost savings, operating synergies or revenue enhancements that the combined company may achieve as a result of the Merger. The pro forma adjustments reflected in the accompanying Unaudited Pro Forma Condensed Combined Statement of Operations reflect estimates and assumptions made by our management that we believe to be reasonable.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120"/>
          </w:cols>
          <w:pgMar w:left="320" w:top="459" w:right="45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Historical financial</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4740" w:type="dxa"/>
            <w:vAlign w:val="bottom"/>
          </w:tcPr>
          <w:p>
            <w:pPr>
              <w:spacing w:after="0"/>
              <w:rPr>
                <w:sz w:val="15"/>
                <w:szCs w:val="15"/>
                <w:color w:val="auto"/>
              </w:rPr>
            </w:pPr>
          </w:p>
        </w:tc>
        <w:tc>
          <w:tcPr>
            <w:tcW w:w="2060" w:type="dxa"/>
            <w:vAlign w:val="bottom"/>
            <w:gridSpan w:val="4"/>
          </w:tcPr>
          <w:p>
            <w:pPr>
              <w:ind w:left="520"/>
              <w:spacing w:after="0"/>
              <w:rPr>
                <w:sz w:val="20"/>
                <w:szCs w:val="20"/>
                <w:color w:val="auto"/>
              </w:rPr>
            </w:pPr>
            <w:r>
              <w:rPr>
                <w:rFonts w:ascii="Arial" w:cs="Arial" w:eastAsia="Arial" w:hAnsi="Arial"/>
                <w:sz w:val="14"/>
                <w:szCs w:val="14"/>
                <w:b w:val="1"/>
                <w:bCs w:val="1"/>
                <w:color w:val="auto"/>
              </w:rPr>
              <w:t>information</w:t>
            </w:r>
          </w:p>
        </w:tc>
        <w:tc>
          <w:tcPr>
            <w:tcW w:w="2720" w:type="dxa"/>
            <w:vAlign w:val="bottom"/>
            <w:gridSpan w:val="5"/>
          </w:tcPr>
          <w:p>
            <w:pPr>
              <w:ind w:left="600"/>
              <w:spacing w:after="0"/>
              <w:rPr>
                <w:sz w:val="20"/>
                <w:szCs w:val="20"/>
                <w:color w:val="auto"/>
              </w:rPr>
            </w:pPr>
            <w:r>
              <w:rPr>
                <w:rFonts w:ascii="Arial" w:cs="Arial" w:eastAsia="Arial" w:hAnsi="Arial"/>
                <w:sz w:val="14"/>
                <w:szCs w:val="14"/>
                <w:b w:val="1"/>
                <w:bCs w:val="1"/>
                <w:color w:val="auto"/>
              </w:rPr>
              <w:t>Pro form adjustment</w:t>
            </w:r>
          </w:p>
        </w:tc>
        <w:tc>
          <w:tcPr>
            <w:tcW w:w="42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 forma</w:t>
            </w:r>
          </w:p>
        </w:tc>
      </w:tr>
      <w:tr>
        <w:trPr>
          <w:trHeight w:val="142"/>
        </w:trPr>
        <w:tc>
          <w:tcPr>
            <w:tcW w:w="47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top w:val="single" w:sz="8" w:color="auto"/>
            </w:tcBorders>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IFRS</w:t>
            </w: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condensed</w:t>
            </w:r>
          </w:p>
        </w:tc>
      </w:t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Reclassification</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combined</w:t>
            </w:r>
          </w:p>
        </w:tc>
      </w:t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and</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statement</w:t>
            </w:r>
          </w:p>
        </w:tc>
      </w:tr>
      <w:tr>
        <w:trPr>
          <w:trHeight w:val="175"/>
        </w:trPr>
        <w:tc>
          <w:tcPr>
            <w:tcW w:w="474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Mereo</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OncoMed</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Conversion</w:t>
            </w:r>
          </w:p>
        </w:tc>
        <w:tc>
          <w:tcPr>
            <w:tcW w:w="38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operations</w:t>
            </w: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Collaboration and other revenue</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33,243</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920"/>
              <w:spacing w:after="0" w:line="196" w:lineRule="exact"/>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33,243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(22,704)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(25,776)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(48,285)</w:t>
            </w:r>
          </w:p>
        </w:tc>
      </w:tr>
      <w:tr>
        <w:trPr>
          <w:trHeight w:val="203"/>
        </w:trPr>
        <w:tc>
          <w:tcPr>
            <w:tcW w:w="4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888</w:t>
            </w:r>
          </w:p>
        </w:tc>
        <w:tc>
          <w:tcPr>
            <w:tcW w:w="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(12,505)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(13,599)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(23,476)</w:t>
            </w:r>
          </w:p>
        </w:tc>
      </w:tr>
      <w:tr>
        <w:trPr>
          <w:trHeight w:val="203"/>
        </w:trPr>
        <w:tc>
          <w:tcPr>
            <w:tcW w:w="4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888</w:t>
            </w:r>
          </w:p>
        </w:tc>
        <w:tc>
          <w:tcPr>
            <w:tcW w:w="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Restructuring charges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(1,385)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1,385</w:t>
            </w: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7"/>
        </w:trPr>
        <w:tc>
          <w:tcPr>
            <w:tcW w:w="4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(35,209)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(7,517)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(38,518)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Finance charge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(2,361)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(2,361)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1,476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foreign exchange gain/(loss)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w:t>
            </w:r>
          </w:p>
        </w:tc>
      </w:tr>
      <w:tr>
        <w:trPr>
          <w:trHeight w:val="27"/>
        </w:trPr>
        <w:tc>
          <w:tcPr>
            <w:tcW w:w="4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(37,307)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(6,348)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(39,447)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Taxation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5,277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5,563</w:t>
            </w:r>
          </w:p>
        </w:tc>
      </w:tr>
      <w:tr>
        <w:trPr>
          <w:trHeight w:val="27"/>
        </w:trPr>
        <w:tc>
          <w:tcPr>
            <w:tcW w:w="4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holders of Mereo:</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(32,030)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(6,062)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(33,884)</w:t>
            </w:r>
          </w:p>
        </w:tc>
      </w:tr>
      <w:tr>
        <w:trPr>
          <w:trHeight w:val="20"/>
        </w:trPr>
        <w:tc>
          <w:tcPr>
            <w:tcW w:w="4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(0.35)</w:t>
            </w:r>
          </w:p>
        </w:tc>
      </w:tr>
      <w:tr>
        <w:trPr>
          <w:trHeight w:val="180"/>
        </w:trPr>
        <w:tc>
          <w:tcPr>
            <w:tcW w:w="474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Shares used to compute net loss per ordinary share,</w:t>
            </w: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and diluted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71,144,786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24,783,320</w:t>
            </w:r>
          </w:p>
        </w:tc>
        <w:tc>
          <w:tcPr>
            <w:tcW w:w="4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95,928,106</w:t>
            </w:r>
          </w:p>
        </w:tc>
      </w:tr>
      <w:tr>
        <w:trPr>
          <w:trHeight w:val="364"/>
        </w:trPr>
        <w:tc>
          <w:tcPr>
            <w:tcW w:w="4740" w:type="dxa"/>
            <w:vAlign w:val="bottom"/>
          </w:tcPr>
          <w:p>
            <w:pPr>
              <w:spacing w:after="0"/>
              <w:rPr>
                <w:sz w:val="24"/>
                <w:szCs w:val="24"/>
                <w:color w:val="auto"/>
              </w:rPr>
            </w:pP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F-107</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ended June 30, 2019</w:t>
      </w:r>
    </w:p>
    <w:tbl>
      <w:tblPr>
        <w:tblLayout w:type="fixed"/>
        <w:tblInd w:w="120" w:type="dxa"/>
        <w:tblCellMar>
          <w:top w:w="0" w:type="dxa"/>
          <w:left w:w="0" w:type="dxa"/>
          <w:bottom w:w="0" w:type="dxa"/>
          <w:right w:w="0" w:type="dxa"/>
        </w:tblCellMar>
      </w:tblPr>
      <w:tr>
        <w:trPr>
          <w:trHeight w:val="145"/>
        </w:trPr>
        <w:tc>
          <w:tcPr>
            <w:tcW w:w="5020" w:type="dxa"/>
            <w:vAlign w:val="bottom"/>
          </w:tcPr>
          <w:p>
            <w:pPr>
              <w:spacing w:after="0"/>
              <w:rPr>
                <w:sz w:val="12"/>
                <w:szCs w:val="12"/>
                <w:color w:val="auto"/>
              </w:rPr>
            </w:pPr>
          </w:p>
        </w:tc>
        <w:tc>
          <w:tcPr>
            <w:tcW w:w="1880" w:type="dxa"/>
            <w:vAlign w:val="bottom"/>
            <w:gridSpan w:val="4"/>
          </w:tcPr>
          <w:p>
            <w:pPr>
              <w:jc w:val="right"/>
              <w:ind w:right="440"/>
              <w:spacing w:after="0" w:line="145" w:lineRule="exact"/>
              <w:rPr>
                <w:sz w:val="20"/>
                <w:szCs w:val="20"/>
                <w:color w:val="auto"/>
              </w:rPr>
            </w:pPr>
            <w:r>
              <w:rPr>
                <w:rFonts w:ascii="Arial" w:cs="Arial" w:eastAsia="Arial" w:hAnsi="Arial"/>
                <w:sz w:val="14"/>
                <w:szCs w:val="14"/>
                <w:b w:val="1"/>
                <w:bCs w:val="1"/>
                <w:color w:val="auto"/>
              </w:rPr>
              <w:t>Historical financial</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8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information</w:t>
            </w: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Pro form adjustment</w:t>
            </w:r>
          </w:p>
        </w:tc>
        <w:tc>
          <w:tcPr>
            <w:tcW w:w="5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Borders>
              <w:top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IFRS</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Reclassification</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and</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statement</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Mereo</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OncoMed</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Conversion</w:t>
            </w:r>
          </w:p>
        </w:tc>
        <w:tc>
          <w:tcPr>
            <w:tcW w:w="48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operations</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Collaboration and other revenue</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3,288</w:t>
            </w: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(11,918)</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(3,829)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480" w:type="dxa"/>
            <w:vAlign w:val="bottom"/>
          </w:tcPr>
          <w:p>
            <w:pPr>
              <w:ind w:left="120"/>
              <w:spacing w:after="0"/>
              <w:rPr>
                <w:sz w:val="20"/>
                <w:szCs w:val="20"/>
                <w:color w:val="auto"/>
              </w:rPr>
            </w:pPr>
            <w:r>
              <w:rPr>
                <w:rFonts w:ascii="Arial" w:cs="Arial" w:eastAsia="Arial" w:hAnsi="Arial"/>
                <w:sz w:val="18"/>
                <w:szCs w:val="18"/>
                <w:color w:val="auto"/>
              </w:rPr>
              <w:t>B</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(16,434)</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(1,852)</w:t>
            </w:r>
          </w:p>
        </w:tc>
        <w:tc>
          <w:tcPr>
            <w:tcW w:w="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w:t>
            </w: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1,852</w:t>
            </w:r>
          </w:p>
        </w:tc>
        <w:tc>
          <w:tcPr>
            <w:tcW w:w="5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B</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(9,107)</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(7,576)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480" w:type="dxa"/>
            <w:vAlign w:val="bottom"/>
          </w:tcPr>
          <w:p>
            <w:pPr>
              <w:ind w:left="120"/>
              <w:spacing w:after="0"/>
              <w:rPr>
                <w:sz w:val="20"/>
                <w:szCs w:val="20"/>
                <w:color w:val="auto"/>
              </w:rPr>
            </w:pPr>
            <w:r>
              <w:rPr>
                <w:rFonts w:ascii="Arial" w:cs="Arial" w:eastAsia="Arial" w:hAnsi="Arial"/>
                <w:sz w:val="18"/>
                <w:szCs w:val="18"/>
                <w:color w:val="auto"/>
              </w:rPr>
              <w:t>B</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2,645</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C</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(10,287)</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(1,852)</w:t>
            </w:r>
          </w:p>
        </w:tc>
        <w:tc>
          <w:tcPr>
            <w:tcW w:w="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w:t>
            </w: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3,898</w:t>
            </w:r>
          </w:p>
        </w:tc>
        <w:tc>
          <w:tcPr>
            <w:tcW w:w="5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C</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1,852</w:t>
            </w:r>
          </w:p>
        </w:tc>
        <w:tc>
          <w:tcPr>
            <w:tcW w:w="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B</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(21,025)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(8,117)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(5,078)</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10,247</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(23,973)</w:t>
            </w: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Gain on bargain purchase adjustment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3,680</w:t>
            </w: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(3,680)</w:t>
            </w:r>
          </w:p>
        </w:tc>
        <w:tc>
          <w:tcPr>
            <w:tcW w:w="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D</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Finance charge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(499)</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Finance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gain/(loss)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Net loss before tax:</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(18,682)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(8,363)</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(5,078)</w:t>
            </w:r>
          </w:p>
        </w:tc>
        <w:tc>
          <w:tcPr>
            <w:tcW w:w="4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6,567</w:t>
            </w:r>
          </w:p>
        </w:tc>
        <w:tc>
          <w:tcPr>
            <w:tcW w:w="5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(25,556)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2,445</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Loss attributable to equity holders of Mereo:</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(16,223)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(8,377)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(5,078)</w:t>
            </w:r>
          </w:p>
        </w:tc>
        <w:tc>
          <w:tcPr>
            <w:tcW w:w="4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6,567</w:t>
            </w:r>
          </w:p>
        </w:tc>
        <w:tc>
          <w:tcPr>
            <w:tcW w:w="5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(23,111)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(0.22)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187"/>
        </w:trPr>
        <w:tc>
          <w:tcPr>
            <w:tcW w:w="5020" w:type="dxa"/>
            <w:vAlign w:val="bottom"/>
          </w:tcPr>
          <w:p>
            <w:pPr>
              <w:spacing w:after="0" w:line="187" w:lineRule="exact"/>
              <w:rPr>
                <w:sz w:val="20"/>
                <w:szCs w:val="20"/>
                <w:color w:val="auto"/>
              </w:rPr>
            </w:pPr>
            <w:r>
              <w:rPr>
                <w:rFonts w:ascii="Arial" w:cs="Arial" w:eastAsia="Arial" w:hAnsi="Arial"/>
                <w:sz w:val="18"/>
                <w:szCs w:val="18"/>
                <w:b w:val="1"/>
                <w:bCs w:val="1"/>
                <w:color w:val="auto"/>
              </w:rPr>
              <w:t>Shares used to compute net loss per ordinary share,</w:t>
            </w: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0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F-108</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the Unaudited Pro Forma Condensed Combined Statement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Unaudited Pro Forma Condensed Combined Statement of Operations are based on Mereo’s and OncoMed’s historical financial information as adjusted to give effect to the Merger, which will be accounted for under the acquisition method of accounting, and the alignment of OncoMed’s accounting policies to those of Mereo, the accounting acquirer. The unaudited pro forma condensed combined statement of operations for the year ended December 31, 2018 and interim period ended June 30, 2019 give effect to the Merger as if it had occurred on January 1,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OncoMed’s financial information—Currency Adjustment</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consolidated financial statements of OncoMed were presented in U.S. dollars. For purposes of preparing the Unaudited Pro Forma Condensed Combined Statement of Operations, the consolidated financial statements were translated from U.S. dollars to pound sterling, Mereo’s presentation currency, using the following exchange rates for the periods below, calculated from data obtained from the United States Federal Reserve.</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Exchange Rate from January 1,</w:t>
            </w: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to December 31, 2018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w:t>
            </w:r>
          </w:p>
        </w:tc>
      </w:tr>
      <w:tr>
        <w:trPr>
          <w:trHeight w:val="217"/>
        </w:trPr>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3360" w:type="dxa"/>
            <w:vAlign w:val="bottom"/>
          </w:tcPr>
          <w:p>
            <w:pPr>
              <w:ind w:left="80"/>
              <w:spacing w:after="0"/>
              <w:rPr>
                <w:sz w:val="20"/>
                <w:szCs w:val="20"/>
                <w:color w:val="auto"/>
              </w:rPr>
            </w:pPr>
            <w:r>
              <w:rPr>
                <w:rFonts w:ascii="Arial" w:cs="Arial" w:eastAsia="Arial" w:hAnsi="Arial"/>
                <w:sz w:val="18"/>
                <w:szCs w:val="18"/>
                <w:color w:val="auto"/>
              </w:rPr>
              <w:t>Average Exchange Rate from January 1,</w:t>
            </w:r>
          </w:p>
        </w:tc>
        <w:tc>
          <w:tcPr>
            <w:tcW w:w="3780" w:type="dxa"/>
            <w:vAlign w:val="bottom"/>
          </w:tcPr>
          <w:p>
            <w:pPr>
              <w:ind w:left="20"/>
              <w:spacing w:after="0"/>
              <w:rPr>
                <w:sz w:val="20"/>
                <w:szCs w:val="20"/>
                <w:color w:val="auto"/>
              </w:rPr>
            </w:pPr>
            <w:r>
              <w:rPr>
                <w:rFonts w:ascii="Arial" w:cs="Arial" w:eastAsia="Arial" w:hAnsi="Arial"/>
                <w:sz w:val="18"/>
                <w:szCs w:val="18"/>
                <w:color w:val="auto"/>
              </w:rPr>
              <w:t>2019 to June 30, 2019</w:t>
            </w:r>
          </w:p>
        </w:tc>
        <w:tc>
          <w:tcPr>
            <w:tcW w:w="2160" w:type="dxa"/>
            <w:vAlign w:val="bottom"/>
          </w:tcPr>
          <w:p>
            <w:pPr>
              <w:jc w:val="right"/>
              <w:spacing w:after="0"/>
              <w:rPr>
                <w:sz w:val="20"/>
                <w:szCs w:val="20"/>
                <w:color w:val="auto"/>
              </w:rPr>
            </w:pPr>
            <w:r>
              <w:rPr>
                <w:rFonts w:ascii="Arial" w:cs="Arial" w:eastAsia="Arial" w:hAnsi="Arial"/>
                <w:sz w:val="18"/>
                <w:szCs w:val="18"/>
                <w:color w:val="auto"/>
              </w:rPr>
              <w:t>1.2941</w:t>
            </w: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OncoMed financial information—U.S. GAAP to IFRS Adjustment and Reclassifications</w:t>
      </w:r>
    </w:p>
    <w:p>
      <w:pPr>
        <w:spacing w:after="0" w:line="12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consolidated financial statements of OncoMed were prepared in accordance with U.S. GAAP. For the purposes of the Unaudited Pro Forma Condensed Combined Statement of Operations, certain adjustments have been made to convert the financial information of OncoMed from U.S. GAAP to IFRS as issued by the IASB (“IFRS Reclassification and Conversion Adjustments”).</w:t>
      </w:r>
    </w:p>
    <w:p>
      <w:pPr>
        <w:spacing w:after="0" w:line="20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January 1, 2019, OncoMed adopted ASC 842 (Leases). The nature and effect from the adoption of ASC 842 (Leases) within the historic financial information of OncoMed, as presented in the Unaudited Pro Forma Condensed Combined Statement of Operations, was a depreciation charge for the right-of-use asset within general and administrative expenditure of £0.4 million and a finance charge on the lease liability of £0.5 million. OncoMed’s lease portfolio is a single-leased premise, for which no IFRS Reclassification and Conversion Adjustment is required under IFRS 16 (Leases).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2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A summary of the pro forma adjustments recognized within the Unaudited Pro Forma Condensed Combined Statement of Operations for the year ended December 31, 2018 and interim period ended June 30, 2019 are presented below, with reference by letter key:</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w:t>
            </w:r>
          </w:p>
        </w:tc>
        <w:tc>
          <w:tcPr>
            <w:tcW w:w="5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Year ended December 31, 2018</w:t>
            </w:r>
          </w:p>
        </w:tc>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Interim period ended June 30, 2019</w:t>
            </w:r>
          </w:p>
        </w:tc>
        <w:tc>
          <w:tcPr>
            <w:tcW w:w="0" w:type="dxa"/>
            <w:vAlign w:val="bottom"/>
          </w:tcPr>
          <w:p>
            <w:pPr>
              <w:spacing w:after="0"/>
              <w:rPr>
                <w:sz w:val="1"/>
                <w:szCs w:val="1"/>
                <w:color w:val="auto"/>
              </w:rPr>
            </w:pPr>
          </w:p>
        </w:tc>
      </w:tr>
      <w:tr>
        <w:trPr>
          <w:trHeight w:val="232"/>
        </w:trPr>
        <w:tc>
          <w:tcPr>
            <w:tcW w:w="680" w:type="dxa"/>
            <w:vAlign w:val="bottom"/>
            <w:vMerge w:val="continue"/>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Restructuring provision</w:t>
            </w:r>
          </w:p>
        </w:tc>
        <w:tc>
          <w:tcPr>
            <w:tcW w:w="220" w:type="dxa"/>
            <w:vAlign w:val="bottom"/>
          </w:tcPr>
          <w:p>
            <w:pPr>
              <w:spacing w:after="0"/>
              <w:rPr>
                <w:sz w:val="20"/>
                <w:szCs w:val="20"/>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Restructuring provision</w:t>
            </w: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800"/>
        <w:spacing w:after="0" w:line="237" w:lineRule="auto"/>
        <w:rPr>
          <w:sz w:val="20"/>
          <w:szCs w:val="20"/>
          <w:color w:val="auto"/>
        </w:rPr>
      </w:pPr>
      <w:r>
        <w:rPr>
          <w:rFonts w:ascii="Arial" w:cs="Arial" w:eastAsia="Arial" w:hAnsi="Arial"/>
          <w:sz w:val="18"/>
          <w:szCs w:val="18"/>
          <w:color w:val="auto"/>
        </w:rPr>
        <w:t>OncoMed recorded restructuring costs for the year ended December 31, 2018 as a single line in its statement of operations, however, to align to the functional presentation of Mereo’s statement of operations, an adjustment has been made to reclassify OncoMed’s £1.4 million total expense from “Restructuring charges” to “Research and development expenses” and</w:t>
      </w:r>
    </w:p>
    <w:p>
      <w:pPr>
        <w:spacing w:after="0" w:line="14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F-109</w:t>
      </w:r>
    </w:p>
    <w:p>
      <w:pPr>
        <w:spacing w:after="0" w:line="20" w:lineRule="exact"/>
        <w:rPr>
          <w:sz w:val="20"/>
          <w:szCs w:val="20"/>
          <w:color w:val="auto"/>
        </w:rPr>
      </w:pPr>
      <w:r>
        <w:rPr>
          <w:sz w:val="20"/>
          <w:szCs w:val="20"/>
          <w:color w:val="auto"/>
        </w:rPr>
        <w:br w:type="column"/>
      </w:r>
    </w:p>
    <w:p>
      <w:pPr>
        <w:ind w:right="340"/>
        <w:spacing w:after="0" w:line="257" w:lineRule="auto"/>
        <w:rPr>
          <w:sz w:val="20"/>
          <w:szCs w:val="20"/>
          <w:color w:val="auto"/>
        </w:rPr>
      </w:pPr>
      <w:r>
        <w:rPr>
          <w:rFonts w:ascii="Arial" w:cs="Arial" w:eastAsia="Arial" w:hAnsi="Arial"/>
          <w:sz w:val="17"/>
          <w:szCs w:val="17"/>
          <w:color w:val="auto"/>
        </w:rPr>
        <w:t>For the interim period ended June 30, 2019, OncoMed restructuring costs were presented within “Research and development expenses” and “General and administrative expenses”, with no reclassification adjustment required.</w:t>
      </w:r>
    </w:p>
    <w:p>
      <w:pPr>
        <w:sectPr>
          <w:pgSz w:w="11900" w:h="16838" w:orient="portrait"/>
          <w:cols w:equalWidth="0" w:num="2">
            <w:col w:w="6060" w:space="220"/>
            <w:col w:w="4860"/>
          </w:cols>
          <w:pgMar w:left="320" w:top="459" w:right="439" w:bottom="1440" w:gutter="0" w:footer="0" w:header="0"/>
          <w:type w:val="continuous"/>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16510</wp:posOffset>
            </wp:positionV>
            <wp:extent cx="335153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8" w:lineRule="exact"/>
        <w:rPr>
          <w:sz w:val="20"/>
          <w:szCs w:val="20"/>
          <w:color w:val="auto"/>
        </w:rPr>
      </w:pPr>
    </w:p>
    <w:p>
      <w:pPr>
        <w:ind w:left="800" w:right="640"/>
        <w:spacing w:after="0" w:line="246" w:lineRule="auto"/>
        <w:rPr>
          <w:sz w:val="20"/>
          <w:szCs w:val="20"/>
          <w:color w:val="auto"/>
        </w:rPr>
      </w:pPr>
      <w:r>
        <w:rPr>
          <w:rFonts w:ascii="Arial" w:cs="Arial" w:eastAsia="Arial" w:hAnsi="Arial"/>
          <w:sz w:val="18"/>
          <w:szCs w:val="18"/>
          <w:color w:val="auto"/>
        </w:rPr>
        <w:t>“General and administrative expenses” of £0.7 million and £0.7 million, respectively.</w:t>
      </w:r>
    </w:p>
    <w:p>
      <w:pPr>
        <w:spacing w:after="0" w:line="175" w:lineRule="exact"/>
        <w:rPr>
          <w:sz w:val="20"/>
          <w:szCs w:val="20"/>
          <w:color w:val="auto"/>
        </w:rPr>
      </w:pPr>
    </w:p>
    <w:p>
      <w:pPr>
        <w:ind w:left="800" w:hanging="684"/>
        <w:spacing w:after="0"/>
        <w:tabs>
          <w:tab w:leader="none" w:pos="8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awards</w:t>
      </w:r>
    </w:p>
    <w:p>
      <w:pPr>
        <w:spacing w:after="0" w:line="139" w:lineRule="exact"/>
        <w:rPr>
          <w:rFonts w:ascii="Arial" w:cs="Arial" w:eastAsia="Arial" w:hAnsi="Arial"/>
          <w:sz w:val="18"/>
          <w:szCs w:val="18"/>
          <w:b w:val="1"/>
          <w:bCs w:val="1"/>
          <w:color w:val="auto"/>
        </w:rPr>
      </w:pPr>
    </w:p>
    <w:p>
      <w:pPr>
        <w:ind w:left="80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OncoMed issued a number of share-based payment awards with graded vesting features that contain only a service condition. As permitted under U.S. GAAP, OncoMed made an accounting policy election to record compensation expense for these awards on a straight-line basis over the entire vesting term of the grant, however, IFRS as issued by the IASB requires that compensation expense be recorded to reflect the vesting as it occurs for each tranche/instalment within the grant over the vesting period of that tranche/instalment. As a result, and due to the number of cancellations and forfeitures of the share-based payment awards during the year ended December 31, 2018 for which expense was reversed, the amount of expense recorded under IFRS as issued by the IASB is lower.</w:t>
      </w:r>
    </w:p>
    <w:p>
      <w:pPr>
        <w:spacing w:after="0" w:line="108" w:lineRule="exact"/>
        <w:rPr>
          <w:rFonts w:ascii="Arial" w:cs="Arial" w:eastAsia="Arial" w:hAnsi="Arial"/>
          <w:sz w:val="18"/>
          <w:szCs w:val="18"/>
          <w:b w:val="1"/>
          <w:bCs w:val="1"/>
          <w:color w:val="auto"/>
        </w:rPr>
      </w:pPr>
    </w:p>
    <w:p>
      <w:pPr>
        <w:ind w:left="800" w:right="3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Accordingly, a reduction of £0.9 million of expense has been reflected in “Research and development expenses” and a reduction of £0.9 million of expense has been reflected in “General and administrative expenses” in the Unaudited Pro Forma Condensed Combined Statement of Operations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Interim period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7721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awards</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Immediately prior to the closing of the Merger with OncoMed on April 23, 2019, all share-based payment awards were cancelled. The cancellation was a result of the Merger and was only effected because the Merger occurred. Therefore, the impact of the cancellation is directly attributable to the Merger and is deemed non-recurring. IFRS Reclassification and Conversion Adjustments therefore include:</w:t>
      </w:r>
    </w:p>
    <w:p>
      <w:pPr>
        <w:spacing w:after="0" w:line="108" w:lineRule="exact"/>
        <w:rPr>
          <w:sz w:val="20"/>
          <w:szCs w:val="20"/>
          <w:color w:val="auto"/>
        </w:rPr>
      </w:pPr>
    </w:p>
    <w:p>
      <w:pPr>
        <w:ind w:left="360" w:hanging="265"/>
        <w:spacing w:after="0" w:line="237" w:lineRule="auto"/>
        <w:tabs>
          <w:tab w:leader="none" w:pos="33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 amount of £1.4 million recognized (£0.7 million within “Research and development expenses” and the remaining £0.7 million within “General and administrative expenses”) relating to a share-based payment charge under IFRS 2 for the period within the interim period ended June 30, 2019 prior to the cancellation date on April 23, 2019; and</w:t>
      </w:r>
    </w:p>
    <w:p>
      <w:pPr>
        <w:spacing w:after="0" w:line="108" w:lineRule="exact"/>
        <w:rPr>
          <w:rFonts w:ascii="Arial" w:cs="Arial" w:eastAsia="Arial" w:hAnsi="Arial"/>
          <w:sz w:val="18"/>
          <w:szCs w:val="18"/>
          <w:color w:val="auto"/>
        </w:rPr>
      </w:pPr>
    </w:p>
    <w:p>
      <w:pPr>
        <w:ind w:left="360" w:right="40" w:hanging="265"/>
        <w:spacing w:after="0" w:line="237" w:lineRule="auto"/>
        <w:tabs>
          <w:tab w:leader="none" w:pos="33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 amount of £3.7 million recognized (£1.85 million within “Research and development expenses” and the remaining £1.85 million within “General and administrative expenses”) relating to the cancellation of the share-based payment awards on April 23, 2019 and the resultant acceleration charge from the immediate vesting required under IFRS 2.</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£3.7 million recognized relating to the cancellation of the share-based payment awards on April 23, 2019 is a non-recurring charge that is directly attributable to the Merger. Therefore, the charge is an adjusting item within the Unaudited Pro Forma Condensed Combined Statement of Operations for the interim period ended June 30, 2019. of Operations as the charge is non-recurring and directly attributable to the Merger.</w:t>
      </w:r>
    </w:p>
    <w:p>
      <w:pPr>
        <w:sectPr>
          <w:pgSz w:w="11900" w:h="16838" w:orient="portrait"/>
          <w:cols w:equalWidth="0" w:num="2">
            <w:col w:w="6040" w:space="240"/>
            <w:col w:w="4840"/>
          </w:cols>
          <w:pgMar w:left="320" w:top="459" w:right="45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Year ended December 31, 2018</w:t>
      </w:r>
    </w:p>
    <w:p>
      <w:pPr>
        <w:spacing w:after="0" w:line="25" w:lineRule="exact"/>
        <w:rPr>
          <w:sz w:val="20"/>
          <w:szCs w:val="20"/>
          <w:color w:val="auto"/>
        </w:rPr>
      </w:pPr>
    </w:p>
    <w:p>
      <w:pPr>
        <w:ind w:left="800" w:hanging="684"/>
        <w:spacing w:after="0"/>
        <w:tabs>
          <w:tab w:leader="none" w:pos="80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costs</w:t>
      </w:r>
    </w:p>
    <w:p>
      <w:pPr>
        <w:spacing w:after="0" w:line="130" w:lineRule="exact"/>
        <w:rPr>
          <w:rFonts w:ascii="Arial" w:cs="Arial" w:eastAsia="Arial" w:hAnsi="Arial"/>
          <w:sz w:val="18"/>
          <w:szCs w:val="18"/>
          <w:b w:val="1"/>
          <w:bCs w:val="1"/>
          <w:color w:val="auto"/>
        </w:rPr>
      </w:pPr>
    </w:p>
    <w:p>
      <w:pPr>
        <w:ind w:left="8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£2.4 million has been eliminated from “General and administrative expenses” within the Unaudited Pro Forma Condensed Combined Statement of Operations for the year ended December 31, 2018 which represents non-recurring transactions costs incurred in relation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-864870</wp:posOffset>
            </wp:positionV>
            <wp:extent cx="335153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76" w:lineRule="exact"/>
        <w:rPr>
          <w:sz w:val="20"/>
          <w:szCs w:val="20"/>
          <w:color w:val="auto"/>
        </w:rPr>
      </w:pPr>
    </w:p>
    <w:p>
      <w:pPr>
        <w:ind w:left="800" w:hanging="684"/>
        <w:spacing w:after="0"/>
        <w:tabs>
          <w:tab w:leader="none" w:pos="8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Gain on bargain purchase</w:t>
      </w:r>
    </w:p>
    <w:p>
      <w:pPr>
        <w:spacing w:after="0" w:line="139" w:lineRule="exact"/>
        <w:rPr>
          <w:rFonts w:ascii="Arial" w:cs="Arial" w:eastAsia="Arial" w:hAnsi="Arial"/>
          <w:sz w:val="18"/>
          <w:szCs w:val="18"/>
          <w:b w:val="1"/>
          <w:bCs w:val="1"/>
          <w:color w:val="auto"/>
        </w:rPr>
      </w:pPr>
    </w:p>
    <w:p>
      <w:pPr>
        <w:ind w:left="800" w:right="4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Not recognized in the year ended December 31, 2018 as the transaction closed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0" w:hanging="684"/>
        <w:spacing w:after="0"/>
        <w:tabs>
          <w:tab w:leader="none" w:pos="8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shares</w:t>
      </w:r>
    </w:p>
    <w:p>
      <w:pPr>
        <w:spacing w:after="0" w:line="139" w:lineRule="exact"/>
        <w:rPr>
          <w:rFonts w:ascii="Arial" w:cs="Arial" w:eastAsia="Arial" w:hAnsi="Arial"/>
          <w:sz w:val="18"/>
          <w:szCs w:val="18"/>
          <w:b w:val="1"/>
          <w:bCs w:val="1"/>
          <w:color w:val="auto"/>
        </w:rPr>
      </w:pPr>
    </w:p>
    <w:p>
      <w:pPr>
        <w:ind w:left="800" w:right="260"/>
        <w:spacing w:after="0"/>
        <w:rPr>
          <w:rFonts w:ascii="Arial" w:cs="Arial" w:eastAsia="Arial" w:hAnsi="Arial"/>
          <w:sz w:val="18"/>
          <w:szCs w:val="18"/>
          <w:b w:val="1"/>
          <w:bCs w:val="1"/>
          <w:color w:val="auto"/>
        </w:rPr>
      </w:pPr>
      <w:r>
        <w:rPr>
          <w:rFonts w:ascii="Arial" w:cs="Arial" w:eastAsia="Arial" w:hAnsi="Arial"/>
          <w:sz w:val="18"/>
          <w:szCs w:val="18"/>
          <w:color w:val="auto"/>
        </w:rPr>
        <w:t>Represents the increase in the weighted average shares in connection with the issuance of 24,783,320 ordinary shares on April 23, 2019 to finance the acquisition.</w:t>
      </w:r>
    </w:p>
    <w:p>
      <w:pPr>
        <w:spacing w:after="0" w:line="108" w:lineRule="exact"/>
        <w:rPr>
          <w:rFonts w:ascii="Arial" w:cs="Arial" w:eastAsia="Arial" w:hAnsi="Arial"/>
          <w:sz w:val="18"/>
          <w:szCs w:val="18"/>
          <w:b w:val="1"/>
          <w:bCs w:val="1"/>
          <w:color w:val="auto"/>
        </w:rPr>
      </w:pPr>
    </w:p>
    <w:p>
      <w:pPr>
        <w:jc w:val="both"/>
        <w:ind w:left="800"/>
        <w:spacing w:after="0"/>
        <w:rPr>
          <w:rFonts w:ascii="Arial" w:cs="Arial" w:eastAsia="Arial" w:hAnsi="Arial"/>
          <w:sz w:val="18"/>
          <w:szCs w:val="18"/>
          <w:b w:val="1"/>
          <w:bCs w:val="1"/>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2018).</w:t>
      </w:r>
    </w:p>
    <w:p>
      <w:pPr>
        <w:spacing w:after="0" w:line="35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Interim period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7721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£6.5 million has been eliminated from “General and administrative expenses” within the Unaudited Pro Forma Condensed Combined Statement of Operations for the interim period ended June 30, 2019 which represents non-recurring transactions costs incurred in relation to the Merger.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bargain purchase</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Upon the closing of the Merger of OncoMed, a gain on bargain purchase of £3.7 million was recognized. As this is a non-recurring gain that is directly attributable to the Merger, the gain is an adjusting item within the Pro Forma Condensed Combined Statement of Operations for the interim period ended June 30,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shares</w:t>
      </w:r>
    </w:p>
    <w:p>
      <w:pPr>
        <w:spacing w:after="0" w:line="13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Represents the increase in the weighted average shares in connection with the issuance of 24,783,320 ordinary shares on April 23, 2019 to finance the acquisition.</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2019).</w:t>
      </w:r>
    </w:p>
    <w:p>
      <w:pPr>
        <w:sectPr>
          <w:pgSz w:w="11900" w:h="16838" w:orient="portrait"/>
          <w:cols w:equalWidth="0" w:num="2">
            <w:col w:w="6040" w:space="240"/>
            <w:col w:w="4820"/>
          </w:cols>
          <w:pgMar w:left="320" w:top="459" w:right="47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29, 2019, in Amendment No. 1 to the Registration Statement (Form F-1 No. 333-236497) and the related Prospectus of Mereo Biopharma Group plc for the registration of 89,510,410 ordinary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ectPr>
          <w:pgSz w:w="11900" w:h="16838" w:orient="portrait"/>
          <w:cols w:equalWidth="0" w:num="1">
            <w:col w:w="11020"/>
          </w:cols>
          <w:pgMar w:left="440" w:top="121" w:right="43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7, 2019, with respect to the financial statements of OncoMed Pharmaceuticals, Inc. included in Amendment No. 1 to the Registration Statement (Form F-1) and related Prospectus of Mereo BioPharma Group plc for the registration of its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
      <w:numFmt w:val="bullet"/>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
      <w:numFmt w:val="bullet"/>
      <w:start w:val="1"/>
    </w:lvl>
  </w:abstractNum>
  <w:abstractNum w:abstractNumId="10">
    <w:nsid w:val="45E6D486"/>
    <w:multiLevelType w:val="hybridMultilevel"/>
    <w:lvl w:ilvl="0">
      <w:lvlJc w:val="left"/>
      <w:lvlText w:val="∎"/>
      <w:numFmt w:val="bullet"/>
      <w:start w:val="1"/>
    </w:lvl>
  </w:abstractNum>
  <w:abstractNum w:abstractNumId="11">
    <w:nsid w:val="5C10FE21"/>
    <w:multiLevelType w:val="hybridMultilevel"/>
    <w:lvl w:ilvl="0">
      <w:lvlJc w:val="left"/>
      <w:lvlText w:val="∎"/>
      <w:numFmt w:val="bullet"/>
      <w:start w:val="1"/>
    </w:lvl>
  </w:abstractNum>
  <w:abstractNum w:abstractNumId="12">
    <w:nsid w:val="E7FFA2B"/>
    <w:multiLevelType w:val="hybridMultilevel"/>
    <w:lvl w:ilvl="0">
      <w:lvlJc w:val="left"/>
      <w:lvlText w:val="∎"/>
      <w:numFmt w:val="bullet"/>
      <w:start w:val="1"/>
    </w:lvl>
  </w:abstractNum>
  <w:abstractNum w:abstractNumId="13">
    <w:nsid w:val="3C5991AA"/>
    <w:multiLevelType w:val="hybridMultilevel"/>
    <w:lvl w:ilvl="0">
      <w:lvlJc w:val="left"/>
      <w:lvlText w:val="(%1)"/>
      <w:numFmt w:val="decimal"/>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abstractNum>
  <w:abstractNum w:abstractNumId="17">
    <w:nsid w:val="2B0D8DBE"/>
    <w:multiLevelType w:val="hybridMultilevel"/>
    <w:lvl w:ilvl="0">
      <w:lvlJc w:val="left"/>
      <w:lvlText w:val="∎"/>
      <w:numFmt w:val="bullet"/>
      <w:start w:val="1"/>
    </w:lvl>
  </w:abstractNum>
  <w:abstractNum w:abstractNumId="18">
    <w:nsid w:val="6C80EC70"/>
    <w:multiLevelType w:val="hybridMultilevel"/>
    <w:lvl w:ilvl="0">
      <w:lvlJc w:val="left"/>
      <w:lvlText w:val="∎"/>
      <w:numFmt w:val="bullet"/>
      <w:start w:val="1"/>
    </w:lvl>
  </w:abstractNum>
  <w:abstractNum w:abstractNumId="19">
    <w:nsid w:val="379E21B5"/>
    <w:multiLevelType w:val="hybridMultilevel"/>
    <w:lvl w:ilvl="0">
      <w:lvlJc w:val="left"/>
      <w:lvlText w:val="∎"/>
      <w:numFmt w:val="bullet"/>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
      <w:numFmt w:val="bullet"/>
      <w:start w:val="1"/>
    </w:lvl>
  </w:abstractNum>
  <w:abstractNum w:abstractNumId="22">
    <w:nsid w:val="4C9B0904"/>
    <w:multiLevelType w:val="hybridMultilevel"/>
    <w:lvl w:ilvl="0">
      <w:lvlJc w:val="left"/>
      <w:lvlText w:val="∎"/>
      <w:numFmt w:val="bullet"/>
      <w:start w:val="1"/>
    </w:lvl>
  </w:abstractNum>
  <w:abstractNum w:abstractNumId="23">
    <w:nsid w:val="6AA7B75C"/>
    <w:multiLevelType w:val="hybridMultilevel"/>
    <w:lvl w:ilvl="0">
      <w:lvlJc w:val="left"/>
      <w:lvlText w:val="∎"/>
      <w:numFmt w:val="bullet"/>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
      <w:numFmt w:val="bullet"/>
      <w:start w:val="1"/>
    </w:lvl>
  </w:abstractNum>
  <w:abstractNum w:abstractNumId="26">
    <w:nsid w:val="3DD15094"/>
    <w:multiLevelType w:val="hybridMultilevel"/>
    <w:lvl w:ilvl="0">
      <w:lvlJc w:val="left"/>
      <w:lvlText w:val="∎"/>
      <w:numFmt w:val="bullet"/>
      <w:start w:val="1"/>
    </w:lvl>
  </w:abstractNum>
  <w:abstractNum w:abstractNumId="27">
    <w:nsid w:val="3DB012B3"/>
    <w:multiLevelType w:val="hybridMultilevel"/>
    <w:lvl w:ilvl="0">
      <w:lvlJc w:val="left"/>
      <w:lvlText w:val="∎"/>
      <w:numFmt w:val="bullet"/>
      <w:start w:val="1"/>
    </w:lvl>
  </w:abstractNum>
  <w:abstractNum w:abstractNumId="28">
    <w:nsid w:val="2708C9AF"/>
    <w:multiLevelType w:val="hybridMultilevel"/>
    <w:lvl w:ilvl="0">
      <w:lvlJc w:val="left"/>
      <w:lvlText w:val="∎"/>
      <w:numFmt w:val="bullet"/>
      <w:start w:val="1"/>
    </w:lvl>
  </w:abstractNum>
  <w:abstractNum w:abstractNumId="29">
    <w:nsid w:val="5B25ACE2"/>
    <w:multiLevelType w:val="hybridMultilevel"/>
    <w:lvl w:ilvl="0">
      <w:lvlJc w:val="left"/>
      <w:lvlText w:val="∎"/>
      <w:numFmt w:val="bullet"/>
      <w:start w:val="1"/>
    </w:lvl>
  </w:abstractNum>
  <w:abstractNum w:abstractNumId="30">
    <w:nsid w:val="175DFCF0"/>
    <w:multiLevelType w:val="hybridMultilevel"/>
    <w:lvl w:ilvl="0">
      <w:lvlJc w:val="left"/>
      <w:lvlText w:val="∎"/>
      <w:numFmt w:val="bullet"/>
      <w:start w:val="1"/>
    </w:lvl>
  </w:abstractNum>
  <w:abstractNum w:abstractNumId="31">
    <w:nsid w:val="4F97E3E4"/>
    <w:multiLevelType w:val="hybridMultilevel"/>
    <w:lvl w:ilvl="0">
      <w:lvlJc w:val="left"/>
      <w:lvlText w:val="(%1)"/>
      <w:numFmt w:val="lowerRoman"/>
      <w:start w:val="4"/>
    </w:lvl>
  </w:abstractNum>
  <w:abstractNum w:abstractNumId="32">
    <w:nsid w:val="53B0A9E"/>
    <w:multiLevelType w:val="hybridMultilevel"/>
    <w:lvl w:ilvl="0">
      <w:lvlJc w:val="left"/>
      <w:lvlText w:val="∎"/>
      <w:numFmt w:val="bullet"/>
      <w:start w:val="1"/>
    </w:lvl>
  </w:abstractNum>
  <w:abstractNum w:abstractNumId="33">
    <w:nsid w:val="34FD6B4F"/>
    <w:multiLevelType w:val="hybridMultilevel"/>
    <w:lvl w:ilvl="0">
      <w:lvlJc w:val="left"/>
      <w:lvlText w:val="∎"/>
      <w:numFmt w:val="bullet"/>
      <w:start w:val="1"/>
    </w:lvl>
  </w:abstractNum>
  <w:abstractNum w:abstractNumId="34">
    <w:nsid w:val="5915FF32"/>
    <w:multiLevelType w:val="hybridMultilevel"/>
    <w:lvl w:ilvl="0">
      <w:lvlJc w:val="left"/>
      <w:lvlText w:val="∎"/>
      <w:numFmt w:val="bullet"/>
      <w:start w:val="1"/>
    </w:lvl>
  </w:abstractNum>
  <w:abstractNum w:abstractNumId="35">
    <w:nsid w:val="56438D15"/>
    <w:multiLevelType w:val="hybridMultilevel"/>
    <w:lvl w:ilvl="0">
      <w:lvlJc w:val="left"/>
      <w:lvlText w:val="∎"/>
      <w:numFmt w:val="bullet"/>
      <w:start w:val="1"/>
    </w:lvl>
  </w:abstractNum>
  <w:abstractNum w:abstractNumId="36">
    <w:nsid w:val="519E3149"/>
    <w:multiLevelType w:val="hybridMultilevel"/>
    <w:lvl w:ilvl="0">
      <w:lvlJc w:val="left"/>
      <w:lvlText w:val="(%1)"/>
      <w:numFmt w:val="lowerRoman"/>
      <w:start w:val="6"/>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
      <w:numFmt w:val="bullet"/>
      <w:start w:val="1"/>
    </w:lvl>
  </w:abstractNum>
  <w:abstractNum w:abstractNumId="39">
    <w:nsid w:val="4DF72E4E"/>
    <w:multiLevelType w:val="hybridMultilevel"/>
    <w:lvl w:ilvl="0">
      <w:lvlJc w:val="left"/>
      <w:lvlText w:val="∎"/>
      <w:numFmt w:val="bullet"/>
      <w:start w:val="1"/>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
      <w:numFmt w:val="bullet"/>
      <w:start w:val="1"/>
    </w:lvl>
  </w:abstractNum>
  <w:abstractNum w:abstractNumId="42">
    <w:nsid w:val="2A082C70"/>
    <w:multiLevelType w:val="hybridMultilevel"/>
    <w:lvl w:ilvl="0">
      <w:lvlJc w:val="left"/>
      <w:lvlText w:val="∎"/>
      <w:numFmt w:val="bullet"/>
      <w:start w:val="1"/>
    </w:lvl>
  </w:abstractNum>
  <w:abstractNum w:abstractNumId="43">
    <w:nsid w:val="5EC6AFD4"/>
    <w:multiLevelType w:val="hybridMultilevel"/>
    <w:lvl w:ilvl="0">
      <w:lvlJc w:val="left"/>
      <w:lvlText w:val="∎"/>
      <w:numFmt w:val="bullet"/>
      <w:start w:val="1"/>
    </w:lvl>
  </w:abstractNum>
  <w:abstractNum w:abstractNumId="44">
    <w:nsid w:val="19E21BB2"/>
    <w:multiLevelType w:val="hybridMultilevel"/>
    <w:lvl w:ilvl="0">
      <w:lvlJc w:val="left"/>
      <w:lvlText w:val="∎"/>
      <w:numFmt w:val="bullet"/>
      <w:start w:val="1"/>
    </w:lvl>
  </w:abstractNum>
  <w:abstractNum w:abstractNumId="45">
    <w:nsid w:val="75E0858A"/>
    <w:multiLevelType w:val="hybridMultilevel"/>
    <w:lvl w:ilvl="0">
      <w:lvlJc w:val="left"/>
      <w:lvlText w:val="∎"/>
      <w:numFmt w:val="bullet"/>
      <w:start w:val="1"/>
    </w:lvl>
  </w:abstractNum>
  <w:abstractNum w:abstractNumId="46">
    <w:nsid w:val="57A61A29"/>
    <w:multiLevelType w:val="hybridMultilevel"/>
    <w:lvl w:ilvl="0">
      <w:lvlJc w:val="left"/>
      <w:lvlText w:val="∎"/>
      <w:numFmt w:val="bullet"/>
      <w:start w:val="1"/>
    </w:lvl>
  </w:abstractNum>
  <w:abstractNum w:abstractNumId="47">
    <w:nsid w:val="5399C654"/>
    <w:multiLevelType w:val="hybridMultilevel"/>
    <w:lvl w:ilvl="0">
      <w:lvlJc w:val="left"/>
      <w:lvlText w:val="∎"/>
      <w:numFmt w:val="bullet"/>
      <w:start w:val="1"/>
    </w:lvl>
  </w:abstractNum>
  <w:abstractNum w:abstractNumId="48">
    <w:nsid w:val="20EE1348"/>
    <w:multiLevelType w:val="hybridMultilevel"/>
    <w:lvl w:ilvl="0">
      <w:lvlJc w:val="left"/>
      <w:lvlText w:val="∎"/>
      <w:numFmt w:val="bullet"/>
      <w:start w:val="1"/>
    </w:lvl>
  </w:abstractNum>
  <w:abstractNum w:abstractNumId="49">
    <w:nsid w:val="4427069A"/>
    <w:multiLevelType w:val="hybridMultilevel"/>
    <w:lvl w:ilvl="0">
      <w:lvlJc w:val="left"/>
      <w:lvlText w:val="∎"/>
      <w:numFmt w:val="bullet"/>
      <w:start w:val="1"/>
    </w:lvl>
  </w:abstractNum>
  <w:abstractNum w:abstractNumId="50">
    <w:nsid w:val="B37E80A"/>
    <w:multiLevelType w:val="hybridMultilevel"/>
    <w:lvl w:ilvl="0">
      <w:lvlJc w:val="left"/>
      <w:lvlText w:val="%1."/>
      <w:numFmt w:val="decimal"/>
      <w:start w:val="1"/>
    </w:lvl>
  </w:abstractNum>
  <w:abstractNum w:abstractNumId="51">
    <w:nsid w:val="2157F6BC"/>
    <w:multiLevelType w:val="hybridMultilevel"/>
    <w:lvl w:ilvl="0">
      <w:lvlJc w:val="left"/>
      <w:lvlText w:val="%1."/>
      <w:numFmt w:val="decimal"/>
      <w:start w:val="2"/>
    </w:lvl>
  </w:abstractNum>
  <w:abstractNum w:abstractNumId="52">
    <w:nsid w:val="704E1DD5"/>
    <w:multiLevelType w:val="hybridMultilevel"/>
    <w:lvl w:ilvl="0">
      <w:lvlJc w:val="left"/>
      <w:lvlText w:val="%1."/>
      <w:numFmt w:val="decimal"/>
      <w:start w:val="3"/>
    </w:lvl>
  </w:abstractNum>
  <w:abstractNum w:abstractNumId="53">
    <w:nsid w:val="57D2F10E"/>
    <w:multiLevelType w:val="hybridMultilevel"/>
    <w:lvl w:ilvl="0">
      <w:lvlJc w:val="left"/>
      <w:lvlText w:val="B"/>
      <w:numFmt w:val="bullet"/>
      <w:start w:val="1"/>
    </w:lvl>
  </w:abstractNum>
  <w:abstractNum w:abstractNumId="54">
    <w:nsid w:val="BFFAE18"/>
    <w:multiLevelType w:val="hybridMultilevel"/>
    <w:lvl w:ilvl="0">
      <w:lvlJc w:val="left"/>
      <w:lvlText w:val="∎"/>
      <w:numFmt w:val="bullet"/>
      <w:start w:val="1"/>
    </w:lvl>
  </w:abstractNum>
  <w:abstractNum w:abstractNumId="55">
    <w:nsid w:val="E3E47A8"/>
    <w:multiLevelType w:val="hybridMultilevel"/>
    <w:lvl w:ilvl="0">
      <w:lvlJc w:val="left"/>
      <w:lvlText w:val="C"/>
      <w:numFmt w:val="bullet"/>
      <w:start w:val="1"/>
    </w:lvl>
  </w:abstractNum>
  <w:abstractNum w:abstractNumId="56">
    <w:nsid w:val="2E48F044"/>
    <w:multiLevelType w:val="hybridMultilevel"/>
    <w:lvl w:ilvl="0">
      <w:lvlJc w:val="left"/>
      <w:lvlText w:val="D"/>
      <w:numFmt w:val="bullet"/>
      <w:start w:val="1"/>
    </w:lvl>
  </w:abstractNum>
  <w:abstractNum w:abstractNumId="57">
    <w:nsid w:val="49D0FEAC"/>
    <w:multiLevelType w:val="hybridMultilevel"/>
    <w:lvl w:ilvl="0">
      <w:lvlJc w:val="left"/>
      <w:lvlText w:val="E"/>
      <w:numFmt w:val="bullet"/>
      <w:start w:val="1"/>
    </w:lvl>
  </w:abstractNum>
  <w:abstractNum w:abstractNumId="58">
    <w:nsid w:val="4BEE5A5B"/>
    <w:multiLevelType w:val="hybridMultilevel"/>
    <w:lvl w:ilvl="0">
      <w:lvlJc w:val="left"/>
      <w:lvlText w:val="(%1)"/>
      <w:numFmt w:val="decimal"/>
      <w:start w:val="1"/>
    </w:lvl>
  </w:abstractNum>
  <w:abstractNum w:abstractNumId="59">
    <w:nsid w:val="5551B9F3"/>
    <w:multiLevelType w:val="hybridMultilevel"/>
    <w:lvl w:ilvl="0">
      <w:lvlJc w:val="left"/>
      <w:lvlText w:val="(%1)"/>
      <w:numFmt w:val="decimal"/>
      <w:start w:val="2"/>
    </w:lvl>
  </w:abstractNum>
  <w:abstractNum w:abstractNumId="60">
    <w:nsid w:val="24F6AB8E"/>
    <w:multiLevelType w:val="hybridMultilevel"/>
    <w:lvl w:ilvl="0">
      <w:lvlJc w:val="left"/>
      <w:lvlText w:val="∎"/>
      <w:numFmt w:val="bullet"/>
      <w:start w:val="1"/>
    </w:lvl>
  </w:abstractNum>
  <w:abstractNum w:abstractNumId="61">
    <w:nsid w:val="634C574C"/>
    <w:multiLevelType w:val="hybridMultilevel"/>
    <w:lvl w:ilvl="0">
      <w:lvlJc w:val="left"/>
      <w:lvlText w:val="∎"/>
      <w:numFmt w:val="bullet"/>
      <w:start w:val="1"/>
    </w:lvl>
  </w:abstractNum>
  <w:abstractNum w:abstractNumId="62">
    <w:nsid w:val="24E99DD7"/>
    <w:multiLevelType w:val="hybridMultilevel"/>
    <w:lvl w:ilvl="0">
      <w:lvlJc w:val="left"/>
      <w:lvlText w:val="(%1)"/>
      <w:numFmt w:val="decimal"/>
      <w:start w:val="1"/>
    </w:lvl>
  </w:abstractNum>
  <w:abstractNum w:abstractNumId="63">
    <w:nsid w:val="2A31B62D"/>
    <w:multiLevelType w:val="hybridMultilevel"/>
    <w:lvl w:ilvl="0">
      <w:lvlJc w:val="left"/>
      <w:lvlText w:val="∎"/>
      <w:numFmt w:val="bullet"/>
      <w:start w:val="1"/>
    </w:lvl>
  </w:abstractNum>
  <w:abstractNum w:abstractNumId="64">
    <w:nsid w:val="1849C29B"/>
    <w:multiLevelType w:val="hybridMultilevel"/>
    <w:lvl w:ilvl="0">
      <w:lvlJc w:val="left"/>
      <w:lvlText w:val="∎"/>
      <w:numFmt w:val="bullet"/>
      <w:start w:val="1"/>
    </w:lvl>
  </w:abstractNum>
  <w:abstractNum w:abstractNumId="65">
    <w:nsid w:val="7DFF9D09"/>
    <w:multiLevelType w:val="hybridMultilevel"/>
    <w:lvl w:ilvl="0">
      <w:lvlJc w:val="left"/>
      <w:lvlText w:val="∎"/>
      <w:numFmt w:val="bullet"/>
      <w:start w:val="1"/>
    </w:lvl>
  </w:abstractNum>
  <w:abstractNum w:abstractNumId="66">
    <w:nsid w:val="754342"/>
    <w:multiLevelType w:val="hybridMultilevel"/>
    <w:lvl w:ilvl="0">
      <w:lvlJc w:val="left"/>
      <w:lvlText w:val="(%1)"/>
      <w:numFmt w:val="decimal"/>
      <w:start w:val="1"/>
    </w:lvl>
  </w:abstractNum>
  <w:abstractNum w:abstractNumId="67">
    <w:nsid w:val="69E7F3E5"/>
    <w:multiLevelType w:val="hybridMultilevel"/>
    <w:lvl w:ilvl="0">
      <w:lvlJc w:val="left"/>
      <w:lvlText w:val="(%1)"/>
      <w:numFmt w:val="decimal"/>
      <w:start w:val="1"/>
    </w:lvl>
  </w:abstractNum>
  <w:abstractNum w:abstractNumId="68">
    <w:nsid w:val="2A6DE806"/>
    <w:multiLevelType w:val="hybridMultilevel"/>
    <w:lvl w:ilvl="0">
      <w:lvlJc w:val="left"/>
      <w:lvlText w:val="∎"/>
      <w:numFmt w:val="bullet"/>
      <w:start w:val="1"/>
    </w:lvl>
  </w:abstractNum>
  <w:abstractNum w:abstractNumId="69">
    <w:nsid w:val="1816F8C4"/>
    <w:multiLevelType w:val="hybridMultilevel"/>
    <w:lvl w:ilvl="0">
      <w:lvlJc w:val="left"/>
      <w:lvlText w:val="%1)"/>
      <w:numFmt w:val="lowerRoman"/>
      <w:start w:val="1"/>
    </w:lvl>
  </w:abstractNum>
  <w:abstractNum w:abstractNumId="70">
    <w:nsid w:val="37DF2233"/>
    <w:multiLevelType w:val="hybridMultilevel"/>
    <w:lvl w:ilvl="0">
      <w:lvlJc w:val="left"/>
      <w:lvlText w:val="∎"/>
      <w:numFmt w:val="bullet"/>
      <w:start w:val="1"/>
    </w:lvl>
  </w:abstractNum>
  <w:abstractNum w:abstractNumId="71">
    <w:nsid w:val="7AB49DAF"/>
    <w:multiLevelType w:val="hybridMultilevel"/>
    <w:lvl w:ilvl="0">
      <w:lvlJc w:val="left"/>
      <w:lvlText w:val="∎"/>
      <w:numFmt w:val="bullet"/>
      <w:start w:val="1"/>
    </w:lvl>
  </w:abstractNum>
  <w:abstractNum w:abstractNumId="72">
    <w:nsid w:val="759F82CD"/>
    <w:multiLevelType w:val="hybridMultilevel"/>
    <w:lvl w:ilvl="0">
      <w:lvlJc w:val="left"/>
      <w:lvlText w:val="•"/>
      <w:numFmt w:val="bullet"/>
      <w:start w:val="1"/>
    </w:lvl>
  </w:abstractNum>
  <w:abstractNum w:abstractNumId="73">
    <w:nsid w:val="61E74EA3"/>
    <w:multiLevelType w:val="hybridMultilevel"/>
    <w:lvl w:ilvl="0">
      <w:lvlJc w:val="left"/>
      <w:lvlText w:val="∎"/>
      <w:numFmt w:val="bullet"/>
      <w:start w:val="1"/>
    </w:lvl>
  </w:abstractNum>
  <w:abstractNum w:abstractNumId="74">
    <w:nsid w:val="597B4D84"/>
    <w:multiLevelType w:val="hybridMultilevel"/>
    <w:lvl w:ilvl="0">
      <w:lvlJc w:val="left"/>
      <w:lvlText w:val="∎"/>
      <w:numFmt w:val="bullet"/>
      <w:start w:val="1"/>
    </w:lvl>
  </w:abstractNum>
  <w:abstractNum w:abstractNumId="75">
    <w:nsid w:val="F819E7F"/>
    <w:multiLevelType w:val="hybridMultilevel"/>
    <w:lvl w:ilvl="0">
      <w:lvlJc w:val="left"/>
      <w:lvlText w:val="∎"/>
      <w:numFmt w:val="bullet"/>
      <w:start w:val="1"/>
    </w:lvl>
  </w:abstractNum>
  <w:abstractNum w:abstractNumId="76">
    <w:nsid w:val="57C7D42D"/>
    <w:multiLevelType w:val="hybridMultilevel"/>
    <w:lvl w:ilvl="0">
      <w:lvlJc w:val="left"/>
      <w:lvlText w:val="∎"/>
      <w:numFmt w:val="bullet"/>
      <w:start w:val="1"/>
    </w:lvl>
  </w:abstractNum>
  <w:abstractNum w:abstractNumId="77">
    <w:nsid w:val="312167AD"/>
    <w:multiLevelType w:val="hybridMultilevel"/>
    <w:lvl w:ilvl="0">
      <w:lvlJc w:val="left"/>
      <w:lvlText w:val="∎"/>
      <w:numFmt w:val="bullet"/>
      <w:start w:val="1"/>
    </w:lvl>
  </w:abstractNum>
  <w:abstractNum w:abstractNumId="78">
    <w:nsid w:val="631B64D4"/>
    <w:multiLevelType w:val="hybridMultilevel"/>
    <w:lvl w:ilvl="0">
      <w:lvlJc w:val="left"/>
      <w:lvlText w:val="∎"/>
      <w:numFmt w:val="bullet"/>
      <w:start w:val="1"/>
    </w:lvl>
    <w:lvl w:ilvl="1">
      <w:lvlJc w:val="left"/>
      <w:lvlText w:val="∎"/>
      <w:numFmt w:val="bullet"/>
      <w:start w:val="1"/>
    </w:lvl>
  </w:abstractNum>
  <w:abstractNum w:abstractNumId="79">
    <w:nsid w:val="78B5E776"/>
    <w:multiLevelType w:val="hybridMultilevel"/>
    <w:lvl w:ilvl="0">
      <w:lvlJc w:val="left"/>
      <w:lvlText w:val="(%1)"/>
      <w:numFmt w:val="decimal"/>
      <w:start w:val="1"/>
    </w:lvl>
  </w:abstractNum>
  <w:abstractNum w:abstractNumId="80">
    <w:nsid w:val="75486E47"/>
    <w:multiLevelType w:val="hybridMultilevel"/>
    <w:lvl w:ilvl="0">
      <w:lvlJc w:val="left"/>
      <w:lvlText w:val="(%1)"/>
      <w:numFmt w:val="decimal"/>
      <w:start w:val="1"/>
    </w:lvl>
  </w:abstractNum>
  <w:abstractNum w:abstractNumId="81">
    <w:nsid w:val="6E534CDE"/>
    <w:multiLevelType w:val="hybridMultilevel"/>
    <w:lvl w:ilvl="0">
      <w:lvlJc w:val="left"/>
      <w:lvlText w:val="∎"/>
      <w:numFmt w:val="bullet"/>
      <w:start w:val="1"/>
    </w:lvl>
  </w:abstractNum>
  <w:abstractNum w:abstractNumId="82">
    <w:nsid w:val="1A0DDE32"/>
    <w:multiLevelType w:val="hybridMultilevel"/>
    <w:lvl w:ilvl="0">
      <w:lvlJc w:val="left"/>
      <w:lvlText w:val="(%1)"/>
      <w:numFmt w:val="decimal"/>
      <w:start w:val="1"/>
    </w:lvl>
  </w:abstractNum>
  <w:abstractNum w:abstractNumId="83">
    <w:nsid w:val="65968C1C"/>
    <w:multiLevelType w:val="hybridMultilevel"/>
    <w:lvl w:ilvl="0">
      <w:lvlJc w:val="left"/>
      <w:lvlText w:val="∎"/>
      <w:numFmt w:val="bullet"/>
      <w:start w:val="1"/>
    </w:lvl>
  </w:abstractNum>
  <w:abstractNum w:abstractNumId="84">
    <w:nsid w:val="46263DEC"/>
    <w:multiLevelType w:val="hybridMultilevel"/>
    <w:lvl w:ilvl="0">
      <w:lvlJc w:val="left"/>
      <w:lvlText w:val="∎"/>
      <w:numFmt w:val="bullet"/>
      <w:start w:val="1"/>
    </w:lvl>
  </w:abstractNum>
  <w:abstractNum w:abstractNumId="85">
    <w:nsid w:val="260D8C4A"/>
    <w:multiLevelType w:val="hybridMultilevel"/>
    <w:lvl w:ilvl="0">
      <w:lvlJc w:val="left"/>
      <w:lvlText w:val="∎"/>
      <w:numFmt w:val="bullet"/>
      <w:start w:val="1"/>
    </w:lvl>
  </w:abstractNum>
  <w:abstractNum w:abstractNumId="86">
    <w:nsid w:val="73D4D3C4"/>
    <w:multiLevelType w:val="hybridMultilevel"/>
    <w:lvl w:ilvl="0">
      <w:lvlJc w:val="left"/>
      <w:lvlText w:val="%1"/>
      <w:numFmt w:val="upperLetter"/>
      <w:start w:val="34"/>
    </w:lvl>
  </w:abstractNum>
  <w:abstractNum w:abstractNumId="87">
    <w:nsid w:val="746F2E30"/>
    <w:multiLevelType w:val="hybridMultilevel"/>
    <w:lvl w:ilvl="0">
      <w:lvlJc w:val="left"/>
      <w:lvlText w:val="*"/>
      <w:numFmt w:val="bullet"/>
      <w:start w:val="1"/>
    </w:lvl>
  </w:abstractNum>
  <w:abstractNum w:abstractNumId="88">
    <w:nsid w:val="6FDE8AF6"/>
    <w:multiLevelType w:val="hybridMultilevel"/>
    <w:lvl w:ilvl="0">
      <w:lvlJc w:val="left"/>
      <w:lvlText w:val="**"/>
      <w:numFmt w:val="bullet"/>
      <w:start w:val="1"/>
    </w:lvl>
  </w:abstractNum>
  <w:abstractNum w:abstractNumId="89">
    <w:nsid w:val="3FC32E20"/>
    <w:multiLevelType w:val="hybridMultilevel"/>
    <w:lvl w:ilvl="0">
      <w:lvlJc w:val="left"/>
      <w:lvlText w:val="***"/>
      <w:numFmt w:val="bullet"/>
      <w:start w:val="1"/>
    </w:lvl>
  </w:abstractNum>
  <w:abstractNum w:abstractNumId="90">
    <w:nsid w:val="49C0E823"/>
    <w:multiLevelType w:val="hybridMultilevel"/>
    <w:lvl w:ilvl="0">
      <w:lvlJc w:val="left"/>
      <w:lvlText w:val="****"/>
      <w:numFmt w:val="bullet"/>
      <w:start w:val="1"/>
    </w:lvl>
  </w:abstractNum>
  <w:abstractNum w:abstractNumId="91">
    <w:nsid w:val="14D53685"/>
    <w:multiLevelType w:val="hybridMultilevel"/>
    <w:lvl w:ilvl="0">
      <w:lvlJc w:val="left"/>
      <w:lvlText w:val="∎"/>
      <w:numFmt w:val="bullet"/>
      <w:start w:val="1"/>
    </w:lvl>
  </w:abstractNum>
  <w:abstractNum w:abstractNumId="92">
    <w:nsid w:val="230F856C"/>
    <w:multiLevelType w:val="hybridMultilevel"/>
    <w:lvl w:ilvl="0">
      <w:lvlJc w:val="left"/>
      <w:lvlText w:val="∎"/>
      <w:numFmt w:val="bullet"/>
      <w:start w:val="1"/>
    </w:lvl>
  </w:abstractNum>
  <w:abstractNum w:abstractNumId="93">
    <w:nsid w:val="6EAA85FB"/>
    <w:multiLevelType w:val="hybridMultilevel"/>
    <w:lvl w:ilvl="0">
      <w:lvlJc w:val="left"/>
      <w:lvlText w:val="∎"/>
      <w:numFmt w:val="bullet"/>
      <w:start w:val="1"/>
    </w:lvl>
  </w:abstractNum>
  <w:abstractNum w:abstractNumId="94">
    <w:nsid w:val="3F06ECB2"/>
    <w:multiLevelType w:val="hybridMultilevel"/>
    <w:lvl w:ilvl="0">
      <w:lvlJc w:val="left"/>
      <w:lvlText w:val="∎"/>
      <w:numFmt w:val="bullet"/>
      <w:start w:val="1"/>
    </w:lvl>
  </w:abstractNum>
  <w:abstractNum w:abstractNumId="95">
    <w:nsid w:val="3B594807"/>
    <w:multiLevelType w:val="hybridMultilevel"/>
    <w:lvl w:ilvl="0">
      <w:lvlJc w:val="left"/>
      <w:lvlText w:val="∎"/>
      <w:numFmt w:val="bullet"/>
      <w:start w:val="1"/>
    </w:lvl>
  </w:abstractNum>
  <w:abstractNum w:abstractNumId="96">
    <w:nsid w:val="6CAA2304"/>
    <w:multiLevelType w:val="hybridMultilevel"/>
    <w:lvl w:ilvl="0">
      <w:lvlJc w:val="left"/>
      <w:lvlText w:val="∎"/>
      <w:numFmt w:val="bullet"/>
      <w:start w:val="1"/>
    </w:lvl>
  </w:abstractNum>
  <w:abstractNum w:abstractNumId="97">
    <w:nsid w:val="3F7C2FF4"/>
    <w:multiLevelType w:val="hybridMultilevel"/>
    <w:lvl w:ilvl="0">
      <w:lvlJc w:val="left"/>
      <w:lvlText w:val="∎"/>
      <w:numFmt w:val="bullet"/>
      <w:start w:val="1"/>
    </w:lvl>
  </w:abstractNum>
  <w:abstractNum w:abstractNumId="98">
    <w:nsid w:val="25413BEC"/>
    <w:multiLevelType w:val="hybridMultilevel"/>
    <w:lvl w:ilvl="0">
      <w:lvlJc w:val="left"/>
      <w:lvlText w:val="∎"/>
      <w:numFmt w:val="bullet"/>
      <w:start w:val="1"/>
    </w:lvl>
  </w:abstractNum>
  <w:abstractNum w:abstractNumId="99">
    <w:nsid w:val="17180B0B"/>
    <w:multiLevelType w:val="hybridMultilevel"/>
    <w:lvl w:ilvl="0">
      <w:lvlJc w:val="left"/>
      <w:lvlText w:val="∎"/>
      <w:numFmt w:val="bullet"/>
      <w:start w:val="1"/>
    </w:lvl>
  </w:abstractNum>
  <w:abstractNum w:abstractNumId="100">
    <w:nsid w:val="579328B9"/>
    <w:multiLevelType w:val="hybridMultilevel"/>
    <w:lvl w:ilvl="0">
      <w:lvlJc w:val="left"/>
      <w:lvlText w:val="∎"/>
      <w:numFmt w:val="bullet"/>
      <w:start w:val="1"/>
    </w:lvl>
  </w:abstractNum>
  <w:abstractNum w:abstractNumId="101">
    <w:nsid w:val="5D205E20"/>
    <w:multiLevelType w:val="hybridMultilevel"/>
    <w:lvl w:ilvl="0">
      <w:lvlJc w:val="left"/>
      <w:lvlText w:val="∎"/>
      <w:numFmt w:val="bullet"/>
      <w:start w:val="1"/>
    </w:lvl>
  </w:abstractNum>
  <w:abstractNum w:abstractNumId="102">
    <w:nsid w:val="11CCA8BA"/>
    <w:multiLevelType w:val="hybridMultilevel"/>
    <w:lvl w:ilvl="0">
      <w:lvlJc w:val="left"/>
      <w:lvlText w:val="∎"/>
      <w:numFmt w:val="bullet"/>
      <w:start w:val="1"/>
    </w:lvl>
  </w:abstractNum>
  <w:abstractNum w:abstractNumId="103">
    <w:nsid w:val="4D32AB86"/>
    <w:multiLevelType w:val="hybridMultilevel"/>
    <w:lvl w:ilvl="0">
      <w:lvlJc w:val="left"/>
      <w:lvlText w:val="∎"/>
      <w:numFmt w:val="bullet"/>
      <w:start w:val="1"/>
    </w:lvl>
  </w:abstractNum>
  <w:abstractNum w:abstractNumId="104">
    <w:nsid w:val="3F07ACC3"/>
    <w:multiLevelType w:val="hybridMultilevel"/>
    <w:lvl w:ilvl="0">
      <w:lvlJc w:val="left"/>
      <w:lvlText w:val="∎"/>
      <w:numFmt w:val="bullet"/>
      <w:start w:val="1"/>
    </w:lvl>
  </w:abstractNum>
  <w:abstractNum w:abstractNumId="105">
    <w:nsid w:val="6B47F63E"/>
    <w:multiLevelType w:val="hybridMultilevel"/>
    <w:lvl w:ilvl="0">
      <w:lvlJc w:val="left"/>
      <w:lvlText w:val="∎"/>
      <w:numFmt w:val="bullet"/>
      <w:start w:val="1"/>
    </w:lvl>
  </w:abstractNum>
  <w:abstractNum w:abstractNumId="106">
    <w:nsid w:val="5CB44A05"/>
    <w:multiLevelType w:val="hybridMultilevel"/>
    <w:lvl w:ilvl="0">
      <w:lvlJc w:val="left"/>
      <w:lvlText w:val="∎"/>
      <w:numFmt w:val="bullet"/>
      <w:start w:val="1"/>
    </w:lvl>
  </w:abstractNum>
  <w:abstractNum w:abstractNumId="107">
    <w:nsid w:val="16CF80F1"/>
    <w:multiLevelType w:val="hybridMultilevel"/>
    <w:lvl w:ilvl="0">
      <w:lvlJc w:val="left"/>
      <w:lvlText w:val="∎"/>
      <w:numFmt w:val="bullet"/>
      <w:start w:val="1"/>
    </w:lvl>
  </w:abstractNum>
  <w:abstractNum w:abstractNumId="108">
    <w:nsid w:val="1C695DEC"/>
    <w:multiLevelType w:val="hybridMultilevel"/>
    <w:lvl w:ilvl="0">
      <w:lvlJc w:val="left"/>
      <w:lvlText w:val="∎"/>
      <w:numFmt w:val="bullet"/>
      <w:start w:val="1"/>
    </w:lvl>
  </w:abstractNum>
  <w:abstractNum w:abstractNumId="109">
    <w:nsid w:val="3FCFAED9"/>
    <w:multiLevelType w:val="hybridMultilevel"/>
    <w:lvl w:ilvl="0">
      <w:lvlJc w:val="left"/>
      <w:lvlText w:val="(%1)"/>
      <w:numFmt w:val="decimal"/>
      <w:start w:val="1"/>
    </w:lvl>
  </w:abstractNum>
  <w:abstractNum w:abstractNumId="110">
    <w:nsid w:val="F856867"/>
    <w:multiLevelType w:val="hybridMultilevel"/>
    <w:lvl w:ilvl="0">
      <w:lvlJc w:val="left"/>
      <w:lvlText w:val="(%1)"/>
      <w:numFmt w:val="lowerRoman"/>
      <w:start w:val="2"/>
    </w:lvl>
  </w:abstractNum>
  <w:abstractNum w:abstractNumId="111">
    <w:nsid w:val="11B1CC33"/>
    <w:multiLevelType w:val="hybridMultilevel"/>
    <w:lvl w:ilvl="0">
      <w:lvlJc w:val="left"/>
      <w:lvlText w:val="(%1)"/>
      <w:numFmt w:val="lowerRoman"/>
      <w:start w:val="1"/>
    </w:lvl>
  </w:abstractNum>
  <w:abstractNum w:abstractNumId="112">
    <w:nsid w:val="2E22FBB7"/>
    <w:multiLevelType w:val="hybridMultilevel"/>
    <w:lvl w:ilvl="0">
      <w:lvlJc w:val="left"/>
      <w:lvlText w:val="(%1)"/>
      <w:numFmt w:val="lowerRoman"/>
      <w:start w:val="1"/>
    </w:lvl>
  </w:abstractNum>
  <w:abstractNum w:abstractNumId="113">
    <w:nsid w:val="29934699"/>
    <w:multiLevelType w:val="hybridMultilevel"/>
    <w:lvl w:ilvl="0">
      <w:lvlJc w:val="left"/>
      <w:lvlText w:val="(%1)"/>
      <w:numFmt w:val="lowerRoman"/>
      <w:start w:val="2"/>
    </w:lvl>
  </w:abstractNum>
  <w:abstractNum w:abstractNumId="114">
    <w:nsid w:val="77485850"/>
    <w:multiLevelType w:val="hybridMultilevel"/>
    <w:lvl w:ilvl="0">
      <w:lvlJc w:val="left"/>
      <w:lvlText w:val="(%1)"/>
      <w:numFmt w:val="lowerRoman"/>
      <w:start w:val="2"/>
    </w:lvl>
  </w:abstractNum>
  <w:abstractNum w:abstractNumId="115">
    <w:nsid w:val="744939A3"/>
    <w:multiLevelType w:val="hybridMultilevel"/>
    <w:lvl w:ilvl="0">
      <w:lvlJc w:val="left"/>
      <w:lvlText w:val="∎"/>
      <w:numFmt w:val="bullet"/>
      <w:start w:val="1"/>
    </w:lvl>
  </w:abstractNum>
  <w:abstractNum w:abstractNumId="116">
    <w:nsid w:val="4FA0D2E3"/>
    <w:multiLevelType w:val="hybridMultilevel"/>
    <w:lvl w:ilvl="0">
      <w:lvlJc w:val="left"/>
      <w:lvlText w:val="*"/>
      <w:numFmt w:val="bullet"/>
      <w:start w:val="1"/>
    </w:lvl>
  </w:abstractNum>
  <w:abstractNum w:abstractNumId="117">
    <w:nsid w:val="6B1D2C14"/>
    <w:multiLevelType w:val="hybridMultilevel"/>
    <w:lvl w:ilvl="0">
      <w:lvlJc w:val="left"/>
      <w:lvlText w:val="(%1)"/>
      <w:numFmt w:val="decimal"/>
      <w:start w:val="1"/>
    </w:lvl>
  </w:abstractNum>
  <w:abstractNum w:abstractNumId="118">
    <w:nsid w:val="68B867D3"/>
    <w:multiLevelType w:val="hybridMultilevel"/>
    <w:lvl w:ilvl="0">
      <w:lvlJc w:val="left"/>
      <w:lvlText w:val="(%1)"/>
      <w:numFmt w:val="decimal"/>
      <w:start w:val="6"/>
    </w:lvl>
  </w:abstractNum>
  <w:abstractNum w:abstractNumId="119">
    <w:nsid w:val="3F7F5DD9"/>
    <w:multiLevelType w:val="hybridMultilevel"/>
    <w:lvl w:ilvl="0">
      <w:lvlJc w:val="left"/>
      <w:lvlText w:val="∎"/>
      <w:numFmt w:val="bullet"/>
      <w:start w:val="1"/>
    </w:lvl>
  </w:abstractNum>
  <w:abstractNum w:abstractNumId="120">
    <w:nsid w:val="2AE05A34"/>
    <w:multiLevelType w:val="hybridMultilevel"/>
    <w:lvl w:ilvl="0">
      <w:lvlJc w:val="left"/>
      <w:lvlText w:val="∎"/>
      <w:numFmt w:val="bullet"/>
      <w:start w:val="1"/>
    </w:lvl>
  </w:abstractNum>
  <w:abstractNum w:abstractNumId="121">
    <w:nsid w:val="32794FF7"/>
    <w:multiLevelType w:val="hybridMultilevel"/>
    <w:lvl w:ilvl="0">
      <w:lvlJc w:val="left"/>
      <w:lvlText w:val="∎"/>
      <w:numFmt w:val="bullet"/>
      <w:start w:val="1"/>
    </w:lvl>
  </w:abstractNum>
  <w:abstractNum w:abstractNumId="122">
    <w:nsid w:val="5454945E"/>
    <w:multiLevelType w:val="hybridMultilevel"/>
    <w:lvl w:ilvl="0">
      <w:lvlJc w:val="left"/>
      <w:lvlText w:val="∎"/>
      <w:numFmt w:val="bullet"/>
      <w:start w:val="1"/>
    </w:lvl>
  </w:abstractNum>
  <w:abstractNum w:abstractNumId="123">
    <w:nsid w:val="4DEFDFA0"/>
    <w:multiLevelType w:val="hybridMultilevel"/>
    <w:lvl w:ilvl="0">
      <w:lvlJc w:val="left"/>
      <w:lvlText w:val="∎"/>
      <w:numFmt w:val="bullet"/>
      <w:start w:val="1"/>
    </w:lvl>
  </w:abstractNum>
  <w:abstractNum w:abstractNumId="124">
    <w:nsid w:val="2123D5F2"/>
    <w:multiLevelType w:val="hybridMultilevel"/>
    <w:lvl w:ilvl="0">
      <w:lvlJc w:val="left"/>
      <w:lvlText w:val="∎"/>
      <w:numFmt w:val="bullet"/>
      <w:start w:val="1"/>
    </w:lvl>
  </w:abstractNum>
  <w:abstractNum w:abstractNumId="125">
    <w:nsid w:val="135B8110"/>
    <w:multiLevelType w:val="hybridMultilevel"/>
    <w:lvl w:ilvl="0">
      <w:lvlJc w:val="left"/>
      <w:lvlText w:val="∎"/>
      <w:numFmt w:val="bullet"/>
      <w:start w:val="1"/>
    </w:lvl>
    <w:lvl w:ilvl="1">
      <w:lvlJc w:val="left"/>
      <w:lvlText w:val="∎"/>
      <w:numFmt w:val="bullet"/>
      <w:start w:val="1"/>
    </w:lvl>
  </w:abstractNum>
  <w:abstractNum w:abstractNumId="126">
    <w:nsid w:val="94927A8"/>
    <w:multiLevelType w:val="hybridMultilevel"/>
    <w:lvl w:ilvl="0">
      <w:lvlJc w:val="left"/>
      <w:lvlText w:val="∎"/>
      <w:numFmt w:val="bullet"/>
      <w:start w:val="1"/>
    </w:lvl>
  </w:abstractNum>
  <w:abstractNum w:abstractNumId="127">
    <w:nsid w:val="DCDF8F6"/>
    <w:multiLevelType w:val="hybridMultilevel"/>
    <w:lvl w:ilvl="0">
      <w:lvlJc w:val="left"/>
      <w:lvlText w:val="∎"/>
      <w:numFmt w:val="bullet"/>
      <w:start w:val="1"/>
    </w:lvl>
  </w:abstractNum>
  <w:abstractNum w:abstractNumId="128">
    <w:nsid w:val="52D7B105"/>
    <w:multiLevelType w:val="hybridMultilevel"/>
    <w:lvl w:ilvl="0">
      <w:lvlJc w:val="left"/>
      <w:lvlText w:val="∎"/>
      <w:numFmt w:val="bullet"/>
      <w:start w:val="1"/>
    </w:lvl>
  </w:abstractNum>
  <w:abstractNum w:abstractNumId="129">
    <w:nsid w:val="2E8A6394"/>
    <w:multiLevelType w:val="hybridMultilevel"/>
    <w:lvl w:ilvl="0">
      <w:lvlJc w:val="left"/>
      <w:lvlText w:val="∎"/>
      <w:numFmt w:val="bullet"/>
      <w:start w:val="1"/>
    </w:lvl>
  </w:abstractNum>
  <w:abstractNum w:abstractNumId="130">
    <w:nsid w:val="24E60401"/>
    <w:multiLevelType w:val="hybridMultilevel"/>
    <w:lvl w:ilvl="0">
      <w:lvlJc w:val="left"/>
      <w:lvlText w:val="∎"/>
      <w:numFmt w:val="bullet"/>
      <w:start w:val="1"/>
    </w:lvl>
  </w:abstractNum>
  <w:abstractNum w:abstractNumId="131">
    <w:nsid w:val="2A6AD9BE"/>
    <w:multiLevelType w:val="hybridMultilevel"/>
    <w:lvl w:ilvl="0">
      <w:lvlJc w:val="left"/>
      <w:lvlText w:val="∎"/>
      <w:numFmt w:val="bullet"/>
      <w:start w:val="1"/>
    </w:lvl>
  </w:abstractNum>
  <w:abstractNum w:abstractNumId="132">
    <w:nsid w:val="BAAC1B4"/>
    <w:multiLevelType w:val="hybridMultilevel"/>
    <w:lvl w:ilvl="0">
      <w:lvlJc w:val="left"/>
      <w:lvlText w:val="(%1)"/>
      <w:numFmt w:val="lowerLetter"/>
      <w:start w:val="1"/>
    </w:lvl>
  </w:abstractNum>
  <w:abstractNum w:abstractNumId="133">
    <w:nsid w:val="36B2ACBC"/>
    <w:multiLevelType w:val="hybridMultilevel"/>
    <w:lvl w:ilvl="0">
      <w:lvlJc w:val="left"/>
      <w:lvlText w:val="∎"/>
      <w:numFmt w:val="bullet"/>
      <w:start w:val="1"/>
    </w:lvl>
  </w:abstractNum>
  <w:abstractNum w:abstractNumId="134">
    <w:nsid w:val="779D8544"/>
    <w:multiLevelType w:val="hybridMultilevel"/>
    <w:lvl w:ilvl="0">
      <w:lvlJc w:val="left"/>
      <w:lvlText w:val="∎"/>
      <w:numFmt w:val="bullet"/>
      <w:start w:val="1"/>
    </w:lvl>
  </w:abstractNum>
  <w:abstractNum w:abstractNumId="135">
    <w:nsid w:val="4AB26E78"/>
    <w:multiLevelType w:val="hybridMultilevel"/>
    <w:lvl w:ilvl="0">
      <w:lvlJc w:val="left"/>
      <w:lvlText w:val="∎"/>
      <w:numFmt w:val="bullet"/>
      <w:start w:val="1"/>
    </w:lvl>
  </w:abstractNum>
  <w:abstractNum w:abstractNumId="136">
    <w:nsid w:val="21FAA2FA"/>
    <w:multiLevelType w:val="hybridMultilevel"/>
    <w:lvl w:ilvl="0">
      <w:lvlJc w:val="left"/>
      <w:lvlText w:val="∎"/>
      <w:numFmt w:val="bullet"/>
      <w:start w:val="1"/>
    </w:lvl>
  </w:abstractNum>
  <w:abstractNum w:abstractNumId="137">
    <w:nsid w:val="5451CF49"/>
    <w:multiLevelType w:val="hybridMultilevel"/>
    <w:lvl w:ilvl="0">
      <w:lvlJc w:val="left"/>
      <w:lvlText w:val="∎"/>
      <w:numFmt w:val="bullet"/>
      <w:start w:val="1"/>
    </w:lvl>
  </w:abstractNum>
  <w:abstractNum w:abstractNumId="138">
    <w:nsid w:val="6181EF69"/>
    <w:multiLevelType w:val="hybridMultilevel"/>
    <w:lvl w:ilvl="0">
      <w:lvlJc w:val="left"/>
      <w:lvlText w:val="∎"/>
      <w:numFmt w:val="bullet"/>
      <w:start w:val="1"/>
    </w:lvl>
  </w:abstractNum>
  <w:abstractNum w:abstractNumId="139">
    <w:nsid w:val="3E6400E6"/>
    <w:multiLevelType w:val="hybridMultilevel"/>
    <w:lvl w:ilvl="0">
      <w:lvlJc w:val="left"/>
      <w:lvlText w:val="∎"/>
      <w:numFmt w:val="bullet"/>
      <w:start w:val="1"/>
    </w:lvl>
  </w:abstractNum>
  <w:abstractNum w:abstractNumId="140">
    <w:nsid w:val="14217E23"/>
    <w:multiLevelType w:val="hybridMultilevel"/>
    <w:lvl w:ilvl="0">
      <w:lvlJc w:val="left"/>
      <w:lvlText w:val="∎"/>
      <w:numFmt w:val="bullet"/>
      <w:start w:val="1"/>
    </w:lvl>
  </w:abstractNum>
  <w:abstractNum w:abstractNumId="141">
    <w:nsid w:val="710757D0"/>
    <w:multiLevelType w:val="hybridMultilevel"/>
    <w:lvl w:ilvl="0">
      <w:lvlJc w:val="left"/>
      <w:lvlText w:val="∎"/>
      <w:numFmt w:val="bullet"/>
      <w:start w:val="1"/>
    </w:lvl>
  </w:abstractNum>
  <w:abstractNum w:abstractNumId="142">
    <w:nsid w:val="5015CD1A"/>
    <w:multiLevelType w:val="hybridMultilevel"/>
    <w:lvl w:ilvl="0">
      <w:lvlJc w:val="left"/>
      <w:lvlText w:val="∎"/>
      <w:numFmt w:val="bullet"/>
      <w:start w:val="1"/>
    </w:lvl>
  </w:abstractNum>
  <w:abstractNum w:abstractNumId="143">
    <w:nsid w:val="424479DA"/>
    <w:multiLevelType w:val="hybridMultilevel"/>
    <w:lvl w:ilvl="0">
      <w:lvlJc w:val="left"/>
      <w:lvlText w:val="∎"/>
      <w:numFmt w:val="bullet"/>
      <w:start w:val="1"/>
    </w:lvl>
  </w:abstractNum>
  <w:abstractNum w:abstractNumId="144">
    <w:nsid w:val="1A9A9E69"/>
    <w:multiLevelType w:val="hybridMultilevel"/>
    <w:lvl w:ilvl="0">
      <w:lvlJc w:val="left"/>
      <w:lvlText w:val="∎"/>
      <w:numFmt w:val="bullet"/>
      <w:start w:val="1"/>
    </w:lvl>
  </w:abstractNum>
  <w:abstractNum w:abstractNumId="145">
    <w:nsid w:val="475E256A"/>
    <w:multiLevelType w:val="hybridMultilevel"/>
    <w:lvl w:ilvl="0">
      <w:lvlJc w:val="left"/>
      <w:lvlText w:val="∎"/>
      <w:numFmt w:val="bullet"/>
      <w:start w:val="1"/>
    </w:lvl>
  </w:abstractNum>
  <w:abstractNum w:abstractNumId="146">
    <w:nsid w:val="368DB37E"/>
    <w:multiLevelType w:val="hybridMultilevel"/>
    <w:lvl w:ilvl="0">
      <w:lvlJc w:val="left"/>
      <w:lvlText w:val="∎"/>
      <w:numFmt w:val="bullet"/>
      <w:start w:val="1"/>
    </w:lvl>
  </w:abstractNum>
  <w:abstractNum w:abstractNumId="147">
    <w:nsid w:val="6A3B714C"/>
    <w:multiLevelType w:val="hybridMultilevel"/>
    <w:lvl w:ilvl="0">
      <w:lvlJc w:val="left"/>
      <w:lvlText w:val="∎"/>
      <w:numFmt w:val="bullet"/>
      <w:start w:val="1"/>
    </w:lvl>
  </w:abstractNum>
  <w:abstractNum w:abstractNumId="148">
    <w:nsid w:val="327B517E"/>
    <w:multiLevelType w:val="hybridMultilevel"/>
    <w:lvl w:ilvl="0">
      <w:lvlJc w:val="left"/>
      <w:lvlText w:val="∎"/>
      <w:numFmt w:val="bullet"/>
      <w:start w:val="1"/>
    </w:lvl>
  </w:abstractNum>
  <w:abstractNum w:abstractNumId="149">
    <w:nsid w:val="1F461B51"/>
    <w:multiLevelType w:val="hybridMultilevel"/>
    <w:lvl w:ilvl="0">
      <w:lvlJc w:val="left"/>
      <w:lvlText w:val="∎"/>
      <w:numFmt w:val="bullet"/>
      <w:start w:val="1"/>
    </w:lvl>
  </w:abstractNum>
  <w:abstractNum w:abstractNumId="150">
    <w:nsid w:val="29BACF25"/>
    <w:multiLevelType w:val="hybridMultilevel"/>
    <w:lvl w:ilvl="0">
      <w:lvlJc w:val="left"/>
      <w:lvlText w:val="∎"/>
      <w:numFmt w:val="bullet"/>
      <w:start w:val="1"/>
    </w:lvl>
  </w:abstractNum>
  <w:abstractNum w:abstractNumId="151">
    <w:nsid w:val="5D5BABB3"/>
    <w:multiLevelType w:val="hybridMultilevel"/>
    <w:lvl w:ilvl="0">
      <w:lvlJc w:val="left"/>
      <w:lvlText w:val="∎"/>
      <w:numFmt w:val="bullet"/>
      <w:start w:val="1"/>
    </w:lvl>
  </w:abstractNum>
  <w:abstractNum w:abstractNumId="152">
    <w:nsid w:val="51BF6B48"/>
    <w:multiLevelType w:val="hybridMultilevel"/>
    <w:lvl w:ilvl="0">
      <w:lvlJc w:val="left"/>
      <w:lvlText w:val="(%1)"/>
      <w:numFmt w:val="lowerRoman"/>
      <w:start w:val="1"/>
    </w:lvl>
  </w:abstractNum>
  <w:abstractNum w:abstractNumId="153">
    <w:nsid w:val="7E0F6384"/>
    <w:multiLevelType w:val="hybridMultilevel"/>
    <w:lvl w:ilvl="0">
      <w:lvlJc w:val="left"/>
      <w:lvlText w:val="∎"/>
      <w:numFmt w:val="bullet"/>
      <w:start w:val="1"/>
    </w:lvl>
  </w:abstractNum>
  <w:abstractNum w:abstractNumId="154">
    <w:nsid w:val="2B4B8B53"/>
    <w:multiLevelType w:val="hybridMultilevel"/>
    <w:lvl w:ilvl="0">
      <w:lvlJc w:val="left"/>
      <w:lvlText w:val="∎"/>
      <w:numFmt w:val="bullet"/>
      <w:start w:val="1"/>
    </w:lvl>
    <w:lvl w:ilvl="1">
      <w:lvlJc w:val="left"/>
      <w:lvlText w:val="∎"/>
      <w:numFmt w:val="bullet"/>
      <w:start w:val="1"/>
    </w:lvl>
  </w:abstractNum>
  <w:abstractNum w:abstractNumId="155">
    <w:nsid w:val="72E3413A"/>
    <w:multiLevelType w:val="hybridMultilevel"/>
    <w:lvl w:ilvl="0">
      <w:lvlJc w:val="left"/>
      <w:lvlText w:val="∎"/>
      <w:numFmt w:val="bullet"/>
      <w:start w:val="1"/>
    </w:lvl>
  </w:abstractNum>
  <w:abstractNum w:abstractNumId="156">
    <w:nsid w:val="116AE494"/>
    <w:multiLevelType w:val="hybridMultilevel"/>
    <w:lvl w:ilvl="0">
      <w:lvlJc w:val="left"/>
      <w:lvlText w:val="(%1)"/>
      <w:numFmt w:val="decimal"/>
      <w:start w:val="1"/>
    </w:lvl>
  </w:abstractNum>
  <w:abstractNum w:abstractNumId="157">
    <w:nsid w:val="3494B2FB"/>
    <w:multiLevelType w:val="hybridMultilevel"/>
    <w:lvl w:ilvl="0">
      <w:lvlJc w:val="left"/>
      <w:lvlText w:val="(%1)"/>
      <w:numFmt w:val="decimal"/>
      <w:start w:val="4"/>
    </w:lvl>
  </w:abstractNum>
  <w:abstractNum w:abstractNumId="158">
    <w:nsid w:val="B13A31"/>
    <w:multiLevelType w:val="hybridMultilevel"/>
    <w:lvl w:ilvl="0">
      <w:lvlJc w:val="left"/>
      <w:lvlText w:val="∎"/>
      <w:numFmt w:val="bullet"/>
      <w:start w:val="1"/>
    </w:lvl>
  </w:abstractNum>
  <w:abstractNum w:abstractNumId="159">
    <w:nsid w:val="64429599"/>
    <w:multiLevelType w:val="hybridMultilevel"/>
    <w:lvl w:ilvl="0">
      <w:lvlJc w:val="left"/>
      <w:lvlText w:val="$"/>
      <w:numFmt w:val="bullet"/>
      <w:start w:val="1"/>
    </w:lvl>
  </w:abstractNum>
  <w:abstractNum w:abstractNumId="160">
    <w:nsid w:val="631F1690"/>
    <w:multiLevelType w:val="hybridMultilevel"/>
    <w:lvl w:ilvl="0">
      <w:lvlJc w:val="left"/>
      <w:lvlText w:val="∎"/>
      <w:numFmt w:val="bullet"/>
      <w:start w:val="1"/>
    </w:lvl>
  </w:abstractNum>
  <w:abstractNum w:abstractNumId="161">
    <w:nsid w:val="25973E32"/>
    <w:multiLevelType w:val="hybridMultilevel"/>
    <w:lvl w:ilvl="0">
      <w:lvlJc w:val="left"/>
      <w:lvlText w:val="∎"/>
      <w:numFmt w:val="bullet"/>
      <w:start w:val="1"/>
    </w:lvl>
  </w:abstractNum>
  <w:abstractNum w:abstractNumId="162">
    <w:nsid w:val="EAD6F57"/>
    <w:multiLevelType w:val="hybridMultilevel"/>
    <w:lvl w:ilvl="0">
      <w:lvlJc w:val="left"/>
      <w:lvlText w:val="∎"/>
      <w:numFmt w:val="bullet"/>
      <w:start w:val="1"/>
    </w:lvl>
  </w:abstractNum>
  <w:abstractNum w:abstractNumId="163">
    <w:nsid w:val="6EC9D844"/>
    <w:multiLevelType w:val="hybridMultilevel"/>
    <w:lvl w:ilvl="0">
      <w:lvlJc w:val="left"/>
      <w:lvlText w:val="∎"/>
      <w:numFmt w:val="bullet"/>
      <w:start w:val="1"/>
    </w:lvl>
  </w:abstractNum>
  <w:abstractNum w:abstractNumId="164">
    <w:nsid w:val="5C49EAEE"/>
    <w:multiLevelType w:val="hybridMultilevel"/>
    <w:lvl w:ilvl="0">
      <w:lvlJc w:val="left"/>
      <w:lvlText w:val="∎"/>
      <w:numFmt w:val="bullet"/>
      <w:start w:val="1"/>
    </w:lvl>
  </w:abstractNum>
  <w:abstractNum w:abstractNumId="165">
    <w:nsid w:val="64AF49B"/>
    <w:multiLevelType w:val="hybridMultilevel"/>
    <w:lvl w:ilvl="0">
      <w:lvlJc w:val="left"/>
      <w:lvlText w:val="∎"/>
      <w:numFmt w:val="bullet"/>
      <w:start w:val="1"/>
    </w:lvl>
  </w:abstractNum>
  <w:abstractNum w:abstractNumId="166">
    <w:nsid w:val="397C46BC"/>
    <w:multiLevelType w:val="hybridMultilevel"/>
    <w:lvl w:ilvl="0">
      <w:lvlJc w:val="left"/>
      <w:lvlText w:val="(%1)"/>
      <w:numFmt w:val="lowerLetter"/>
      <w:start w:val="1"/>
    </w:lvl>
  </w:abstractNum>
  <w:abstractNum w:abstractNumId="167">
    <w:nsid w:val="7E448D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8">
    <w:nsid w:val="5A9CC3E5"/>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169">
    <w:nsid w:val="1AFE3625"/>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70">
    <w:nsid w:val="3CA88EC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71">
    <w:nsid w:val="6EBE4208"/>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72">
    <w:nsid w:val="C058DF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73">
    <w:nsid w:val="CBE5BE9"/>
    <w:multiLevelType w:val="hybridMultilevel"/>
    <w:lvl w:ilvl="0">
      <w:lvlJc w:val="left"/>
      <w:lvlText w:val="*"/>
      <w:numFmt w:val="bullet"/>
      <w:start w:val="1"/>
    </w:lvl>
  </w:abstractNum>
  <w:abstractNum w:abstractNumId="174">
    <w:nsid w:val="3102BBE2"/>
    <w:multiLevelType w:val="hybridMultilevel"/>
    <w:lvl w:ilvl="0">
      <w:lvlJc w:val="left"/>
      <w:lvlText w:val="1"/>
      <w:numFmt w:val="bullet"/>
      <w:start w:val="1"/>
    </w:lvl>
  </w:abstractNum>
  <w:abstractNum w:abstractNumId="175">
    <w:nsid w:val="26A02C5E"/>
    <w:multiLevelType w:val="hybridMultilevel"/>
    <w:lvl w:ilvl="0">
      <w:lvlJc w:val="left"/>
      <w:lvlText w:val="%1)"/>
      <w:numFmt w:val="lowerRoman"/>
      <w:start w:val="1"/>
    </w:lvl>
  </w:abstractNum>
  <w:abstractNum w:abstractNumId="176">
    <w:nsid w:val="541C8153"/>
    <w:multiLevelType w:val="hybridMultilevel"/>
    <w:lvl w:ilvl="0">
      <w:lvlJc w:val="left"/>
      <w:lvlText w:val="%1)"/>
      <w:numFmt w:val="lowerRoman"/>
      <w:start w:val="1"/>
    </w:lvl>
  </w:abstractNum>
  <w:abstractNum w:abstractNumId="177">
    <w:nsid w:val="67906F60"/>
    <w:multiLevelType w:val="hybridMultilevel"/>
    <w:lvl w:ilvl="0">
      <w:lvlJc w:val="left"/>
      <w:lvlText w:val="(%1)"/>
      <w:numFmt w:val="lowerRoman"/>
      <w:start w:val="1"/>
    </w:lvl>
  </w:abstractNum>
  <w:abstractNum w:abstractNumId="178">
    <w:nsid w:val="10DB9DAA"/>
    <w:multiLevelType w:val="hybridMultilevel"/>
    <w:lvl w:ilvl="0">
      <w:lvlJc w:val="left"/>
      <w:lvlText w:val="(%1)"/>
      <w:numFmt w:val="lowerRoman"/>
      <w:start w:val="1"/>
    </w:lvl>
  </w:abstractNum>
  <w:abstractNum w:abstractNumId="179">
    <w:nsid w:val="697D2D2"/>
    <w:multiLevelType w:val="hybridMultilevel"/>
    <w:lvl w:ilvl="0">
      <w:lvlJc w:val="left"/>
      <w:lvlText w:val="%1)"/>
      <w:numFmt w:val="lowerRoman"/>
      <w:start w:val="1"/>
    </w:lvl>
  </w:abstractNum>
  <w:abstractNum w:abstractNumId="180">
    <w:nsid w:val="6D68AB2"/>
    <w:multiLevelType w:val="hybridMultilevel"/>
    <w:lvl w:ilvl="0">
      <w:lvlJc w:val="left"/>
      <w:lvlText w:val="%1."/>
      <w:numFmt w:val="lowerRoman"/>
      <w:start w:val="1"/>
    </w:lvl>
  </w:abstractNum>
  <w:abstractNum w:abstractNumId="181">
    <w:nsid w:val="3A966CD0"/>
    <w:multiLevelType w:val="hybridMultilevel"/>
    <w:lvl w:ilvl="0">
      <w:lvlJc w:val="left"/>
      <w:lvlText w:val="%1."/>
      <w:numFmt w:val="decimal"/>
      <w:start w:val="2"/>
    </w:lvl>
  </w:abstractNum>
  <w:abstractNum w:abstractNumId="182">
    <w:nsid w:val="63F37E85"/>
    <w:multiLevelType w:val="hybridMultilevel"/>
    <w:lvl w:ilvl="0">
      <w:lvlJc w:val="left"/>
      <w:lvlText w:val="•"/>
      <w:numFmt w:val="bullet"/>
      <w:start w:val="1"/>
    </w:lvl>
  </w:abstractNum>
  <w:abstractNum w:abstractNumId="183">
    <w:nsid w:val="5895F5FA"/>
    <w:multiLevelType w:val="hybridMultilevel"/>
    <w:lvl w:ilvl="0">
      <w:lvlJc w:val="left"/>
      <w:lvlText w:val="%1)"/>
      <w:numFmt w:val="lowerLetter"/>
      <w:start w:val="1"/>
    </w:lvl>
  </w:abstractNum>
  <w:abstractNum w:abstractNumId="184">
    <w:nsid w:val="38A5D054"/>
    <w:multiLevelType w:val="hybridMultilevel"/>
    <w:lvl w:ilvl="0">
      <w:lvlJc w:val="left"/>
      <w:lvlText w:val="•"/>
      <w:numFmt w:val="bullet"/>
      <w:start w:val="1"/>
    </w:lvl>
  </w:abstractNum>
  <w:abstractNum w:abstractNumId="185">
    <w:nsid w:val="F3F09D8"/>
    <w:multiLevelType w:val="hybridMultilevel"/>
    <w:lvl w:ilvl="0">
      <w:lvlJc w:val="left"/>
      <w:lvlText w:val="•"/>
      <w:numFmt w:val="bullet"/>
      <w:start w:val="1"/>
    </w:lvl>
  </w:abstractNum>
  <w:abstractNum w:abstractNumId="186">
    <w:nsid w:val="4B793735"/>
    <w:multiLevelType w:val="hybridMultilevel"/>
    <w:lvl w:ilvl="0">
      <w:lvlJc w:val="left"/>
      <w:lvlText w:val="•"/>
      <w:numFmt w:val="bullet"/>
      <w:start w:val="1"/>
    </w:lvl>
  </w:abstractNum>
  <w:abstractNum w:abstractNumId="187">
    <w:nsid w:val="4A10B4E8"/>
    <w:multiLevelType w:val="hybridMultilevel"/>
    <w:lvl w:ilvl="0">
      <w:lvlJc w:val="left"/>
      <w:lvlText w:val="•"/>
      <w:numFmt w:val="bullet"/>
      <w:start w:val="1"/>
    </w:lvl>
  </w:abstractNum>
  <w:abstractNum w:abstractNumId="188">
    <w:nsid w:val="43D3BCD4"/>
    <w:multiLevelType w:val="hybridMultilevel"/>
    <w:lvl w:ilvl="0">
      <w:lvlJc w:val="left"/>
      <w:lvlText w:val="%1."/>
      <w:numFmt w:val="decimal"/>
      <w:start w:val="5"/>
    </w:lvl>
  </w:abstractNum>
  <w:abstractNum w:abstractNumId="189">
    <w:nsid w:val="4C2A7166"/>
    <w:multiLevelType w:val="hybridMultilevel"/>
    <w:lvl w:ilvl="0">
      <w:lvlJc w:val="left"/>
      <w:lvlText w:val="%1."/>
      <w:numFmt w:val="decimal"/>
      <w:start w:val="7"/>
    </w:lvl>
  </w:abstractNum>
  <w:abstractNum w:abstractNumId="190">
    <w:nsid w:val="2E534A82"/>
    <w:multiLevelType w:val="hybridMultilevel"/>
    <w:lvl w:ilvl="0">
      <w:lvlJc w:val="left"/>
      <w:lvlText w:val="•"/>
      <w:numFmt w:val="bullet"/>
      <w:start w:val="1"/>
    </w:lvl>
  </w:abstractNum>
  <w:abstractNum w:abstractNumId="191">
    <w:nsid w:val="26F2D364"/>
    <w:multiLevelType w:val="hybridMultilevel"/>
    <w:lvl w:ilvl="0">
      <w:lvlJc w:val="left"/>
      <w:lvlText w:val="•"/>
      <w:numFmt w:val="bullet"/>
      <w:start w:val="1"/>
    </w:lvl>
  </w:abstractNum>
  <w:abstractNum w:abstractNumId="192">
    <w:nsid w:val="71C1AF98"/>
    <w:multiLevelType w:val="hybridMultilevel"/>
    <w:lvl w:ilvl="0">
      <w:lvlJc w:val="left"/>
      <w:lvlText w:val="•"/>
      <w:numFmt w:val="bullet"/>
      <w:start w:val="1"/>
    </w:lvl>
  </w:abstractNum>
  <w:abstractNum w:abstractNumId="193">
    <w:nsid w:val="3D00B9D9"/>
    <w:multiLevelType w:val="hybridMultilevel"/>
    <w:lvl w:ilvl="0">
      <w:lvlJc w:val="left"/>
      <w:lvlText w:val="•"/>
      <w:numFmt w:val="bullet"/>
      <w:start w:val="1"/>
    </w:lvl>
  </w:abstractNum>
  <w:abstractNum w:abstractNumId="194">
    <w:nsid w:val="15BCABA8"/>
    <w:multiLevelType w:val="hybridMultilevel"/>
    <w:lvl w:ilvl="0">
      <w:lvlJc w:val="left"/>
      <w:lvlText w:val="%1."/>
      <w:numFmt w:val="decimal"/>
      <w:start w:val="24"/>
    </w:lvl>
  </w:abstractNum>
  <w:abstractNum w:abstractNumId="195">
    <w:nsid w:val="4E0B9A87"/>
    <w:multiLevelType w:val="hybridMultilevel"/>
    <w:lvl w:ilvl="0">
      <w:lvlJc w:val="left"/>
      <w:lvlText w:val="24.%1."/>
      <w:numFmt w:val="decimal"/>
      <w:start w:val="1"/>
    </w:lvl>
  </w:abstractNum>
  <w:abstractNum w:abstractNumId="196">
    <w:nsid w:val="434BAE75"/>
    <w:multiLevelType w:val="hybridMultilevel"/>
    <w:lvl w:ilvl="0">
      <w:lvlJc w:val="left"/>
      <w:lvlText w:val="•"/>
      <w:numFmt w:val="bullet"/>
      <w:start w:val="1"/>
    </w:lvl>
  </w:abstractNum>
  <w:abstractNum w:abstractNumId="197">
    <w:nsid w:val="4F38F265"/>
    <w:multiLevelType w:val="hybridMultilevel"/>
    <w:lvl w:ilvl="0">
      <w:lvlJc w:val="left"/>
      <w:lvlText w:val="•"/>
      <w:numFmt w:val="bullet"/>
      <w:start w:val="1"/>
    </w:lvl>
  </w:abstractNum>
  <w:abstractNum w:abstractNumId="198">
    <w:nsid w:val="4C502870"/>
    <w:multiLevelType w:val="hybridMultilevel"/>
    <w:lvl w:ilvl="0">
      <w:lvlJc w:val="left"/>
      <w:lvlText w:val="%1."/>
      <w:numFmt w:val="decimal"/>
      <w:start w:val="28"/>
    </w:lvl>
    <w:lvl w:ilvl="1">
      <w:lvlJc w:val="left"/>
      <w:lvlText w:val="•"/>
      <w:numFmt w:val="bullet"/>
      <w:start w:val="1"/>
    </w:lvl>
    <w:lvl w:ilvl="2">
      <w:lvlJc w:val="left"/>
      <w:lvlText w:val="•"/>
      <w:numFmt w:val="bullet"/>
      <w:start w:val="1"/>
    </w:lvl>
  </w:abstractNum>
  <w:abstractNum w:abstractNumId="199">
    <w:nsid w:val="1DE8725A"/>
    <w:multiLevelType w:val="hybridMultilevel"/>
    <w:lvl w:ilvl="0">
      <w:lvlJc w:val="left"/>
      <w:lvlText w:val="(%1)"/>
      <w:numFmt w:val="lowerLetter"/>
      <w:start w:val="1"/>
    </w:lvl>
  </w:abstractNum>
  <w:abstractNum w:abstractNumId="200">
    <w:nsid w:val="6A37288A"/>
    <w:multiLevelType w:val="hybridMultilevel"/>
    <w:lvl w:ilvl="0">
      <w:lvlJc w:val="left"/>
      <w:lvlText w:val="(%1)"/>
      <w:numFmt w:val="lowerLetter"/>
      <w:start w:val="3"/>
    </w:lvl>
  </w:abstractNum>
  <w:abstractNum w:abstractNumId="201">
    <w:nsid w:val="8F8B73F"/>
    <w:multiLevelType w:val="hybridMultilevel"/>
    <w:lvl w:ilvl="0">
      <w:lvlJc w:val="left"/>
      <w:lvlText w:val="•"/>
      <w:numFmt w:val="bullet"/>
      <w:start w:val="1"/>
    </w:lvl>
  </w:abstractNum>
  <w:abstractNum w:abstractNumId="202">
    <w:nsid w:val="CA6B462"/>
    <w:multiLevelType w:val="hybridMultilevel"/>
    <w:lvl w:ilvl="0">
      <w:lvlJc w:val="left"/>
      <w:lvlText w:val="%1."/>
      <w:numFmt w:val="decimal"/>
      <w:start w:val="2"/>
    </w:lvl>
  </w:abstractNum>
  <w:abstractNum w:abstractNumId="203">
    <w:nsid w:val="763CB680"/>
    <w:multiLevelType w:val="hybridMultilevel"/>
    <w:lvl w:ilvl="0">
      <w:lvlJc w:val="left"/>
      <w:lvlText w:val="•"/>
      <w:numFmt w:val="bullet"/>
      <w:start w:val="1"/>
    </w:lvl>
  </w:abstractNum>
  <w:abstractNum w:abstractNumId="204">
    <w:nsid w:val="15B71329"/>
    <w:multiLevelType w:val="hybridMultilevel"/>
    <w:lvl w:ilvl="0">
      <w:lvlJc w:val="left"/>
      <w:lvlText w:val="%1."/>
      <w:numFmt w:val="decimal"/>
      <w:start w:val="7"/>
    </w:lvl>
  </w:abstractNum>
  <w:abstractNum w:abstractNumId="205">
    <w:nsid w:val="3DA97044"/>
    <w:multiLevelType w:val="hybridMultilevel"/>
    <w:lvl w:ilvl="0">
      <w:lvlJc w:val="left"/>
      <w:lvlText w:val="•"/>
      <w:numFmt w:val="bullet"/>
      <w:start w:val="1"/>
    </w:lvl>
  </w:abstractNum>
  <w:abstractNum w:abstractNumId="206">
    <w:nsid w:val="1CDCE2DE"/>
    <w:multiLevelType w:val="hybridMultilevel"/>
    <w:lvl w:ilvl="0">
      <w:lvlJc w:val="left"/>
      <w:lvlText w:val="•"/>
      <w:numFmt w:val="bullet"/>
      <w:start w:val="1"/>
    </w:lvl>
  </w:abstractNum>
  <w:abstractNum w:abstractNumId="207">
    <w:nsid w:val="69D3947C"/>
    <w:multiLevelType w:val="hybridMultilevel"/>
    <w:lvl w:ilvl="0">
      <w:lvlJc w:val="left"/>
      <w:lvlText w:val="•"/>
      <w:numFmt w:val="bullet"/>
      <w:start w:val="1"/>
    </w:lvl>
  </w:abstractNum>
  <w:abstractNum w:abstractNumId="208">
    <w:nsid w:val="2539DFA5"/>
    <w:multiLevelType w:val="hybridMultilevel"/>
    <w:lvl w:ilvl="0">
      <w:lvlJc w:val="left"/>
      <w:lvlText w:val="%1."/>
      <w:numFmt w:val="decimal"/>
      <w:start w:val="11"/>
    </w:lvl>
  </w:abstractNum>
  <w:abstractNum w:abstractNumId="209">
    <w:nsid w:val="2DB88089"/>
    <w:multiLevelType w:val="hybridMultilevel"/>
    <w:lvl w:ilvl="0">
      <w:lvlJc w:val="left"/>
      <w:lvlText w:val="%1."/>
      <w:numFmt w:val="decimal"/>
      <w:start w:val="12"/>
    </w:lvl>
  </w:abstractNum>
  <w:abstractNum w:abstractNumId="210">
    <w:nsid w:val="706B674E"/>
    <w:multiLevelType w:val="hybridMultilevel"/>
    <w:lvl w:ilvl="0">
      <w:lvlJc w:val="left"/>
      <w:lvlText w:val="B"/>
      <w:numFmt w:val="bullet"/>
      <w:start w:val="1"/>
    </w:lvl>
  </w:abstractNum>
  <w:abstractNum w:abstractNumId="211">
    <w:nsid w:val="2C106A57"/>
    <w:multiLevelType w:val="hybridMultilevel"/>
    <w:lvl w:ilvl="0">
      <w:lvlJc w:val="left"/>
      <w:lvlText w:val="•"/>
      <w:numFmt w:val="bullet"/>
      <w:start w:val="1"/>
    </w:lvl>
  </w:abstractNum>
  <w:abstractNum w:abstractNumId="212">
    <w:nsid w:val="684EED59"/>
    <w:multiLevelType w:val="hybridMultilevel"/>
    <w:lvl w:ilvl="0">
      <w:lvlJc w:val="left"/>
      <w:lvlText w:val="C"/>
      <w:numFmt w:val="bullet"/>
      <w:start w:val="1"/>
    </w:lvl>
  </w:abstractNum>
  <w:abstractNum w:abstractNumId="213">
    <w:nsid w:val="545EE5D3"/>
    <w:multiLevelType w:val="hybridMultilevel"/>
    <w:lvl w:ilvl="0">
      <w:lvlJc w:val="left"/>
      <w:lvlText w:val="D"/>
      <w:numFmt w:val="bullet"/>
      <w:start w:val="1"/>
    </w:lvl>
  </w:abstractNum>
  <w:abstractNum w:abstractNumId="214">
    <w:nsid w:val="4A66051"/>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454"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7" Type="http://schemas.openxmlformats.org/officeDocument/2006/relationships/image" Target="media/image442.png"/><Relationship Id="rId458" Type="http://schemas.openxmlformats.org/officeDocument/2006/relationships/image" Target="media/image443.png"/><Relationship Id="rId459" Type="http://schemas.openxmlformats.org/officeDocument/2006/relationships/image" Target="media/image444.png"/><Relationship Id="rId460" Type="http://schemas.openxmlformats.org/officeDocument/2006/relationships/image" Target="media/image445.png"/><Relationship Id="rId461" Type="http://schemas.openxmlformats.org/officeDocument/2006/relationships/image" Target="media/image446.png"/><Relationship Id="rId462" Type="http://schemas.openxmlformats.org/officeDocument/2006/relationships/image" Target="media/image447.png"/><Relationship Id="rId463" Type="http://schemas.openxmlformats.org/officeDocument/2006/relationships/image" Target="media/image448.png"/><Relationship Id="rId464" Type="http://schemas.openxmlformats.org/officeDocument/2006/relationships/image" Target="media/image449.png"/><Relationship Id="rId465"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png"/><Relationship Id="rId475" Type="http://schemas.openxmlformats.org/officeDocument/2006/relationships/image" Target="media/image460.png"/><Relationship Id="rId476" Type="http://schemas.openxmlformats.org/officeDocument/2006/relationships/image" Target="media/image461.png"/><Relationship Id="rId477" Type="http://schemas.openxmlformats.org/officeDocument/2006/relationships/image" Target="media/image462.png"/><Relationship Id="rId478" Type="http://schemas.openxmlformats.org/officeDocument/2006/relationships/image" Target="media/image463.png"/><Relationship Id="rId479" Type="http://schemas.openxmlformats.org/officeDocument/2006/relationships/image" Target="media/image464.png"/><Relationship Id="rId480" Type="http://schemas.openxmlformats.org/officeDocument/2006/relationships/image" Target="media/image465.png"/><Relationship Id="rId481" Type="http://schemas.openxmlformats.org/officeDocument/2006/relationships/image" Target="media/image466.png"/><Relationship Id="rId482" Type="http://schemas.openxmlformats.org/officeDocument/2006/relationships/image" Target="media/image467.png"/><Relationship Id="rId483"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487" Type="http://schemas.openxmlformats.org/officeDocument/2006/relationships/image" Target="media/image472.png"/><Relationship Id="rId488" Type="http://schemas.openxmlformats.org/officeDocument/2006/relationships/image" Target="media/image473.png"/><Relationship Id="rId489" Type="http://schemas.openxmlformats.org/officeDocument/2006/relationships/image" Target="media/image474.png"/><Relationship Id="rId490" Type="http://schemas.openxmlformats.org/officeDocument/2006/relationships/image" Target="media/image475.png"/><Relationship Id="rId491" Type="http://schemas.openxmlformats.org/officeDocument/2006/relationships/image" Target="media/image476.png"/><Relationship Id="rId492" Type="http://schemas.openxmlformats.org/officeDocument/2006/relationships/image" Target="media/image477.png"/><Relationship Id="rId493" Type="http://schemas.openxmlformats.org/officeDocument/2006/relationships/image" Target="media/image478.png"/><Relationship Id="rId494" Type="http://schemas.openxmlformats.org/officeDocument/2006/relationships/image" Target="media/image479.png"/><Relationship Id="rId495" Type="http://schemas.openxmlformats.org/officeDocument/2006/relationships/image" Target="media/image480.png"/><Relationship Id="rId496" Type="http://schemas.openxmlformats.org/officeDocument/2006/relationships/image" Target="media/image481.png"/><Relationship Id="rId497" Type="http://schemas.openxmlformats.org/officeDocument/2006/relationships/image" Target="media/image482.png"/><Relationship Id="rId498" Type="http://schemas.openxmlformats.org/officeDocument/2006/relationships/image" Target="media/image483.png"/><Relationship Id="rId499" Type="http://schemas.openxmlformats.org/officeDocument/2006/relationships/image" Target="media/image484.png"/><Relationship Id="rId500" Type="http://schemas.openxmlformats.org/officeDocument/2006/relationships/image" Target="media/image485.png"/><Relationship Id="rId501" Type="http://schemas.openxmlformats.org/officeDocument/2006/relationships/image" Target="media/image486.png"/><Relationship Id="rId502" Type="http://schemas.openxmlformats.org/officeDocument/2006/relationships/image" Target="media/image487.png"/><Relationship Id="rId503" Type="http://schemas.openxmlformats.org/officeDocument/2006/relationships/image" Target="media/image488.png"/><Relationship Id="rId504" Type="http://schemas.openxmlformats.org/officeDocument/2006/relationships/image" Target="media/image489.png"/><Relationship Id="rId505" Type="http://schemas.openxmlformats.org/officeDocument/2006/relationships/image" Target="media/image490.png"/><Relationship Id="rId506" Type="http://schemas.openxmlformats.org/officeDocument/2006/relationships/image" Target="media/image491.png"/><Relationship Id="rId507" Type="http://schemas.openxmlformats.org/officeDocument/2006/relationships/image" Target="media/image492.png"/><Relationship Id="rId508" Type="http://schemas.openxmlformats.org/officeDocument/2006/relationships/image" Target="media/image493.png"/><Relationship Id="rId509" Type="http://schemas.openxmlformats.org/officeDocument/2006/relationships/image" Target="media/image494.png"/><Relationship Id="rId510" Type="http://schemas.openxmlformats.org/officeDocument/2006/relationships/image" Target="media/image495.png"/><Relationship Id="rId511" Type="http://schemas.openxmlformats.org/officeDocument/2006/relationships/image" Target="media/image496.png"/><Relationship Id="rId512" Type="http://schemas.openxmlformats.org/officeDocument/2006/relationships/image" Target="media/image497.png"/><Relationship Id="rId513" Type="http://schemas.openxmlformats.org/officeDocument/2006/relationships/image" Target="media/image498.png"/><Relationship Id="rId514" Type="http://schemas.openxmlformats.org/officeDocument/2006/relationships/image" Target="media/image499.png"/><Relationship Id="rId515" Type="http://schemas.openxmlformats.org/officeDocument/2006/relationships/image" Target="media/image500.png"/><Relationship Id="rId516" Type="http://schemas.openxmlformats.org/officeDocument/2006/relationships/image" Target="media/image501.png"/><Relationship Id="rId517" Type="http://schemas.openxmlformats.org/officeDocument/2006/relationships/image" Target="media/image502.png"/><Relationship Id="rId518" Type="http://schemas.openxmlformats.org/officeDocument/2006/relationships/image" Target="media/image503.png"/><Relationship Id="rId519" Type="http://schemas.openxmlformats.org/officeDocument/2006/relationships/image" Target="media/image504.png"/><Relationship Id="rId520" Type="http://schemas.openxmlformats.org/officeDocument/2006/relationships/image" Target="media/image505.png"/><Relationship Id="rId521" Type="http://schemas.openxmlformats.org/officeDocument/2006/relationships/image" Target="media/image506.png"/><Relationship Id="rId522" Type="http://schemas.openxmlformats.org/officeDocument/2006/relationships/image" Target="media/image507.png"/><Relationship Id="rId523" Type="http://schemas.openxmlformats.org/officeDocument/2006/relationships/image" Target="media/image508.png"/><Relationship Id="rId524" Type="http://schemas.openxmlformats.org/officeDocument/2006/relationships/image" Target="media/image509.png"/><Relationship Id="rId525" Type="http://schemas.openxmlformats.org/officeDocument/2006/relationships/image" Target="media/image510.png"/><Relationship Id="rId526" Type="http://schemas.openxmlformats.org/officeDocument/2006/relationships/image" Target="media/image511.png"/><Relationship Id="rId527" Type="http://schemas.openxmlformats.org/officeDocument/2006/relationships/image" Target="media/image512.png"/><Relationship Id="rId528" Type="http://schemas.openxmlformats.org/officeDocument/2006/relationships/image" Target="media/image513.png"/><Relationship Id="rId529" Type="http://schemas.openxmlformats.org/officeDocument/2006/relationships/image" Target="media/image514.png"/><Relationship Id="rId530" Type="http://schemas.openxmlformats.org/officeDocument/2006/relationships/image" Target="media/image515.png"/><Relationship Id="rId531" Type="http://schemas.openxmlformats.org/officeDocument/2006/relationships/image" Target="media/image516.png"/><Relationship Id="rId532" Type="http://schemas.openxmlformats.org/officeDocument/2006/relationships/image" Target="media/image517.png"/><Relationship Id="rId533" Type="http://schemas.openxmlformats.org/officeDocument/2006/relationships/image" Target="media/image518.png"/><Relationship Id="rId534" Type="http://schemas.openxmlformats.org/officeDocument/2006/relationships/image" Target="media/image519.png"/><Relationship Id="rId535" Type="http://schemas.openxmlformats.org/officeDocument/2006/relationships/image" Target="media/image520.png"/><Relationship Id="rId536" Type="http://schemas.openxmlformats.org/officeDocument/2006/relationships/image" Target="media/image521.png"/><Relationship Id="rId537" Type="http://schemas.openxmlformats.org/officeDocument/2006/relationships/image" Target="media/image522.png"/><Relationship Id="rId538" Type="http://schemas.openxmlformats.org/officeDocument/2006/relationships/image" Target="media/image523.png"/><Relationship Id="rId539" Type="http://schemas.openxmlformats.org/officeDocument/2006/relationships/image" Target="media/image524.png"/><Relationship Id="rId540" Type="http://schemas.openxmlformats.org/officeDocument/2006/relationships/image" Target="media/image525.png"/><Relationship Id="rId541" Type="http://schemas.openxmlformats.org/officeDocument/2006/relationships/image" Target="media/image526.png"/><Relationship Id="rId542" Type="http://schemas.openxmlformats.org/officeDocument/2006/relationships/image" Target="media/image527.png"/><Relationship Id="rId543" Type="http://schemas.openxmlformats.org/officeDocument/2006/relationships/image" Target="media/image528.png"/><Relationship Id="rId544" Type="http://schemas.openxmlformats.org/officeDocument/2006/relationships/image" Target="media/image529.png"/><Relationship Id="rId545" Type="http://schemas.openxmlformats.org/officeDocument/2006/relationships/image" Target="media/image530.png"/><Relationship Id="rId546" Type="http://schemas.openxmlformats.org/officeDocument/2006/relationships/image" Target="media/image531.png"/><Relationship Id="rId547" Type="http://schemas.openxmlformats.org/officeDocument/2006/relationships/image" Target="media/image532.png"/><Relationship Id="rId548" Type="http://schemas.openxmlformats.org/officeDocument/2006/relationships/image" Target="media/image533.png"/><Relationship Id="rId549" Type="http://schemas.openxmlformats.org/officeDocument/2006/relationships/image" Target="media/image534.png"/><Relationship Id="rId550" Type="http://schemas.openxmlformats.org/officeDocument/2006/relationships/image" Target="media/image535.png"/><Relationship Id="rId551" Type="http://schemas.openxmlformats.org/officeDocument/2006/relationships/image" Target="media/image536.png"/><Relationship Id="rId552" Type="http://schemas.openxmlformats.org/officeDocument/2006/relationships/image" Target="media/image537.png"/><Relationship Id="rId553" Type="http://schemas.openxmlformats.org/officeDocument/2006/relationships/image" Target="media/image538.png"/><Relationship Id="rId554" Type="http://schemas.openxmlformats.org/officeDocument/2006/relationships/image" Target="media/image539.png"/><Relationship Id="rId555" Type="http://schemas.openxmlformats.org/officeDocument/2006/relationships/image" Target="media/image540.png"/><Relationship Id="rId556" Type="http://schemas.openxmlformats.org/officeDocument/2006/relationships/image" Target="media/image541.png"/><Relationship Id="rId557" Type="http://schemas.openxmlformats.org/officeDocument/2006/relationships/image" Target="media/image542.png"/><Relationship Id="rId558" Type="http://schemas.openxmlformats.org/officeDocument/2006/relationships/image" Target="media/image543.png"/><Relationship Id="rId559" Type="http://schemas.openxmlformats.org/officeDocument/2006/relationships/image" Target="media/image544.png"/><Relationship Id="rId560" Type="http://schemas.openxmlformats.org/officeDocument/2006/relationships/image" Target="media/image545.png"/><Relationship Id="rId561" Type="http://schemas.openxmlformats.org/officeDocument/2006/relationships/image" Target="media/image546.png"/><Relationship Id="rId562" Type="http://schemas.openxmlformats.org/officeDocument/2006/relationships/image" Target="media/image547.png"/><Relationship Id="rId563" Type="http://schemas.openxmlformats.org/officeDocument/2006/relationships/image" Target="media/image548.png"/><Relationship Id="rId564" Type="http://schemas.openxmlformats.org/officeDocument/2006/relationships/image" Target="media/image549.png"/><Relationship Id="rId565" Type="http://schemas.openxmlformats.org/officeDocument/2006/relationships/image" Target="media/image550.png"/><Relationship Id="rId566" Type="http://schemas.openxmlformats.org/officeDocument/2006/relationships/image" Target="media/image551.png"/><Relationship Id="rId567" Type="http://schemas.openxmlformats.org/officeDocument/2006/relationships/image" Target="media/image552.png"/><Relationship Id="rId568" Type="http://schemas.openxmlformats.org/officeDocument/2006/relationships/image" Target="media/image553.png"/><Relationship Id="rId569" Type="http://schemas.openxmlformats.org/officeDocument/2006/relationships/image" Target="media/image554.png"/><Relationship Id="rId570" Type="http://schemas.openxmlformats.org/officeDocument/2006/relationships/image" Target="media/image555.png"/><Relationship Id="rId398" Type="http://schemas.openxmlformats.org/officeDocument/2006/relationships/hyperlink" Target="http://www.sec.gov/Archives/edgar/data/1719714/000119312519016112/d680874dex31.htm" TargetMode="External"/><Relationship Id="rId399" Type="http://schemas.openxmlformats.org/officeDocument/2006/relationships/hyperlink" Target="http://www.sec.gov/Archives/edgar/data/1719714/000119312519016112/d680874dex42.htm" TargetMode="External"/><Relationship Id="rId400" Type="http://schemas.openxmlformats.org/officeDocument/2006/relationships/hyperlink" Target="http://www.sec.gov/Archives/edgar/data/1719714/000119312520040643/d885226dex51.htm" TargetMode="External"/><Relationship Id="rId401" Type="http://schemas.openxmlformats.org/officeDocument/2006/relationships/hyperlink" Target="http://www.sec.gov/Archives/edgar/data/1719714/000119312520029019/d884665dex101.htm" TargetMode="External"/><Relationship Id="rId402" Type="http://schemas.openxmlformats.org/officeDocument/2006/relationships/hyperlink" Target="http://www.sec.gov/Archives/edgar/data/1719714/000119312520029019/d884665dex102.htm" TargetMode="External"/><Relationship Id="rId403" Type="http://schemas.openxmlformats.org/officeDocument/2006/relationships/hyperlink" Target="http://www.sec.gov/Archives/edgar/data/1719714/000119312520041452/d886556dex101.htm" TargetMode="External"/><Relationship Id="rId404" Type="http://schemas.openxmlformats.org/officeDocument/2006/relationships/hyperlink" Target="http://www.sec.gov/Archives/edgar/data/1719714/000119312520041452/d886556dex102.htm" TargetMode="External"/><Relationship Id="rId405" Type="http://schemas.openxmlformats.org/officeDocument/2006/relationships/hyperlink" Target="http://www.sec.gov/Archives/edgar/data/1719714/000119312519125560/d734372d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2020-03-06T16:36:52Z</dcterms:created>
  <dcterms:modified xsi:type="dcterms:W3CDTF">2020-03-06T16:36:52Z</dcterms:modified>
</cp:coreProperties>
</file>