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2022 Financial Information:</w:t>
      </w:r>
    </w:p>
    <w:p>
      <w:pPr>
        <w:spacing w:after="0" w:line="121"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As of September 30, 2022, Mereo BioPharma Group plc (the “Company”) had cash and short-term deposits of £67.5 million ($74.8 million). Net cash burn during the third quarter of 2022 amounted to £8.9 million ($9.9 million). The Company expects its existing cash and short-term deposits will enable it to fund its currently committed clinical trials, operating expenses and capital expenditure requirements into 2026.</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contents of this Report on Form 6-K are incorporated by reference into the Company’s registration statement on Form F-3 (File</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No. 333-258495) and Form S-8 (File Numbers 333-231636, 333-236498, 333-252147 and 333-262151) and related prospectuses, as such registration statements and prospectuses may be amended from time to time, and to be a part thereof from the date on which this report is filed, to the extent not superseded by documents or reports subsequently filed or furnished.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This Report on Form 6-K contains “forward-looking statements.” All statements other than statements of historical fact contained herein are forward-looking statements within the meaning of Section 27A of the Securities Act of 1933, as amended (the “Securities Act”), and Section 21E of the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Name:</w:t>
        <w:tab/>
        <w:t>Christine Fox</w:t>
      </w:r>
    </w:p>
    <w:p>
      <w:pPr>
        <w:spacing w:after="0" w:line="2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2022-11-10T15:39:53Z</dcterms:created>
  <dcterms:modified xsi:type="dcterms:W3CDTF">2022-11-10T15:39:53Z</dcterms:modified>
</cp:coreProperties>
</file>