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Ordinary share, nominal value £0.003, represented by American Depositary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June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Arial" w:cs="Arial" w:eastAsia="Arial" w:hAnsi="Arial"/>
          <w:sz w:val="18"/>
          <w:szCs w:val="18"/>
          <w:color w:val="auto"/>
        </w:rPr>
      </w:pPr>
    </w:p>
    <w:p>
      <w:pPr>
        <w:ind w:left="340" w:right="300"/>
        <w:spacing w:after="0" w:line="263"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1" w:name="page2"/>
    <w:bookmarkEnd w:id="1"/>
    <w:p>
      <w:pPr>
        <w:ind w:left="120"/>
        <w:spacing w:after="0"/>
        <w:rPr>
          <w:sz w:val="20"/>
          <w:szCs w:val="20"/>
          <w:color w:val="auto"/>
        </w:rPr>
      </w:pPr>
      <w:r>
        <w:rPr>
          <w:rFonts w:ascii="Arial" w:cs="Arial" w:eastAsia="Arial" w:hAnsi="Arial"/>
          <w:sz w:val="18"/>
          <w:szCs w:val="18"/>
          <w:color w:val="auto"/>
        </w:rPr>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3985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985895"/>
                    </a:xfrm>
                    <a:prstGeom prst="rect">
                      <a:avLst/>
                    </a:prstGeom>
                    <a:noFill/>
                  </pic:spPr>
                </pic:pic>
              </a:graphicData>
            </a:graphic>
          </wp:anchor>
        </w:drawing>
      </w:r>
    </w:p>
    <w:p>
      <w:pPr>
        <w:ind w:left="260"/>
        <w:spacing w:after="0" w:line="187" w:lineRule="auto"/>
        <w:rPr>
          <w:sz w:val="20"/>
          <w:szCs w:val="20"/>
          <w:color w:val="auto"/>
        </w:rPr>
      </w:pPr>
      <w:r>
        <w:rPr>
          <w:rFonts w:ascii="Arial" w:cs="Arial" w:eastAsia="Arial" w:hAnsi="Arial"/>
          <w:sz w:val="15"/>
          <w:szCs w:val="15"/>
          <w:b w:val="1"/>
          <w:bCs w:val="1"/>
          <w:color w:val="auto"/>
        </w:rPr>
        <w:t>1</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Vivo Capital IX, LLC</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260"/>
        <w:spacing w:after="0" w:line="207" w:lineRule="exact"/>
        <w:tabs>
          <w:tab w:leader="none" w:pos="720" w:val="left"/>
          <w:tab w:leader="none" w:pos="12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6"/>
          <w:szCs w:val="16"/>
          <w:color w:val="auto"/>
        </w:rPr>
        <w:t>☒</w:t>
      </w:r>
    </w:p>
    <w:p>
      <w:pPr>
        <w:spacing w:after="0" w:line="9" w:lineRule="exact"/>
        <w:rPr>
          <w:sz w:val="20"/>
          <w:szCs w:val="20"/>
          <w:color w:val="auto"/>
        </w:rPr>
      </w:pPr>
    </w:p>
    <w:p>
      <w:pPr>
        <w:ind w:left="1260" w:hanging="526"/>
        <w:spacing w:after="0" w:line="207" w:lineRule="exact"/>
        <w:tabs>
          <w:tab w:leader="none" w:pos="12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680" w:hanging="427"/>
        <w:spacing w:after="0" w:line="181" w:lineRule="auto"/>
        <w:tabs>
          <w:tab w:leader="none" w:pos="680" w:val="left"/>
        </w:tabs>
        <w:numPr>
          <w:ilvl w:val="0"/>
          <w:numId w:val="6"/>
        </w:numPr>
        <w:rPr>
          <w:rFonts w:ascii="Arial" w:cs="Arial" w:eastAsia="Arial" w:hAnsi="Arial"/>
          <w:sz w:val="28"/>
          <w:szCs w:val="28"/>
          <w:b w:val="1"/>
          <w:bCs w:val="1"/>
          <w:color w:val="auto"/>
          <w:vertAlign w:val="subscript"/>
        </w:rPr>
      </w:pPr>
      <w:r>
        <w:rPr>
          <w:rFonts w:ascii="Arial" w:cs="Arial" w:eastAsia="Arial" w:hAnsi="Arial"/>
          <w:sz w:val="15"/>
          <w:szCs w:val="15"/>
          <w:color w:val="auto"/>
        </w:rPr>
        <w:t>SEC USE ONLY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vMerge w:val="restart"/>
          </w:tcPr>
          <w:p>
            <w:pPr>
              <w:jc w:val="center"/>
              <w:ind w:left="103"/>
              <w:spacing w:after="0"/>
              <w:rPr>
                <w:sz w:val="20"/>
                <w:szCs w:val="20"/>
                <w:color w:val="auto"/>
              </w:rPr>
            </w:pPr>
            <w:r>
              <w:rPr>
                <w:rFonts w:ascii="Arial" w:cs="Arial" w:eastAsia="Arial" w:hAnsi="Arial"/>
                <w:sz w:val="18"/>
                <w:szCs w:val="18"/>
                <w:b w:val="1"/>
                <w:bCs w:val="1"/>
                <w:color w:val="auto"/>
                <w:w w:val="79"/>
              </w:rPr>
              <w:t>4</w:t>
            </w:r>
          </w:p>
        </w:tc>
        <w:tc>
          <w:tcPr>
            <w:tcW w:w="200" w:type="dxa"/>
            <w:vAlign w:val="bottom"/>
          </w:tcPr>
          <w:p>
            <w:pPr>
              <w:spacing w:after="0"/>
              <w:rPr>
                <w:sz w:val="20"/>
                <w:szCs w:val="20"/>
                <w:color w:val="auto"/>
              </w:rPr>
            </w:pPr>
          </w:p>
        </w:tc>
        <w:tc>
          <w:tcPr>
            <w:tcW w:w="1064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135"/>
        </w:trPr>
        <w:tc>
          <w:tcPr>
            <w:tcW w:w="4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Delaware</w:t>
            </w:r>
          </w:p>
        </w:tc>
        <w:tc>
          <w:tcPr>
            <w:tcW w:w="9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vMerge w:val="continue"/>
          </w:tcPr>
          <w:p>
            <w:pPr>
              <w:spacing w:after="0"/>
              <w:rPr>
                <w:sz w:val="11"/>
                <w:szCs w:val="11"/>
                <w:color w:val="auto"/>
              </w:rPr>
            </w:pPr>
          </w:p>
        </w:tc>
        <w:tc>
          <w:tcPr>
            <w:tcW w:w="9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4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0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22"/>
                <w:szCs w:val="22"/>
                <w:b w:val="1"/>
                <w:bCs w:val="1"/>
                <w:color w:val="auto"/>
              </w:rPr>
              <w:t>5</w:t>
            </w:r>
          </w:p>
        </w:tc>
        <w:tc>
          <w:tcPr>
            <w:tcW w:w="91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58"/>
        </w:trPr>
        <w:tc>
          <w:tcPr>
            <w:tcW w:w="1420" w:type="dxa"/>
            <w:vAlign w:val="bottom"/>
            <w:gridSpan w:val="3"/>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9180" w:type="dxa"/>
            <w:vAlign w:val="bottom"/>
            <w:vMerge w:val="restart"/>
          </w:tcPr>
          <w:p>
            <w:pPr>
              <w:ind w:left="200"/>
              <w:spacing w:after="0" w:line="242" w:lineRule="exact"/>
              <w:rPr>
                <w:sz w:val="20"/>
                <w:szCs w:val="20"/>
                <w:color w:val="auto"/>
              </w:rPr>
            </w:pPr>
            <w:r>
              <w:rPr>
                <w:rFonts w:ascii="Arial" w:cs="Arial" w:eastAsia="Arial" w:hAnsi="Arial"/>
                <w:sz w:val="17"/>
                <w:szCs w:val="17"/>
                <w:b w:val="1"/>
                <w:bCs w:val="1"/>
                <w:color w:val="auto"/>
              </w:rPr>
              <w:t xml:space="preserve">3,149,540 </w:t>
            </w:r>
            <w:r>
              <w:rPr>
                <w:rFonts w:ascii="Arial" w:cs="Arial" w:eastAsia="Arial" w:hAnsi="Arial"/>
                <w:sz w:val="28"/>
                <w:szCs w:val="28"/>
                <w:b w:val="1"/>
                <w:bCs w:val="1"/>
                <w:color w:val="auto"/>
                <w:vertAlign w:val="superscript"/>
              </w:rPr>
              <w:t>(1)</w:t>
            </w:r>
          </w:p>
        </w:tc>
        <w:tc>
          <w:tcPr>
            <w:tcW w:w="0" w:type="dxa"/>
            <w:vAlign w:val="bottom"/>
          </w:tcPr>
          <w:p>
            <w:pPr>
              <w:spacing w:after="0"/>
              <w:rPr>
                <w:sz w:val="1"/>
                <w:szCs w:val="1"/>
                <w:color w:val="auto"/>
              </w:rPr>
            </w:pPr>
          </w:p>
        </w:tc>
      </w:tr>
      <w:tr>
        <w:trPr>
          <w:trHeight w:val="84"/>
        </w:trPr>
        <w:tc>
          <w:tcPr>
            <w:tcW w:w="1420" w:type="dxa"/>
            <w:vAlign w:val="bottom"/>
            <w:gridSpan w:val="3"/>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420" w:type="dxa"/>
            <w:vAlign w:val="bottom"/>
            <w:gridSpan w:val="3"/>
            <w:vMerge w:val="restart"/>
          </w:tcPr>
          <w:p>
            <w:pPr>
              <w:jc w:val="center"/>
              <w:spacing w:after="0" w:line="161" w:lineRule="exact"/>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420" w:type="dxa"/>
            <w:vAlign w:val="bottom"/>
            <w:gridSpan w:val="3"/>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1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420" w:type="dxa"/>
            <w:vAlign w:val="bottom"/>
            <w:gridSpan w:val="3"/>
            <w:vMerge w:val="restart"/>
          </w:tcPr>
          <w:p>
            <w:pPr>
              <w:jc w:val="center"/>
              <w:ind w:left="3"/>
              <w:spacing w:after="0"/>
              <w:rPr>
                <w:sz w:val="20"/>
                <w:szCs w:val="20"/>
                <w:color w:val="auto"/>
              </w:rPr>
            </w:pPr>
            <w:r>
              <w:rPr>
                <w:rFonts w:ascii="Arial" w:cs="Arial" w:eastAsia="Arial" w:hAnsi="Arial"/>
                <w:sz w:val="18"/>
                <w:szCs w:val="18"/>
                <w:color w:val="auto"/>
              </w:rPr>
              <w:t>BENEFICIALLY</w:t>
            </w:r>
          </w:p>
        </w:tc>
        <w:tc>
          <w:tcPr>
            <w:tcW w:w="1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vMerge w:val="restart"/>
          </w:tcPr>
          <w:p>
            <w:pPr>
              <w:jc w:val="right"/>
              <w:ind w:right="132"/>
              <w:spacing w:after="0" w:line="216" w:lineRule="exact"/>
              <w:rPr>
                <w:sz w:val="20"/>
                <w:szCs w:val="20"/>
                <w:color w:val="auto"/>
              </w:rPr>
            </w:pPr>
            <w:r>
              <w:rPr>
                <w:rFonts w:ascii="Arial" w:cs="Arial" w:eastAsia="Arial" w:hAnsi="Arial"/>
                <w:sz w:val="22"/>
                <w:szCs w:val="22"/>
                <w:b w:val="1"/>
                <w:bCs w:val="1"/>
                <w:color w:val="auto"/>
              </w:rPr>
              <w:t>6</w:t>
            </w:r>
          </w:p>
        </w:tc>
        <w:tc>
          <w:tcPr>
            <w:tcW w:w="9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420" w:type="dxa"/>
            <w:vAlign w:val="bottom"/>
            <w:gridSpan w:val="3"/>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vMerge w:val="continue"/>
          </w:tcPr>
          <w:p>
            <w:pPr>
              <w:spacing w:after="0"/>
              <w:rPr>
                <w:sz w:val="6"/>
                <w:szCs w:val="6"/>
                <w:color w:val="auto"/>
              </w:rPr>
            </w:pPr>
          </w:p>
        </w:tc>
        <w:tc>
          <w:tcPr>
            <w:tcW w:w="91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6"/>
        </w:trPr>
        <w:tc>
          <w:tcPr>
            <w:tcW w:w="142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7"/>
              </w:rPr>
              <w:t>OWNED BY</w:t>
            </w:r>
          </w:p>
        </w:tc>
        <w:tc>
          <w:tcPr>
            <w:tcW w:w="100" w:type="dxa"/>
            <w:vAlign w:val="bottom"/>
            <w:tcBorders>
              <w:right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9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1020" w:type="dxa"/>
            <w:vAlign w:val="bottom"/>
            <w:gridSpan w:val="2"/>
          </w:tcPr>
          <w:p>
            <w:pPr>
              <w:jc w:val="center"/>
              <w:ind w:right="270"/>
              <w:spacing w:after="0"/>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22"/>
                <w:szCs w:val="22"/>
                <w:b w:val="1"/>
                <w:bCs w:val="1"/>
                <w:color w:val="auto"/>
              </w:rPr>
              <w:t>7</w:t>
            </w:r>
          </w:p>
        </w:tc>
        <w:tc>
          <w:tcPr>
            <w:tcW w:w="918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6"/>
        </w:trPr>
        <w:tc>
          <w:tcPr>
            <w:tcW w:w="14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vMerge w:val="continue"/>
          </w:tcPr>
          <w:p>
            <w:pPr>
              <w:spacing w:after="0"/>
              <w:rPr>
                <w:sz w:val="12"/>
                <w:szCs w:val="12"/>
                <w:color w:val="auto"/>
              </w:rPr>
            </w:pPr>
          </w:p>
        </w:tc>
        <w:tc>
          <w:tcPr>
            <w:tcW w:w="9180" w:type="dxa"/>
            <w:vAlign w:val="bottom"/>
            <w:vMerge w:val="restart"/>
          </w:tcPr>
          <w:p>
            <w:pPr>
              <w:ind w:left="200"/>
              <w:spacing w:after="0" w:line="230" w:lineRule="exact"/>
              <w:rPr>
                <w:sz w:val="20"/>
                <w:szCs w:val="20"/>
                <w:color w:val="auto"/>
              </w:rPr>
            </w:pPr>
            <w:r>
              <w:rPr>
                <w:rFonts w:ascii="Arial" w:cs="Arial" w:eastAsia="Arial" w:hAnsi="Arial"/>
                <w:sz w:val="16"/>
                <w:szCs w:val="16"/>
                <w:b w:val="1"/>
                <w:bCs w:val="1"/>
                <w:color w:val="auto"/>
              </w:rPr>
              <w:t xml:space="preserve">3,149,540 </w:t>
            </w:r>
            <w:r>
              <w:rPr>
                <w:rFonts w:ascii="Arial" w:cs="Arial" w:eastAsia="Arial" w:hAnsi="Arial"/>
                <w:sz w:val="26"/>
                <w:szCs w:val="26"/>
                <w:b w:val="1"/>
                <w:bCs w:val="1"/>
                <w:color w:val="auto"/>
                <w:vertAlign w:val="superscript"/>
              </w:rPr>
              <w:t>(1)</w:t>
            </w:r>
          </w:p>
        </w:tc>
        <w:tc>
          <w:tcPr>
            <w:tcW w:w="0" w:type="dxa"/>
            <w:vAlign w:val="bottom"/>
          </w:tcPr>
          <w:p>
            <w:pPr>
              <w:spacing w:after="0"/>
              <w:rPr>
                <w:sz w:val="1"/>
                <w:szCs w:val="1"/>
                <w:color w:val="auto"/>
              </w:rPr>
            </w:pPr>
          </w:p>
        </w:tc>
      </w:tr>
      <w:tr>
        <w:trPr>
          <w:trHeight w:val="84"/>
        </w:trPr>
        <w:tc>
          <w:tcPr>
            <w:tcW w:w="1420" w:type="dxa"/>
            <w:vAlign w:val="bottom"/>
            <w:gridSpan w:val="3"/>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020" w:type="dxa"/>
            <w:vAlign w:val="bottom"/>
            <w:gridSpan w:val="2"/>
            <w:vMerge w:val="restart"/>
          </w:tcPr>
          <w:p>
            <w:pPr>
              <w:jc w:val="center"/>
              <w:ind w:right="210"/>
              <w:spacing w:after="0" w:line="201" w:lineRule="exact"/>
              <w:rPr>
                <w:sz w:val="20"/>
                <w:szCs w:val="20"/>
                <w:color w:val="auto"/>
              </w:rPr>
            </w:pPr>
            <w:r>
              <w:rPr>
                <w:rFonts w:ascii="Arial" w:cs="Arial" w:eastAsia="Arial" w:hAnsi="Arial"/>
                <w:sz w:val="18"/>
                <w:szCs w:val="18"/>
                <w:color w:val="auto"/>
                <w:w w:val="89"/>
              </w:rPr>
              <w:t>PERSON</w:t>
            </w:r>
          </w:p>
        </w:tc>
        <w:tc>
          <w:tcPr>
            <w:tcW w:w="100" w:type="dxa"/>
            <w:vAlign w:val="bottom"/>
            <w:tcBorders>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22"/>
                <w:szCs w:val="22"/>
                <w:b w:val="1"/>
                <w:bCs w:val="1"/>
                <w:color w:val="auto"/>
              </w:rPr>
              <w:t>8</w:t>
            </w:r>
          </w:p>
        </w:tc>
        <w:tc>
          <w:tcPr>
            <w:tcW w:w="918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400" w:type="dxa"/>
            <w:vAlign w:val="bottom"/>
          </w:tcPr>
          <w:p>
            <w:pPr>
              <w:spacing w:after="0"/>
              <w:rPr>
                <w:sz w:val="8"/>
                <w:szCs w:val="8"/>
                <w:color w:val="auto"/>
              </w:rPr>
            </w:pPr>
          </w:p>
        </w:tc>
        <w:tc>
          <w:tcPr>
            <w:tcW w:w="102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9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vMerge w:val="continue"/>
          </w:tcPr>
          <w:p>
            <w:pPr>
              <w:spacing w:after="0"/>
              <w:rPr>
                <w:sz w:val="12"/>
                <w:szCs w:val="12"/>
                <w:color w:val="auto"/>
              </w:rPr>
            </w:pPr>
          </w:p>
        </w:tc>
        <w:tc>
          <w:tcPr>
            <w:tcW w:w="91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1"/>
        </w:trPr>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9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00" w:type="dxa"/>
            <w:vAlign w:val="bottom"/>
            <w:vMerge w:val="restart"/>
          </w:tcPr>
          <w:p>
            <w:pPr>
              <w:jc w:val="center"/>
              <w:ind w:left="103"/>
              <w:spacing w:after="0"/>
              <w:rPr>
                <w:sz w:val="20"/>
                <w:szCs w:val="20"/>
                <w:color w:val="auto"/>
              </w:rPr>
            </w:pPr>
            <w:r>
              <w:rPr>
                <w:rFonts w:ascii="Arial" w:cs="Arial" w:eastAsia="Arial" w:hAnsi="Arial"/>
                <w:sz w:val="22"/>
                <w:szCs w:val="22"/>
                <w:b w:val="1"/>
                <w:bCs w:val="1"/>
                <w:color w:val="auto"/>
                <w:w w:val="97"/>
              </w:rPr>
              <w:t>9</w:t>
            </w:r>
          </w:p>
        </w:tc>
        <w:tc>
          <w:tcPr>
            <w:tcW w:w="200" w:type="dxa"/>
            <w:vAlign w:val="bottom"/>
            <w:tcBorders>
              <w:right w:val="single" w:sz="8" w:color="auto"/>
            </w:tcBorders>
          </w:tcPr>
          <w:p>
            <w:pPr>
              <w:spacing w:after="0"/>
              <w:rPr>
                <w:sz w:val="19"/>
                <w:szCs w:val="19"/>
                <w:color w:val="auto"/>
              </w:rPr>
            </w:pPr>
          </w:p>
        </w:tc>
        <w:tc>
          <w:tcPr>
            <w:tcW w:w="1064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58"/>
        </w:trPr>
        <w:tc>
          <w:tcPr>
            <w:tcW w:w="40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89"/>
              </w:rPr>
              <w:t>3,149,540</w:t>
            </w:r>
          </w:p>
        </w:tc>
        <w:tc>
          <w:tcPr>
            <w:tcW w:w="640" w:type="dxa"/>
            <w:vAlign w:val="bottom"/>
            <w:gridSpan w:val="2"/>
            <w:vMerge w:val="restart"/>
          </w:tcPr>
          <w:p>
            <w:pPr>
              <w:jc w:val="right"/>
              <w:ind w:right="332"/>
              <w:spacing w:after="0"/>
              <w:rPr>
                <w:sz w:val="20"/>
                <w:szCs w:val="20"/>
                <w:color w:val="auto"/>
              </w:rPr>
            </w:pPr>
            <w:r>
              <w:rPr>
                <w:rFonts w:ascii="Arial" w:cs="Arial" w:eastAsia="Arial" w:hAnsi="Arial"/>
                <w:sz w:val="15"/>
                <w:szCs w:val="15"/>
                <w:b w:val="1"/>
                <w:bCs w:val="1"/>
                <w:color w:val="auto"/>
                <w:w w:val="97"/>
              </w:rPr>
              <w:t>(1)</w:t>
            </w:r>
          </w:p>
        </w:tc>
        <w:tc>
          <w:tcPr>
            <w:tcW w:w="9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gridSpan w:val="2"/>
            <w:vMerge w:val="continue"/>
          </w:tcPr>
          <w:p>
            <w:pPr>
              <w:spacing w:after="0"/>
              <w:rPr>
                <w:sz w:val="12"/>
                <w:szCs w:val="12"/>
                <w:color w:val="auto"/>
              </w:rPr>
            </w:pPr>
          </w:p>
        </w:tc>
        <w:tc>
          <w:tcPr>
            <w:tcW w:w="9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 w:type="dxa"/>
            <w:vAlign w:val="bottom"/>
            <w:vMerge w:val="restart"/>
          </w:tcPr>
          <w:p>
            <w:pPr>
              <w:jc w:val="center"/>
              <w:ind w:left="103"/>
              <w:spacing w:after="0"/>
              <w:rPr>
                <w:sz w:val="20"/>
                <w:szCs w:val="20"/>
                <w:color w:val="auto"/>
              </w:rPr>
            </w:pPr>
            <w:r>
              <w:rPr>
                <w:rFonts w:ascii="Arial" w:cs="Arial" w:eastAsia="Arial" w:hAnsi="Arial"/>
                <w:sz w:val="22"/>
                <w:szCs w:val="22"/>
                <w:b w:val="1"/>
                <w:bCs w:val="1"/>
                <w:color w:val="auto"/>
                <w:w w:val="81"/>
              </w:rPr>
              <w:t>10</w:t>
            </w:r>
          </w:p>
        </w:tc>
        <w:tc>
          <w:tcPr>
            <w:tcW w:w="200" w:type="dxa"/>
            <w:vAlign w:val="bottom"/>
            <w:tcBorders>
              <w:right w:val="single" w:sz="8" w:color="auto"/>
            </w:tcBorders>
          </w:tcPr>
          <w:p>
            <w:pPr>
              <w:spacing w:after="0"/>
              <w:rPr>
                <w:sz w:val="18"/>
                <w:szCs w:val="18"/>
                <w:color w:val="auto"/>
              </w:rPr>
            </w:pPr>
          </w:p>
        </w:tc>
        <w:tc>
          <w:tcPr>
            <w:tcW w:w="106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63"/>
        </w:trPr>
        <w:tc>
          <w:tcPr>
            <w:tcW w:w="40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00" w:type="dxa"/>
            <w:vAlign w:val="bottom"/>
            <w:vMerge w:val="restart"/>
          </w:tcPr>
          <w:p>
            <w:pPr>
              <w:jc w:val="center"/>
              <w:ind w:left="103"/>
              <w:spacing w:after="0"/>
              <w:rPr>
                <w:sz w:val="20"/>
                <w:szCs w:val="20"/>
                <w:color w:val="auto"/>
              </w:rPr>
            </w:pPr>
            <w:r>
              <w:rPr>
                <w:rFonts w:ascii="Arial" w:cs="Arial" w:eastAsia="Arial" w:hAnsi="Arial"/>
                <w:sz w:val="22"/>
                <w:szCs w:val="22"/>
                <w:b w:val="1"/>
                <w:bCs w:val="1"/>
                <w:color w:val="auto"/>
                <w:w w:val="81"/>
              </w:rPr>
              <w:t>11</w:t>
            </w:r>
          </w:p>
        </w:tc>
        <w:tc>
          <w:tcPr>
            <w:tcW w:w="200" w:type="dxa"/>
            <w:vAlign w:val="bottom"/>
            <w:tcBorders>
              <w:right w:val="single" w:sz="8" w:color="auto"/>
            </w:tcBorders>
          </w:tcPr>
          <w:p>
            <w:pPr>
              <w:spacing w:after="0"/>
              <w:rPr>
                <w:sz w:val="19"/>
                <w:szCs w:val="19"/>
                <w:color w:val="auto"/>
              </w:rPr>
            </w:pPr>
          </w:p>
        </w:tc>
        <w:tc>
          <w:tcPr>
            <w:tcW w:w="1064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158"/>
        </w:trPr>
        <w:tc>
          <w:tcPr>
            <w:tcW w:w="40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20" w:type="dxa"/>
            <w:vAlign w:val="bottom"/>
            <w:vMerge w:val="restart"/>
          </w:tcPr>
          <w:p>
            <w:pPr>
              <w:ind w:left="80"/>
              <w:spacing w:after="0" w:line="296" w:lineRule="exact"/>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29"/>
                <w:szCs w:val="29"/>
                <w:b w:val="1"/>
                <w:bCs w:val="1"/>
                <w:color w:val="auto"/>
                <w:vertAlign w:val="superscript"/>
              </w:rPr>
              <w:t>(2)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0" w:type="dxa"/>
            <w:vAlign w:val="bottom"/>
            <w:vMerge w:val="restart"/>
          </w:tcPr>
          <w:p>
            <w:pPr>
              <w:jc w:val="center"/>
              <w:ind w:left="103"/>
              <w:spacing w:after="0"/>
              <w:rPr>
                <w:sz w:val="20"/>
                <w:szCs w:val="20"/>
                <w:color w:val="auto"/>
              </w:rPr>
            </w:pPr>
            <w:r>
              <w:rPr>
                <w:rFonts w:ascii="Arial" w:cs="Arial" w:eastAsia="Arial" w:hAnsi="Arial"/>
                <w:sz w:val="22"/>
                <w:szCs w:val="22"/>
                <w:b w:val="1"/>
                <w:bCs w:val="1"/>
                <w:color w:val="auto"/>
                <w:w w:val="81"/>
              </w:rPr>
              <w:t>12</w:t>
            </w:r>
          </w:p>
        </w:tc>
        <w:tc>
          <w:tcPr>
            <w:tcW w:w="200" w:type="dxa"/>
            <w:vAlign w:val="bottom"/>
            <w:tcBorders>
              <w:right w:val="single" w:sz="8" w:color="auto"/>
            </w:tcBorders>
          </w:tcPr>
          <w:p>
            <w:pPr>
              <w:spacing w:after="0"/>
              <w:rPr>
                <w:sz w:val="19"/>
                <w:szCs w:val="19"/>
                <w:color w:val="auto"/>
              </w:rPr>
            </w:pPr>
          </w:p>
        </w:tc>
        <w:tc>
          <w:tcPr>
            <w:tcW w:w="106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144"/>
        </w:trPr>
        <w:tc>
          <w:tcPr>
            <w:tcW w:w="40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OO</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100" w:hanging="332"/>
        <w:spacing w:after="0" w:line="248" w:lineRule="auto"/>
        <w:tabs>
          <w:tab w:leader="none" w:pos="340" w:val="left"/>
        </w:tabs>
        <w:numPr>
          <w:ilvl w:val="0"/>
          <w:numId w:val="7"/>
        </w:numPr>
        <w:rPr>
          <w:rFonts w:ascii="Arial" w:cs="Arial" w:eastAsia="Arial" w:hAnsi="Arial"/>
          <w:sz w:val="29"/>
          <w:szCs w:val="29"/>
          <w:color w:val="auto"/>
          <w:vertAlign w:val="superscript"/>
        </w:rPr>
      </w:pPr>
      <w:r>
        <w:rPr>
          <w:rFonts w:ascii="Arial" w:cs="Arial" w:eastAsia="Arial" w:hAnsi="Arial"/>
          <w:sz w:val="17"/>
          <w:szCs w:val="17"/>
          <w:color w:val="auto"/>
        </w:rPr>
        <w:t>The securities include (i) 2,439,885 ordinary shares, nominal value £0.003 per share (the “Ordinary Shares”) of Mereo BioPharma Group plc (the “Issuer”) acquired in a private placement of the Issuer closed on June 4, 2020 (the “Private Placement”), which will be represented by 487,977 American Depositary Shares (“ADS”), and (ii) 709,655 Ordinary Shares, represented by 141,931 ADSs, acquired on the open market after the closing of the Private Placement. The securities do not include (i) 4,197,175 Ordinary Shares issuable upon exercise of certain warrants granted in the Private Placement, the exercise of which is subject to the approval of the Issuer’s shareholders and a beneficial ownership limitation of 9.99% of the Issuer’s outstanding Ordinary Shares, or (ii) 5,954,465 Ordinary Shares issuable upon conversion of certain convertible loan notes issued in the Private Placement, the conversion of which is subject to the approval of the Issuer’s shareholders and a beneficial ownership limitation of 9.99% of the Issuer’s outstanding Ordinary Shares. The securities are held of record by Vivo Capital Fund IX, L.P. Vivo Capital IX, LLC is the general partner of Vivo Capital Fund IX, L.P.</w:t>
      </w:r>
    </w:p>
    <w:p>
      <w:pPr>
        <w:spacing w:after="0" w:line="185" w:lineRule="exact"/>
        <w:rPr>
          <w:rFonts w:ascii="Arial" w:cs="Arial" w:eastAsia="Arial" w:hAnsi="Arial"/>
          <w:sz w:val="29"/>
          <w:szCs w:val="29"/>
          <w:color w:val="auto"/>
          <w:vertAlign w:val="superscript"/>
        </w:rPr>
      </w:pPr>
    </w:p>
    <w:p>
      <w:pPr>
        <w:ind w:left="340" w:right="180" w:hanging="332"/>
        <w:spacing w:after="0" w:line="216" w:lineRule="auto"/>
        <w:tabs>
          <w:tab w:leader="none" w:pos="34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Based on 213,652,487 Ordinary Shares issued and outstanding as of June 5, 2020, as reported in a report on Form 6-K filed by the Issuer with the Securities and Exchange Commission on June 5, 2020, which is the sum of (i) 124,507,857 Ordinary Shares outstanding as of May 30, 2020, and (ii)</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89,144,630 Ordinary Shares issued in the Private Placement.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 w:name="page3"/>
    <w:bookmarkEnd w:id="2"/>
    <w:p>
      <w:pPr>
        <w:ind w:left="120"/>
        <w:spacing w:after="0"/>
        <w:rPr>
          <w:sz w:val="20"/>
          <w:szCs w:val="20"/>
          <w:color w:val="auto"/>
        </w:rPr>
      </w:pPr>
      <w:r>
        <w:rPr>
          <w:rFonts w:ascii="Arial" w:cs="Arial" w:eastAsia="Arial" w:hAnsi="Arial"/>
          <w:sz w:val="18"/>
          <w:szCs w:val="18"/>
          <w:color w:val="auto"/>
        </w:rPr>
        <w:t>CUSIP No</w:t>
      </w:r>
      <w:r>
        <w:rPr>
          <w:rFonts w:ascii="Arial" w:cs="Arial" w:eastAsia="Arial" w:hAnsi="Arial"/>
          <w:sz w:val="18"/>
          <w:szCs w:val="18"/>
          <w:b w:val="1"/>
          <w:bCs w:val="1"/>
          <w:color w:val="auto"/>
        </w:rPr>
        <w:t>.</w:t>
      </w:r>
      <w:r>
        <w:rPr>
          <w:rFonts w:ascii="Arial" w:cs="Arial" w:eastAsia="Arial" w:hAnsi="Arial"/>
          <w:sz w:val="18"/>
          <w:szCs w:val="18"/>
          <w:color w:val="auto"/>
        </w:rPr>
        <w:t xml:space="preserve">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3994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994785"/>
                    </a:xfrm>
                    <a:prstGeom prst="rect">
                      <a:avLst/>
                    </a:prstGeom>
                    <a:noFill/>
                  </pic:spPr>
                </pic:pic>
              </a:graphicData>
            </a:graphic>
          </wp:anchor>
        </w:drawing>
      </w:r>
    </w:p>
    <w:p>
      <w:pPr>
        <w:ind w:left="260"/>
        <w:spacing w:after="0" w:line="187" w:lineRule="auto"/>
        <w:rPr>
          <w:sz w:val="20"/>
          <w:szCs w:val="20"/>
          <w:color w:val="auto"/>
        </w:rPr>
      </w:pPr>
      <w:r>
        <w:rPr>
          <w:rFonts w:ascii="Arial" w:cs="Arial" w:eastAsia="Arial" w:hAnsi="Arial"/>
          <w:sz w:val="15"/>
          <w:szCs w:val="15"/>
          <w:b w:val="1"/>
          <w:bCs w:val="1"/>
          <w:color w:val="auto"/>
        </w:rPr>
        <w:t>1</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Vivo Opportunity, LLC</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260"/>
        <w:spacing w:after="0" w:line="207" w:lineRule="exact"/>
        <w:tabs>
          <w:tab w:leader="none" w:pos="720" w:val="left"/>
          <w:tab w:leader="none" w:pos="12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6"/>
          <w:szCs w:val="16"/>
          <w:color w:val="auto"/>
        </w:rPr>
        <w:t>☒</w:t>
      </w:r>
    </w:p>
    <w:p>
      <w:pPr>
        <w:spacing w:after="0" w:line="9" w:lineRule="exact"/>
        <w:rPr>
          <w:sz w:val="20"/>
          <w:szCs w:val="20"/>
          <w:color w:val="auto"/>
        </w:rPr>
      </w:pPr>
    </w:p>
    <w:p>
      <w:pPr>
        <w:ind w:left="1260" w:hanging="526"/>
        <w:spacing w:after="0" w:line="207" w:lineRule="exact"/>
        <w:tabs>
          <w:tab w:leader="none" w:pos="12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680" w:hanging="427"/>
        <w:spacing w:after="0" w:line="181" w:lineRule="auto"/>
        <w:tabs>
          <w:tab w:leader="none" w:pos="680" w:val="left"/>
        </w:tabs>
        <w:numPr>
          <w:ilvl w:val="0"/>
          <w:numId w:val="9"/>
        </w:numPr>
        <w:rPr>
          <w:rFonts w:ascii="Arial" w:cs="Arial" w:eastAsia="Arial" w:hAnsi="Arial"/>
          <w:sz w:val="28"/>
          <w:szCs w:val="28"/>
          <w:b w:val="1"/>
          <w:bCs w:val="1"/>
          <w:color w:val="auto"/>
          <w:vertAlign w:val="subscript"/>
        </w:rPr>
      </w:pPr>
      <w:r>
        <w:rPr>
          <w:rFonts w:ascii="Arial" w:cs="Arial" w:eastAsia="Arial" w:hAnsi="Arial"/>
          <w:sz w:val="15"/>
          <w:szCs w:val="15"/>
          <w:color w:val="auto"/>
        </w:rPr>
        <w:t>SEC USE ONLY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vMerge w:val="restart"/>
          </w:tcPr>
          <w:p>
            <w:pPr>
              <w:jc w:val="center"/>
              <w:ind w:left="103"/>
              <w:spacing w:after="0"/>
              <w:rPr>
                <w:sz w:val="20"/>
                <w:szCs w:val="20"/>
                <w:color w:val="auto"/>
              </w:rPr>
            </w:pPr>
            <w:r>
              <w:rPr>
                <w:rFonts w:ascii="Arial" w:cs="Arial" w:eastAsia="Arial" w:hAnsi="Arial"/>
                <w:sz w:val="18"/>
                <w:szCs w:val="18"/>
                <w:b w:val="1"/>
                <w:bCs w:val="1"/>
                <w:color w:val="auto"/>
                <w:w w:val="79"/>
              </w:rPr>
              <w:t>4</w:t>
            </w:r>
          </w:p>
        </w:tc>
        <w:tc>
          <w:tcPr>
            <w:tcW w:w="200" w:type="dxa"/>
            <w:vAlign w:val="bottom"/>
          </w:tcPr>
          <w:p>
            <w:pPr>
              <w:spacing w:after="0"/>
              <w:rPr>
                <w:sz w:val="20"/>
                <w:szCs w:val="20"/>
                <w:color w:val="auto"/>
              </w:rPr>
            </w:pPr>
          </w:p>
        </w:tc>
        <w:tc>
          <w:tcPr>
            <w:tcW w:w="1064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135"/>
        </w:trPr>
        <w:tc>
          <w:tcPr>
            <w:tcW w:w="4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Delaware</w:t>
            </w:r>
          </w:p>
        </w:tc>
        <w:tc>
          <w:tcPr>
            <w:tcW w:w="50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5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139"/>
              <w:spacing w:after="0"/>
              <w:rPr>
                <w:sz w:val="20"/>
                <w:szCs w:val="20"/>
                <w:color w:val="auto"/>
              </w:rPr>
            </w:pPr>
            <w:r>
              <w:rPr>
                <w:rFonts w:ascii="Arial" w:cs="Arial" w:eastAsia="Arial" w:hAnsi="Arial"/>
                <w:sz w:val="22"/>
                <w:szCs w:val="22"/>
                <w:b w:val="1"/>
                <w:bCs w:val="1"/>
                <w:color w:val="auto"/>
              </w:rPr>
              <w:t>5</w:t>
            </w:r>
          </w:p>
        </w:tc>
        <w:tc>
          <w:tcPr>
            <w:tcW w:w="91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58"/>
        </w:trPr>
        <w:tc>
          <w:tcPr>
            <w:tcW w:w="1520" w:type="dxa"/>
            <w:vAlign w:val="bottom"/>
            <w:tcBorders>
              <w:right w:val="single" w:sz="8" w:color="auto"/>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right w:val="single" w:sz="8" w:color="auto"/>
            </w:tcBorders>
            <w:vMerge w:val="continue"/>
          </w:tcPr>
          <w:p>
            <w:pPr>
              <w:spacing w:after="0"/>
              <w:rPr>
                <w:sz w:val="13"/>
                <w:szCs w:val="13"/>
                <w:color w:val="auto"/>
              </w:rPr>
            </w:pPr>
          </w:p>
        </w:tc>
        <w:tc>
          <w:tcPr>
            <w:tcW w:w="9180" w:type="dxa"/>
            <w:vAlign w:val="bottom"/>
            <w:vMerge w:val="restart"/>
          </w:tcPr>
          <w:p>
            <w:pPr>
              <w:ind w:left="200"/>
              <w:spacing w:after="0" w:line="242" w:lineRule="exact"/>
              <w:rPr>
                <w:sz w:val="20"/>
                <w:szCs w:val="20"/>
                <w:color w:val="auto"/>
              </w:rPr>
            </w:pPr>
            <w:r>
              <w:rPr>
                <w:rFonts w:ascii="Arial" w:cs="Arial" w:eastAsia="Arial" w:hAnsi="Arial"/>
                <w:sz w:val="17"/>
                <w:szCs w:val="17"/>
                <w:b w:val="1"/>
                <w:bCs w:val="1"/>
                <w:color w:val="auto"/>
              </w:rPr>
              <w:t xml:space="preserve">14,114,751 </w:t>
            </w:r>
            <w:r>
              <w:rPr>
                <w:rFonts w:ascii="Arial" w:cs="Arial" w:eastAsia="Arial" w:hAnsi="Arial"/>
                <w:sz w:val="28"/>
                <w:szCs w:val="28"/>
                <w:b w:val="1"/>
                <w:bCs w:val="1"/>
                <w:color w:val="auto"/>
                <w:vertAlign w:val="superscript"/>
              </w:rPr>
              <w:t>(1)</w:t>
            </w:r>
          </w:p>
        </w:tc>
        <w:tc>
          <w:tcPr>
            <w:tcW w:w="0" w:type="dxa"/>
            <w:vAlign w:val="bottom"/>
          </w:tcPr>
          <w:p>
            <w:pPr>
              <w:spacing w:after="0"/>
              <w:rPr>
                <w:sz w:val="1"/>
                <w:szCs w:val="1"/>
                <w:color w:val="auto"/>
              </w:rPr>
            </w:pPr>
          </w:p>
        </w:tc>
      </w:tr>
      <w:tr>
        <w:trPr>
          <w:trHeight w:val="84"/>
        </w:trPr>
        <w:tc>
          <w:tcPr>
            <w:tcW w:w="1520" w:type="dxa"/>
            <w:vAlign w:val="bottom"/>
            <w:tcBorders>
              <w:right w:val="single" w:sz="8" w:color="auto"/>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520" w:type="dxa"/>
            <w:vAlign w:val="bottom"/>
            <w:tcBorders>
              <w:right w:val="single" w:sz="8" w:color="auto"/>
            </w:tcBorders>
            <w:gridSpan w:val="3"/>
            <w:vMerge w:val="restart"/>
          </w:tcPr>
          <w:p>
            <w:pPr>
              <w:jc w:val="center"/>
              <w:spacing w:after="0" w:line="161" w:lineRule="exact"/>
              <w:rPr>
                <w:sz w:val="20"/>
                <w:szCs w:val="20"/>
                <w:color w:val="auto"/>
              </w:rPr>
            </w:pPr>
            <w:r>
              <w:rPr>
                <w:rFonts w:ascii="Arial" w:cs="Arial" w:eastAsia="Arial" w:hAnsi="Arial"/>
                <w:sz w:val="18"/>
                <w:szCs w:val="18"/>
                <w:color w:val="auto"/>
                <w:w w:val="94"/>
              </w:rPr>
              <w:t>SHARES</w:t>
            </w: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520" w:type="dxa"/>
            <w:vAlign w:val="bottom"/>
            <w:tcBorders>
              <w:right w:val="single" w:sz="8" w:color="auto"/>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91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5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40" w:type="dxa"/>
            <w:vAlign w:val="bottom"/>
          </w:tcPr>
          <w:p>
            <w:pPr>
              <w:spacing w:after="0"/>
              <w:rPr>
                <w:sz w:val="11"/>
                <w:szCs w:val="11"/>
                <w:color w:val="auto"/>
              </w:rPr>
            </w:pPr>
          </w:p>
        </w:tc>
        <w:tc>
          <w:tcPr>
            <w:tcW w:w="500" w:type="dxa"/>
            <w:vAlign w:val="bottom"/>
            <w:tcBorders>
              <w:right w:val="single" w:sz="8" w:color="auto"/>
            </w:tcBorders>
            <w:vMerge w:val="restart"/>
          </w:tcPr>
          <w:p>
            <w:pPr>
              <w:jc w:val="right"/>
              <w:ind w:right="139"/>
              <w:spacing w:after="0" w:line="216" w:lineRule="exact"/>
              <w:rPr>
                <w:sz w:val="20"/>
                <w:szCs w:val="20"/>
                <w:color w:val="auto"/>
              </w:rPr>
            </w:pPr>
            <w:r>
              <w:rPr>
                <w:rFonts w:ascii="Arial" w:cs="Arial" w:eastAsia="Arial" w:hAnsi="Arial"/>
                <w:sz w:val="22"/>
                <w:szCs w:val="22"/>
                <w:b w:val="1"/>
                <w:bCs w:val="1"/>
                <w:color w:val="auto"/>
              </w:rPr>
              <w:t>6</w:t>
            </w:r>
          </w:p>
        </w:tc>
        <w:tc>
          <w:tcPr>
            <w:tcW w:w="9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520" w:type="dxa"/>
            <w:vAlign w:val="bottom"/>
            <w:tcBorders>
              <w:right w:val="single" w:sz="8" w:color="auto"/>
            </w:tcBorders>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Borders>
              <w:right w:val="single" w:sz="8" w:color="auto"/>
            </w:tcBorders>
            <w:vMerge w:val="continue"/>
          </w:tcPr>
          <w:p>
            <w:pPr>
              <w:spacing w:after="0"/>
              <w:rPr>
                <w:sz w:val="6"/>
                <w:szCs w:val="6"/>
                <w:color w:val="auto"/>
              </w:rPr>
            </w:pPr>
          </w:p>
        </w:tc>
        <w:tc>
          <w:tcPr>
            <w:tcW w:w="91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6"/>
        </w:trPr>
        <w:tc>
          <w:tcPr>
            <w:tcW w:w="1520" w:type="dxa"/>
            <w:vAlign w:val="bottom"/>
            <w:tcBorders>
              <w:right w:val="single" w:sz="8" w:color="auto"/>
            </w:tcBorders>
            <w:gridSpan w:val="3"/>
          </w:tcPr>
          <w:p>
            <w:pPr>
              <w:jc w:val="center"/>
              <w:spacing w:after="0" w:line="176" w:lineRule="exact"/>
              <w:rPr>
                <w:sz w:val="20"/>
                <w:szCs w:val="20"/>
                <w:color w:val="auto"/>
              </w:rPr>
            </w:pPr>
            <w:r>
              <w:rPr>
                <w:rFonts w:ascii="Arial" w:cs="Arial" w:eastAsia="Arial" w:hAnsi="Arial"/>
                <w:sz w:val="18"/>
                <w:szCs w:val="18"/>
                <w:color w:val="auto"/>
                <w:w w:val="97"/>
              </w:rPr>
              <w:t>OWNED BY</w:t>
            </w: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9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112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9"/>
              </w:rPr>
              <w:t>EACH</w:t>
            </w:r>
          </w:p>
        </w:tc>
        <w:tc>
          <w:tcPr>
            <w:tcW w:w="4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139"/>
              <w:spacing w:after="0"/>
              <w:rPr>
                <w:sz w:val="20"/>
                <w:szCs w:val="20"/>
                <w:color w:val="auto"/>
              </w:rPr>
            </w:pPr>
            <w:r>
              <w:rPr>
                <w:rFonts w:ascii="Arial" w:cs="Arial" w:eastAsia="Arial" w:hAnsi="Arial"/>
                <w:sz w:val="22"/>
                <w:szCs w:val="22"/>
                <w:b w:val="1"/>
                <w:bCs w:val="1"/>
                <w:color w:val="auto"/>
              </w:rPr>
              <w:t>7</w:t>
            </w:r>
          </w:p>
        </w:tc>
        <w:tc>
          <w:tcPr>
            <w:tcW w:w="918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6"/>
        </w:trPr>
        <w:tc>
          <w:tcPr>
            <w:tcW w:w="15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9180" w:type="dxa"/>
            <w:vAlign w:val="bottom"/>
            <w:vMerge w:val="restart"/>
          </w:tcPr>
          <w:p>
            <w:pPr>
              <w:ind w:left="200"/>
              <w:spacing w:after="0" w:line="230" w:lineRule="exact"/>
              <w:rPr>
                <w:sz w:val="20"/>
                <w:szCs w:val="20"/>
                <w:color w:val="auto"/>
              </w:rPr>
            </w:pPr>
            <w:r>
              <w:rPr>
                <w:rFonts w:ascii="Arial" w:cs="Arial" w:eastAsia="Arial" w:hAnsi="Arial"/>
                <w:sz w:val="16"/>
                <w:szCs w:val="16"/>
                <w:b w:val="1"/>
                <w:bCs w:val="1"/>
                <w:color w:val="auto"/>
              </w:rPr>
              <w:t xml:space="preserve">14,114,751 </w:t>
            </w:r>
            <w:r>
              <w:rPr>
                <w:rFonts w:ascii="Arial" w:cs="Arial" w:eastAsia="Arial" w:hAnsi="Arial"/>
                <w:sz w:val="26"/>
                <w:szCs w:val="26"/>
                <w:b w:val="1"/>
                <w:bCs w:val="1"/>
                <w:color w:val="auto"/>
                <w:vertAlign w:val="superscript"/>
              </w:rPr>
              <w:t>(1)</w:t>
            </w:r>
          </w:p>
        </w:tc>
        <w:tc>
          <w:tcPr>
            <w:tcW w:w="0" w:type="dxa"/>
            <w:vAlign w:val="bottom"/>
          </w:tcPr>
          <w:p>
            <w:pPr>
              <w:spacing w:after="0"/>
              <w:rPr>
                <w:sz w:val="1"/>
                <w:szCs w:val="1"/>
                <w:color w:val="auto"/>
              </w:rPr>
            </w:pPr>
          </w:p>
        </w:tc>
      </w:tr>
      <w:tr>
        <w:trPr>
          <w:trHeight w:val="84"/>
        </w:trPr>
        <w:tc>
          <w:tcPr>
            <w:tcW w:w="1520" w:type="dxa"/>
            <w:vAlign w:val="bottom"/>
            <w:tcBorders>
              <w:right w:val="single" w:sz="8" w:color="auto"/>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120" w:type="dxa"/>
            <w:vAlign w:val="bottom"/>
            <w:tcBorders>
              <w:right w:val="single" w:sz="8" w:color="auto"/>
            </w:tcBorders>
            <w:gridSpan w:val="2"/>
            <w:vMerge w:val="restart"/>
          </w:tcPr>
          <w:p>
            <w:pPr>
              <w:jc w:val="center"/>
              <w:ind w:right="310"/>
              <w:spacing w:after="0" w:line="201" w:lineRule="exact"/>
              <w:rPr>
                <w:sz w:val="20"/>
                <w:szCs w:val="20"/>
                <w:color w:val="auto"/>
              </w:rPr>
            </w:pPr>
            <w:r>
              <w:rPr>
                <w:rFonts w:ascii="Arial" w:cs="Arial" w:eastAsia="Arial" w:hAnsi="Arial"/>
                <w:sz w:val="18"/>
                <w:szCs w:val="18"/>
                <w:color w:val="auto"/>
                <w:w w:val="89"/>
              </w:rPr>
              <w:t>PERSON</w:t>
            </w: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112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right w:val="single" w:sz="8" w:color="auto"/>
            </w:tcBorders>
            <w:vMerge w:val="restart"/>
          </w:tcPr>
          <w:p>
            <w:pPr>
              <w:jc w:val="right"/>
              <w:ind w:right="139"/>
              <w:spacing w:after="0"/>
              <w:rPr>
                <w:sz w:val="20"/>
                <w:szCs w:val="20"/>
                <w:color w:val="auto"/>
              </w:rPr>
            </w:pPr>
            <w:r>
              <w:rPr>
                <w:rFonts w:ascii="Arial" w:cs="Arial" w:eastAsia="Arial" w:hAnsi="Arial"/>
                <w:sz w:val="22"/>
                <w:szCs w:val="22"/>
                <w:b w:val="1"/>
                <w:bCs w:val="1"/>
                <w:color w:val="auto"/>
              </w:rPr>
              <w:t>8</w:t>
            </w:r>
          </w:p>
        </w:tc>
        <w:tc>
          <w:tcPr>
            <w:tcW w:w="918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400" w:type="dxa"/>
            <w:vAlign w:val="bottom"/>
          </w:tcPr>
          <w:p>
            <w:pPr>
              <w:spacing w:after="0"/>
              <w:rPr>
                <w:sz w:val="8"/>
                <w:szCs w:val="8"/>
                <w:color w:val="auto"/>
              </w:rPr>
            </w:pPr>
          </w:p>
        </w:tc>
        <w:tc>
          <w:tcPr>
            <w:tcW w:w="112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rPr>
              <w:t>WITH</w:t>
            </w:r>
          </w:p>
        </w:tc>
        <w:tc>
          <w:tcPr>
            <w:tcW w:w="40" w:type="dxa"/>
            <w:vAlign w:val="bottom"/>
          </w:tcPr>
          <w:p>
            <w:pPr>
              <w:spacing w:after="0"/>
              <w:rPr>
                <w:sz w:val="8"/>
                <w:szCs w:val="8"/>
                <w:color w:val="auto"/>
              </w:rPr>
            </w:pPr>
          </w:p>
        </w:tc>
        <w:tc>
          <w:tcPr>
            <w:tcW w:w="500" w:type="dxa"/>
            <w:vAlign w:val="bottom"/>
            <w:tcBorders>
              <w:right w:val="single" w:sz="8" w:color="auto"/>
            </w:tcBorders>
            <w:vMerge w:val="continue"/>
          </w:tcPr>
          <w:p>
            <w:pPr>
              <w:spacing w:after="0"/>
              <w:rPr>
                <w:sz w:val="8"/>
                <w:szCs w:val="8"/>
                <w:color w:val="auto"/>
              </w:rPr>
            </w:pPr>
          </w:p>
        </w:tc>
        <w:tc>
          <w:tcPr>
            <w:tcW w:w="9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112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91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2"/>
        </w:trPr>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9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00" w:type="dxa"/>
            <w:vAlign w:val="bottom"/>
            <w:vMerge w:val="restart"/>
          </w:tcPr>
          <w:p>
            <w:pPr>
              <w:jc w:val="center"/>
              <w:ind w:left="103"/>
              <w:spacing w:after="0"/>
              <w:rPr>
                <w:sz w:val="20"/>
                <w:szCs w:val="20"/>
                <w:color w:val="auto"/>
              </w:rPr>
            </w:pPr>
            <w:r>
              <w:rPr>
                <w:rFonts w:ascii="Arial" w:cs="Arial" w:eastAsia="Arial" w:hAnsi="Arial"/>
                <w:sz w:val="22"/>
                <w:szCs w:val="22"/>
                <w:b w:val="1"/>
                <w:bCs w:val="1"/>
                <w:color w:val="auto"/>
                <w:w w:val="97"/>
              </w:rPr>
              <w:t>9</w:t>
            </w:r>
          </w:p>
        </w:tc>
        <w:tc>
          <w:tcPr>
            <w:tcW w:w="200" w:type="dxa"/>
            <w:vAlign w:val="bottom"/>
            <w:tcBorders>
              <w:right w:val="single" w:sz="8" w:color="auto"/>
            </w:tcBorders>
          </w:tcPr>
          <w:p>
            <w:pPr>
              <w:spacing w:after="0"/>
              <w:rPr>
                <w:sz w:val="19"/>
                <w:szCs w:val="19"/>
                <w:color w:val="auto"/>
              </w:rPr>
            </w:pPr>
          </w:p>
        </w:tc>
        <w:tc>
          <w:tcPr>
            <w:tcW w:w="1064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58"/>
        </w:trPr>
        <w:tc>
          <w:tcPr>
            <w:tcW w:w="40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w w:val="88"/>
              </w:rPr>
              <w:t>14,114,751</w:t>
            </w:r>
          </w:p>
        </w:tc>
        <w:tc>
          <w:tcPr>
            <w:tcW w:w="500" w:type="dxa"/>
            <w:vAlign w:val="bottom"/>
            <w:vMerge w:val="restart"/>
          </w:tcPr>
          <w:p>
            <w:pPr>
              <w:jc w:val="right"/>
              <w:ind w:right="199"/>
              <w:spacing w:after="0"/>
              <w:rPr>
                <w:sz w:val="20"/>
                <w:szCs w:val="20"/>
                <w:color w:val="auto"/>
              </w:rPr>
            </w:pPr>
            <w:r>
              <w:rPr>
                <w:rFonts w:ascii="Arial" w:cs="Arial" w:eastAsia="Arial" w:hAnsi="Arial"/>
                <w:sz w:val="15"/>
                <w:szCs w:val="15"/>
                <w:b w:val="1"/>
                <w:bCs w:val="1"/>
                <w:color w:val="auto"/>
                <w:w w:val="97"/>
              </w:rPr>
              <w:t>(1)</w:t>
            </w:r>
          </w:p>
        </w:tc>
        <w:tc>
          <w:tcPr>
            <w:tcW w:w="9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9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 w:type="dxa"/>
            <w:vAlign w:val="bottom"/>
            <w:vMerge w:val="restart"/>
          </w:tcPr>
          <w:p>
            <w:pPr>
              <w:jc w:val="center"/>
              <w:ind w:left="103"/>
              <w:spacing w:after="0"/>
              <w:rPr>
                <w:sz w:val="20"/>
                <w:szCs w:val="20"/>
                <w:color w:val="auto"/>
              </w:rPr>
            </w:pPr>
            <w:r>
              <w:rPr>
                <w:rFonts w:ascii="Arial" w:cs="Arial" w:eastAsia="Arial" w:hAnsi="Arial"/>
                <w:sz w:val="22"/>
                <w:szCs w:val="22"/>
                <w:b w:val="1"/>
                <w:bCs w:val="1"/>
                <w:color w:val="auto"/>
                <w:w w:val="81"/>
              </w:rPr>
              <w:t>10</w:t>
            </w:r>
          </w:p>
        </w:tc>
        <w:tc>
          <w:tcPr>
            <w:tcW w:w="200" w:type="dxa"/>
            <w:vAlign w:val="bottom"/>
            <w:tcBorders>
              <w:right w:val="single" w:sz="8" w:color="auto"/>
            </w:tcBorders>
          </w:tcPr>
          <w:p>
            <w:pPr>
              <w:spacing w:after="0"/>
              <w:rPr>
                <w:sz w:val="18"/>
                <w:szCs w:val="18"/>
                <w:color w:val="auto"/>
              </w:rPr>
            </w:pPr>
          </w:p>
        </w:tc>
        <w:tc>
          <w:tcPr>
            <w:tcW w:w="106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63"/>
        </w:trPr>
        <w:tc>
          <w:tcPr>
            <w:tcW w:w="40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960" w:type="dxa"/>
            <w:vAlign w:val="bottom"/>
            <w:tcBorders>
              <w:bottom w:val="single" w:sz="8" w:color="auto"/>
            </w:tcBorders>
            <w:gridSpan w:val="2"/>
          </w:tcPr>
          <w:p>
            <w:pPr>
              <w:jc w:val="center"/>
              <w:ind w:right="640"/>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Borders>
              <w:bottom w:val="single" w:sz="8" w:color="auto"/>
            </w:tcBorders>
          </w:tcPr>
          <w:p>
            <w:pPr>
              <w:spacing w:after="0"/>
              <w:rPr>
                <w:sz w:val="22"/>
                <w:szCs w:val="22"/>
                <w:color w:val="auto"/>
              </w:rPr>
            </w:pPr>
          </w:p>
        </w:tc>
        <w:tc>
          <w:tcPr>
            <w:tcW w:w="9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00" w:type="dxa"/>
            <w:vAlign w:val="bottom"/>
            <w:vMerge w:val="restart"/>
          </w:tcPr>
          <w:p>
            <w:pPr>
              <w:jc w:val="center"/>
              <w:ind w:left="103"/>
              <w:spacing w:after="0"/>
              <w:rPr>
                <w:sz w:val="20"/>
                <w:szCs w:val="20"/>
                <w:color w:val="auto"/>
              </w:rPr>
            </w:pPr>
            <w:r>
              <w:rPr>
                <w:rFonts w:ascii="Arial" w:cs="Arial" w:eastAsia="Arial" w:hAnsi="Arial"/>
                <w:sz w:val="22"/>
                <w:szCs w:val="22"/>
                <w:b w:val="1"/>
                <w:bCs w:val="1"/>
                <w:color w:val="auto"/>
                <w:w w:val="81"/>
              </w:rPr>
              <w:t>11</w:t>
            </w:r>
          </w:p>
        </w:tc>
        <w:tc>
          <w:tcPr>
            <w:tcW w:w="200" w:type="dxa"/>
            <w:vAlign w:val="bottom"/>
            <w:tcBorders>
              <w:right w:val="single" w:sz="8" w:color="auto"/>
            </w:tcBorders>
          </w:tcPr>
          <w:p>
            <w:pPr>
              <w:spacing w:after="0"/>
              <w:rPr>
                <w:sz w:val="19"/>
                <w:szCs w:val="19"/>
                <w:color w:val="auto"/>
              </w:rPr>
            </w:pPr>
          </w:p>
        </w:tc>
        <w:tc>
          <w:tcPr>
            <w:tcW w:w="1064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158"/>
        </w:trPr>
        <w:tc>
          <w:tcPr>
            <w:tcW w:w="40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vMerge w:val="restart"/>
          </w:tcPr>
          <w:p>
            <w:pPr>
              <w:ind w:left="140"/>
              <w:spacing w:after="0" w:line="296" w:lineRule="exact"/>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29"/>
                <w:szCs w:val="29"/>
                <w:b w:val="1"/>
                <w:bCs w:val="1"/>
                <w:color w:val="auto"/>
                <w:vertAlign w:val="superscript"/>
              </w:rPr>
              <w:t>(2)</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0" w:type="dxa"/>
            <w:vAlign w:val="bottom"/>
            <w:vMerge w:val="restart"/>
          </w:tcPr>
          <w:p>
            <w:pPr>
              <w:jc w:val="center"/>
              <w:ind w:left="103"/>
              <w:spacing w:after="0"/>
              <w:rPr>
                <w:sz w:val="20"/>
                <w:szCs w:val="20"/>
                <w:color w:val="auto"/>
              </w:rPr>
            </w:pPr>
            <w:r>
              <w:rPr>
                <w:rFonts w:ascii="Arial" w:cs="Arial" w:eastAsia="Arial" w:hAnsi="Arial"/>
                <w:sz w:val="22"/>
                <w:szCs w:val="22"/>
                <w:b w:val="1"/>
                <w:bCs w:val="1"/>
                <w:color w:val="auto"/>
                <w:w w:val="81"/>
              </w:rPr>
              <w:t>12</w:t>
            </w:r>
          </w:p>
        </w:tc>
        <w:tc>
          <w:tcPr>
            <w:tcW w:w="200" w:type="dxa"/>
            <w:vAlign w:val="bottom"/>
            <w:tcBorders>
              <w:right w:val="single" w:sz="8" w:color="auto"/>
            </w:tcBorders>
          </w:tcPr>
          <w:p>
            <w:pPr>
              <w:spacing w:after="0"/>
              <w:rPr>
                <w:sz w:val="19"/>
                <w:szCs w:val="19"/>
                <w:color w:val="auto"/>
              </w:rPr>
            </w:pPr>
          </w:p>
        </w:tc>
        <w:tc>
          <w:tcPr>
            <w:tcW w:w="106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144"/>
        </w:trPr>
        <w:tc>
          <w:tcPr>
            <w:tcW w:w="40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OO</w:t>
            </w:r>
          </w:p>
        </w:tc>
        <w:tc>
          <w:tcPr>
            <w:tcW w:w="50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tcBorders>
            <w:gridSpan w:val="2"/>
            <w:vMerge w:val="continue"/>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0" w:hanging="332"/>
        <w:spacing w:after="0" w:line="233"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The securities include (i) 10,934,406 Ordinary Shares of the Issuer acquired in the Private Placement, which will be represented by 2,186,881 American Depositary Shares (“ADS”), and (ii) 3,180,345 Ordinary Shares, represented by 636,069 ADSs, acquired on the open market after the closing of the Private Placement. The securities do not include (i) 18,809,737 Ordinary Shares issuable upon exercise of certain warrants granted in the Private Placement, the exercise of which is subject to the approval of the Issuer’s shareholders and a beneficial ownership limitation of 9.99% of the Issuer’s outstanding Ordinary Shares, or (ii) 26,685,068 Ordinary Shares issuable upon conversion of certain convertible loan notes issued in the Private Placement, the conversion of which is subject to the approval of the Issuer’s shareholders and a beneficial ownership limitation of 9.99% of the Issuer’s outstanding Ordinary Shares. The securities are held of record by Vivo Opportunity Fund, L.P. Vivo Opportunity, LLC is the general partner of Vivo Opportunity Fund, L.P.</w:t>
      </w:r>
    </w:p>
    <w:p>
      <w:pPr>
        <w:spacing w:after="0" w:line="188" w:lineRule="exact"/>
        <w:rPr>
          <w:rFonts w:ascii="Arial" w:cs="Arial" w:eastAsia="Arial" w:hAnsi="Arial"/>
          <w:sz w:val="30"/>
          <w:szCs w:val="30"/>
          <w:color w:val="auto"/>
          <w:vertAlign w:val="superscript"/>
        </w:rPr>
      </w:pPr>
    </w:p>
    <w:p>
      <w:pPr>
        <w:ind w:left="340" w:right="180" w:hanging="332"/>
        <w:spacing w:after="0" w:line="209"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Based on 213,652,487 Ordinary Shares issued and outstanding as of June 5, 2020, as reported in a report on Form 6-K filed by the Issuer with the Securities and Exchange Commission on June 5, 2020, which is the sum of (i) 124,507,857 Ordinary Shares outstanding as of May 30, 2020, and (ii) 89,144,630 Ordinary Shares issued in the Private Placement.</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Mereo BioPharma Group plc</w:t>
      </w:r>
    </w:p>
    <w:p>
      <w:pPr>
        <w:spacing w:after="0" w:line="22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4th Floor, One Cavendish Place,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London, W1G 0QF, United Kingdom</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This Schedule 13G is filed jointly by Vivo Capital IX, LLC and Vivo Opportunity, LLC. Vivo Capital IX, LLC and Vivo Opportunity, LLC have entered into a Joint Filing Agreement, a copy of which is filed with this Schedule 13G as </w:t>
      </w:r>
      <w:hyperlink w:anchor="page8">
        <w:r>
          <w:rPr>
            <w:rFonts w:ascii="Arial" w:cs="Arial" w:eastAsia="Arial" w:hAnsi="Arial"/>
            <w:sz w:val="18"/>
            <w:szCs w:val="18"/>
            <w:u w:val="single" w:color="auto"/>
            <w:color w:val="0000EE"/>
          </w:rPr>
          <w:t>Exhibit 99.1</w:t>
        </w:r>
      </w:hyperlink>
      <w:r>
        <w:rPr>
          <w:rFonts w:ascii="Arial" w:cs="Arial" w:eastAsia="Arial" w:hAnsi="Arial"/>
          <w:sz w:val="18"/>
          <w:szCs w:val="18"/>
          <w:color w:val="auto"/>
        </w:rPr>
        <w:t>, pursuant to which they have agreed to file this Schedule 13G jointly in accordance with the provisions of Rule 13d-1(k) of the Securities Exchange Act of 1934, as amended.</w:t>
      </w:r>
    </w:p>
    <w:p>
      <w:pPr>
        <w:spacing w:after="0" w:line="18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Capital IX, LLC is a Delaware limited liability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Opportunity, LLC is a Delaware limited liability company.</w:t>
      </w:r>
    </w:p>
    <w:p>
      <w:pPr>
        <w:spacing w:after="0" w:line="22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Ordinary Shares, nominal value £0.003, represented by American Depositary Shares, each of which represents five Ordinary Shares.</w:t>
      </w:r>
    </w:p>
    <w:p>
      <w:pPr>
        <w:spacing w:after="0" w:line="233" w:lineRule="exact"/>
        <w:rPr>
          <w:sz w:val="20"/>
          <w:szCs w:val="20"/>
          <w:color w:val="auto"/>
        </w:rPr>
      </w:pPr>
    </w:p>
    <w:p>
      <w:pPr>
        <w:ind w:left="980" w:right="8800" w:hanging="324"/>
        <w:spacing w:after="0" w:line="530" w:lineRule="auto"/>
        <w:tabs>
          <w:tab w:leader="none" w:pos="98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CUSIP 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w:t>
      </w:r>
      <w:r>
        <w:rPr>
          <w:rFonts w:ascii="Arial" w:cs="Arial" w:eastAsia="Arial" w:hAnsi="Arial"/>
          <w:sz w:val="17"/>
          <w:szCs w:val="17"/>
          <w:color w:val="auto"/>
        </w:rPr>
        <w:t>589492107</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w:t>
      </w:r>
      <w:r>
        <w:rPr>
          <w:sz w:val="20"/>
          <w:szCs w:val="20"/>
          <w:color w:val="auto"/>
        </w:rPr>
        <w:tab/>
      </w:r>
      <w:r>
        <w:rPr>
          <w:rFonts w:ascii="Arial" w:cs="Arial" w:eastAsia="Arial" w:hAnsi="Arial"/>
          <w:sz w:val="17"/>
          <w:szCs w:val="17"/>
          <w:b w:val="1"/>
          <w:bCs w:val="1"/>
          <w:color w:val="auto"/>
        </w:rPr>
        <w:t>I</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TATEMENT IS</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ILED</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URSUANT TO</w:t>
      </w:r>
      <w:r>
        <w:rPr>
          <w:rFonts w:ascii="Arial" w:cs="Arial" w:eastAsia="Arial" w:hAnsi="Arial"/>
          <w:sz w:val="17"/>
          <w:szCs w:val="17"/>
          <w:b w:val="1"/>
          <w:bCs w:val="1"/>
          <w:color w:val="auto"/>
        </w:rPr>
        <w:t xml:space="preserve"> §§ 240.13d-1(b),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240.13d-2(b)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(c), C</w:t>
      </w:r>
      <w:r>
        <w:rPr>
          <w:rFonts w:ascii="Arial" w:cs="Arial" w:eastAsia="Arial" w:hAnsi="Arial"/>
          <w:sz w:val="11"/>
          <w:szCs w:val="11"/>
          <w:b w:val="1"/>
          <w:bCs w:val="1"/>
          <w:color w:val="auto"/>
        </w:rPr>
        <w:t>HECK</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HETHER THE</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ERSON</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ILING IS A</w:t>
      </w:r>
      <w:r>
        <w:rPr>
          <w:rFonts w:ascii="Arial" w:cs="Arial" w:eastAsia="Arial" w:hAnsi="Arial"/>
          <w:sz w:val="17"/>
          <w:szCs w:val="17"/>
          <w:b w:val="1"/>
          <w:bCs w:val="1"/>
          <w:color w:val="auto"/>
        </w:rPr>
        <w:t>:</w:t>
      </w:r>
    </w:p>
    <w:p>
      <w:pPr>
        <w:spacing w:after="0" w:line="196" w:lineRule="exact"/>
        <w:rPr>
          <w:sz w:val="20"/>
          <w:szCs w:val="20"/>
          <w:color w:val="auto"/>
        </w:rPr>
      </w:pPr>
    </w:p>
    <w:p>
      <w:pPr>
        <w:ind w:left="1300" w:hanging="320"/>
        <w:spacing w:after="0" w:line="207" w:lineRule="exact"/>
        <w:tabs>
          <w:tab w:leader="none" w:pos="130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240.13d-1(b)(l)(ii)(G);</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620" w:right="100" w:hanging="640"/>
        <w:spacing w:after="0" w:line="239" w:lineRule="exact"/>
        <w:tabs>
          <w:tab w:leader="none" w:pos="1296"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240.13d-1(b)(l)(ii)(K).</w:t>
      </w:r>
    </w:p>
    <w:p>
      <w:pPr>
        <w:spacing w:after="0" w:line="25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______________</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980" w:hanging="324"/>
        <w:spacing w:after="0"/>
        <w:tabs>
          <w:tab w:leader="none" w:pos="98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Vivo Capital IX, LLC</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3,149,540 Ordinary Shares, represented by 629,908 ADSs, are held of record by Vivo Capital Fund IX, L.P. Vivo Capital IX, LLC is the general partner of Vivo Capital Fund IX, L.P. The voting members of Vivo Capital IX, LLC are Frank Kung, Edgar Engleman, Albert Cha, Shan Fu and Chen Yu, none of whom has individual voting or investment power with respect to these shares and each of whom disclaims beneficial ownership of such shares.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(2) Vivo Opportunity, LLC</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14,114,751 Ordinary Shares, represented by 2,822,950 ADSs, are held of record by Vivo Opportunity Fund, L.P. Vivo Opportunity, LLC is the general partner of Vivo Opportunity Fund, L.P. The voting members of Vivo Opportunity, LLC are Albert Cha, Gaurav Aggarwal, Shan Fu, Frank Kung and Michael Chang, none of whom has individual voting or investment power with respect to these shares and each of whom disclaims beneficial ownership of such shares.</w:t>
      </w:r>
    </w:p>
    <w:p>
      <w:pPr>
        <w:spacing w:after="0" w:line="183"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Capital IX, LLC: 1.5%</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Opportunity, LLC: 6.6%</w:t>
      </w:r>
    </w:p>
    <w:p>
      <w:pPr>
        <w:spacing w:after="0" w:line="22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Vivo Capital IX, LLC: 3,149,540 Ordinary Shares, represented by 629,908 ADSs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Vivo Opportunity, LLC: 14,114,751 Ordinary Shares, represented by 2,822,950 ADSs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Vivo Capital IX, LLC: 3,149,540 Ordinary Shares, represented by 629,908 ADSs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Vivo Opportunity, LLC: 14,114,751 Ordinary Shares, represented by 2,822,950 ADSs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100" w:hanging="971"/>
        <w:spacing w:after="0" w:line="298" w:lineRule="auto"/>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 xml:space="preserve">OR </w:t>
      </w:r>
      <w:r>
        <w:rPr>
          <w:rFonts w:ascii="Arial" w:cs="Arial" w:eastAsia="Arial" w:hAnsi="Arial"/>
          <w:sz w:val="17"/>
          <w:szCs w:val="17"/>
          <w:b w:val="1"/>
          <w:bCs w:val="1"/>
          <w:color w:val="auto"/>
        </w:rPr>
        <w:t>C</w:t>
      </w:r>
      <w:r>
        <w:rPr>
          <w:rFonts w:ascii="Arial" w:cs="Arial" w:eastAsia="Arial" w:hAnsi="Arial"/>
          <w:sz w:val="12"/>
          <w:szCs w:val="12"/>
          <w:b w:val="1"/>
          <w:bCs w:val="1"/>
          <w:color w:val="auto"/>
        </w:rPr>
        <w:t xml:space="preserve">ONTROL </w:t>
      </w:r>
      <w:r>
        <w:rPr>
          <w:rFonts w:ascii="Arial" w:cs="Arial" w:eastAsia="Arial" w:hAnsi="Arial"/>
          <w:sz w:val="17"/>
          <w:szCs w:val="17"/>
          <w:b w:val="1"/>
          <w:bCs w:val="1"/>
          <w:color w:val="auto"/>
        </w:rPr>
        <w:t>P</w:t>
      </w:r>
      <w:r>
        <w:rPr>
          <w:rFonts w:ascii="Arial" w:cs="Arial" w:eastAsia="Arial" w:hAnsi="Arial"/>
          <w:sz w:val="12"/>
          <w:szCs w:val="12"/>
          <w:b w:val="1"/>
          <w:bCs w:val="1"/>
          <w:color w:val="auto"/>
        </w:rPr>
        <w:t>ERSON</w:t>
      </w:r>
      <w:r>
        <w:rPr>
          <w:rFonts w:ascii="Arial" w:cs="Arial" w:eastAsia="Arial" w:hAnsi="Arial"/>
          <w:sz w:val="17"/>
          <w:szCs w:val="17"/>
          <w:b w:val="1"/>
          <w:bCs w:val="1"/>
          <w:color w:val="auto"/>
        </w:rPr>
        <w:t>.</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w:t>
      </w:r>
      <w:r>
        <w:rPr>
          <w:sz w:val="20"/>
          <w:szCs w:val="20"/>
          <w:color w:val="auto"/>
        </w:rPr>
        <w:tab/>
      </w:r>
      <w:r>
        <w:rPr>
          <w:rFonts w:ascii="Arial" w:cs="Arial" w:eastAsia="Arial" w:hAnsi="Arial"/>
          <w:sz w:val="18"/>
          <w:szCs w:val="18"/>
          <w:b w:val="1"/>
          <w:bCs w:val="1"/>
          <w:color w:val="auto"/>
        </w:rPr>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w:t>
      </w:r>
      <w:r>
        <w:rPr>
          <w:sz w:val="20"/>
          <w:szCs w:val="20"/>
          <w:color w:val="auto"/>
        </w:rPr>
        <w:tab/>
      </w: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81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accordance with Rule 13d-1(k) under the Securities Exchange Act of 1934, as amended, the persons named below agree to the joint filing on behalf of each of them of a statement on Schedule 13G (including amendments thereto) with respect to the Ordinary Shares, nominal value £0.003, represented by American Depositary Shares, of Mereo BioPharma Group plc, and further agree that this Joint Filing Agreement be included as an Exhibit to such joint filing.</w:t>
      </w:r>
    </w:p>
    <w:p>
      <w:pPr>
        <w:spacing w:after="0" w:line="18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Letter"/>
      <w:start w:val="2"/>
    </w:lvl>
  </w:abstractNum>
  <w:abstractNum w:abstractNumId="5">
    <w:nsid w:val="3352255A"/>
    <w:multiLevelType w:val="hybridMultilevel"/>
    <w:lvl w:ilvl="0">
      <w:lvlJc w:val="left"/>
      <w:lvlText w:val="3"/>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lowerLetter"/>
      <w:start w:val="2"/>
    </w:lvl>
  </w:abstractNum>
  <w:abstractNum w:abstractNumId="11">
    <w:nsid w:val="6B68079A"/>
    <w:multiLevelType w:val="hybridMultilevel"/>
    <w:lvl w:ilvl="0">
      <w:lvlJc w:val="left"/>
      <w:lvlText w:val="(%1)"/>
      <w:numFmt w:val="lowerLetter"/>
      <w:start w:val="2"/>
    </w:lvl>
  </w:abstractNum>
  <w:abstractNum w:abstractNumId="12">
    <w:nsid w:val="4E6AFB66"/>
    <w:multiLevelType w:val="hybridMultilevel"/>
    <w:lvl w:ilvl="0">
      <w:lvlJc w:val="left"/>
      <w:lvlText w:val="(%1)"/>
      <w:numFmt w:val="lowerLetter"/>
      <w:start w:val="3"/>
    </w:lvl>
  </w:abstractNum>
  <w:abstractNum w:abstractNumId="13">
    <w:nsid w:val="25E45D32"/>
    <w:multiLevelType w:val="hybridMultilevel"/>
    <w:lvl w:ilvl="0">
      <w:lvlJc w:val="left"/>
      <w:lvlText w:val="(%1)"/>
      <w:numFmt w:val="lowerLetter"/>
      <w:start w:val="4"/>
    </w:lvl>
  </w:abstractNum>
  <w:abstractNum w:abstractNumId="14">
    <w:nsid w:val="519B500D"/>
    <w:multiLevelType w:val="hybridMultilevel"/>
    <w:lvl w:ilvl="0">
      <w:lvlJc w:val="left"/>
      <w:lvlText w:val="(%1)"/>
      <w:numFmt w:val="lowerLetter"/>
      <w:start w:val="5"/>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2"/>
    </w:lvl>
  </w:abstractNum>
  <w:abstractNum w:abstractNumId="19">
    <w:nsid w:val="62BBD9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2020-06-12T16:03:07Z</dcterms:created>
  <dcterms:modified xsi:type="dcterms:W3CDTF">2020-06-12T16:03:07Z</dcterms:modified>
</cp:coreProperties>
</file>