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12, 2025</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720"/>
          </w:cols>
          <w:pgMar w:left="1080" w:top="1321" w:right="1099" w:bottom="1440" w:gutter="0" w:footer="0" w:header="0"/>
        </w:sectPr>
      </w:pPr>
    </w:p>
    <w:p>
      <w:pPr>
        <w:spacing w:after="0" w:line="1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001-38452</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60" w:space="720"/>
            <w:col w:w="2340" w:space="720"/>
            <w:col w:w="2780"/>
          </w:cols>
          <w:pgMar w:left="1080" w:top="1321" w:right="10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9720"/>
          </w:cols>
          <w:pgMar w:left="1080" w:top="1321" w:right="109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4th Floor, One Cavendish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80" w:hanging="21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3"/>
                <w:szCs w:val="13"/>
                <w:color w:val="auto"/>
              </w:rPr>
            </w:pPr>
          </w:p>
        </w:tc>
        <w:tc>
          <w:tcPr>
            <w:tcW w:w="28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37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American Depositary Shares, each representing</w:t>
            </w:r>
          </w:p>
        </w:tc>
        <w:tc>
          <w:tcPr>
            <w:tcW w:w="120" w:type="dxa"/>
            <w:vAlign w:val="bottom"/>
          </w:tcPr>
          <w:p>
            <w:pPr>
              <w:spacing w:after="0"/>
              <w:rPr>
                <w:sz w:val="16"/>
                <w:szCs w:val="16"/>
                <w:color w:val="auto"/>
              </w:rPr>
            </w:pPr>
          </w:p>
        </w:tc>
        <w:tc>
          <w:tcPr>
            <w:tcW w:w="3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*Not for trading, but only in connection with the listing of the American Depositary Shares on The Nasdaq Stock Market LLC.</w:t>
      </w:r>
    </w:p>
    <w:p>
      <w:pPr>
        <w:spacing w:after="0" w:line="225" w:lineRule="exact"/>
        <w:rPr>
          <w:sz w:val="24"/>
          <w:szCs w:val="24"/>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7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342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1067435</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1" w:right="1099" w:bottom="1440" w:gutter="0" w:footer="0" w:header="0"/>
          <w:type w:val="continuous"/>
        </w:sectPr>
      </w:pPr>
    </w:p>
    <w:bookmarkStart w:id="1" w:name="page2"/>
    <w:bookmarkEnd w:id="1"/>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left="660" w:right="900" w:firstLine="648"/>
        <w:spacing w:after="0" w:line="266" w:lineRule="auto"/>
        <w:rPr>
          <w:sz w:val="20"/>
          <w:szCs w:val="20"/>
          <w:color w:val="auto"/>
        </w:rPr>
      </w:pPr>
      <w:r>
        <w:rPr>
          <w:rFonts w:ascii="Times New Roman" w:cs="Times New Roman" w:eastAsia="Times New Roman" w:hAnsi="Times New Roman"/>
          <w:sz w:val="18"/>
          <w:szCs w:val="18"/>
          <w:color w:val="auto"/>
        </w:rPr>
        <w:t>On January 12, 2025, Mereo BioPharma Group plc (the “Company”) issued a press release providing an update on its lead clinical programs. The full text of the press release issued in connection with the announcement is furnished as Exhibit 99.1 to this Current Report on Form 8-K.</w:t>
      </w:r>
    </w:p>
    <w:p>
      <w:pPr>
        <w:spacing w:after="0" w:line="189" w:lineRule="exact"/>
        <w:rPr>
          <w:sz w:val="20"/>
          <w:szCs w:val="20"/>
          <w:color w:val="auto"/>
        </w:rPr>
      </w:pPr>
    </w:p>
    <w:p>
      <w:pPr>
        <w:ind w:left="660" w:right="78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8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300" w:type="dxa"/>
            <w:vAlign w:val="bottom"/>
          </w:tcPr>
          <w:p>
            <w:pPr>
              <w:spacing w:after="0"/>
              <w:rPr>
                <w:sz w:val="17"/>
                <w:szCs w:val="17"/>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300" w:type="dxa"/>
            <w:vAlign w:val="bottom"/>
          </w:tcPr>
          <w:p>
            <w:pPr>
              <w:spacing w:after="0"/>
              <w:rPr>
                <w:sz w:val="24"/>
                <w:szCs w:val="24"/>
                <w:color w:val="auto"/>
              </w:rPr>
            </w:pPr>
          </w:p>
        </w:tc>
        <w:tc>
          <w:tcPr>
            <w:tcW w:w="2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January 12, 2025.</w:t>
            </w:r>
          </w:p>
        </w:tc>
        <w:tc>
          <w:tcPr>
            <w:tcW w:w="2980" w:type="dxa"/>
            <w:vAlign w:val="bottom"/>
          </w:tcPr>
          <w:p>
            <w:pPr>
              <w:spacing w:after="0"/>
              <w:rPr>
                <w:sz w:val="24"/>
                <w:szCs w:val="24"/>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left="660" w:right="84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80" w:type="dxa"/>
            <w:vAlign w:val="bottom"/>
          </w:tcPr>
          <w:p>
            <w:pPr>
              <w:spacing w:after="0"/>
              <w:rPr>
                <w:sz w:val="22"/>
                <w:szCs w:val="22"/>
                <w:color w:val="auto"/>
              </w:rPr>
            </w:pPr>
          </w:p>
        </w:tc>
        <w:tc>
          <w:tcPr>
            <w:tcW w:w="6300" w:type="dxa"/>
            <w:vAlign w:val="bottom"/>
            <w:gridSpan w:val="3"/>
          </w:tcPr>
          <w:p>
            <w:pPr>
              <w:ind w:left="1560"/>
              <w:spacing w:after="0"/>
              <w:rPr>
                <w:sz w:val="20"/>
                <w:szCs w:val="20"/>
                <w:color w:val="auto"/>
              </w:rPr>
            </w:pPr>
            <w:r>
              <w:rPr>
                <w:rFonts w:ascii="Times New Roman" w:cs="Times New Roman" w:eastAsia="Times New Roman" w:hAnsi="Times New Roman"/>
                <w:sz w:val="20"/>
                <w:szCs w:val="20"/>
                <w:color w:val="auto"/>
              </w:rPr>
              <w:t>MEREO BIOPHARMA GROUP PLC</w:t>
            </w:r>
          </w:p>
        </w:tc>
        <w:tc>
          <w:tcPr>
            <w:tcW w:w="660" w:type="dxa"/>
            <w:vAlign w:val="bottom"/>
          </w:tcPr>
          <w:p>
            <w:pPr>
              <w:spacing w:after="0"/>
              <w:rPr>
                <w:sz w:val="22"/>
                <w:szCs w:val="22"/>
                <w:color w:val="auto"/>
              </w:rPr>
            </w:pPr>
          </w:p>
        </w:tc>
      </w:tr>
      <w:tr>
        <w:trPr>
          <w:trHeight w:val="453"/>
        </w:trPr>
        <w:tc>
          <w:tcPr>
            <w:tcW w:w="40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Date: January 13, 2025</w:t>
            </w:r>
          </w:p>
        </w:tc>
        <w:tc>
          <w:tcPr>
            <w:tcW w:w="6300" w:type="dxa"/>
            <w:vAlign w:val="bottom"/>
            <w:gridSpan w:val="3"/>
          </w:tcPr>
          <w:p>
            <w:pPr>
              <w:ind w:left="1560"/>
              <w:spacing w:after="0"/>
              <w:rPr>
                <w:sz w:val="20"/>
                <w:szCs w:val="20"/>
                <w:color w:val="auto"/>
              </w:rPr>
            </w:pPr>
            <w:r>
              <w:rPr>
                <w:rFonts w:ascii="Times New Roman" w:cs="Times New Roman" w:eastAsia="Times New Roman" w:hAnsi="Times New Roman"/>
                <w:sz w:val="20"/>
                <w:szCs w:val="20"/>
                <w:color w:val="auto"/>
              </w:rPr>
              <w:t>By: /s/ Christine Fox</w:t>
            </w:r>
          </w:p>
        </w:tc>
        <w:tc>
          <w:tcPr>
            <w:tcW w:w="660" w:type="dxa"/>
            <w:vAlign w:val="bottom"/>
          </w:tcPr>
          <w:p>
            <w:pPr>
              <w:spacing w:after="0"/>
              <w:rPr>
                <w:sz w:val="24"/>
                <w:szCs w:val="24"/>
                <w:color w:val="auto"/>
              </w:rPr>
            </w:pPr>
          </w:p>
        </w:tc>
      </w:tr>
      <w:tr>
        <w:trPr>
          <w:trHeight w:val="200"/>
        </w:trPr>
        <w:tc>
          <w:tcPr>
            <w:tcW w:w="40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2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540" w:type="dxa"/>
            <w:vAlign w:val="bottom"/>
            <w:tcBorders>
              <w:top w:val="single" w:sz="8" w:color="auto"/>
            </w:tcBorders>
          </w:tcPr>
          <w:p>
            <w:pPr>
              <w:ind w:left="260"/>
              <w:spacing w:after="0" w:line="200" w:lineRule="exact"/>
              <w:rPr>
                <w:sz w:val="20"/>
                <w:szCs w:val="20"/>
                <w:color w:val="auto"/>
              </w:rPr>
            </w:pPr>
            <w:r>
              <w:rPr>
                <w:rFonts w:ascii="Times New Roman" w:cs="Times New Roman" w:eastAsia="Times New Roman" w:hAnsi="Times New Roman"/>
                <w:sz w:val="20"/>
                <w:szCs w:val="20"/>
                <w:color w:val="auto"/>
              </w:rPr>
              <w:t>Christine Fox</w:t>
            </w:r>
          </w:p>
        </w:tc>
        <w:tc>
          <w:tcPr>
            <w:tcW w:w="660" w:type="dxa"/>
            <w:vAlign w:val="bottom"/>
          </w:tcPr>
          <w:p>
            <w:pPr>
              <w:spacing w:after="0"/>
              <w:rPr>
                <w:sz w:val="17"/>
                <w:szCs w:val="17"/>
                <w:color w:val="auto"/>
              </w:rPr>
            </w:pPr>
          </w:p>
        </w:tc>
      </w:tr>
      <w:tr>
        <w:trPr>
          <w:trHeight w:val="258"/>
        </w:trPr>
        <w:tc>
          <w:tcPr>
            <w:tcW w:w="40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35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Chief Financial Officer</w:t>
            </w:r>
          </w:p>
        </w:tc>
        <w:tc>
          <w:tcPr>
            <w:tcW w:w="660" w:type="dxa"/>
            <w:vAlign w:val="bottom"/>
          </w:tcPr>
          <w:p>
            <w:pPr>
              <w:spacing w:after="0"/>
              <w:rPr>
                <w:sz w:val="22"/>
                <w:szCs w:val="22"/>
                <w:color w:val="auto"/>
              </w:rPr>
            </w:pPr>
          </w:p>
        </w:tc>
      </w:tr>
      <w:tr>
        <w:trPr>
          <w:trHeight w:val="1297"/>
        </w:trPr>
        <w:tc>
          <w:tcPr>
            <w:tcW w:w="40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19" w:right="439" w:bottom="1440" w:gutter="0" w:footer="0" w:header="0"/>
        </w:sectPr>
      </w:pPr>
    </w:p>
    <w:bookmarkStart w:id="2" w:name="page3"/>
    <w:bookmarkEnd w:id="2"/>
    <w:p>
      <w:pPr>
        <w:spacing w:after="0" w:line="1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Mereo BioPharma Provides Update on Lead Clinical Programs</w:t>
      </w:r>
    </w:p>
    <w:p>
      <w:pPr>
        <w:spacing w:after="0" w:line="200" w:lineRule="exact"/>
        <w:rPr>
          <w:sz w:val="20"/>
          <w:szCs w:val="20"/>
          <w:color w:val="auto"/>
        </w:rPr>
      </w:pPr>
    </w:p>
    <w:p>
      <w:pPr>
        <w:spacing w:after="0" w:line="243" w:lineRule="exact"/>
        <w:rPr>
          <w:sz w:val="20"/>
          <w:szCs w:val="20"/>
          <w:color w:val="auto"/>
        </w:rPr>
      </w:pPr>
    </w:p>
    <w:p>
      <w:pPr>
        <w:jc w:val="center"/>
        <w:ind w:left="160" w:right="599"/>
        <w:spacing w:after="0" w:line="284" w:lineRule="auto"/>
        <w:rPr>
          <w:sz w:val="20"/>
          <w:szCs w:val="20"/>
          <w:color w:val="auto"/>
        </w:rPr>
      </w:pPr>
      <w:r>
        <w:rPr>
          <w:rFonts w:ascii="Times New Roman" w:cs="Times New Roman" w:eastAsia="Times New Roman" w:hAnsi="Times New Roman"/>
          <w:sz w:val="18"/>
          <w:szCs w:val="18"/>
          <w:i w:val="1"/>
          <w:iCs w:val="1"/>
          <w:color w:val="auto"/>
        </w:rPr>
        <w:t>Orbit Phase 3 study of setrusumab in osteogenesis imperfecta continuing to planned second interim analysis, expected in mid-2025</w:t>
      </w:r>
    </w:p>
    <w:p>
      <w:pPr>
        <w:spacing w:after="0" w:line="158" w:lineRule="exact"/>
        <w:rPr>
          <w:sz w:val="20"/>
          <w:szCs w:val="20"/>
          <w:color w:val="auto"/>
        </w:rPr>
      </w:pPr>
    </w:p>
    <w:p>
      <w:pPr>
        <w:jc w:val="center"/>
        <w:ind w:left="160" w:right="599"/>
        <w:spacing w:after="0" w:line="267" w:lineRule="auto"/>
        <w:rPr>
          <w:sz w:val="20"/>
          <w:szCs w:val="20"/>
          <w:color w:val="auto"/>
        </w:rPr>
      </w:pPr>
      <w:r>
        <w:rPr>
          <w:rFonts w:ascii="Times New Roman" w:cs="Times New Roman" w:eastAsia="Times New Roman" w:hAnsi="Times New Roman"/>
          <w:sz w:val="18"/>
          <w:szCs w:val="18"/>
          <w:i w:val="1"/>
          <w:iCs w:val="1"/>
          <w:color w:val="auto"/>
        </w:rPr>
        <w:t>Alvelestat, for Alpha-1 Antitrypsin Deficiency-associated Lung Disease, receives positive EMA opinion on European Orphan Designation Application; European Commission expected to issue final decision in first quarter 2025</w:t>
      </w:r>
    </w:p>
    <w:p>
      <w:pPr>
        <w:spacing w:after="0" w:line="387" w:lineRule="exact"/>
        <w:rPr>
          <w:sz w:val="20"/>
          <w:szCs w:val="20"/>
          <w:color w:val="auto"/>
        </w:rPr>
      </w:pPr>
    </w:p>
    <w:p>
      <w:pPr>
        <w:jc w:val="both"/>
        <w:ind w:left="160" w:right="55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London, January 12, 2025 </w:t>
      </w:r>
      <w:r>
        <w:rPr>
          <w:rFonts w:ascii="Times New Roman" w:cs="Times New Roman" w:eastAsia="Times New Roman" w:hAnsi="Times New Roman"/>
          <w:sz w:val="18"/>
          <w:szCs w:val="18"/>
          <w:color w:val="auto"/>
        </w:rPr>
        <w:t>- Mereo BioPharma Group plc (NASDAQ: MREO) (“Mereo” or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clinical-stage biopharmaceutical company focused on rare diseases, today provided an update on its lead clinical programs, setrusumab, a monoclonal antibody in Phase 3 clinical development for the treatment of Osteogenesis Imperfecta (OI) through a partnership with Ultragenyx Pharmaceutical, Inc. (Ultragenyx) and alvelestat, an oral neutrophil elastase inhibitor being studied for the treatment of alpha-1 antitrypsin deficiency-associated lung disease (AATD-LD). The Company also reiterated its previous cash runway guidance that its current cash and cash equivalents are expected to fund operations into 2027, through multiple key inflection points.</w:t>
      </w:r>
    </w:p>
    <w:p>
      <w:pPr>
        <w:spacing w:after="0" w:line="187" w:lineRule="exact"/>
        <w:rPr>
          <w:sz w:val="20"/>
          <w:szCs w:val="20"/>
          <w:color w:val="auto"/>
        </w:rPr>
      </w:pPr>
    </w:p>
    <w:p>
      <w:pPr>
        <w:ind w:left="160" w:right="599"/>
        <w:spacing w:after="0" w:line="254" w:lineRule="auto"/>
        <w:rPr>
          <w:sz w:val="20"/>
          <w:szCs w:val="20"/>
          <w:color w:val="auto"/>
        </w:rPr>
      </w:pPr>
      <w:r>
        <w:rPr>
          <w:rFonts w:ascii="Times New Roman" w:cs="Times New Roman" w:eastAsia="Times New Roman" w:hAnsi="Times New Roman"/>
          <w:sz w:val="18"/>
          <w:szCs w:val="18"/>
          <w:color w:val="auto"/>
        </w:rPr>
        <w:t xml:space="preserve">“Based on the highly promising data from completed studies of setrusumab in OI, including the Phase 2 portion of the </w:t>
      </w:r>
      <w:r>
        <w:rPr>
          <w:rFonts w:ascii="Times New Roman" w:cs="Times New Roman" w:eastAsia="Times New Roman" w:hAnsi="Times New Roman"/>
          <w:sz w:val="18"/>
          <w:szCs w:val="18"/>
          <w:i w:val="1"/>
          <w:iCs w:val="1"/>
          <w:color w:val="auto"/>
        </w:rPr>
        <w:t>Orbit</w:t>
      </w:r>
      <w:r>
        <w:rPr>
          <w:rFonts w:ascii="Times New Roman" w:cs="Times New Roman" w:eastAsia="Times New Roman" w:hAnsi="Times New Roman"/>
          <w:sz w:val="18"/>
          <w:szCs w:val="18"/>
          <w:color w:val="auto"/>
        </w:rPr>
        <w:t xml:space="preserve"> Study, we remain confident in the potential of setrusumab to become the standard-of-care in OI. We look forward to the second interim analysis expected mid-year as we continue our launch readiness activities in the key European markets,” said Dr. Scots-Knight, Chief Executive Officer of Mereo BioPharma. “Additionally, EU Orphan Designation, which follows the granting of both Orphan Drug and Fast Track Designations from the FDA in the U.S., is another important milestone in our ongoing partnering process and our efforts to bring alvelestat to patients worldwide, including earlier stage patients who are not currently eligible for augmentation therapy in many countries. With our cash runway into 2027, we continue to be in a strong position to execute on our key milestones through 2025.”</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Setrusumab (UX143)</w:t>
      </w:r>
    </w:p>
    <w:p>
      <w:pPr>
        <w:spacing w:after="0" w:line="227" w:lineRule="exact"/>
        <w:rPr>
          <w:sz w:val="20"/>
          <w:szCs w:val="20"/>
          <w:color w:val="auto"/>
        </w:rPr>
      </w:pPr>
    </w:p>
    <w:p>
      <w:pPr>
        <w:ind w:left="160" w:right="579"/>
        <w:spacing w:after="0" w:line="258" w:lineRule="auto"/>
        <w:rPr>
          <w:sz w:val="20"/>
          <w:szCs w:val="20"/>
          <w:color w:val="auto"/>
        </w:rPr>
      </w:pPr>
      <w:r>
        <w:rPr>
          <w:rFonts w:ascii="Times New Roman" w:cs="Times New Roman" w:eastAsia="Times New Roman" w:hAnsi="Times New Roman"/>
          <w:sz w:val="18"/>
          <w:szCs w:val="18"/>
          <w:color w:val="auto"/>
        </w:rPr>
        <w:t xml:space="preserve">As announced by the Company’s partner, Ultragenyx, the Phase 3 </w:t>
      </w:r>
      <w:r>
        <w:rPr>
          <w:rFonts w:ascii="Times New Roman" w:cs="Times New Roman" w:eastAsia="Times New Roman" w:hAnsi="Times New Roman"/>
          <w:sz w:val="18"/>
          <w:szCs w:val="18"/>
          <w:i w:val="1"/>
          <w:iCs w:val="1"/>
          <w:color w:val="auto"/>
        </w:rPr>
        <w:t>Orbit</w:t>
      </w:r>
      <w:r>
        <w:rPr>
          <w:rFonts w:ascii="Times New Roman" w:cs="Times New Roman" w:eastAsia="Times New Roman" w:hAnsi="Times New Roman"/>
          <w:sz w:val="18"/>
          <w:szCs w:val="18"/>
          <w:color w:val="auto"/>
        </w:rPr>
        <w:t xml:space="preserve"> Study of setrusumab in OI is continuing to dose patients and progressing towards the planned second interim analysis expected in mid-2025, with a potential final analysis in the fourth quarter of 2025. Additionally, treatment is continuing in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18"/>
          <w:szCs w:val="18"/>
          <w:color w:val="auto"/>
        </w:rPr>
        <w:t xml:space="preserve">, an open-label Phase 3 study evaluating setrusumab against intravenous bisphosphonate therapy in patients aged 2 to &lt;7 years. Data from the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18"/>
          <w:szCs w:val="18"/>
          <w:color w:val="auto"/>
        </w:rPr>
        <w:t xml:space="preserve"> study will be evaluated in parallel with the </w:t>
      </w:r>
      <w:r>
        <w:rPr>
          <w:rFonts w:ascii="Times New Roman" w:cs="Times New Roman" w:eastAsia="Times New Roman" w:hAnsi="Times New Roman"/>
          <w:sz w:val="18"/>
          <w:szCs w:val="18"/>
          <w:i w:val="1"/>
          <w:iCs w:val="1"/>
          <w:color w:val="auto"/>
        </w:rPr>
        <w:t>Orbit</w:t>
      </w:r>
      <w:r>
        <w:rPr>
          <w:rFonts w:ascii="Times New Roman" w:cs="Times New Roman" w:eastAsia="Times New Roman" w:hAnsi="Times New Roman"/>
          <w:sz w:val="18"/>
          <w:szCs w:val="18"/>
          <w:color w:val="auto"/>
        </w:rPr>
        <w:t xml:space="preserve"> interim and final analyses.</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Alvelestat (MPH-966)</w:t>
      </w:r>
    </w:p>
    <w:p>
      <w:pPr>
        <w:spacing w:after="0" w:line="229" w:lineRule="exact"/>
        <w:rPr>
          <w:sz w:val="20"/>
          <w:szCs w:val="20"/>
          <w:color w:val="auto"/>
        </w:rPr>
      </w:pPr>
    </w:p>
    <w:p>
      <w:pPr>
        <w:ind w:left="160" w:right="579"/>
        <w:spacing w:after="0" w:line="258" w:lineRule="auto"/>
        <w:rPr>
          <w:sz w:val="20"/>
          <w:szCs w:val="20"/>
          <w:color w:val="auto"/>
        </w:rPr>
      </w:pPr>
      <w:r>
        <w:rPr>
          <w:rFonts w:ascii="Times New Roman" w:cs="Times New Roman" w:eastAsia="Times New Roman" w:hAnsi="Times New Roman"/>
          <w:sz w:val="18"/>
          <w:szCs w:val="18"/>
          <w:color w:val="auto"/>
        </w:rPr>
        <w:t>The European Medicines Agency (EMA)’s Committee for Orphan Medicinal Products (COMP) has issued a positive opinion on the Company’s application for Orphan Designation for alvelestat. The COMP recommendation has been provided to the European Commission, which is expected to issue a final decision on the Orphan Designation in the first quarter of 2025. Alvelestat previously received Orphan Drug Designation and Fast Track Designation from the U.S. FDA in 2021 and 2022, respectively.</w:t>
      </w:r>
    </w:p>
    <w:p>
      <w:pPr>
        <w:spacing w:after="0" w:line="183" w:lineRule="exact"/>
        <w:rPr>
          <w:sz w:val="20"/>
          <w:szCs w:val="20"/>
          <w:color w:val="auto"/>
        </w:rPr>
      </w:pPr>
    </w:p>
    <w:p>
      <w:pPr>
        <w:ind w:left="160" w:right="559"/>
        <w:spacing w:after="0" w:line="254" w:lineRule="auto"/>
        <w:rPr>
          <w:sz w:val="20"/>
          <w:szCs w:val="20"/>
          <w:color w:val="auto"/>
        </w:rPr>
      </w:pPr>
      <w:r>
        <w:rPr>
          <w:rFonts w:ascii="Times New Roman" w:cs="Times New Roman" w:eastAsia="Times New Roman" w:hAnsi="Times New Roman"/>
          <w:sz w:val="18"/>
          <w:szCs w:val="18"/>
          <w:color w:val="auto"/>
        </w:rPr>
        <w:t>European Orphan Designation is awarded to therapeutic candidates targeting the treatment, prevention or diagnosis of life-threatening or chronically debilitating diseases with a prevalence of fewer than 5 in 10,000 people in the European Union which provide a significant benefit over available therapies, or for which no approved therapies exist. Therapeutics receiving EU Orphan Designation are eligible for ten years of marketing exclusivity upon approval, as well as fee reductions for various centralized activities including the Marketing Authorization Application, inspections and protocol assistance. Individual EU Member States also provide specific incentives to support the development, review and availability of Orphan Medicinal Products at the time of HTA evaluations and Pricing and Reimbursement negotiations.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1355090</wp:posOffset>
            </wp:positionV>
            <wp:extent cx="684911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ind w:left="160"/>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62" w:lineRule="exact"/>
        <w:rPr>
          <w:sz w:val="20"/>
          <w:szCs w:val="20"/>
          <w:color w:val="auto"/>
        </w:rPr>
      </w:pPr>
    </w:p>
    <w:p>
      <w:pPr>
        <w:jc w:val="both"/>
        <w:ind w:left="160" w:right="559"/>
        <w:spacing w:after="0" w:line="267" w:lineRule="auto"/>
        <w:rPr>
          <w:sz w:val="20"/>
          <w:szCs w:val="20"/>
          <w:color w:val="auto"/>
        </w:rPr>
      </w:pPr>
      <w:r>
        <w:rPr>
          <w:rFonts w:ascii="Times New Roman" w:cs="Times New Roman" w:eastAsia="Times New Roman" w:hAnsi="Times New Roman"/>
          <w:sz w:val="17"/>
          <w:szCs w:val="17"/>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 antitrypsin deficiency-associated lung disease (AATD-LD). The Company’s partner, Ultragenyx Pharmaceutical, Inc., has completed enrollment in the Phase 3 portion of a pivotal Phase 2/3 study in pediatrics and young adults (5 to 25 years old) for setrusumab in OI and in the Phase 3 study in pediatric patients (2 to &lt;7 years old) in the first half of 2024. The partnership with Ultragenyx includes potential additional milestone payments of up to $245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Breakthrough Therapy designation and rare pediatric disease designation from the FDA. Alvelestat has received U.S. Orphan Drug Designation for the treatment of AATD and Fast Track designation from the FDA. Following results from ASTRAEUS and ATALANTa in AATD-lung disease, the Company has aligned with the FDA and the EMA on the primary endpoints for a Phase 3 pivotal study which, if successful, could enable full approval in both the U.S. and Europe. In addition to the rare disease programs, Mereo has two oncology product candidates, etigilimab, an anti-TIGIT; and navicixizumab for the potential treatment of late-line ovarian cancer. Navicixizumab has been partnered with Feng Biosciences, Inc. in a global licensing agreement that includes milestone payments and royalties. Mereo has also entered into an exclusive global license agreement with ReproNovo SA, a reproductive medicine company, for the development and commercialization of leflutrozole, a non-steroidal aromatase inhibitor.</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160" w:right="559"/>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90" w:lineRule="exact"/>
        <w:rPr>
          <w:sz w:val="20"/>
          <w:szCs w:val="20"/>
          <w:color w:val="auto"/>
        </w:rPr>
      </w:pPr>
    </w:p>
    <w:p>
      <w:pPr>
        <w:jc w:val="both"/>
        <w:ind w:left="160" w:right="559"/>
        <w:spacing w:after="0" w:line="253"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1798320</wp:posOffset>
            </wp:positionV>
            <wp:extent cx="684911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238"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84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65"/>
        </w:trPr>
        <w:tc>
          <w:tcPr>
            <w:tcW w:w="584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Mereo</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(0)333 023 7300</w:t>
            </w:r>
          </w:p>
        </w:tc>
        <w:tc>
          <w:tcPr>
            <w:tcW w:w="1980" w:type="dxa"/>
            <w:vAlign w:val="bottom"/>
          </w:tcPr>
          <w:p>
            <w:pPr>
              <w:spacing w:after="0"/>
              <w:rPr>
                <w:sz w:val="24"/>
                <w:szCs w:val="24"/>
                <w:color w:val="auto"/>
              </w:rPr>
            </w:pPr>
          </w:p>
        </w:tc>
      </w:tr>
      <w:tr>
        <w:trPr>
          <w:trHeight w:val="364"/>
        </w:trPr>
        <w:tc>
          <w:tcPr>
            <w:tcW w:w="58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64"/>
        </w:trPr>
        <w:tc>
          <w:tcPr>
            <w:tcW w:w="58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81"/>
        </w:trPr>
        <w:tc>
          <w:tcPr>
            <w:tcW w:w="584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646 930 4406</w:t>
            </w:r>
          </w:p>
        </w:tc>
        <w:tc>
          <w:tcPr>
            <w:tcW w:w="1980" w:type="dxa"/>
            <w:vAlign w:val="bottom"/>
          </w:tcPr>
          <w:p>
            <w:pPr>
              <w:spacing w:after="0"/>
              <w:rPr>
                <w:sz w:val="24"/>
                <w:szCs w:val="24"/>
                <w:color w:val="auto"/>
              </w:rPr>
            </w:pPr>
          </w:p>
        </w:tc>
      </w:tr>
      <w:tr>
        <w:trPr>
          <w:trHeight w:val="364"/>
        </w:trPr>
        <w:tc>
          <w:tcPr>
            <w:tcW w:w="58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Lee Roth</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4"/>
        </w:trPr>
        <w:tc>
          <w:tcPr>
            <w:tcW w:w="584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490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0563C1"/>
              </w:rPr>
              <w:t>investors@mereobiopharma.com</w:t>
            </w:r>
          </w:p>
        </w:tc>
      </w:tr>
      <w:tr>
        <w:trPr>
          <w:trHeight w:val="1526"/>
        </w:trPr>
        <w:tc>
          <w:tcPr>
            <w:tcW w:w="5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top w:val="single" w:sz="8" w:color="0563C1"/>
              <w:bottom w:val="single" w:sz="8" w:color="9A9A9A"/>
            </w:tcBorders>
          </w:tcPr>
          <w:p>
            <w:pPr>
              <w:spacing w:after="0"/>
              <w:rPr>
                <w:sz w:val="24"/>
                <w:szCs w:val="24"/>
                <w:color w:val="auto"/>
              </w:rPr>
            </w:pPr>
          </w:p>
        </w:tc>
        <w:tc>
          <w:tcPr>
            <w:tcW w:w="2100" w:type="dxa"/>
            <w:vAlign w:val="bottom"/>
            <w:tcBorders>
              <w:top w:val="single" w:sz="8" w:color="0563C1"/>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1238" w:right="57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2025-01-13T06:33:58Z</dcterms:created>
  <dcterms:modified xsi:type="dcterms:W3CDTF">2025-01-13T06:33:58Z</dcterms:modified>
</cp:coreProperties>
</file>