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September, 2019</w:t>
      </w:r>
    </w:p>
    <w:p>
      <w:pPr>
        <w:spacing w:after="0" w:line="22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 BioPharma Announces Interim Financial Results for the Six Months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Ended June 30, 2019 and Provides Corporate Update</w:t>
      </w:r>
    </w:p>
    <w:p>
      <w:pPr>
        <w:spacing w:after="0" w:line="211" w:lineRule="exact"/>
        <w:rPr>
          <w:sz w:val="20"/>
          <w:szCs w:val="20"/>
          <w:color w:val="auto"/>
        </w:rPr>
      </w:pPr>
    </w:p>
    <w:p>
      <w:pPr>
        <w:jc w:val="center"/>
        <w:ind w:left="460"/>
        <w:spacing w:after="0" w:line="277" w:lineRule="auto"/>
        <w:rPr>
          <w:sz w:val="20"/>
          <w:szCs w:val="20"/>
          <w:color w:val="auto"/>
        </w:rPr>
      </w:pPr>
      <w:r>
        <w:rPr>
          <w:rFonts w:ascii="Arial" w:cs="Arial" w:eastAsia="Arial" w:hAnsi="Arial"/>
          <w:sz w:val="18"/>
          <w:szCs w:val="18"/>
          <w:color w:val="auto"/>
        </w:rPr>
        <w:t>12-Month Topline Results from Phase 2b ASTEROID Study with Setrusumab for Osteogenesis Imperfecta (OI) Expected in Q4 2019; Positive 6-Month Data to be Featured in Late-Breaking Oral Presentation at ASBMR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Conference Call Today at 8:30 a.m. EDT / 1:30 p.m. BST</w:t>
      </w:r>
    </w:p>
    <w:p>
      <w:pPr>
        <w:spacing w:after="0" w:line="22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London and Redwood City, Calif., September 17, 2019 </w:t>
      </w:r>
      <w:r>
        <w:rPr>
          <w:rFonts w:ascii="Arial" w:cs="Arial" w:eastAsia="Arial" w:hAnsi="Arial"/>
          <w:sz w:val="18"/>
          <w:szCs w:val="18"/>
          <w:color w:val="auto"/>
        </w:rPr>
        <w:t>- Mereo BioPharma Group plc (NASDAQ: MREO, AIM: MPH),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today announces unaudited interim financial results for the six months ended June 30, 2019 and provides a corporate update.</w:t>
      </w:r>
    </w:p>
    <w:p>
      <w:pPr>
        <w:spacing w:after="0" w:line="180"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“The first half of 2019 has been notable for the announcement of positive six-month data for our Phase 2b ASTEROID trial which is evaluating setrusumab as a treatment for OI. We are entering another exciting period with the 12-month data from this study expected in Q4 2019 and proof-of-concept data from our Phase 2 study for alvelestat in severe alpha-1 antitrypsin deficiency expected in mid-2020,” said Dr. Denise Scots-Knight, Chief Executive Officer of Mereo. “While our mission remains to provide new therapies for undertreated, chronically debilitating and life-limiting rare diseases, the proposed evaluation of alvelestat in the orphan disease bronchiolitis obliterans syndrome also strengthens our respiratory focus. We continue to advance discussions with potential partners to optimize the value of our broader product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 and Upcoming Milestones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Setrusumab for Osteogenesis Imperfecta (OI)</w:t>
      </w:r>
    </w:p>
    <w:p>
      <w:pPr>
        <w:spacing w:after="0" w:line="131" w:lineRule="exact"/>
        <w:rPr>
          <w:sz w:val="20"/>
          <w:szCs w:val="20"/>
          <w:color w:val="auto"/>
        </w:rPr>
      </w:pPr>
    </w:p>
    <w:p>
      <w:pPr>
        <w:ind w:left="980" w:right="320" w:hanging="436"/>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12-month data from Phase 2b ASTEROID study in adult OI patients expected in Q4 2019. </w:t>
      </w:r>
      <w:r>
        <w:rPr>
          <w:rFonts w:ascii="Arial" w:cs="Arial" w:eastAsia="Arial" w:hAnsi="Arial"/>
          <w:sz w:val="18"/>
          <w:szCs w:val="18"/>
          <w:color w:val="auto"/>
        </w:rPr>
        <w:t>In May 2019, Mereo reported 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6-month interim data from the fully-enrolled ASTEROID study. These data were accepted for a late-breaking oral presentation at the upcoming American Society for Bone and Mineral Research (ASBMR) 2019 Annual Meeting to be held from September 20-23 in Orlando, FL, USA. The Company expects to report 12-month topline data from the blinded portion of the study in Q4 2019. There are currently no FDA or EMA- approved treatments for OI.</w:t>
      </w:r>
    </w:p>
    <w:p>
      <w:pPr>
        <w:spacing w:after="0" w:line="89" w:lineRule="exact"/>
        <w:rPr>
          <w:rFonts w:ascii="Arial" w:cs="Arial" w:eastAsia="Arial" w:hAnsi="Arial"/>
          <w:sz w:val="18"/>
          <w:szCs w:val="18"/>
          <w:color w:val="auto"/>
        </w:rPr>
      </w:pPr>
    </w:p>
    <w:p>
      <w:pPr>
        <w:jc w:val="both"/>
        <w:ind w:left="980" w:right="420" w:hanging="436"/>
        <w:spacing w:after="0" w:line="266"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Pivotal pediatric study ready in the EU and Canada. </w:t>
      </w:r>
      <w:r>
        <w:rPr>
          <w:rFonts w:ascii="Arial" w:cs="Arial" w:eastAsia="Arial" w:hAnsi="Arial"/>
          <w:sz w:val="18"/>
          <w:szCs w:val="18"/>
          <w:color w:val="auto"/>
        </w:rPr>
        <w:t>In addition to evaluating setrusumab in adult OI patients, Mereo’s Paediatric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Plan (PIP) has been approved by the EMA and a study design has been agreed for a pivotal registration trial in children. Mereo is also exploring an extension of the planned pivotal study into the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Alvelestat for Severe Alpha-1 Antitrypsin Deficiency (AATD)</w:t>
      </w:r>
    </w:p>
    <w:p>
      <w:pPr>
        <w:spacing w:after="0" w:line="131" w:lineRule="exact"/>
        <w:rPr>
          <w:sz w:val="20"/>
          <w:szCs w:val="20"/>
          <w:color w:val="auto"/>
        </w:rPr>
      </w:pPr>
    </w:p>
    <w:p>
      <w:pPr>
        <w:ind w:left="980" w:right="40" w:hanging="436"/>
        <w:spacing w:after="0" w:line="313"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Enrollment continuing for the Phase 2 proof-of-concept study in severe AATD patients </w:t>
      </w:r>
      <w:r>
        <w:rPr>
          <w:rFonts w:ascii="Arial" w:cs="Arial" w:eastAsia="Arial" w:hAnsi="Arial"/>
          <w:sz w:val="17"/>
          <w:szCs w:val="17"/>
          <w:color w:val="auto"/>
        </w:rPr>
        <w:t>with topline data expected in mid-2020. If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are positive, Mereo intends to commence a pivotal trial in the EU and the U.S. in AATD as soon as possible therafter.</w:t>
      </w:r>
    </w:p>
    <w:p>
      <w:pPr>
        <w:spacing w:after="0" w:line="43" w:lineRule="exact"/>
        <w:rPr>
          <w:rFonts w:ascii="Arial" w:cs="Arial" w:eastAsia="Arial" w:hAnsi="Arial"/>
          <w:sz w:val="17"/>
          <w:szCs w:val="17"/>
          <w:color w:val="auto"/>
        </w:rPr>
      </w:pPr>
    </w:p>
    <w:p>
      <w:pPr>
        <w:ind w:left="980" w:right="360" w:hanging="436"/>
        <w:spacing w:after="0" w:line="28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Investigator-sponsored clinical studies underway </w:t>
      </w:r>
      <w:r>
        <w:rPr>
          <w:rFonts w:ascii="Arial" w:cs="Arial" w:eastAsia="Arial" w:hAnsi="Arial"/>
          <w:sz w:val="17"/>
          <w:szCs w:val="17"/>
          <w:color w:val="auto"/>
        </w:rPr>
        <w:t>in AATD and also in bronchiolitis obliterans syndrome (BOS) as a result of graft-versus-host disease (GvHD) in patients undergoing hematopoietic stem cell transplantation (HSCT). BOS is an orphan disease characterized by inflammatory obstruction of the lung’s tiniest airways and is the primary cause of death in</w:t>
      </w:r>
    </w:p>
    <w:p>
      <w:pPr>
        <w:sectPr>
          <w:pgSz w:w="11900" w:h="16838" w:orient="portrait"/>
          <w:cols w:equalWidth="0" w:num="1">
            <w:col w:w="11000"/>
          </w:cols>
          <w:pgMar w:left="440" w:top="270" w:right="459" w:bottom="1440" w:gutter="0" w:footer="0" w:header="0"/>
        </w:sectPr>
      </w:pPr>
    </w:p>
    <w:bookmarkStart w:id="2" w:name="page3"/>
    <w:bookmarkEnd w:id="2"/>
    <w:p>
      <w:pPr>
        <w:ind w:left="9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who receive lung transplants. Based on the preliminary clinical data to-date, Mereo intends to investigate the use of alvelestat to treat patients with BOS patients following a lung transplant.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Partnering Discussions Continue for Broad Portfolio of Clinical-Stage Programs</w:t>
      </w:r>
    </w:p>
    <w:p>
      <w:pPr>
        <w:spacing w:after="0" w:line="131" w:lineRule="exact"/>
        <w:rPr>
          <w:sz w:val="20"/>
          <w:szCs w:val="20"/>
          <w:color w:val="auto"/>
        </w:rPr>
      </w:pPr>
    </w:p>
    <w:p>
      <w:pPr>
        <w:ind w:left="1420" w:hanging="322"/>
        <w:spacing w:after="0" w:line="314"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Leflutrozole for Hypogonadotropic Hypogonadism (HH). </w:t>
      </w:r>
      <w:r>
        <w:rPr>
          <w:rFonts w:ascii="Arial" w:cs="Arial" w:eastAsia="Arial" w:hAnsi="Arial"/>
          <w:sz w:val="16"/>
          <w:szCs w:val="16"/>
          <w:color w:val="auto"/>
        </w:rPr>
        <w:t>Following the positive Phase 2b and six-month extension data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in 2018, earlier this year Mereo held an advisory board to consider the future development strategy for leflutrozole, with a focus on the positive effects on semen parameters. Mereo has decided that future product development will focus on male fertility.</w:t>
      </w:r>
    </w:p>
    <w:p>
      <w:pPr>
        <w:spacing w:after="0" w:line="47" w:lineRule="exact"/>
        <w:rPr>
          <w:rFonts w:ascii="Arial" w:cs="Arial" w:eastAsia="Arial" w:hAnsi="Arial"/>
          <w:sz w:val="16"/>
          <w:szCs w:val="16"/>
          <w:color w:val="auto"/>
        </w:rPr>
      </w:pPr>
    </w:p>
    <w:p>
      <w:pPr>
        <w:ind w:left="1420" w:right="80" w:hanging="322"/>
        <w:spacing w:after="0" w:line="266"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Acumapimod for Acute Exacerbations of Chronic Obstructive Pulmonary Disease (AECOPD) </w:t>
      </w:r>
      <w:r>
        <w:rPr>
          <w:rFonts w:ascii="Arial" w:cs="Arial" w:eastAsia="Arial" w:hAnsi="Arial"/>
          <w:sz w:val="18"/>
          <w:szCs w:val="18"/>
          <w:color w:val="auto"/>
        </w:rPr>
        <w:t>is Phase 3-ready following a</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Type B End of Phase 2 meeting with the FDA and agreed outline for a pivotal Phase 3 clinical trial program. Recently, a positive Scientific Advice Working Party (SAWP) also took place with the EMA.</w:t>
      </w:r>
    </w:p>
    <w:p>
      <w:pPr>
        <w:spacing w:after="0" w:line="81" w:lineRule="exact"/>
        <w:rPr>
          <w:rFonts w:ascii="Arial" w:cs="Arial" w:eastAsia="Arial" w:hAnsi="Arial"/>
          <w:sz w:val="18"/>
          <w:szCs w:val="18"/>
          <w:color w:val="auto"/>
        </w:rPr>
      </w:pPr>
    </w:p>
    <w:p>
      <w:pPr>
        <w:ind w:left="1420" w:hanging="322"/>
        <w:spacing w:after="0" w:line="277"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Navicixizumab for Advanced Platinum-Resistant Ovarian Cancer. </w:t>
      </w:r>
      <w:r>
        <w:rPr>
          <w:rFonts w:ascii="Arial" w:cs="Arial" w:eastAsia="Arial" w:hAnsi="Arial"/>
          <w:sz w:val="17"/>
          <w:szCs w:val="17"/>
          <w:color w:val="auto"/>
        </w:rPr>
        <w:t>In July 2019, Mereo held a successful Type B End of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with the FDA regarding a potential pathway for accelerated approval for navicixizumab for the treatment of patients with advanced ovarian cancer. Mereo and the FDA discussed, and agreed in principle, an outline for the design of a Phase 2 clinical trial that could potentially support the accelerated approval of navicixizumab in patients with ovarian cancer (including peritoneal or fallopian tube cancer) who have become resistant to prior therapies.</w:t>
      </w:r>
    </w:p>
    <w:p>
      <w:pPr>
        <w:spacing w:after="0" w:line="73" w:lineRule="exact"/>
        <w:rPr>
          <w:rFonts w:ascii="Arial" w:cs="Arial" w:eastAsia="Arial" w:hAnsi="Arial"/>
          <w:sz w:val="17"/>
          <w:szCs w:val="17"/>
          <w:color w:val="auto"/>
        </w:rPr>
      </w:pPr>
    </w:p>
    <w:p>
      <w:pPr>
        <w:ind w:left="1420" w:right="60" w:hanging="322"/>
        <w:spacing w:after="0" w:line="28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Etigilimab for Advanced Solid Tumors. </w:t>
      </w:r>
      <w:r>
        <w:rPr>
          <w:rFonts w:ascii="Arial" w:cs="Arial" w:eastAsia="Arial" w:hAnsi="Arial"/>
          <w:sz w:val="18"/>
          <w:szCs w:val="18"/>
          <w:color w:val="auto"/>
        </w:rPr>
        <w:t>Etigilimab has completed a Phase 1a/b trial of etigilimab, administered as either a single-agent or in combination with nivolumab, in patients with advanced or metastatic solid tumors.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35" w:lineRule="exact"/>
        <w:rPr>
          <w:sz w:val="20"/>
          <w:szCs w:val="20"/>
          <w:color w:val="auto"/>
        </w:rPr>
      </w:pPr>
    </w:p>
    <w:p>
      <w:pPr>
        <w:ind w:left="980" w:right="46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2019, Mereo completed a merger with OncoMed Pharmaceuticals, Inc (“OncoMed”), acquiring two clinical stage oncology programs - navicixizumab and etigilimab.</w:t>
      </w:r>
    </w:p>
    <w:p>
      <w:pPr>
        <w:spacing w:after="0" w:line="75" w:lineRule="exact"/>
        <w:rPr>
          <w:rFonts w:ascii="Arial" w:cs="Arial" w:eastAsia="Arial" w:hAnsi="Arial"/>
          <w:sz w:val="18"/>
          <w:szCs w:val="18"/>
          <w:color w:val="auto"/>
        </w:rPr>
      </w:pPr>
    </w:p>
    <w:p>
      <w:pPr>
        <w:ind w:left="980" w:right="20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completion of the acquisition of OncoMed, Michael Wyzga and Deepa Pakianathan, Ph.D. were appointed as Non-Executive Directors to the Mereo Board.</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2019, Mereo appointed Richard Francis as Head of Pharmaceutical Development.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2019, Dr. Arun Mistry appointed as Therapeutic Area Head, Setrusumab.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5" w:lineRule="exact"/>
        <w:rPr>
          <w:sz w:val="20"/>
          <w:szCs w:val="20"/>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resources ¹ of £36.1m as at June 30, 2019 (June 30, 2018 £36.9m)</w:t>
      </w:r>
    </w:p>
    <w:p>
      <w:pPr>
        <w:spacing w:after="0" w:line="131" w:lineRule="exact"/>
        <w:rPr>
          <w:sz w:val="20"/>
          <w:szCs w:val="20"/>
          <w:color w:val="auto"/>
        </w:rPr>
      </w:pPr>
    </w:p>
    <w:p>
      <w:pPr>
        <w:ind w:left="540"/>
        <w:spacing w:after="0"/>
        <w:tabs>
          <w:tab w:leader="none" w:pos="960" w:val="left"/>
          <w:tab w:leader="none" w:pos="8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Loss after tax for the six-month period of £16.2m (2018: £17.0m) or 22 pence per ordinary share</w:t>
      </w:r>
      <w:r>
        <w:rPr>
          <w:sz w:val="20"/>
          <w:szCs w:val="20"/>
          <w:color w:val="auto"/>
        </w:rPr>
        <w:tab/>
      </w:r>
      <w:r>
        <w:rPr>
          <w:rFonts w:ascii="Arial" w:cs="Arial" w:eastAsia="Arial" w:hAnsi="Arial"/>
          <w:sz w:val="16"/>
          <w:szCs w:val="16"/>
          <w:color w:val="auto"/>
        </w:rPr>
        <w:t>(2018: 24 pence per ordinary share)</w:t>
      </w:r>
    </w:p>
    <w:p>
      <w:pPr>
        <w:spacing w:after="0" w:line="131" w:lineRule="exact"/>
        <w:rPr>
          <w:sz w:val="20"/>
          <w:szCs w:val="20"/>
          <w:color w:val="auto"/>
        </w:rPr>
      </w:pPr>
    </w:p>
    <w:p>
      <w:pPr>
        <w:ind w:left="980" w:right="180" w:hanging="43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American Depositary Receipts (“ADRs”) commenced trading on the NASDAQ Global Market on April 24, 2019 with the issue of 4.9m ADR’s each represented by 5 ordinary shares</w:t>
      </w:r>
    </w:p>
    <w:p>
      <w:pPr>
        <w:spacing w:after="0" w:line="197"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8"/>
          <w:szCs w:val="18"/>
          <w:color w:val="auto"/>
        </w:rPr>
        <w:t>Cash resources is defined as the aggregate of cash and short-term deposits and short-term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Mereo will host a live conference call and webcast today at 8:30 a.m. EDT / 1:30 p.m. BST to discuss the Company’s financial results and provide a corporate update. To participate in the conference call, please dial (866) 688-2942 (U.S.) or (561) 569-9224 (U.K./International). The conference ID number is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 w:name="page4"/>
    <w:bookmarkEnd w:id="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4572478. A live and archived webcast may be accessed by visiting the Investors sections of the Company’s website at </w:t>
      </w:r>
      <w:r>
        <w:rPr>
          <w:rFonts w:ascii="Arial" w:cs="Arial" w:eastAsia="Arial" w:hAnsi="Arial"/>
          <w:sz w:val="18"/>
          <w:szCs w:val="18"/>
          <w:u w:val="single" w:color="auto"/>
          <w:color w:val="auto"/>
        </w:rPr>
        <w:t>https://www.mereobiopharma.com/investors/results-reports-and-presentations/</w:t>
      </w:r>
      <w:r>
        <w:rPr>
          <w:rFonts w:ascii="Arial" w:cs="Arial" w:eastAsia="Arial" w:hAnsi="Arial"/>
          <w:sz w:val="18"/>
          <w:szCs w:val="18"/>
          <w:color w:val="auto"/>
        </w:rPr>
        <w:t>. The archived webcast will remain available on the Company’s website for fourteen (14) days following the live call.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is being developed for the treatment of osteogenesis imperfecta (OI) with topline</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12-month results from a Phase 2b dose ranging study expected in Q4 2019. Mereo’s second lead product candidate, alvelestat, is being investigated in a Phase 2 proof-of-concept clinical trial in patients with alpha-1 antitrypsin deficiency (AATD) with topline data expected in mid-2020.</w:t>
      </w:r>
    </w:p>
    <w:p>
      <w:pPr>
        <w:spacing w:after="0" w:line="13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88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(0)333 023 7300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80" w:type="dxa"/>
            <w:vAlign w:val="bottom"/>
          </w:tcPr>
          <w:p>
            <w:pPr>
              <w:spacing w:after="0"/>
              <w:rPr>
                <w:sz w:val="20"/>
                <w:szCs w:val="20"/>
                <w:color w:val="auto"/>
              </w:rPr>
            </w:pPr>
            <w:r>
              <w:rPr>
                <w:rFonts w:ascii="Arial" w:cs="Arial" w:eastAsia="Arial" w:hAnsi="Arial"/>
                <w:sz w:val="18"/>
                <w:szCs w:val="18"/>
                <w:b w:val="1"/>
                <w:bCs w:val="1"/>
                <w:color w:val="auto"/>
                <w:w w:val="94"/>
              </w:rPr>
              <w:t>Cantor Fitzgerald Europe (Nominated Adviser and Broker to</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(0)20 7894 7000</w:t>
            </w:r>
          </w:p>
        </w:tc>
        <w:tc>
          <w:tcPr>
            <w:tcW w:w="0" w:type="dxa"/>
            <w:vAlign w:val="bottom"/>
          </w:tcPr>
          <w:p>
            <w:pPr>
              <w:spacing w:after="0"/>
              <w:rPr>
                <w:sz w:val="1"/>
                <w:szCs w:val="1"/>
                <w:color w:val="auto"/>
              </w:rPr>
            </w:pPr>
          </w:p>
        </w:tc>
      </w:tr>
      <w:tr>
        <w:trPr>
          <w:trHeight w:val="220"/>
        </w:trPr>
        <w:tc>
          <w:tcPr>
            <w:tcW w:w="488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Phil Davies</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Will Goode</w:t>
            </w: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8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8"/>
              </w:rPr>
              <w:t>(0) 212 213 0006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Lisa Burns</w:t>
            </w:r>
          </w:p>
        </w:tc>
        <w:tc>
          <w:tcPr>
            <w:tcW w:w="7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Steve Klass</w:t>
            </w: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8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Simon Conway</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(0)20 3727 1000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Brett Pollard</w:t>
            </w:r>
          </w:p>
        </w:tc>
        <w:tc>
          <w:tcPr>
            <w:tcW w:w="7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Ciara Martin</w:t>
            </w: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70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74"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risks relating to unanticipated costs, liabilities or delays; failure or delays in research and development programs; unanticipated changes relating to competitive factors in the Company’s industry; risks relating to expectations regarding the Company’s capitalization, resources and ownership structure; the availability of sufficient resources for company operations and to conduct or continue planned clinical development programs; the outcome of any legal proceedings; risks related to the ability to correctly estimate operating expenses; risks related to the ability to project future cash utilization and reserves needed for contingent future liabilities and business operations; risks related to the changes in market prices of the Company’s ordinary shares; the Company’s ability to hire and retain key personnel; changes in law or regulations affecting the Company; international, national or local economic, social or political conditions that could adversely affect the Company and its business; conditions in the credit markets; risks associated with assumptions the Company makes in connection with its critical accounting estimates and other judgments.</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and CEO’s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Group’s strategy is to build a portfolio of rare disease products acquired from pharmaceutical companies and to develop these through regulatory approval and subsequent commercialization.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Products for use in rare (including orphan) indications represent an attractive development and commercialization opportunity for the Company, since the target patient population typically has a high unmet medical need, the compounds require more targeted clinical trials and these programmes can often utilise regulatory pathways that facilitate acceleration to the potential market. Development of rare disease therapies generally involves close co-ordination with regulators, healthcare authorities, patient organizations, key opinion leaders (KOLs) and a limited number of specialized treatment sites, which helps identification of the patient population and allows for a smaller, more targeted sales infrastructure for commercialization in key markets.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our existing speciality and oncology programs, the Group plans to partner or sell the products at an appropriate stage in their development prior to commercialization, recognising the need for a larger sales infrastructure and greater resources to take these products successfully to market. This partnering or sale may be following dose optimisation or, in certain cases, following one or both the Phase 3 studies required for product regulatory review and approval.</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made significant progress across our existing programs in the first half of 2019 and were pleased to announce encouraging 6-month data from an open label arm of our adult Phase 2b study for setrusumab in May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Setrusumab (BPS 804)</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Setrusumab is a human monoclonal antibody targeting sclerostin, which we are developing for the treatment of osteogenensis imperfecta (OI), also known as brittle bone disease, and which we acquired from Novartis in 2015. OI is a rare genetic disease which causes a collagen defects; and is characterized by fragile bones that fracture easily, as well as a variety of other physical symptoms that can severely impact patients’ lives and quality of life. There are currently no FDA or EMA approved therapies for OI. An anti-sclerostin antibody is thought to be particularly well-suited to treat OI because, unlike other agents which are either anabolic or anti-resorptive, it has been demonstrated to be a strong bone-building agent that also reduces the resorption of bone, creating a dual-action anabolic effect to build overall bone density.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2019 we announced encouraging 6-month data from the open-label arm of our phase 2b dose-ranging clinical study in adults with Type I, III or IV osteogenesis imperfecta (OI) treated with setrusumab (BPS-804, the “ASTEROID” Study (ClinicalTrials.gov Identifier: NCT03118570). The primary endpoint of the study is the percentage change over baseline in trabecular volumetric bone mineral density (Tr vBMD) at the radius (the wrist) at 12 months, assessed using High Resolution peripheral Quantitative Computed Tomography (HR-pQCT). The study has completed patient enrollment with 112 patients, of which 69 have Type I, 28 have Type IV and 15 have Type III OI.</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the open label arm of the study, patients received the highest of the three prospectively defined doses of setrusumab used in the blinded arms of the study, which are still ongoing. In the open label arm, the change over patients’ baseline Tr vBMD was assessed at three and six months. Patients of all the three major phenotypes recruited into the full ASTEROID study were also represented in the open label arm.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6" w:name="page7"/>
    <w:bookmarkEnd w:id="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the interim data cut-off, 12 patients had Tr vBMD measurements of the radius available at baseline and 3 months; and 11 had these measurements available at baseline and 6 months. Patients showed a mean increase, from baseline, of 1.4% at 3 months and 3.2% at 6 months. We believe that these increases compare very favourably to the increases in Tr vBMD at the radius in osteoporosis patients</w:t>
      </w:r>
      <w:r>
        <w:rPr>
          <w:rFonts w:ascii="Arial" w:cs="Arial" w:eastAsia="Arial" w:hAnsi="Arial"/>
          <w:sz w:val="18"/>
          <w:szCs w:val="18"/>
          <w:b w:val="1"/>
          <w:bCs w:val="1"/>
          <w:color w:val="auto"/>
        </w:rPr>
        <w:t>;</w:t>
      </w:r>
      <w:r>
        <w:rPr>
          <w:rFonts w:ascii="Arial" w:cs="Arial" w:eastAsia="Arial" w:hAnsi="Arial"/>
          <w:sz w:val="18"/>
          <w:szCs w:val="18"/>
          <w:color w:val="auto"/>
        </w:rPr>
        <w:t xml:space="preserve"> approximately 1% at 24 months with alendronate; and of approximately 1% and 1.5% at 12 months observed with teraparitide or denosumab, respectively. Given the small sample size, the Company would not expect to see statistical significance.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Change from baseline in areal bone mineral density (BMD) at the lumbar spine, as measured by dual energy x-ray absorptiometry (DXA), is a secondary endpoint of the phase 2b study. In the open label arm, at the time of the interim data cut-off, there were 12 patients whose areal BMD at the lumbar spine DXA measurements at baseline and six months were available; and these showed a mean increase of 3.5% over baseline. This confirms the previous data generated by Novartis before Mereo acquired the product and also compares favourably with other mechanisms of action in adult OI patients were treated with PTH, where changes of 2.2% were seen at 6 months.</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expect to report the 12-month data on this same cohort of patients and for the remaining three blinded arms of the dose-ranging Phase 2b in Q4 2019. Hence, all the data on all 112 patients following 12-month treatment with setrusumab (BPS-804) will be reported before the end of 2019.</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Setrusumab has been designated a PRIME (Priority Medicine) by the European Medicines Agency (EMA) and is part of the Adaptive Pathways in recognition of the high unmet medical need in OI. Following formal approval of our Paediatric Investigation Plan (PIP) by the EMA we have continued to gather regulatory input into our program through the PRIME programme and the Adaptive Pathways at the EMA. Our pivotal registration trial in children will be based on a primary endpoint of fractures over a 12-month period and will be conducted in approximately 165 children with severe disease aged 5-18 years old with OI Types I, III and IV. We also intend to validate the use of HR-pQCT as a predictive biomarker in this study. This is a key step in our plans to commercialize setrusumab in both children and adults.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period we have continued to have a number of interactions with the European agencies in respect of our setrusumab program. This includes submitting our “Action Plan to Marketing Authorisation” to the EMA and initiation of Scientific Advice Discussions regarding the potential regulatory qualification of HRpQCT as a biomarker. We have also engaged with the EUnetHTA groups representing European Health Technology Assessment bodies (HTAs) and held several meetings with pricing and reimbursement authorities under the Mechanism of Coordinated Access to Orphan Medicinal Products (MoCA) scheme in the EU.</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addition to evaluating setrusumab in adult OI patients, Mereo’s PIP has been approved by the EMA and a study design has been agreed for a pivotal registration trial in children in the EU and Canada. Mereo is also exploring an extension of the planned pivotal study into the U.S.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continue to develop, build and maintain close relationships with OI patient representative groups in the EU and US, systematically involving them in our interactions with authorities. We maintain close relationships with the OI Federation (OIF), representing the OI community in North America and also remain close to the KOLs and treating community in the USA, as in the EU. We recently participated in the International Conference on Children’s Bone Health (ICCBH), which has an increased focus on rare bone conditions and potential future therapies.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Alvelestat (MPH 966)</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Alvelestat is a small molecule that inhibits neutrophil elastase (NE). NE is an enzyme that attacks and progressively damages lung tissue. AATD patients either lack the protective alpha 1 anti-trypsin protein, or produce, abnormal, ineffective protein, that cannot block NE destruction. Such patients suffer progressive lung deterioration, leading to cough, wheeze, COPD-like symptoms and, ultimately, reliance on respiratory support. Some patients go on to receive lung transplants. The only approved therapy is plasma-derived intravenous protein; however, this is not reimbursed and available for use in all territories. Alvelestat may provide an oral treatment for AATD. It is believed that, by blocking the neutrophil elastase, alvelestat will protect the lungs from the progressive damage that occurs in patients with AATD lung disease. Alvelestat is not intended to target Alpha-1 liver disease, which primarily affects children. In late 2018, we commenced a Phase 2 proof-of-concept clinical trial in approximately 165 patients with severe Alpha-1 Anti Trypsin Deficiency (AATD). The primary end-point for this 12-week study is based on the biomarker desmosine, which is a breakdown product of elastin, the target of NE. If the results demonstrate a positive impact on the blockade of NE, we intend to seek regulatory advice in both the EU and the USA on the design of a pivotal trial in both territories and to commence this as soon as possible thereafter. We now expect top-line data from this study in mid-2020 rather than late 2019 as previously reported. Due to lack of broadly available therapies, AATD is often underdiagnosed, therefore, patient identification and recruitment is a key challenge. Availability of approved new therapeutic options is expected to increase awareness and diagnosis both amongst treating physicians and in the patient community alike.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develop, build and maintain close relationships with the KOLs, treating community and the AATD patient representative organisations in both the EU and North America. The Company participated in the recent International Research Conference on Alpha-1 Antitrypsin and Alpha-1 Global Patient Congress in April as part of advancing these efforts. Close collaboration continues with the treating and diagnosing community in support of the alvelestat development program.</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part of our development plans for alvelestat and looking to build out our respiratory pipeline, we are continuing to support certain investigator-led studies including the ATALANTA study into AATD led by Mark T. Dransfield and his team, supported, as previously announced, by an NCATS grant and also a study into bronchiolitis obliterans syndrome (BOS) associated with graft-versus-host disease (GvHD) in patients receiving hematopoietic stem cell transplantation (HSCT) led by Steven Z Pavletic at the NIH.</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Mereo is planning to investigate the use of alvelestat to treat BOS patients as a result of lung transplant. This is an orphan disease and the primary cause of death in lung transplant patients.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Review</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period, R&amp;D expenditure rose by £1.0 million to £11.9 million from £10.9 million in 2018. In 2019 we continued the development of our two rare disease assets setrusumab and alvelestat with R&amp;D expenditure relating to the adult Phase 2b study and associated manufacturing costs for setrusumab and the Proof of Concept Phase 2 study in alvelestat. In the same period last year our R&amp;D spend was focused again on the setrusumab adult Phase 2b study and also the completion of the Phase 2 studies for our specialty products acumapimod and leflutrozole, and material expenditure on the alvelestat study didn’t commence until H2 2018.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administrative expenses reduced by £0.6 million to £6.5 million from £7.1 million in 2018 and these costs included certain IFRS non-cash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adjustments and other costs of a one-off nature as set out below. On a non-GAAP basis, our underlying administrative expenses in the period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 million compared to £3.8 million in 2018. Newly acquired subsidiary OncoMed contributed £1.3 million to administrative expense over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date of acquisition (April 23, 2019) through end of the period.</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gridSpan w:val="2"/>
          </w:tcPr>
          <w:p>
            <w:pPr>
              <w:jc w:val="right"/>
              <w:ind w:right="99"/>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4"/>
                <w:szCs w:val="1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 million)</w:t>
            </w:r>
          </w:p>
        </w:tc>
        <w:tc>
          <w:tcPr>
            <w:tcW w:w="30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million)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expenses (GAAP)</w:t>
            </w:r>
          </w:p>
        </w:tc>
        <w:tc>
          <w:tcPr>
            <w:tcW w:w="1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6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Share based payment charge (including NIC credit)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One-off legal and professional fees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Underlying administrative expenses (non-GAAP)</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Finance charges of £1.5 million mainly relate to interest accrued and paid in respect of the bank debt of £1.6 million together with non-cash finance charges under IFRS 16 of £0.4 million together with £0.2 million in respect of the change in provision for deferred cash consideration in respect of the acquisition of a licence for alvelestat from AstraZeneca less £0.8 million in respect of IFRS credit on the change in warrant value relating to the bank debt.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represents the estimate of R&amp;D tax credit accrued during the period. Tax credits for the FY 2019 are expected to be received in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loss per share for the six-month period was 22 pence (2018: 24 pence).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January 1, 2019 we adopted IFRS 16 (Leases) – see Note 3. Total right-of-use assets at the period end were £13.0 million with total lease liabilities of £13.1 million.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details of the accounting for the merger with OncoMed under IFRS 3 (Business Combinations) see Note 4. Our updated Provisional Purchase Price Allocation (“PPA”) as at June 30, 2019 gives rise to negative goodwill (bargain purchase) of £3.7 million. This is because the merger consideration was calculated at the time of the merger announcement in December 2018 based on a fixed ratio of Mereo shares expected to be issued to holders of OncoMed shareholders at completion, since which time there has been a change in share price of Mereo offset somewhat by a further reduction in net assets of OncoMed due to the ongoing cash burn in OncoMed prior to completion of the acquisition.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Cashflow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started the year with £25.0 million in cash and short-term deposits and £2.5 million of short-term investments, or total cash resources¹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£27.5 million. In April 2019, we acquired $50.8 million of cash resources¹ with the completion of the acquisition of OncoMed. After taking account of costs associated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merger and our operating costs in the period, net cash inflow in H1 2019 was £3.3 million with cash and short-term deposits at the period end of £28.3 million. Taking into account an increase in short-term investments of £5.3 million our total cash resources¹ increased £8.6 million to £36.1 million.</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loss before tax for the period was £18.7 million but after adjusting for non-cash items (namely the gain on bargain purchase of £3.7 million and net working capital adjustments of £7.1 million), net cash flows from operating activities were £27.6 million (2018: £15.0 million). Net cashflows from investing activities were £34.0 million in the period (2018: £0.1m) reflecting the acquisition of OncoMed. Net cashflows from financing activities were £(3.4) million (2018: £(0.8m)), relating to equity type transaction costs on the OncoMed acquisition of £0.8m, debt interest of £0.9 million, lease payments of £0.8 million and purchase of shares by the Employee Benefit Trust (“EBT”) of £1.0 million.</w:t>
      </w:r>
    </w:p>
    <w:p>
      <w:pPr>
        <w:spacing w:after="0" w:line="17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In August 2019 OncoMed received a tax refund in respect of Alternative Minimum Tax (“AMT”) of $1.3 million from the United States Internal Revenue Service. In the UK, we expect to receive a payment of £5.2 million relating to our 2018 R&amp;D tax claim in H2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April 2019 the Group agreed an amendment to the terms of its bank loan. The interest only-period was extended to December 31, 2019 followed by a 15-month capital and interest repayment period. Based on certain milestones relating to its current clinical studies, the repayment term may be extended by an additional 12 months. Also, in June 2019, shortly after completion of the merger, the balance of the Novartis Loan Notes together with accumulated interest plus the balance of bonus shares due under the Loan Note agreement were converted into ordinary shares in Mereo. Total debt at the period end was £19.7 million (2018: £20.9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Equity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consideration of the acquisition of OncoMed, Mereo issued 24.8 million ordinary shares represented by 4.9 million American Depositary Shares (“ADSs”). Following completion of the amendment to its bank loan, Mereo issued 321,444 additional warrants to its lenders giving them the right to subscribe for ordinary shares at an exercise price of £2.95. In respect of the conversion of the Novartis Loan Note, Mereo issued 1,936,030 new ordinary shares to Novartis Pharma AG.</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May 2019 Mereo’s EBT acquired 1,074,274 shares at a price of £0.929003 per share. Total shares held in the EBT amount to 1,237,274. These shares will be used to help meet future obligations arising under the Group’s share schemes.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Going Concern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the going concern review, the Directors have considered the funding requirements of the Group through consideration of the Group’s current business plan and the preparation of detailed cash flow forecasts. Under the current business plan and detailed cash flow forecasts, with ongoing R&amp;D efforts focused on our rare disease products, setrusumab and alvelestat, we expect that our current on-hand cash resources will extend to the end of Q2 2020. Therefore, the Group requires additional external funding within the next 12 months to be able to continue as a going concern. Principally, this funding will be required to complete our current trials, fund our ongoing administrative costs and other general working capital and contractual financing requirements and to commence our pivotal paediatric study and the manufacturing scale up activities for setrusumab as we progress with our development plans for that program.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funding to continue to develop our rare disease products is most likely to come from a mix of additional equity funding and partnering transactions with third parties, where discussions with a wide range of partners is underway. The Directors remain confident of raising additional funding through either or both of these routes by mid-2020. In terms of further equity finance, the Company has the existing approval to issue new shares on a non-pre-emptive basis and whilst it is not possible to predict market conditions and noting that 19.6% of our issued share capital is held by the Woodford Equity Income Fund, the Directors and its advisors believe sufficient progress is being made with our development programs to be able to complete an equity raise. In addition, the upcoming newsflow from the Phase 2b top-line data in adults for setrusumab in Q4 2019 should provide an enhanced opportunity to raise further equity finance if the data is positive.</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the above factors the Directors believe that it remains appropriate to prepare the financial statements on a going concern basis. Because the additional finance that may result from partnering and/or further equity funding is not committed at the date of approval of these consolidated interim financial statements, our ability to complete a partnering transaction or raise further equity finance ahead of spending our current cash represents a material uncertainty as to the Group’s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second half of 2019 is set to be a pivotal period for Mereo. Following our announcement of the initial 6-month open label data for setrusumab in OI in May, we look forward to reporting the remaining 12-month complete dose ranging data on all 112 patients enrolled into the study in the next quarter. This is the largest interventional clinical study that has been conducted in adult OI patients in the US and EU and we anticipate will provide us with additional insights into this debilitating disease. We are keen to initiate our pivotal paediatric study in OI patients in the EU and Canada and look forward to further interactions with FDA regarding this program.</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Phase 2 study with alvelestat in AATD is now expected to report out mid-2020 and we will provide any material updates on this program before then. We will continue to explore additional opportunities for alvelestat including BOS in lung transplant patients which fits with our focus on rare diseases with a high unmet medical need and also taps into our expertise in respiratory diseases.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continue to focus on partnering opportunities for our non-rare disease products. In addition, with the recent activity in the rare bone disease area, we are evaluating potential partnering opportunities for setrusumab that could facilitate our “go-to-market” commercialisation strategy and will continue to evaluate fund-raising opportunities through a balanced approach.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Six months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Six months</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ended</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June 30, 2018</w:t>
            </w:r>
          </w:p>
        </w:tc>
        <w:tc>
          <w:tcPr>
            <w:tcW w:w="9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Unaudited</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Unaudited</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ind w:right="99"/>
              <w:spacing w:after="0"/>
              <w:rPr>
                <w:sz w:val="20"/>
                <w:szCs w:val="20"/>
                <w:color w:val="auto"/>
              </w:rPr>
            </w:pPr>
            <w:r>
              <w:rPr>
                <w:rFonts w:ascii="Arial" w:cs="Arial" w:eastAsia="Arial" w:hAnsi="Arial"/>
                <w:sz w:val="14"/>
                <w:szCs w:val="14"/>
                <w:color w:val="auto"/>
              </w:rPr>
              <w:t>Notes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(11,918,484)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(10,864,310)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(22,703,553)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(6,461,759)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(7,101,760)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(12,504,887)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(18,380,243)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(17,966,070)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(35,208,440)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recognised on acquisition of subsidiary</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1,035,379</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137,014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Finance charge</w:t>
            </w:r>
          </w:p>
        </w:tc>
        <w:tc>
          <w:tcPr>
            <w:tcW w:w="9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(1,454,222)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(1,587,150)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(20,127)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9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(18,682,199)</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(19,352,448)</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(37,306,120)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9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2,458,567</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2,364,904</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9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(16,223,632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(16,987,544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(32,028,740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for the period</w:t>
            </w:r>
          </w:p>
        </w:tc>
        <w:tc>
          <w:tcPr>
            <w:tcW w:w="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i w:val="1"/>
                <w:iCs w:val="1"/>
                <w:color w:val="auto"/>
              </w:rPr>
              <w:t>Items that may be subsequently reclassified to the income statement</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on investments held at fair value through OCI</w:t>
            </w:r>
          </w:p>
        </w:tc>
        <w:tc>
          <w:tcPr>
            <w:tcW w:w="9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88,033</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Currency translation of foreign operations</w:t>
            </w:r>
          </w:p>
        </w:tc>
        <w:tc>
          <w:tcPr>
            <w:tcW w:w="9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710,830</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Total comprehensive loss for the period, attributable to equity holders of the parent</w:t>
            </w:r>
          </w:p>
        </w:tc>
        <w:tc>
          <w:tcPr>
            <w:tcW w:w="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(15,424,769)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(16,987,544)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(32,028,740)</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542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at June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30, 2018</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Unaudited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Unaudited</w:t>
            </w:r>
          </w:p>
        </w:tc>
        <w:tc>
          <w:tcPr>
            <w:tcW w:w="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00" w:type="dxa"/>
            <w:vAlign w:val="bottom"/>
          </w:tcPr>
          <w:p>
            <w:pPr>
              <w:jc w:val="right"/>
              <w:ind w:right="91"/>
              <w:spacing w:after="0"/>
              <w:rPr>
                <w:sz w:val="20"/>
                <w:szCs w:val="20"/>
                <w:color w:val="auto"/>
              </w:rPr>
            </w:pPr>
            <w:r>
              <w:rPr>
                <w:rFonts w:ascii="Arial" w:cs="Arial" w:eastAsia="Arial" w:hAnsi="Arial"/>
                <w:sz w:val="14"/>
                <w:szCs w:val="14"/>
                <w:color w:val="auto"/>
              </w:rPr>
              <w:t>Notes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13,100,261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Intangible assets</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45,156,708</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32,690,229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58,256,969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32,842,225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32,781,164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3,068,326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R&amp;D tax credits</w:t>
            </w:r>
          </w:p>
        </w:tc>
        <w:tc>
          <w:tcPr>
            <w:tcW w:w="3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7,744,634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10,516,989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5,277,380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1,953,886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investments</w:t>
            </w:r>
          </w:p>
        </w:tc>
        <w:tc>
          <w:tcPr>
            <w:tcW w:w="3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7,828,066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28,289,504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34,412,363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25,041,945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48,884,416</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49,239,917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34,495,150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107,141,385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82,082,142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67,276,314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Issued capital</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293,879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213,435</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121,684,154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118,369,523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118,492,073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capital reserves</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58,003,847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17,746,031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18,592,618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Trust shares</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(1,304,842)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reserves</w:t>
            </w:r>
          </w:p>
        </w:tc>
        <w:tc>
          <w:tcPr>
            <w:tcW w:w="3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7,000,000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(127,356,393)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(96,179,599)</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(111,220,794)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Translation reserve</w:t>
            </w:r>
          </w:p>
        </w:tc>
        <w:tc>
          <w:tcPr>
            <w:tcW w:w="3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710,830</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59,031,475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47,149,390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32,770,780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1,926,916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3,993,058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2,641,353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Interest-bearing loans and borrowings</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11,720,999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15,260,753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14,646,753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34,289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Warrant liability</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225,473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1,534,964</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1,005,613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13,138,521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27,046,198</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20,788,775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18,328,008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6,758,235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4,983,626</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4,570,307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5,960,684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Provisions</w:t>
            </w:r>
          </w:p>
        </w:tc>
        <w:tc>
          <w:tcPr>
            <w:tcW w:w="330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333,556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3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8,011,237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21,063,712</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14,143,977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16,177,526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48,109,910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34,932,752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34,505,534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3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107,141,385</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82,082,142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67,276,314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00" w:type="dxa"/>
            <w:vAlign w:val="bottom"/>
            <w:vMerge w:val="restart"/>
          </w:tcPr>
          <w:p>
            <w:pPr>
              <w:jc w:val="right"/>
              <w:ind w:right="1691"/>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Six months ended</w:t>
            </w:r>
          </w:p>
        </w:tc>
        <w:tc>
          <w:tcPr>
            <w:tcW w:w="14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Six months ended</w:t>
            </w:r>
          </w:p>
        </w:tc>
        <w:tc>
          <w:tcPr>
            <w:tcW w:w="1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June 30, 2018</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Unaudited</w:t>
            </w: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Unaudited</w:t>
            </w:r>
          </w:p>
        </w:tc>
        <w:tc>
          <w:tcPr>
            <w:tcW w:w="1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tcPr>
          <w:p>
            <w:pPr>
              <w:jc w:val="right"/>
              <w:ind w:right="93"/>
              <w:spacing w:after="0"/>
              <w:rPr>
                <w:sz w:val="20"/>
                <w:szCs w:val="20"/>
                <w:color w:val="auto"/>
              </w:rPr>
            </w:pPr>
            <w:r>
              <w:rPr>
                <w:rFonts w:ascii="Arial" w:cs="Arial" w:eastAsia="Arial" w:hAnsi="Arial"/>
                <w:sz w:val="14"/>
                <w:szCs w:val="14"/>
                <w:color w:val="auto"/>
              </w:rPr>
              <w:t>Notes</w:t>
            </w:r>
          </w:p>
        </w:tc>
        <w:tc>
          <w:tcPr>
            <w:tcW w:w="12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20" w:type="dxa"/>
            <w:vAlign w:val="bottom"/>
            <w:gridSpan w:val="2"/>
          </w:tcPr>
          <w:p>
            <w:pPr>
              <w:jc w:val="center"/>
              <w:ind w:left="9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20" w:type="dxa"/>
            <w:vAlign w:val="bottom"/>
            <w:gridSpan w:val="2"/>
          </w:tcPr>
          <w:p>
            <w:pPr>
              <w:jc w:val="center"/>
              <w:ind w:left="91"/>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before tax</w:t>
            </w:r>
          </w:p>
        </w:tc>
        <w:tc>
          <w:tcPr>
            <w:tcW w:w="130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(18,682,199)</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(19,352,448)</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(37,306,120)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loss before tax to net cash flows from operating</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Depreciation and impairment of property, plant and equipment</w:t>
            </w:r>
          </w:p>
        </w:tc>
        <w:tc>
          <w:tcPr>
            <w:tcW w:w="1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724,221</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20,196</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Share-based payment expense</w:t>
            </w:r>
          </w:p>
        </w:tc>
        <w:tc>
          <w:tcPr>
            <w:tcW w:w="1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492,801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1,386,862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Net foreign exchange (gain)/loss</w:t>
            </w:r>
          </w:p>
        </w:tc>
        <w:tc>
          <w:tcPr>
            <w:tcW w:w="1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20,127</w:t>
            </w: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(49,305)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 Provision for social security contributions on employee share options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(722,895)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Provision for deferred cash consideration</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179,000</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222,000</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Interest earned</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(137,014)</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(151,467)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Finance Charges</w:t>
            </w:r>
          </w:p>
        </w:tc>
        <w:tc>
          <w:tcPr>
            <w:tcW w:w="1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1,275,222</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1,005,253</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1,917,649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Modification loss on bank loan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Gain on bargain purchase</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(3,680,053)</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(Increase) / decrease in trade and other receivables</w:t>
            </w:r>
          </w:p>
        </w:tc>
        <w:tc>
          <w:tcPr>
            <w:tcW w:w="130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(1,483,344)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720,819</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804,306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Increase / (decrease) in trade and other payables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(5,619,217)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1,137,082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Tax received</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(27,633,350)</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(15,031,336)</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(23,137,113)</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(19,917)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Purchase of license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Disposal of property, plant and equipment</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1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12,463,487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6"/>
              </w:rPr>
              <w:t>Conversion of short-term investments into cash and cash equivalents</w:t>
            </w:r>
          </w:p>
        </w:tc>
        <w:tc>
          <w:tcPr>
            <w:tcW w:w="1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11,428,963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Acquisition of subsidiary</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10,074,297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w:t>
            </w:r>
          </w:p>
        </w:tc>
        <w:tc>
          <w:tcPr>
            <w:tcW w:w="1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42,633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125,838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Net cash flows received / (used) in investing activities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34,009,380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issue of ordinary shares</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150,228</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273,064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(760,692)</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(7,511)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issue of bank loan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bank loan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TAP agreement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78,445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(998,004)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paid on bank loan</w:t>
            </w:r>
          </w:p>
        </w:tc>
        <w:tc>
          <w:tcPr>
            <w:tcW w:w="130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(864,509)</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(900,000)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(1,644,610)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1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(776,000)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(3,399,205)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(757,283)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 (decrease) in cash and cash equivalents</w:t>
            </w:r>
          </w:p>
        </w:tc>
        <w:tc>
          <w:tcPr>
            <w:tcW w:w="1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2,976,825</w:t>
            </w: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(15,681,614)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(24,958,864)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25,041,945</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50,044,672</w:t>
            </w: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50,044,672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270,734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2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28,289,504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34,412,363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25,041,945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300" w:type="dxa"/>
            <w:vAlign w:val="bottom"/>
            <w:vMerge w:val="restart"/>
          </w:tcPr>
          <w:p>
            <w:pPr>
              <w:jc w:val="right"/>
              <w:ind w:right="973"/>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Issued</w:t>
            </w:r>
          </w:p>
        </w:tc>
        <w:tc>
          <w:tcPr>
            <w:tcW w:w="1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capital</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3"/>
              </w:rPr>
              <w:t>capital</w:t>
            </w:r>
          </w:p>
        </w:tc>
        <w:tc>
          <w:tcPr>
            <w:tcW w:w="1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premium</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reserves</w:t>
            </w: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losses</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Translation</w:t>
            </w:r>
          </w:p>
        </w:tc>
        <w:tc>
          <w:tcPr>
            <w:tcW w:w="18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Total 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center"/>
              <w:ind w:lef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4"/>
                <w:szCs w:val="14"/>
                <w:color w:val="auto"/>
              </w:rPr>
              <w:t>reserves £</w:t>
            </w:r>
          </w:p>
        </w:tc>
        <w:tc>
          <w:tcPr>
            <w:tcW w:w="1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Own Shares</w:t>
            </w:r>
          </w:p>
        </w:tc>
        <w:tc>
          <w:tcPr>
            <w:tcW w:w="10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auto"/>
              </w:rPr>
              <w:t>reserve</w:t>
            </w:r>
          </w:p>
        </w:tc>
        <w:tc>
          <w:tcPr>
            <w:tcW w:w="110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2018 – Audited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213,285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118,226,956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16,359,169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7,000,000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(79,315,920)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62,483,490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Loss for the period</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(16,987,545)</w:t>
            </w:r>
          </w:p>
        </w:tc>
        <w:tc>
          <w:tcPr>
            <w:tcW w:w="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(16,987,545)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IFRS 9 restatement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Share-based payments – share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options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1,136,916</w:t>
            </w:r>
          </w:p>
        </w:tc>
        <w:tc>
          <w:tcPr>
            <w:tcW w:w="22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1,136,916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 LTIPS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159,669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bonus shares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90,277</w:t>
            </w:r>
          </w:p>
        </w:tc>
        <w:tc>
          <w:tcPr>
            <w:tcW w:w="22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Issue of share capital on June 1, 2018</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8)</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150,078</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share capital (Note 8)</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2018 – Unaudited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213,435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118,369,523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17,746,031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7,000,000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(96,179,599)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47,149,390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(15,041,195)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(15,041,195)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733,039</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733,039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Share-based payments - LTIPS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159,669</w:t>
            </w: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deferred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 shares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(90,277)</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Issue of share capital on August 3,</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8"/>
              </w:rPr>
              <w:t>2018 on exercise of options (Note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8)</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12,870</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Issue of share capital on October 22,</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2018 on exercise of options (Note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109,680</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Issue of warrants for TAP agreement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44,156</w:t>
            </w: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(306,838)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 – Audited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213,721</w:t>
            </w:r>
          </w:p>
        </w:tc>
        <w:tc>
          <w:tcPr>
            <w:tcW w:w="1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118,492,073</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18,592,618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7,000,000</w:t>
            </w: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(306,838)</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(111,220,794</w:t>
            </w:r>
          </w:p>
        </w:tc>
        <w:tc>
          <w:tcPr>
            <w:tcW w:w="120" w:type="dxa"/>
            <w:vAlign w:val="bottom"/>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32,770,780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(16,223,632)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(16,223,632)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88,033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710,830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798,863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354,128</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354,128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Share-based payments - LTIPS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138,673</w:t>
            </w: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23,</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for acquisition of OncoMed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Pharmaceuticals Inc (Note 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74,350</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40,818,128</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40,892,478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8"/>
              </w:rPr>
              <w:t>Issue of share capital on conversion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of loan note</w:t>
            </w:r>
          </w:p>
        </w:tc>
        <w:tc>
          <w:tcPr>
            <w:tcW w:w="640" w:type="dxa"/>
            <w:vAlign w:val="bottom"/>
          </w:tcPr>
          <w:p>
            <w:pPr>
              <w:jc w:val="right"/>
              <w:spacing w:after="0"/>
              <w:rPr>
                <w:sz w:val="20"/>
                <w:szCs w:val="20"/>
                <w:color w:val="auto"/>
              </w:rPr>
            </w:pPr>
            <w:r>
              <w:rPr>
                <w:rFonts w:ascii="Arial" w:cs="Arial" w:eastAsia="Arial" w:hAnsi="Arial"/>
                <w:sz w:val="18"/>
                <w:szCs w:val="18"/>
                <w:color w:val="auto"/>
              </w:rPr>
              <w:t>3,213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2,363,790</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2,367,003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 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1,588,983</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(1,591,578)</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share capital (Note 8)</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(760,692)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(760,692)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Equity element of convertible loan</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(308,122)</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(998,004)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(998,004)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2019 – Unaudited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293,879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121,684,154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58,003,847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7,000,000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(1,304,842)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(127,356,393)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710,830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59,031,475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interim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financial statements are the unaudited interim consolidated financial statements of Mereo BioPharma Group plc and its subsidiaries (collectively, the “Group”) for the six months ended June 30, 2019 were authorised for issue by the Directors on September 13, 2019. Mereo BioPharma Group plc (the “Company” or the “parent”) is a public limited company incorporated and domiciled in the United Kingdom and whose shares are publicly traded on the AIM Market of the London Stock Exchange with a secondary listing of its American Depositary Receipts (ADR’s) on the Nasdaq Global Market.</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April 23, 2019 the Group completed the acquisition of OncoMed Pharmaceuticals, Inc. (“OncoMed”) a California-based and Nasdaq-listed company at which time OncoMed became a US subsidiary of Mereo. The registered office is located at Fourth Floor, 1 Cavendish Place, London W1G 0QF.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Group is principally engaged in the research and development of novel pharmaceuticals.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interim condensed consolidated financial statements for the six-month period ended June 30, 2019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They do not include all the information required for a complete set of IFRS financial statements. However, selected explanatory notes are included to explain events and transactions that are significant to an understanding of the changes in the Group since the most recent annual financial statements (December 31, 2018). For comparative purposes a consolidated balance sheet as at June 30, 2018 has also been presented.</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consolidated financial statements for the year ended December 31, 2018, except for the new accounting polices described in Note 3 (Changes in accounting policies) below. The financial information is presented in Sterling.</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condensed interim financial statements are unaudited and do not constitute statutory accounts of the Group as defined in section 434 of the Companies Act 2006.</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information for the year ended December 31, 2018 has been extracted from the Group’s published financial statements for that year, and a copy of the statutory accounts for that financial year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Segmental information</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Management views the business as a single portfolio of product candidates. Only R&amp;D expenses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U.K. and U.S.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Group’s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the Group are not prone to seasonal or cyclical variations.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consolidated interim financial statements have been prepared on a going concern basis, which contemplates the realisation of assets and the payment of liabilities in the ordinary course of business. The Group incurred net losses of £16.2 million and £17.0 million for the periods ended 30 June 2019 and 30 June 2018 respectively. As at 30 June 2019, the Group had total cash resources</w:t>
      </w:r>
      <w:r>
        <w:rPr>
          <w:rFonts w:ascii="Arial" w:cs="Arial" w:eastAsia="Arial" w:hAnsi="Arial"/>
          <w:sz w:val="13"/>
          <w:szCs w:val="13"/>
          <w:color w:val="auto"/>
        </w:rPr>
        <w:t>1</w:t>
      </w:r>
      <w:r>
        <w:rPr>
          <w:rFonts w:ascii="Arial" w:cs="Arial" w:eastAsia="Arial" w:hAnsi="Arial"/>
          <w:sz w:val="16"/>
          <w:szCs w:val="16"/>
          <w:color w:val="auto"/>
        </w:rPr>
        <w:t xml:space="preserve"> of £36.1 million and net current assets of £27.8 million.</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part of the going concern review, the Directors have considered the funding requirements of the Group through consideration of the Group’s current business plan and the preparation of detailed cash flow forecasts. The going concern review prepared by the Directors extends through to December 2022 from the date of approval of these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4" w:lineRule="exact"/>
        <w:rPr>
          <w:sz w:val="20"/>
          <w:szCs w:val="20"/>
          <w:color w:val="auto"/>
        </w:rPr>
      </w:pPr>
    </w:p>
    <w:p>
      <w:pPr>
        <w:ind w:left="5420" w:right="3220" w:hanging="5416"/>
        <w:spacing w:after="0" w:line="449" w:lineRule="auto"/>
        <w:tabs>
          <w:tab w:leader="none" w:pos="432" w:val="left"/>
        </w:tabs>
        <w:numPr>
          <w:ilvl w:val="0"/>
          <w:numId w:val="8"/>
        </w:numPr>
        <w:rPr>
          <w:rFonts w:ascii="Arial" w:cs="Arial" w:eastAsia="Arial" w:hAnsi="Arial"/>
          <w:sz w:val="15"/>
          <w:szCs w:val="15"/>
          <w:color w:val="auto"/>
        </w:rPr>
      </w:pPr>
      <w:r>
        <w:rPr>
          <w:rFonts w:ascii="Arial" w:cs="Arial" w:eastAsia="Arial" w:hAnsi="Arial"/>
          <w:sz w:val="18"/>
          <w:szCs w:val="18"/>
          <w:color w:val="auto"/>
        </w:rPr>
        <w:t>Cash resources is defined as the aggregate of cash and short-term deposits and short-term investments 15</w:t>
      </w:r>
    </w:p>
    <w:p>
      <w:pPr>
        <w:sectPr>
          <w:pgSz w:w="11900" w:h="16838" w:orient="portrait"/>
          <w:cols w:equalWidth="0" w:num="1">
            <w:col w:w="11000"/>
          </w:cols>
          <w:pgMar w:left="440" w:top="274" w:right="459" w:bottom="1440" w:gutter="0" w:footer="0" w:header="0"/>
        </w:sectPr>
      </w:pPr>
    </w:p>
    <w:bookmarkStart w:id="16" w:name="page17"/>
    <w:bookmarkEnd w:id="1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current business plan and detailed cash flow forecasts, with ongoing R&amp;D efforts focused on our rare disease products, setrusumab and alvelestat, we expect that our current on-hand cash resources will extend to the end of Q2 2020. Therefore, the Group requires additional external funding within the next 12 months to be able to continue as a going concern. Principally, this funding will be required to complete our current trials, fund our ongoing administrative costs and other general working capital and contractual financing requirements (see Note 7(b) below) and to commence our pivotal paediatric study and the manufacturing scale up activities for setrusumab as we progress with our development plans for that program.</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 funding to continue to develop our rare disease products is most likely to come from a mix of additional equity funding and partnering transactions with third parties, where discussions with a wide range of partners is already underway. The Directors remain confident of raising additional funding through either or both of these routes by mid-2020 which will provide the Group with additional funding to enable it to continue as a going concern. In terms of further equity finance, the Company has the existing approval to issue new shares on a non-pre-emptive basis and whilst it is not possible to predict market conditions and noting that 19.6% of our issued share capital is held by the Woodford Equity Income Fund, the Directors and its advisors believe sufficient progress is being made with our development programs to be able to complete an equity raise. In addition, the upcoming newsflow from the Phase 2b top-line data in adults for setrusumab in Q4 2019 should provide an enhanced opportunity to raise further equity finance if the data is positive. Because the additional finance that may result from partnering and/or further equity funding is not committed at the date of approval of these consolidated interim financial statements, these circumstances represent a material uncertainty as to the Group’s ability to continue as a going concern.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interim financial statements do not include the adjustments that would arise if the Group were unable to continue as a going concern. Should the Group be unable to obtain further finance such that the going concern basis of preparation were no longer appropriate, adjustments would be required which would include reducing the balance sheet values of assets to their recoverable amounts and to provide for further liabilities that might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Changes in accounting policies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Except as noted below, these interim consolidated financial statements have been prepared using the same accounting policies and methods of computation as compared with the most recent annual financial statements.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 2019 the Group adopted IFRS 16 (Leases). The nature and effect of the changes from implementing IFRS 16 (Leases) most relevant to the Group’s financial statements are given below.</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Where relevant the Group has also implemented other amendments to existing standards and interpretations which became effective in the six-month period ended June 30, 2019. This included IFRIC 23 (Uncertainty over Income Tax Treatments). None of these amendments had a material impact on the Group’s overall result and financial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IFRS 16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impact of application of IFRS 16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the current year, the Group, for the first time, has applied IFRS 16 Leases. The date of initial application of IFRS 16 for the Group is January 1, 2019.</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IFRS 16 introduces new or amended requirements with respect to lease accounting. It introduces significant changes to the lessee accounting by removing the distinction between operating and finance lease, requiring the recognition of a right-of-use asset and a lease liability at commencement for all leases, except for short-term leases and leases of low value assets. In contrast to lessee accounting, the requirements for lessor accounting have remained largely unchanged.</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Group is lessee under a number of property and equipment leases, and also acts as the sublessor of two sublease agreements under one of its property leases. Details of the Group’s accounting policies under IFRS 16 are set out below.</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Significant judgements and estimates applied in the adoption of IFRS 16 included determining the lease term for those leases with termination or extension options, the classification of subleases as operating or finance subleases, and the incremental borrowing rate where the rate implicit in a lease could not be readily determined.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Approach to transition</w:t>
      </w:r>
    </w:p>
    <w:p>
      <w:pPr>
        <w:spacing w:after="0" w:line="12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The Group has applied IFRS 16 using the modified retrospective approach, without restatement of the comparative information. In respect of those leases the Group previously treated as operating leases, the Group has elected to measure its right of use assets using the approach set out in IFRS 16.C8(b)(ii). Under IFRS 16.C8(b)(ii) right of use assets are set equal to the lease liability, adjusted for prepaid or accrued lease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Group’s weighted average incremental borrowing rate applied to lease liabilities as at January 1, 2019 is 15%.</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 of a lease</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Previously, the Group determined at contract inception whether an arrangement was or contained a lease under IFRC 4 </w:t>
      </w:r>
      <w:r>
        <w:rPr>
          <w:rFonts w:ascii="Arial" w:cs="Arial" w:eastAsia="Arial" w:hAnsi="Arial"/>
          <w:sz w:val="16"/>
          <w:szCs w:val="16"/>
          <w:i w:val="1"/>
          <w:iCs w:val="1"/>
          <w:color w:val="auto"/>
        </w:rPr>
        <w:t>Determining Whether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contains a Lease. </w:t>
      </w:r>
      <w:r>
        <w:rPr>
          <w:rFonts w:ascii="Arial" w:cs="Arial" w:eastAsia="Arial" w:hAnsi="Arial"/>
          <w:sz w:val="16"/>
          <w:szCs w:val="16"/>
          <w:color w:val="auto"/>
        </w:rPr>
        <w:t>The Group now assesses whether a contract is or contains a lease based on the new definition of a lease under IFRS 16.</w:t>
      </w:r>
      <w:r>
        <w:rPr>
          <w:rFonts w:ascii="Arial" w:cs="Arial" w:eastAsia="Arial" w:hAnsi="Arial"/>
          <w:sz w:val="16"/>
          <w:szCs w:val="16"/>
          <w:i w:val="1"/>
          <w:iCs w:val="1"/>
          <w:color w:val="auto"/>
        </w:rPr>
        <w:t xml:space="preserve"> </w:t>
      </w:r>
      <w:r>
        <w:rPr>
          <w:rFonts w:ascii="Arial" w:cs="Arial" w:eastAsia="Arial" w:hAnsi="Arial"/>
          <w:sz w:val="16"/>
          <w:szCs w:val="16"/>
          <w:color w:val="auto"/>
        </w:rPr>
        <w:t>Under IFRS 16, a contract is or contains a lease, if the contract conveys a right to control the use of an identified asset in exchange for consideration.</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transition to IFRS 16, the Group elected to apply the practical expedient to grandfather the assessment of which transactions are leases. It applied IFRS 16 only to contracts that were previously not identified as leases. Contracts that were not identified as leases under IAS 17 and IFRIC 4 were not reassessed. In preparation for the first-time application of IFRS 16, the Group has carried out an implementation project. The new definition in IFRS 16 will not significantly change the scope of contracts that meet the definition of a lease for the Group.</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inception or on reassessment of a contract that contains a lease component, the Group allocates the consideration in the contract to each lease and non-lease component on the basis of their relative stand-alone prices.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adopted on transition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practical expedients permitted by IFRS 16 are used by the Group, notably:</w:t>
      </w:r>
    </w:p>
    <w:p>
      <w:pPr>
        <w:spacing w:after="0" w:line="131" w:lineRule="exact"/>
        <w:rPr>
          <w:sz w:val="20"/>
          <w:szCs w:val="20"/>
          <w:color w:val="auto"/>
        </w:rPr>
      </w:pPr>
    </w:p>
    <w:p>
      <w:pPr>
        <w:ind w:left="980" w:hanging="54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(grandfather the previous assessment of whether a transaction was a lease under IAS 17 or IFRIC 4). The definition of a lease under IFRS 16 has been applied only to contracts entered into or changed on or after 1 January 2019;</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leases of low-value assets;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Used hindsight when determining the lease term if the contract contains options to extend or terminate the 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lessee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Applying IFRS 16, for all leases, the Group:</w:t>
      </w:r>
    </w:p>
    <w:p>
      <w:pPr>
        <w:spacing w:after="0" w:line="131" w:lineRule="exact"/>
        <w:rPr>
          <w:sz w:val="20"/>
          <w:szCs w:val="20"/>
          <w:color w:val="auto"/>
        </w:rPr>
      </w:pPr>
    </w:p>
    <w:p>
      <w:pPr>
        <w:ind w:left="980" w:right="34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Recognises right-of-use assets and lease liabilities in the consolidated statement of financial position, initially measured at the present value of future lease payments;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Recognises depreciation of right-of-use assets and interest on lease liabilities in the consolidated statement of profit or loss; and</w:t>
      </w:r>
    </w:p>
    <w:p>
      <w:pPr>
        <w:spacing w:after="0" w:line="142" w:lineRule="exact"/>
        <w:rPr>
          <w:rFonts w:ascii="Arial" w:cs="Arial" w:eastAsia="Arial" w:hAnsi="Arial"/>
          <w:sz w:val="17"/>
          <w:szCs w:val="17"/>
          <w:color w:val="auto"/>
        </w:rPr>
      </w:pPr>
    </w:p>
    <w:p>
      <w:pPr>
        <w:ind w:left="980" w:right="48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Lease incentives (e.g. rent-free periods) are recognised as part of the measurement of the right-of-use assets and lease liabilities whereas under IAS 17 they resulted in the recognition of a lease incentive liability, amortised as a reduction of rental expenses on a straight-line basis.</w:t>
      </w:r>
    </w:p>
    <w:p>
      <w:pPr>
        <w:spacing w:after="0" w:line="14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Under IFRS 16, right-of-use assets will be tested for impairment in accordance with IAS 36 Impairment of Assets. This replaces the previous requirement to recognise a provision for onerous lease contracts.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short-term leases (lease term of 12 months or less) and leases of low-value assets (such as those with a value less than £5,000), the Group has opted to recognise a lease expense on a straight-line basis as permitted by IFRS 16. This expense is presented within Other operating expenses in the consolidated income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Group did not hold any finance leases.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Lessor Accounting</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IFRS 16 does not change substantially how a lessor accounts for leases. Under IFRS 16, a lessor continues to classify leases as either finance leases or operating leases and account for those two types of leases differently. However, IFRS 16 has changed and expanded the disclosures required, in particular regarding how a lessor manages the risks arising from its residual interest in leased assets.</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Under IFRS 16, an intermediate lessor accounts for the head lease and the sublease as two separate contracts. The intermediate lessor is required to classify the sublease as a finance or operating lease by reference to the right-of-use asset arising from the head lease (and not by reference to the underlying asset as was the case under IAS 17).</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 Group continues to account for its subleases as operating leases, there has been no material impact as a result of this 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impact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application of IFRS 16 to leases previously classified as operating leases under IAS 17 resulted in the recognition of right-of-use assets and lease liabilities. Prepaid rental previously recognised as assets and accrued rental previously recognised as liabilities have been derecognised and factored into the measurement of the right-of-use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chosen to use the table below to set out the adjustments recognised at the date of initial application of IFRS 16.</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As previously</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As restated at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0" w:type="dxa"/>
            <w:vAlign w:val="bottom"/>
            <w:gridSpan w:val="2"/>
          </w:tcPr>
          <w:p>
            <w:pPr>
              <w:jc w:val="center"/>
              <w:ind w:right="460"/>
              <w:spacing w:after="0" w:line="145" w:lineRule="exact"/>
              <w:rPr>
                <w:sz w:val="20"/>
                <w:szCs w:val="20"/>
                <w:color w:val="auto"/>
              </w:rPr>
            </w:pPr>
            <w:r>
              <w:rPr>
                <w:rFonts w:ascii="Arial" w:cs="Arial" w:eastAsia="Arial" w:hAnsi="Arial"/>
                <w:sz w:val="14"/>
                <w:szCs w:val="14"/>
                <w:color w:val="auto"/>
                <w:w w:val="91"/>
              </w:rPr>
              <w:t>reported at</w:t>
            </w:r>
          </w:p>
        </w:tc>
        <w:tc>
          <w:tcPr>
            <w:tcW w:w="1360" w:type="dxa"/>
            <w:vAlign w:val="bottom"/>
            <w:gridSpan w:val="2"/>
          </w:tcPr>
          <w:p>
            <w:pPr>
              <w:jc w:val="right"/>
              <w:ind w:right="460"/>
              <w:spacing w:after="0" w:line="145" w:lineRule="exact"/>
              <w:rPr>
                <w:sz w:val="20"/>
                <w:szCs w:val="20"/>
                <w:color w:val="auto"/>
              </w:rPr>
            </w:pPr>
            <w:r>
              <w:rPr>
                <w:rFonts w:ascii="Arial" w:cs="Arial" w:eastAsia="Arial" w:hAnsi="Arial"/>
                <w:sz w:val="14"/>
                <w:szCs w:val="14"/>
                <w:color w:val="auto"/>
                <w:w w:val="94"/>
              </w:rPr>
              <w:t>Impact of IFRS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December 31, 2018</w:t>
            </w:r>
          </w:p>
        </w:tc>
        <w:tc>
          <w:tcPr>
            <w:tcW w:w="920" w:type="dxa"/>
            <w:vAlign w:val="bottom"/>
          </w:tcPr>
          <w:p>
            <w:pPr>
              <w:jc w:val="right"/>
              <w:ind w:right="294"/>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40" w:type="dxa"/>
            <w:vAlign w:val="bottom"/>
          </w:tcPr>
          <w:p>
            <w:pPr>
              <w:jc w:val="right"/>
              <w:spacing w:after="0"/>
              <w:rPr>
                <w:sz w:val="20"/>
                <w:szCs w:val="20"/>
                <w:color w:val="auto"/>
              </w:rPr>
            </w:pPr>
            <w:r>
              <w:rPr>
                <w:rFonts w:ascii="Arial" w:cs="Arial" w:eastAsia="Arial" w:hAnsi="Arial"/>
                <w:sz w:val="18"/>
                <w:szCs w:val="18"/>
                <w:color w:val="auto"/>
              </w:rPr>
              <w:t>148,935</w:t>
            </w:r>
          </w:p>
        </w:tc>
        <w:tc>
          <w:tcPr>
            <w:tcW w:w="4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2,551,810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2,700,745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1,066,932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(50,253)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1,016,679</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Total impact on assets</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2,051,557</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140" w:type="dxa"/>
            <w:vAlign w:val="bottom"/>
          </w:tcPr>
          <w:p>
            <w:pPr>
              <w:jc w:val="right"/>
              <w:spacing w:after="0"/>
              <w:rPr>
                <w:sz w:val="20"/>
                <w:szCs w:val="20"/>
                <w:color w:val="auto"/>
              </w:rPr>
            </w:pPr>
            <w:r>
              <w:rPr>
                <w:rFonts w:ascii="Arial" w:cs="Arial" w:eastAsia="Arial" w:hAnsi="Arial"/>
                <w:sz w:val="18"/>
                <w:szCs w:val="18"/>
                <w:color w:val="auto"/>
              </w:rPr>
              <w:t>4,570,307</w:t>
            </w:r>
          </w:p>
        </w:tc>
        <w:tc>
          <w:tcPr>
            <w:tcW w:w="4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4,570,307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606,525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1,927,122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1,927,122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Accruals</w:t>
            </w:r>
          </w:p>
        </w:tc>
        <w:tc>
          <w:tcPr>
            <w:tcW w:w="1140" w:type="dxa"/>
            <w:vAlign w:val="bottom"/>
          </w:tcPr>
          <w:p>
            <w:pPr>
              <w:jc w:val="right"/>
              <w:spacing w:after="0"/>
              <w:rPr>
                <w:sz w:val="20"/>
                <w:szCs w:val="20"/>
                <w:color w:val="auto"/>
              </w:rPr>
            </w:pPr>
            <w:r>
              <w:rPr>
                <w:rFonts w:ascii="Arial" w:cs="Arial" w:eastAsia="Arial" w:hAnsi="Arial"/>
                <w:sz w:val="18"/>
                <w:szCs w:val="18"/>
                <w:color w:val="auto"/>
              </w:rPr>
              <w:t>4,437,321</w:t>
            </w:r>
          </w:p>
        </w:tc>
        <w:tc>
          <w:tcPr>
            <w:tcW w:w="4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(32,090)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4,405,231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impact on liabilities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2,051,557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Total impact on retained earnings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the total right-of-use assets of £2,551,810 recognised at January 1, 2019, £1,236,613 related to leases of building and £1,315,197 to leases of equipment. On April 23, 2019, the Group acquired OncoMed Pharmaceuticals Inc. (“OncoMed”) (see Note 4). On acquisition, the Group recognised a right-of-use asset of £10,755,475 relating to an acquired property lease.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presents a reconciliation from operating lease commitments disclosed at December 31, 2018 to lease liabilities recognised at January 1, 2019.</w:t>
      </w:r>
    </w:p>
    <w:p>
      <w:pPr>
        <w:spacing w:after="0" w:line="193"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disclosed under IAS 17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Effect of discounting</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(944,186)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Reassessment of lease term under IFRS 16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2,942,168</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Lease liabilities recognised at January 1,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2,533,647</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terms of the income statement impact, the application of IFRS 16 resulted in a decrease in other operating expenses and an increase in depreciation and interest expense compared to IAS 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2019, in relation to leases under IFRS 16 the Group recognised the following amounts in the consolidated income statement:</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560" w:type="dxa"/>
            <w:vAlign w:val="bottom"/>
          </w:tcPr>
          <w:p>
            <w:pPr>
              <w:jc w:val="center"/>
              <w:ind w:left="2519"/>
              <w:spacing w:after="0"/>
              <w:rPr>
                <w:sz w:val="20"/>
                <w:szCs w:val="20"/>
                <w:color w:val="auto"/>
              </w:rPr>
            </w:pPr>
            <w:r>
              <w:rPr>
                <w:rFonts w:ascii="Arial" w:cs="Arial" w:eastAsia="Arial" w:hAnsi="Arial"/>
                <w:sz w:val="14"/>
                <w:szCs w:val="14"/>
                <w:b w:val="1"/>
                <w:bCs w:val="1"/>
                <w:color w:val="auto"/>
                <w:w w:val="90"/>
              </w:rPr>
              <w:t>Six months to</w:t>
            </w:r>
          </w:p>
        </w:tc>
      </w:tr>
      <w:tr>
        <w:trPr>
          <w:trHeight w:val="149"/>
        </w:trPr>
        <w:tc>
          <w:tcPr>
            <w:tcW w:w="3920" w:type="dxa"/>
            <w:vAlign w:val="bottom"/>
          </w:tcPr>
          <w:p>
            <w:pPr>
              <w:spacing w:after="0"/>
              <w:rPr>
                <w:sz w:val="12"/>
                <w:szCs w:val="12"/>
                <w:color w:val="auto"/>
              </w:rPr>
            </w:pPr>
          </w:p>
        </w:tc>
        <w:tc>
          <w:tcPr>
            <w:tcW w:w="3560" w:type="dxa"/>
            <w:vAlign w:val="bottom"/>
          </w:tcPr>
          <w:p>
            <w:pPr>
              <w:jc w:val="center"/>
              <w:ind w:left="2519"/>
              <w:spacing w:after="0" w:line="149" w:lineRule="exact"/>
              <w:rPr>
                <w:sz w:val="20"/>
                <w:szCs w:val="20"/>
                <w:color w:val="auto"/>
              </w:rPr>
            </w:pPr>
            <w:r>
              <w:rPr>
                <w:rFonts w:ascii="Arial" w:cs="Arial" w:eastAsia="Arial" w:hAnsi="Arial"/>
                <w:sz w:val="14"/>
                <w:szCs w:val="14"/>
                <w:b w:val="1"/>
                <w:bCs w:val="1"/>
                <w:color w:val="auto"/>
                <w:w w:val="92"/>
              </w:rPr>
              <w:t>June 30, 2019</w:t>
            </w:r>
          </w:p>
        </w:tc>
      </w:tr>
      <w:tr>
        <w:trPr>
          <w:trHeight w:val="171"/>
        </w:trPr>
        <w:tc>
          <w:tcPr>
            <w:tcW w:w="3920" w:type="dxa"/>
            <w:vAlign w:val="bottom"/>
          </w:tcPr>
          <w:p>
            <w:pPr>
              <w:spacing w:after="0"/>
              <w:rPr>
                <w:sz w:val="14"/>
                <w:szCs w:val="14"/>
                <w:color w:val="auto"/>
              </w:rPr>
            </w:pPr>
          </w:p>
        </w:tc>
        <w:tc>
          <w:tcPr>
            <w:tcW w:w="3560" w:type="dxa"/>
            <w:vAlign w:val="bottom"/>
          </w:tcPr>
          <w:p>
            <w:pPr>
              <w:jc w:val="center"/>
              <w:ind w:left="2519"/>
              <w:spacing w:after="0"/>
              <w:rPr>
                <w:sz w:val="20"/>
                <w:szCs w:val="20"/>
                <w:color w:val="auto"/>
              </w:rPr>
            </w:pPr>
            <w:r>
              <w:rPr>
                <w:rFonts w:ascii="Arial" w:cs="Arial" w:eastAsia="Arial" w:hAnsi="Arial"/>
                <w:sz w:val="14"/>
                <w:szCs w:val="14"/>
                <w:b w:val="1"/>
                <w:bCs w:val="1"/>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552,017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3560" w:type="dxa"/>
            <w:vAlign w:val="bottom"/>
          </w:tcPr>
          <w:p>
            <w:pPr>
              <w:jc w:val="right"/>
              <w:spacing w:after="0"/>
              <w:rPr>
                <w:sz w:val="20"/>
                <w:szCs w:val="20"/>
                <w:color w:val="auto"/>
              </w:rPr>
            </w:pPr>
            <w:r>
              <w:rPr>
                <w:rFonts w:ascii="Arial" w:cs="Arial" w:eastAsia="Arial" w:hAnsi="Arial"/>
                <w:sz w:val="18"/>
                <w:szCs w:val="18"/>
                <w:color w:val="auto"/>
              </w:rPr>
              <w:t>427,943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amounts recognised in the consolidated income statement relating to short-term leases and low-value leases, where the relevant practical expedients have been applied, is not significant.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Acquisition of subsidiary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23, 2019, the Group obtained a 100% controlling interest in OncoMed Pharmaceuticals Inc. (“OncoMed”), a US company based in Redwood City, California, that had been publicly listed on NASDAQ.</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OncoMed is a clinical-stage biopharmaceutical company focused on discovering and developing novel therapeutics that address the fundamental biology driving cancer’s growth, resistance, recurrence and metastasis. OncoMed was acquired in order to broaden the Group’s asset base, strengthen its cash position and obtain a NASDAQ listing to diversify international shareholder base of the combined group.</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acquisition has been accounted for using the acquisition method of accounting. A provisional assessment has been made of the fair value to the Group of the assets and liabilities acquired along with the contingent consideration as they are based on preliminary information received at this point and therefore subject to adjustment through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subsidiary – 2019: net assets acquired</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40" w:type="dxa"/>
            <w:vAlign w:val="bottom"/>
          </w:tcPr>
          <w:p>
            <w:pPr>
              <w:jc w:val="right"/>
              <w:ind w:right="3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10,074,297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29,019,206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Prepayments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1,696,933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Right-of-use assets</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10,755,475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12,693,479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liabilities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(9,214,785)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(10,688,588)</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Net identifiable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44,572,531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Bargain purchase</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(3,680,053)</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40,892,478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Satisfied by: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Issuance of own-equity instruments (24,783,320 ordinary shares)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40,892,478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 transferred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40,892,478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inflow arising on acquisition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Cash consideration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cash and short-term deposits acquired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(10,074,297)</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(10,074,297</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the 24,783,320 ordinary shares issued as part of the consideration paid for OncoMed (£40,892,478) was measured on the basis of the Group’s quoted share price as at the date of acquisition (i.e. April 23, 2019).</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the Group acquired OncoMed for an amount less than the fair market value of the net assets acquired on the date of acquisition, a gain on bargain purchase of £3,680,053 was realised (recognised net against the acquisition transaction costs within the consolidated statement of comprehensive loss). This was attributable to the following factors:</w:t>
      </w:r>
    </w:p>
    <w:p>
      <w:pPr>
        <w:spacing w:after="0" w:line="87" w:lineRule="exact"/>
        <w:rPr>
          <w:sz w:val="20"/>
          <w:szCs w:val="20"/>
          <w:color w:val="auto"/>
        </w:rPr>
      </w:pPr>
    </w:p>
    <w:p>
      <w:pPr>
        <w:ind w:left="1420" w:right="160" w:hanging="430"/>
        <w:spacing w:after="0" w:line="276"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Subject to a working capital adjustment, the immediately pre-closing proportion of shares in Mereo due to be issued to OncoMed’s shareholders as equity consideration was agreed in December 2018 based on the Group’s 90-day volume-weighted average price ending on December 4, 2018 (the “reference share price”). Following a movement downward in the Group’s quoted share price on the completion date (23 April 2019) in comparison with the reference share price this reduced the fair value of the consideration paid. The impact in the reduction in the total consideration paid was partly offset by; and</w:t>
      </w:r>
    </w:p>
    <w:p>
      <w:pPr>
        <w:spacing w:after="0" w:line="77" w:lineRule="exact"/>
        <w:rPr>
          <w:rFonts w:ascii="Arial" w:cs="Arial" w:eastAsia="Arial" w:hAnsi="Arial"/>
          <w:sz w:val="17"/>
          <w:szCs w:val="17"/>
          <w:color w:val="auto"/>
        </w:rPr>
      </w:pPr>
    </w:p>
    <w:p>
      <w:pPr>
        <w:ind w:left="1420" w:right="200" w:hanging="430"/>
        <w:spacing w:after="0" w:line="264" w:lineRule="auto"/>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period from announcement of the deal and the date of acquisition (April 23, 2019), a period of approximately five months, OncoMed continued to generate losses reflecting continued R&amp;D activity together with expenditure on its overheads. This had the effect of reducing net assets acquired.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contingent consideration arrangement requires the Group to make additional cash payments and issue new American Depositary Shares (“ADSs”) if specified milestones are achieved within agreed time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0" w:name="page21"/>
    <w:bookmarkEnd w:id="2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cash consideration becomes payable, if, within eighteen months following the completion date, the Group enters into eligible partnership or investment transactions in relation to OncoMed’s navicixizumab product and, within five years of the completion date, the Group receives certain eligible cash milestone payment (“NAVI Milestone”). The potential undiscounted amount of the Navi Milestone payment is subject to an aggregate cap of approximately $80 million.</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Contingent consideration in the form of new ADSs was also due in the event that Celgene Corporation (“Celgene”) exercised its option in relation to OncoMed’s etigilimab product. As announced in June 2019, Celgene did not exercise its option and therefore the Group will not be required to issue any ADSs under this contingent consideration arrangement.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After consideration of the significant inherent uncertainties related to the Navi milestones, the preliminary fair value of the CVRs as of the completion date was estimated to be minimal (i.e. approximates £Nil). In determining that the preliminary CVR fair value approximated nil, the following information and factors were considered:</w:t>
      </w:r>
    </w:p>
    <w:p>
      <w:pPr>
        <w:spacing w:after="0" w:line="87" w:lineRule="exact"/>
        <w:rPr>
          <w:sz w:val="20"/>
          <w:szCs w:val="20"/>
          <w:color w:val="auto"/>
        </w:rPr>
      </w:pPr>
    </w:p>
    <w:p>
      <w:pPr>
        <w:ind w:left="1420" w:right="400" w:hanging="430"/>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likelihood of Celgene exercising the exclusive option granted by OncoMed to Celgene in relation to OncoMed’s etigilimab product, particularly given Bristol-Myers Squibb’s proposed acquisition of Celgene;</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 outcomes of current clinical studies;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uncertainty regarding the availability of future funding partners;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uncertainty relating to the success of future development of such products; as well as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dependency of the CVR milestones on the occurrence of events that are outside of the control of the Group.</w:t>
      </w:r>
    </w:p>
    <w:p>
      <w:pPr>
        <w:spacing w:after="0" w:line="225" w:lineRule="exact"/>
        <w:rPr>
          <w:sz w:val="20"/>
          <w:szCs w:val="20"/>
          <w:color w:val="auto"/>
        </w:rPr>
      </w:pPr>
    </w:p>
    <w:p>
      <w:pPr>
        <w:ind w:right="780"/>
        <w:spacing w:after="0" w:line="312" w:lineRule="auto"/>
        <w:rPr>
          <w:sz w:val="20"/>
          <w:szCs w:val="20"/>
          <w:color w:val="auto"/>
        </w:rPr>
      </w:pPr>
      <w:r>
        <w:rPr>
          <w:rFonts w:ascii="Arial" w:cs="Arial" w:eastAsia="Arial" w:hAnsi="Arial"/>
          <w:sz w:val="16"/>
          <w:szCs w:val="16"/>
          <w:color w:val="auto"/>
        </w:rPr>
        <w:t>The fair value of the financial assets includes receivables from the landlord under OncoMed’s office lease arrangement in relation to tenant improvements with a fair value and a gross contractual value of £154,529. It is estimated at acquisition date that all contractual cash flows are collectable in full. Short-term investments acquired with OncoMed were treasury bills (recognised at fair value through OCI).</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Acquisition-related-costs (recognised net against the gain on bargain purchase within the consolidated statement of comprehensive loss) amounted to £2,644,674.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OncoMed contributed £nil revenue and £2,283,341 to the Group’s loss for the period between the date of acquisition and the balance sheet date.</w:t>
      </w:r>
    </w:p>
    <w:p>
      <w:pPr>
        <w:spacing w:after="0" w:line="23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If the acquisition of OncoMed had been completed on the first day of the financial year, group revenues for the period would have been £4,255,178 and the Group’s loss would have been £24,340,108. This information is provided for illustrative purposes only and is not necessarily indicative of the results that the Group would have occurred had OncoMed actually been acquired at the beginning of the year, or indicative of future results of the Group.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initial application of IFRS 16 the Group recognised right-of-use assets of £2,551,810. Subsequently, following the acquisition of OncoMed (Note 4), the Group recognised a right-of-use asset of £10,755,475 relating to an acquired property lease.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Further details on the initial application of IFRS 16 are presented in Note 3. The Group has decided to present right-of-use assets within property, plant and equipment.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Intangible assets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Acquired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development</w:t>
            </w:r>
          </w:p>
        </w:tc>
        <w:tc>
          <w:tcPr>
            <w:tcW w:w="0" w:type="dxa"/>
            <w:vAlign w:val="bottom"/>
          </w:tcPr>
          <w:p>
            <w:pPr>
              <w:spacing w:after="0"/>
              <w:rPr>
                <w:sz w:val="1"/>
                <w:szCs w:val="1"/>
                <w:color w:val="auto"/>
              </w:rPr>
            </w:pPr>
          </w:p>
        </w:tc>
      </w:tr>
      <w:tr>
        <w:trPr>
          <w:trHeight w:val="149"/>
        </w:trPr>
        <w:tc>
          <w:tcPr>
            <w:tcW w:w="6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December 31, 2018 – Audited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programs</w:t>
            </w:r>
          </w:p>
        </w:tc>
        <w:tc>
          <w:tcPr>
            <w:tcW w:w="0" w:type="dxa"/>
            <w:vAlign w:val="bottom"/>
          </w:tcPr>
          <w:p>
            <w:pPr>
              <w:spacing w:after="0"/>
              <w:rPr>
                <w:sz w:val="1"/>
                <w:szCs w:val="1"/>
                <w:color w:val="auto"/>
              </w:rPr>
            </w:pPr>
          </w:p>
        </w:tc>
      </w:tr>
      <w:tr>
        <w:trPr>
          <w:trHeight w:val="174"/>
        </w:trPr>
        <w:tc>
          <w:tcPr>
            <w:tcW w:w="6500" w:type="dxa"/>
            <w:vAlign w:val="bottom"/>
            <w:gridSpan w:val="5"/>
            <w:vMerge w:val="continue"/>
          </w:tcPr>
          <w:p>
            <w:pPr>
              <w:spacing w:after="0"/>
              <w:rPr>
                <w:sz w:val="15"/>
                <w:szCs w:val="15"/>
                <w:color w:val="auto"/>
              </w:rPr>
            </w:pP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w:t>
            </w:r>
          </w:p>
        </w:tc>
        <w:tc>
          <w:tcPr>
            <w:tcW w:w="450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33,005,229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Accumulated revision to estimated value</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book amount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32,632,229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 2019 – Unaudited</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3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32,632,229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5"/>
          </w:tcPr>
          <w:p>
            <w:pPr>
              <w:spacing w:after="0"/>
              <w:rPr>
                <w:sz w:val="20"/>
                <w:szCs w:val="20"/>
                <w:color w:val="auto"/>
              </w:rPr>
            </w:pPr>
            <w:r>
              <w:rPr>
                <w:rFonts w:ascii="Arial" w:cs="Arial" w:eastAsia="Arial" w:hAnsi="Arial"/>
                <w:sz w:val="18"/>
                <w:szCs w:val="18"/>
                <w:color w:val="auto"/>
              </w:rPr>
              <w:t>Acquisition of subsidiary (Note 4)</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12,693,479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Revision to estimated value</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23"/>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At June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45,156,708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June 30, 2019 – Unaudited</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4680" w:type="dxa"/>
            <w:vAlign w:val="bottom"/>
            <w:gridSpan w:val="3"/>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45,698,708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Accumulated revision to estimated value</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book amount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45,156,708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present value of the provision for deferred cash consideration relating to the agreement with AstraZeneca was reviewed at June 30, 2019 (see Note 9). The decrease in present value due to changes in timelines and probability of contractual milestones being achieved was £169,000 (2018: £373,000) and is recognized as a reduction of the intangible asset in line with our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 acquired with the acquisition of subsidiary of £12,693,479 (2018: £nil) is further explained within Note 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the Group did not revise the value of any other intangible assets (2018: £nil). As the intangible assets remain under development,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amortisation charge has been recognised (2018: £nil).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bearing loans and borrowings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Six months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Six months</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ended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June 31, 2018</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Unaudited</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Unaudited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2018 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380" w:type="dxa"/>
            <w:vAlign w:val="bottom"/>
            <w:gridSpan w:val="2"/>
          </w:tcPr>
          <w:p>
            <w:pPr>
              <w:jc w:val="center"/>
              <w:ind w:left="241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loan notes (see Note 7a)</w:t>
            </w:r>
          </w:p>
        </w:tc>
        <w:tc>
          <w:tcPr>
            <w:tcW w:w="2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1,943,235</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2,038,881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Bank loan (see Note 7b)</w:t>
            </w:r>
          </w:p>
        </w:tc>
        <w:tc>
          <w:tcPr>
            <w:tcW w:w="2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19,732,236</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18,961,887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19,445,756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At end of year/period</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19,732,236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20,905,122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21,484,637</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2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8,011,237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5,644,369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6,837,884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3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11,720,999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15,260,753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14,646,753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00" w:type="dxa"/>
            <w:vAlign w:val="bottom"/>
          </w:tcPr>
          <w:p>
            <w:pPr>
              <w:jc w:val="right"/>
              <w:ind w:right="1296"/>
              <w:spacing w:after="0"/>
              <w:rPr>
                <w:sz w:val="20"/>
                <w:szCs w:val="20"/>
                <w:color w:val="auto"/>
              </w:rPr>
            </w:pPr>
            <w:r>
              <w:rPr>
                <w:rFonts w:ascii="Arial" w:cs="Arial" w:eastAsia="Arial" w:hAnsi="Arial"/>
                <w:sz w:val="18"/>
                <w:szCs w:val="18"/>
                <w:color w:val="auto"/>
              </w:rPr>
              <w:t>21</w:t>
            </w: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70" w:right="5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7a. Convertible loan note</w:t>
      </w:r>
    </w:p>
    <w:p>
      <w:pPr>
        <w:spacing w:after="0" w:line="1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On June 21, 2019 Novartis converted the remaining balance of principal and interest of £2,367,004 of loan Notes (“Novartis Notes”) into 1,071,042 ordinary shares at the fixed conversion price of £2.21 per share. This has been recorded as a £2,058,882 reduction in interest bearing loans and borrowings and a reduction in other capital reserves of £308,122. Under the terms of the Notes, Novartis also received 864,988 bonus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equity component of the Notes at December 31, 2018 was calculated as £308,122.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7b. Bank loan</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23, 2019, following completion of the acquisition of OncoMed, the Group agreed an amendment to the terms of its bank loan with the lenders. The new terms extended the interest-only period to December 31, 2019 followed by a 15-month capital and interest repayment period. The Group has undertaken an assessment under IFRS 9 and believe that the change in terms should not be accounted for as a modification under IFRS 9, but instead as a change in expected cash flows. The cash flows under the bank loan were revised from May 1, 2019. The gain as a result of the changes in the estimated cash flows is recognised as a true up in the total finance cost (i.e. together with the interest expense). Management estimated the revised carrying value of the loan as of May 1, 2019 to be £19,942,551 by discounting the revised cash flows at the original discount rate of 18%. The difference between the previous and revised carrying value of the loan as at May 1, 2019 in the amount of £456,430 is recognised as a gain in profit and loss as required under IFRS 9. Following the re-estimation, the financial liability continues to be accounted for at amortised cost using the original effective interest rate.</w:t>
      </w:r>
    </w:p>
    <w:p>
      <w:pPr>
        <w:spacing w:after="0" w:line="19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On May 3, 2019, under the terms of the loan agreement, Mereo issued 321,444 additional warrants (see Note 10) to its lenders giving them the right to subscribe for ordinary shares at an exercise price of £2.95. The fair value of the additional warrants as of their grant date (May 3, 2019) was £131,150.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total carrying value of the loan at June 30, 2019 was £19,732,236 (2018: £18,961,887). £8,011,237 is a current liability and £11,720,999 is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non-current liability. A total of £742,909 (2018: £186,963) of non-cash interest has been charged to the statement of comprehensive loss in the period.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Issued capital and reserves</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Six months to June 30,</w:t>
            </w:r>
          </w:p>
        </w:tc>
        <w:tc>
          <w:tcPr>
            <w:tcW w:w="1200" w:type="dxa"/>
            <w:vAlign w:val="bottom"/>
            <w:gridSpan w:val="4"/>
          </w:tcPr>
          <w:p>
            <w:pPr>
              <w:jc w:val="center"/>
              <w:ind w:right="520"/>
              <w:spacing w:after="0"/>
              <w:rPr>
                <w:sz w:val="20"/>
                <w:szCs w:val="20"/>
                <w:color w:val="auto"/>
              </w:rPr>
            </w:pPr>
            <w:r>
              <w:rPr>
                <w:rFonts w:ascii="Arial" w:cs="Arial" w:eastAsia="Arial" w:hAnsi="Arial"/>
                <w:sz w:val="14"/>
                <w:szCs w:val="14"/>
                <w:color w:val="auto"/>
                <w:w w:val="92"/>
              </w:rPr>
              <w:t>Six months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88"/>
              </w:rPr>
              <w:t>Year ended</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00" w:type="dxa"/>
            <w:vAlign w:val="bottom"/>
            <w:gridSpan w:val="4"/>
          </w:tcPr>
          <w:p>
            <w:pPr>
              <w:jc w:val="center"/>
              <w:ind w:right="520"/>
              <w:spacing w:after="0" w:line="145" w:lineRule="exact"/>
              <w:rPr>
                <w:sz w:val="20"/>
                <w:szCs w:val="20"/>
                <w:color w:val="auto"/>
              </w:rPr>
            </w:pPr>
            <w:r>
              <w:rPr>
                <w:rFonts w:ascii="Arial" w:cs="Arial" w:eastAsia="Arial" w:hAnsi="Arial"/>
                <w:sz w:val="14"/>
                <w:szCs w:val="14"/>
                <w:color w:val="auto"/>
                <w:w w:val="92"/>
              </w:rPr>
              <w:t>to June 30,</w:t>
            </w:r>
          </w:p>
        </w:tc>
        <w:tc>
          <w:tcPr>
            <w:tcW w:w="8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0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660" w:type="dxa"/>
            <w:vAlign w:val="bottom"/>
            <w:gridSpan w:val="2"/>
          </w:tcPr>
          <w:p>
            <w:pPr>
              <w:jc w:val="right"/>
              <w:ind w:right="90"/>
              <w:spacing w:after="0" w:line="149" w:lineRule="exact"/>
              <w:rPr>
                <w:sz w:val="20"/>
                <w:szCs w:val="20"/>
                <w:color w:val="auto"/>
              </w:rPr>
            </w:pPr>
            <w:r>
              <w:rPr>
                <w:rFonts w:ascii="Arial" w:cs="Arial" w:eastAsia="Arial" w:hAnsi="Arial"/>
                <w:sz w:val="14"/>
                <w:szCs w:val="14"/>
                <w:color w:val="auto"/>
              </w:rPr>
              <w:t>2018</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ind w:right="181"/>
              <w:spacing w:after="0" w:line="14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1200" w:type="dxa"/>
            <w:vAlign w:val="bottom"/>
            <w:gridSpan w:val="4"/>
          </w:tcPr>
          <w:p>
            <w:pPr>
              <w:jc w:val="center"/>
              <w:ind w:right="520"/>
              <w:spacing w:after="0"/>
              <w:rPr>
                <w:sz w:val="20"/>
                <w:szCs w:val="20"/>
                <w:color w:val="auto"/>
              </w:rPr>
            </w:pPr>
            <w:r>
              <w:rPr>
                <w:rFonts w:ascii="Arial" w:cs="Arial" w:eastAsia="Arial" w:hAnsi="Arial"/>
                <w:sz w:val="14"/>
                <w:szCs w:val="14"/>
                <w:color w:val="auto"/>
                <w:w w:val="93"/>
              </w:rPr>
              <w:t>Unaudited</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rPr>
              <w:t>Audited</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8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Ordinary share capital</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Balance at beginning of year/period</w:t>
            </w:r>
          </w:p>
        </w:tc>
        <w:tc>
          <w:tcPr>
            <w:tcW w:w="1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213,721</w:t>
            </w: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8"/>
              </w:rPr>
              <w:t>213,285</w:t>
            </w:r>
          </w:p>
        </w:tc>
        <w:tc>
          <w:tcPr>
            <w:tcW w:w="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213,285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Issuances in the period</w:t>
            </w:r>
          </w:p>
        </w:tc>
        <w:tc>
          <w:tcPr>
            <w:tcW w:w="1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80,158</w:t>
            </w:r>
          </w:p>
        </w:tc>
        <w:tc>
          <w:tcPr>
            <w:tcW w:w="11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Nominal share capital at end of year/period</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293,879</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213,435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vMerge w:val="restart"/>
          </w:tcPr>
          <w:p>
            <w:pPr>
              <w:spacing w:after="0"/>
              <w:rPr>
                <w:sz w:val="20"/>
                <w:szCs w:val="20"/>
                <w:color w:val="auto"/>
              </w:rPr>
            </w:pPr>
          </w:p>
        </w:tc>
        <w:tc>
          <w:tcPr>
            <w:tcW w:w="4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At January 1, 2019</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71,240,272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Issued on April 23, 2019 for OncoMed acquisition</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24,783,320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Issued on June 21, 2019 for conversion of loan note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1,936,030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2019</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97,959,622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Nominal value at June 30, 2019 (£)</w:t>
            </w: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0.003</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 capital at June 30, 2019 (£)</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293,879</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Ordinary shares issued and fully paid</w:t>
            </w: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71,094,974</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Issued on June 1, 2018 for financing round</w:t>
            </w: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50,076</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At June 30, 2018</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71,145,050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900"/>
              <w:spacing w:after="0"/>
              <w:rPr>
                <w:sz w:val="20"/>
                <w:szCs w:val="20"/>
                <w:color w:val="auto"/>
              </w:rPr>
            </w:pPr>
            <w:r>
              <w:rPr>
                <w:rFonts w:ascii="Arial" w:cs="Arial" w:eastAsia="Arial" w:hAnsi="Arial"/>
                <w:sz w:val="18"/>
                <w:szCs w:val="18"/>
                <w:color w:val="auto"/>
              </w:rPr>
              <w:t>Nominal value at June 30, 2018 (£)</w:t>
            </w: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0.003</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Issued capital at June 30, 2018 (£)</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213,435</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540"/>
              <w:spacing w:after="0"/>
              <w:rPr>
                <w:sz w:val="20"/>
                <w:szCs w:val="20"/>
                <w:color w:val="auto"/>
              </w:rPr>
            </w:pPr>
            <w:r>
              <w:rPr>
                <w:rFonts w:ascii="Arial" w:cs="Arial" w:eastAsia="Arial" w:hAnsi="Arial"/>
                <w:sz w:val="18"/>
                <w:szCs w:val="18"/>
                <w:color w:val="auto"/>
              </w:rPr>
              <w:t>22</w:t>
            </w: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3" w:name="page24"/>
    <w:bookmarkEnd w:id="23"/>
    <w:p>
      <w:pPr>
        <w:ind w:left="1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-119380</wp:posOffset>
            </wp:positionV>
            <wp:extent cx="47510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At July 1, 2018</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Issued on August 3, 2018 for exercise of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Issued on October 22, 2018 for exercise of share options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Nominal value at December 31, 2018 (£)</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Issued capital at December 31,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Since January 1, 2019, the following alterations to the Company’s share capital have been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1840"/>
        <w:spacing w:after="0"/>
        <w:rPr>
          <w:sz w:val="20"/>
          <w:szCs w:val="20"/>
          <w:color w:val="auto"/>
        </w:rPr>
      </w:pPr>
      <w:r>
        <w:rPr>
          <w:rFonts w:ascii="Arial" w:cs="Arial" w:eastAsia="Arial" w:hAnsi="Arial"/>
          <w:sz w:val="15"/>
          <w:szCs w:val="15"/>
          <w:color w:val="auto"/>
        </w:rPr>
        <w:t>71,145,050</w:t>
      </w:r>
    </w:p>
    <w:p>
      <w:pPr>
        <w:spacing w:after="0" w:line="5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85,222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5715</wp:posOffset>
            </wp:positionV>
            <wp:extent cx="5486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71,240,272</w:t>
      </w:r>
    </w:p>
    <w:p>
      <w:pPr>
        <w:spacing w:after="0" w:line="71"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0.003</w:t>
      </w:r>
    </w:p>
    <w:p>
      <w:pPr>
        <w:spacing w:after="0" w:line="23" w:lineRule="exact"/>
        <w:rPr>
          <w:sz w:val="20"/>
          <w:szCs w:val="20"/>
          <w:color w:val="auto"/>
        </w:rPr>
      </w:pPr>
    </w:p>
    <w:p>
      <w:pPr>
        <w:jc w:val="center"/>
        <w:ind w:right="1620"/>
        <w:spacing w:after="0"/>
        <w:rPr>
          <w:sz w:val="20"/>
          <w:szCs w:val="20"/>
          <w:color w:val="auto"/>
        </w:rPr>
      </w:pPr>
      <w:r>
        <w:rPr>
          <w:rFonts w:ascii="Arial" w:cs="Arial" w:eastAsia="Arial" w:hAnsi="Arial"/>
          <w:sz w:val="16"/>
          <w:szCs w:val="16"/>
          <w:color w:val="auto"/>
        </w:rPr>
        <w:t>213,721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20320</wp:posOffset>
            </wp:positionV>
            <wp:extent cx="548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37465</wp:posOffset>
            </wp:positionV>
            <wp:extent cx="548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7680" w:space="720"/>
            <w:col w:w="2640"/>
          </w:cols>
          <w:pgMar w:left="440" w:top="270" w:right="419" w:bottom="1440" w:gutter="0" w:footer="0" w:header="0"/>
        </w:sectPr>
      </w:pPr>
    </w:p>
    <w:p>
      <w:pPr>
        <w:ind w:left="980" w:right="180" w:hanging="54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April 23, 2019 the Company issued and allotted 24,783,320 ordinary shares of £0.003 in nominal value in the capital of the Company as consideration for the acquisition of OncoMed. The fair value of the ordinary shares was measured as £1.65; and</w:t>
      </w:r>
    </w:p>
    <w:p>
      <w:pPr>
        <w:spacing w:after="0" w:line="51" w:lineRule="exact"/>
        <w:rPr>
          <w:rFonts w:ascii="Arial" w:cs="Arial" w:eastAsia="Arial" w:hAnsi="Arial"/>
          <w:sz w:val="17"/>
          <w:szCs w:val="17"/>
          <w:color w:val="auto"/>
        </w:rPr>
      </w:pPr>
    </w:p>
    <w:p>
      <w:pPr>
        <w:ind w:left="980" w:right="220" w:hanging="54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21, 2019 Novartis converted £2,367,004 of loan notes dated June 3, 2016 into 1,071,042 ordinary shares of £0.003 in nominal value in the capital of the Company at the fixed conversion price of £2.21 per share. Under the terms of the notes, Novartis also received 864,988 bonus shares.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 premium</w:t>
            </w: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At January 1, 2019 – Audited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118,492,073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Issued on June 21, 2019 for conversion of loan note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3,952,773</w:t>
            </w: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3"/>
              </w:rPr>
              <w:t>Transaction costs for issued share capital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(760,692)</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2019 – Unaudited</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121,684,154</w:t>
            </w: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left="497"/>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 premium</w:t>
            </w: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At January 1, 2018 – Audited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118,226,956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Issued on June 1, 2018 for placing for cash</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150,078</w:t>
            </w: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3"/>
              </w:rPr>
              <w:t>Transaction costs for issued share capital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(7,511)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2018 – Unaudited</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118,369,523</w:t>
            </w: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5"/>
            <w:vMerge w:val="restart"/>
          </w:tcPr>
          <w:p>
            <w:pPr>
              <w:ind w:left="1760"/>
              <w:spacing w:after="0"/>
              <w:rPr>
                <w:sz w:val="20"/>
                <w:szCs w:val="20"/>
                <w:color w:val="auto"/>
              </w:rPr>
            </w:pPr>
            <w:r>
              <w:rPr>
                <w:rFonts w:ascii="Arial" w:cs="Arial" w:eastAsia="Arial" w:hAnsi="Arial"/>
                <w:sz w:val="18"/>
                <w:szCs w:val="18"/>
                <w:color w:val="auto"/>
                <w:w w:val="93"/>
              </w:rPr>
              <w:t>Issued on August 3, 2018 for exercise of share options</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5"/>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Issued on October 22, 2018 for exercise of share options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109,680</w:t>
            </w: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3"/>
          </w:tcPr>
          <w:p>
            <w:pPr>
              <w:ind w:left="1760"/>
              <w:spacing w:after="0"/>
              <w:rPr>
                <w:sz w:val="20"/>
                <w:szCs w:val="20"/>
                <w:color w:val="auto"/>
              </w:rPr>
            </w:pPr>
            <w:r>
              <w:rPr>
                <w:rFonts w:ascii="Arial" w:cs="Arial" w:eastAsia="Arial" w:hAnsi="Arial"/>
                <w:sz w:val="18"/>
                <w:szCs w:val="18"/>
                <w:b w:val="1"/>
                <w:bCs w:val="1"/>
                <w:color w:val="auto"/>
              </w:rPr>
              <w:t>At December 31, 2018 – Audited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118,492,073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Other capital reserves</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8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Share-</w:t>
            </w:r>
          </w:p>
        </w:tc>
        <w:tc>
          <w:tcPr>
            <w:tcW w:w="1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24"/>
                <w:szCs w:val="24"/>
                <w:color w:val="auto"/>
              </w:rPr>
            </w:pPr>
          </w:p>
        </w:tc>
        <w:tc>
          <w:tcPr>
            <w:tcW w:w="9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Shares to</w:t>
            </w:r>
          </w:p>
        </w:tc>
        <w:tc>
          <w:tcPr>
            <w:tcW w:w="860" w:type="dxa"/>
            <w:vAlign w:val="bottom"/>
            <w:vMerge w:val="continue"/>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Merger</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based</w:t>
            </w:r>
          </w:p>
        </w:tc>
        <w:tc>
          <w:tcPr>
            <w:tcW w:w="1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0" w:type="dxa"/>
            <w:vAlign w:val="bottom"/>
          </w:tcPr>
          <w:p>
            <w:pPr>
              <w:spacing w:after="0"/>
              <w:rPr>
                <w:sz w:val="12"/>
                <w:szCs w:val="12"/>
                <w:color w:val="auto"/>
              </w:rPr>
            </w:pPr>
          </w:p>
        </w:tc>
        <w:tc>
          <w:tcPr>
            <w:tcW w:w="920" w:type="dxa"/>
            <w:vAlign w:val="bottom"/>
            <w:gridSpan w:val="2"/>
          </w:tcPr>
          <w:p>
            <w:pPr>
              <w:jc w:val="right"/>
              <w:ind w:right="90"/>
              <w:spacing w:after="0" w:line="149" w:lineRule="exact"/>
              <w:rPr>
                <w:sz w:val="20"/>
                <w:szCs w:val="20"/>
                <w:color w:val="auto"/>
              </w:rPr>
            </w:pPr>
            <w:r>
              <w:rPr>
                <w:rFonts w:ascii="Arial" w:cs="Arial" w:eastAsia="Arial" w:hAnsi="Arial"/>
                <w:sz w:val="14"/>
                <w:szCs w:val="14"/>
                <w:b w:val="1"/>
                <w:bCs w:val="1"/>
                <w:color w:val="auto"/>
              </w:rPr>
              <w:t>issued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be issued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 £</w:t>
            </w:r>
          </w:p>
        </w:tc>
        <w:tc>
          <w:tcPr>
            <w:tcW w:w="1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loan £</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TAP funding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0"/>
              </w:rPr>
              <w:t>reserve £</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January 1, 2019 – Audited</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1,591,578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16,648,762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18,592,618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Share-based payments expense during the period</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492,801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492,801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(1,591,578)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Equity component of convertible loan instrument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(308,122)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(308,122)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23, 2019 for acquisition of</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OncoMed (Note 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40,818,128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40,818,128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At June 30, 2019 – Unaudited</w:t>
            </w:r>
          </w:p>
        </w:tc>
        <w:tc>
          <w:tcPr>
            <w:tcW w:w="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17,141,563</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44,156</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40,818,128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58,003,847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type w:val="continuous"/>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Share-</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60" w:type="dxa"/>
            <w:vAlign w:val="bottom"/>
          </w:tcPr>
          <w:p>
            <w:pPr>
              <w:spacing w:after="0"/>
              <w:rPr>
                <w:sz w:val="14"/>
                <w:szCs w:val="14"/>
                <w:color w:val="auto"/>
              </w:rPr>
            </w:pPr>
          </w:p>
        </w:tc>
        <w:tc>
          <w:tcPr>
            <w:tcW w:w="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Shares to be</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component of</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based</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260" w:type="dxa"/>
            <w:vAlign w:val="bottom"/>
          </w:tcPr>
          <w:p>
            <w:pPr>
              <w:spacing w:after="0"/>
              <w:rPr>
                <w:sz w:val="12"/>
                <w:szCs w:val="12"/>
                <w:color w:val="auto"/>
              </w:rPr>
            </w:pPr>
          </w:p>
        </w:tc>
        <w:tc>
          <w:tcPr>
            <w:tcW w:w="9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issued for</w:t>
            </w:r>
          </w:p>
        </w:tc>
        <w:tc>
          <w:tcPr>
            <w:tcW w:w="2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issued £</w:t>
            </w:r>
          </w:p>
        </w:tc>
        <w:tc>
          <w:tcPr>
            <w:tcW w:w="2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payments £</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loan £</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TAP funding £</w:t>
            </w: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2018 – Audited</w:t>
            </w: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1,591,578</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14,459,469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16,359,169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2018 – Unaudited</w:t>
            </w:r>
          </w:p>
        </w:tc>
        <w:tc>
          <w:tcPr>
            <w:tcW w:w="8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9"/>
              </w:rPr>
              <w:t>1,591,578</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15,846,331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308,122</w:t>
            </w: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17,746,031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Share-based payments expense during the period</w:t>
            </w: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release for exercise of options</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(113,042)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Warrants issued for TAP funding</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44,156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 – Audited</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9"/>
              </w:rPr>
              <w:t>1,591,578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16,648,762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308,122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44,156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18,592,618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to be issued</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January 1, 2017, £2,674,477 representing a maximum of 1,453,520 shares at £1.84 were remaining to be issued to Novartis pro rata to their percentage shareholding as and when the Company issues further ordinary shares.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£1,591,578 representing a maximum of 864,988 shares at £1.84 were remaining to be issued to Novartis pro rata to their percentage shareholding as and when the Company issues further ordinary shares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Of the 1,936,030 ordinary shares issued to Novartis on June 21, 2019, the remaining 864,988 shares were issued to Novartis as fully paid up bonus shares (for £nil consideration). The fair value of these shares was £1.84 per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 has a share option scheme under which options to subscribe for the Group’s shares have been granted to certain Executives, Non-Executive Directors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share-based payment reserve is used to recognise:</w:t>
      </w:r>
    </w:p>
    <w:p>
      <w:pPr>
        <w:spacing w:after="0" w:line="131" w:lineRule="exact"/>
        <w:rPr>
          <w:sz w:val="20"/>
          <w:szCs w:val="20"/>
          <w:color w:val="auto"/>
        </w:rPr>
      </w:pPr>
    </w:p>
    <w:p>
      <w:pPr>
        <w:ind w:left="980" w:right="960" w:hanging="54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equity-settled share-based payments provided to employees, including key management personnel, as part of their remuneration;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equity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charge for the six months to June 30, 2019 in respect of all share option schemes was 492,801 (June 30, 2018: £1,386,862).</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20, 2019, the Company granted 441,700 market value options over ADS under the Mereo 2019 Equity Incentive Plan to certain executives and other employees. The weighted average fair value of options granted was £0.61. The exercise price is $5.40. On the same date, the Company granted 38,500 market value options over ADS under the Mereo 2019 NED Equity Incentive Plan to certain non-executives. The weighted average fair value of options granted was £0.61. The exercise price is $5.40.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June 30, 2019 is £nil (June 30, 2018: £308,122). The value of the equity component (cost of the conversion option) as at December 31, 2018 was £308,122.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reserve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April 23, 2019, the Group obtained a 100% controlling interest in OncoMed (Note 4).</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consideration paid to acquire OncoMed was 24,783,320 ordinary shares with a fair value of £40,892,478 based on the Group’s quoted share price as at the date of acquisition. The nominal value of the issued capital was £74,350 with the excess, £40,818,128, classified within other capital reserves as a ‘Merger reserve’.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53"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Provisions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Six months to</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 June 30,</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gridSpan w:val="2"/>
          </w:tcPr>
          <w:p>
            <w:pPr>
              <w:jc w:val="center"/>
              <w:ind w:left="2280"/>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Unaudited</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Unaudited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60" w:type="dxa"/>
            <w:vAlign w:val="bottom"/>
            <w:gridSpan w:val="2"/>
          </w:tcPr>
          <w:p>
            <w:pPr>
              <w:jc w:val="center"/>
              <w:ind w:left="2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Social security contributions on share options</w:t>
            </w:r>
          </w:p>
        </w:tc>
        <w:tc>
          <w:tcPr>
            <w:tcW w:w="2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2,318,058</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Provision for deferred cash consideration</w:t>
            </w:r>
          </w:p>
        </w:tc>
        <w:tc>
          <w:tcPr>
            <w:tcW w:w="2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2,141,000</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1,968,000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end of year/period</w:t>
            </w:r>
          </w:p>
        </w:tc>
        <w:tc>
          <w:tcPr>
            <w:tcW w:w="2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2,260,472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4,286,058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2,973,367</w:t>
            </w:r>
          </w:p>
        </w:tc>
        <w:tc>
          <w:tcPr>
            <w:tcW w:w="0" w:type="dxa"/>
            <w:vAlign w:val="bottom"/>
          </w:tcPr>
          <w:p>
            <w:pPr>
              <w:spacing w:after="0"/>
              <w:rPr>
                <w:sz w:val="1"/>
                <w:szCs w:val="1"/>
                <w:color w:val="auto"/>
              </w:rPr>
            </w:pPr>
          </w:p>
        </w:tc>
      </w:tr>
      <w:tr>
        <w:trPr>
          <w:trHeight w:val="20"/>
        </w:trPr>
        <w:tc>
          <w:tcPr>
            <w:tcW w:w="392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2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3"/>
            <w:vMerge w:val="continue"/>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333,556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293,000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2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1,926,916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3,993,058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2,641,353</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95"/>
              </w:rPr>
              <w:t>Six months</w:t>
            </w:r>
          </w:p>
        </w:tc>
        <w:tc>
          <w:tcPr>
            <w:tcW w:w="20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Six months to</w:t>
            </w:r>
          </w:p>
        </w:tc>
        <w:tc>
          <w:tcPr>
            <w:tcW w:w="2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 June 30,</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gridSpan w:val="2"/>
          </w:tcPr>
          <w:p>
            <w:pPr>
              <w:jc w:val="center"/>
              <w:ind w:left="2280"/>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Social security contributions on share options</w:t>
            </w:r>
          </w:p>
        </w:tc>
        <w:tc>
          <w:tcPr>
            <w:tcW w:w="236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Unaudited</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Unaudited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8"/>
        </w:trPr>
        <w:tc>
          <w:tcPr>
            <w:tcW w:w="3920" w:type="dxa"/>
            <w:vAlign w:val="bottom"/>
            <w:gridSpan w:val="3"/>
            <w:vMerge w:val="continue"/>
          </w:tcPr>
          <w:p>
            <w:pPr>
              <w:spacing w:after="0"/>
              <w:rPr>
                <w:sz w:val="15"/>
                <w:szCs w:val="15"/>
                <w:color w:val="auto"/>
              </w:rPr>
            </w:pPr>
          </w:p>
        </w:tc>
        <w:tc>
          <w:tcPr>
            <w:tcW w:w="3160" w:type="dxa"/>
            <w:vAlign w:val="bottom"/>
            <w:gridSpan w:val="2"/>
          </w:tcPr>
          <w:p>
            <w:pPr>
              <w:jc w:val="center"/>
              <w:ind w:left="228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At beginning of year/period</w:t>
            </w:r>
          </w:p>
        </w:tc>
        <w:tc>
          <w:tcPr>
            <w:tcW w:w="11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842,367</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2,288,386</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2,288,386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Arising during the year/period</w:t>
            </w:r>
          </w:p>
        </w:tc>
        <w:tc>
          <w:tcPr>
            <w:tcW w:w="236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29,672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 during the year/period</w:t>
            </w:r>
          </w:p>
        </w:tc>
        <w:tc>
          <w:tcPr>
            <w:tcW w:w="3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(722,895)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(1,446,019)</w:t>
            </w: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At end of year/period</w:t>
            </w:r>
          </w:p>
        </w:tc>
        <w:tc>
          <w:tcPr>
            <w:tcW w:w="23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119,472</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2,318,058</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3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119,472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2,318,058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842,367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60" w:type="dxa"/>
            <w:vAlign w:val="bottom"/>
            <w:vMerge w:val="restart"/>
          </w:tcPr>
          <w:p>
            <w:pPr>
              <w:jc w:val="right"/>
              <w:ind w:right="1480"/>
              <w:spacing w:after="0"/>
              <w:rPr>
                <w:sz w:val="20"/>
                <w:szCs w:val="20"/>
                <w:color w:val="auto"/>
              </w:rPr>
            </w:pPr>
            <w:r>
              <w:rPr>
                <w:rFonts w:ascii="Arial" w:cs="Arial" w:eastAsia="Arial" w:hAnsi="Arial"/>
                <w:sz w:val="18"/>
                <w:szCs w:val="18"/>
                <w:color w:val="auto"/>
              </w:rPr>
              <w:t>25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440" w:top="270" w:right="1319" w:bottom="1440" w:gutter="0" w:footer="0" w:header="0"/>
        </w:sectPr>
      </w:pPr>
    </w:p>
    <w:bookmarkStart w:id="26" w:name="page27"/>
    <w:bookmarkEnd w:id="2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Six months to</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Year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4"/>
              </w:rPr>
              <w:t>Six months to</w:t>
            </w:r>
          </w:p>
        </w:tc>
        <w:tc>
          <w:tcPr>
            <w:tcW w:w="92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June 30, 2018</w:t>
            </w:r>
          </w:p>
        </w:tc>
        <w:tc>
          <w:tcPr>
            <w:tcW w:w="820" w:type="dxa"/>
            <w:vAlign w:val="bottom"/>
          </w:tcPr>
          <w:p>
            <w:pPr>
              <w:jc w:val="right"/>
              <w:ind w:right="177"/>
              <w:spacing w:after="0" w:line="149"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Provision for deferred cash consideration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Unaudited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Unaudited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8"/>
        </w:trPr>
        <w:tc>
          <w:tcPr>
            <w:tcW w:w="6120" w:type="dxa"/>
            <w:vAlign w:val="bottom"/>
            <w:gridSpan w:val="3"/>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15"/>
                <w:szCs w:val="15"/>
                <w:color w:val="auto"/>
              </w:rPr>
            </w:pPr>
          </w:p>
        </w:tc>
        <w:tc>
          <w:tcPr>
            <w:tcW w:w="820" w:type="dxa"/>
            <w:vAlign w:val="bottom"/>
          </w:tcPr>
          <w:p>
            <w:pPr>
              <w:jc w:val="right"/>
              <w:ind w:right="297"/>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At beginning of year/period</w:t>
            </w:r>
          </w:p>
        </w:tc>
        <w:tc>
          <w:tcPr>
            <w:tcW w:w="3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2,131,000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2,061,000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2,061,000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Arising during the year/period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provision due to the unwinding of the time value of money</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00" w:type="dxa"/>
            <w:vAlign w:val="bottom"/>
            <w:gridSpan w:val="2"/>
          </w:tcPr>
          <w:p>
            <w:pPr>
              <w:ind w:left="160"/>
              <w:spacing w:after="0"/>
              <w:rPr>
                <w:sz w:val="20"/>
                <w:szCs w:val="20"/>
                <w:color w:val="auto"/>
              </w:rPr>
            </w:pPr>
            <w:r>
              <w:rPr>
                <w:rFonts w:ascii="Arial" w:cs="Arial" w:eastAsia="Arial" w:hAnsi="Arial"/>
                <w:sz w:val="18"/>
                <w:szCs w:val="18"/>
                <w:color w:val="auto"/>
              </w:rPr>
              <w:t>probabilities of contractual milestones being achieved (see Note 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(169,000)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(315,000)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end of year/period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2,141,000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1,968,000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3"/>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333,556</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293,000</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1,807,444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1,675,000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1,798,986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 (see Note 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Six months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Year ended</w:t>
            </w:r>
          </w:p>
        </w:tc>
      </w:tr>
      <w:tr>
        <w:trPr>
          <w:trHeight w:val="149"/>
        </w:trPr>
        <w:tc>
          <w:tcPr>
            <w:tcW w:w="634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 June 30,</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to June 30,</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December 31,</w:t>
            </w:r>
          </w:p>
        </w:tc>
      </w:tr>
      <w:tr>
        <w:trPr>
          <w:trHeight w:val="149"/>
        </w:trPr>
        <w:tc>
          <w:tcPr>
            <w:tcW w:w="6340" w:type="dxa"/>
            <w:vAlign w:val="bottom"/>
          </w:tcPr>
          <w:p>
            <w:pPr>
              <w:spacing w:after="0"/>
              <w:rPr>
                <w:sz w:val="12"/>
                <w:szCs w:val="12"/>
                <w:color w:val="auto"/>
              </w:rPr>
            </w:pPr>
          </w:p>
        </w:tc>
        <w:tc>
          <w:tcPr>
            <w:tcW w:w="7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80"/>
              <w:spacing w:after="0" w:line="14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820" w:type="dxa"/>
            <w:vAlign w:val="bottom"/>
          </w:tcPr>
          <w:p>
            <w:pPr>
              <w:jc w:val="right"/>
              <w:ind w:right="180"/>
              <w:spacing w:after="0" w:line="149"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r>
      <w:tr>
        <w:trPr>
          <w:trHeight w:val="149"/>
        </w:trPr>
        <w:tc>
          <w:tcPr>
            <w:tcW w:w="634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Unaudited</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Unaudited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Audited</w:t>
            </w:r>
          </w:p>
        </w:tc>
      </w:tr>
      <w:tr>
        <w:trPr>
          <w:trHeight w:val="171"/>
        </w:trPr>
        <w:tc>
          <w:tcPr>
            <w:tcW w:w="63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1,005,613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1,346,484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1,346,484</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Arising during the year/period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131,150</w:t>
            </w:r>
          </w:p>
        </w:tc>
        <w:tc>
          <w:tcPr>
            <w:tcW w:w="1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375,343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Movement during the year/period</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(911,290)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188,480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(716,214)</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At end of year/period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225,473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1,534,964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1,005,613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3, 2019 the Group issued 321,444 warrants to lenders of the bank loan facility (see Note 7b). These warrants will be capable of exercise until October 1, 2028 at an exercise price of £2.95.</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at June 30, 2019 a total of 1,243,908 warrants are outstanding, held by lenders of the bank loan facility, which is equivalent to 1.27% of the ordinary share capital of the Company.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considering appropriate amendments to inputs in respect of volatility and remaining expected life of the warrants.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weighted average inputs to the models used for the fair value of warrants: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Six months to</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color w:val="auto"/>
                <w:w w:val="88"/>
              </w:rPr>
              <w:t>Year ended</w:t>
            </w: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4"/>
              </w:rPr>
              <w:t>Six months to</w:t>
            </w:r>
          </w:p>
        </w:tc>
        <w:tc>
          <w:tcPr>
            <w:tcW w:w="114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June 30, 2018</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Unaudited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Unaudited</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0.83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Black Scholes</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Black Scholes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Black Scholes</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fair value of the warrants at grant was £1,292,011. At June 30, 2019 it was £225,473 (2018: £1,534,964) and at December 31, 2018 it was £1,005,613.</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between the parent and its subsidiaries, which are related parties, have been eliminated on consolidation and are not disclosed in this note.</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Novartis holds 15,703,871 shares in the Company at June 30, 2019 (June 30, 2018 and December 31, 2018: 13,767,841). Novartis held £2,065,011 principal value of loan Notes at June 30, 2018 and December 31, 2018.</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June 21, 2019 Novartis converted the remaining balance of principal and interest of £2,367,004 of loan Notes into 1,071,042 ordinary shares at the fixed conversion price of £2.21 per share (see Note 7a). Under the terms of the Notes, Novartis also received 864,988 bonus shares.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2016 the Company set up an Employee benefit trust for the purposes of buying and selling shares on the employees’ behalf.</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total of £1,000,000of funding was paid into the Trust by the Company during the period to June 30, 2019 (2018: nil). A total of £325,000 of funding was paid into the Trust by the Company during the year ended December 31, 2018.</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total of 1,074,274 shares were purchased by the Trust during the period to June 30, 2019 (2018: nil). A total of 163,000 shares were purchased by the Trust during the year ended December 31, 2018.</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at June 30, 2019 a cash balance of £21,762 (2018: £3,600) was held by the Trust. As at December 31, 2018 a cash balance of £21,762 was held by the Trust.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Events after the reporting period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23, 2019, the Company granted 215,500 market value options over ADS under the Mereo 2019 Equity Incentive Plan to certain executives and other employees at an exercise price of $3.00 per ADS.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July 23, 2019, the Company granted 38,500 market value options over ADS under the Mereo 2019 NED Equity Incentive Plan to certain non-executives at an exercise price of $3.00 per ADS.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1, 2019, the Company granted 50,000 market value options over ADS under the Mereo 2019 Equity Incentive Plan to certain employees at an exercise price of $2.60 per ADS.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2, 2019, the Company granted 6,000 market value options over ADS under the Mereo 2019 Equity Incentive Plan to certain employees at an exercise price of $2.74 per ADS.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6, 2019, OncoMed received a tax refund in respect of Alternative Minimum Tax (“AMT”) of $1,303,920 from the U.S. Internal Revenue Service (“IRS”).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0"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17, 2019</w:t>
      </w:r>
    </w:p>
    <w:p>
      <w:pPr>
        <w:spacing w:after="0" w:line="1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19"/>
          </w:cols>
          <w:pgMar w:left="440" w:top="270" w:right="1440" w:bottom="1440" w:gutter="0" w:footer="0" w:header="0"/>
        </w:sectPr>
      </w:pPr>
    </w:p>
    <w:bookmarkStart w:id="30" w:name="page31"/>
    <w:bookmarkEnd w:id="3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720"/>
          </w:cols>
          <w:pgMar w:left="440" w:top="270" w:right="739" w:bottom="1440" w:gutter="0" w:footer="0" w:header="0"/>
        </w:sectPr>
      </w:pPr>
    </w:p>
    <w:bookmarkStart w:id="31" w:name="page32"/>
    <w:bookmarkEnd w:id="31"/>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Announces Interim Financial Results for the Six Months Ended June 30, 2019 and Provides Corporate Update</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12-Month Topline Results from Phase 2b ASTEROID Study with Setrusumab for Osteogenesis Imperfecta (OI) Expected in Q4 2019; Positive 6-Month Data to be Featured in Late-Breaking Oral Presentation at ASBMR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Today at 8:30 a.m. EDT / 1:30 p.m. BST</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London and Redwood City, Calif., September 17, 2019 </w:t>
      </w:r>
      <w:r>
        <w:rPr>
          <w:rFonts w:ascii="Arial" w:cs="Arial" w:eastAsia="Arial" w:hAnsi="Arial"/>
          <w:sz w:val="18"/>
          <w:szCs w:val="18"/>
          <w:color w:val="auto"/>
        </w:rPr>
        <w:t>- Mereo BioPharma Group plc (NASDAQ: MREO, AIM: MPH),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today announces unaudited interim financial results for the six months ended June 30, 2019 and provides a corporate update.</w:t>
      </w:r>
    </w:p>
    <w:p>
      <w:pPr>
        <w:spacing w:after="0" w:line="180"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“The first half of 2019 has been notable for the announcement of positive six-month data for our Phase 2b ASTEROID trial which is evaluating setrusumab as a treatment for OI. We are entering another exciting period with the 12-month data from this study expected in Q4 2019 and proof-of-concept data from our Phase 2 study for alvelestat in severe alpha-1 antitrypsin deficiency expected in mid-2020,” said Dr. Denise Scots-Knight, Chief Executive Officer of Mereo. “While our mission remains to provide new therapies for undertreated, chronically debilitating and life-limiting rare diseases, the proposed evaluation of alvelestat in the orphan disease bronchiolitis obliterans syndrome also strengthens our respiratory focus. We continue to advance discussions with potential partners to optimize the value of our broader product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 and Upcoming Milestones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Setrusumab for Osteogenesis Imperfecta (OI)</w:t>
      </w:r>
    </w:p>
    <w:p>
      <w:pPr>
        <w:spacing w:after="0" w:line="131" w:lineRule="exact"/>
        <w:rPr>
          <w:sz w:val="20"/>
          <w:szCs w:val="20"/>
          <w:color w:val="auto"/>
        </w:rPr>
      </w:pPr>
    </w:p>
    <w:p>
      <w:pPr>
        <w:ind w:left="980" w:right="340" w:hanging="436"/>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12-month data from Phase 2b ASTEROID study in adult OI patients expected in Q4 2019. </w:t>
      </w:r>
      <w:r>
        <w:rPr>
          <w:rFonts w:ascii="Arial" w:cs="Arial" w:eastAsia="Arial" w:hAnsi="Arial"/>
          <w:sz w:val="18"/>
          <w:szCs w:val="18"/>
          <w:color w:val="auto"/>
        </w:rPr>
        <w:t>In May 2019, Mereo reported positive</w:t>
      </w:r>
      <w:r>
        <w:rPr>
          <w:rFonts w:ascii="Arial" w:cs="Arial" w:eastAsia="Arial" w:hAnsi="Arial"/>
          <w:sz w:val="18"/>
          <w:szCs w:val="18"/>
          <w:b w:val="1"/>
          <w:bCs w:val="1"/>
          <w:color w:val="auto"/>
        </w:rPr>
        <w:t xml:space="preserve"> </w:t>
      </w:r>
      <w:r>
        <w:rPr>
          <w:rFonts w:ascii="Arial" w:cs="Arial" w:eastAsia="Arial" w:hAnsi="Arial"/>
          <w:sz w:val="18"/>
          <w:szCs w:val="18"/>
          <w:color w:val="auto"/>
        </w:rPr>
        <w:t>6-month interim data from the fully-enrolled ASTEROID study. These data were accepted for a late-breaking oral presentation at the upcoming American Society for Bone and Mineral Research (ASBMR) 2019 Annual Meeting to be held from September 20-23 in Orlando, FL, USA. The Company expects to report 12-month topline data from the blinded portion of the study in Q4 2019. There are currently no FDA or EMA- approved treatments for OI.</w:t>
      </w:r>
    </w:p>
    <w:p>
      <w:pPr>
        <w:spacing w:after="0" w:line="89" w:lineRule="exact"/>
        <w:rPr>
          <w:rFonts w:ascii="Arial" w:cs="Arial" w:eastAsia="Arial" w:hAnsi="Arial"/>
          <w:sz w:val="18"/>
          <w:szCs w:val="18"/>
          <w:color w:val="auto"/>
        </w:rPr>
      </w:pPr>
    </w:p>
    <w:p>
      <w:pPr>
        <w:jc w:val="both"/>
        <w:ind w:left="980" w:right="440" w:hanging="436"/>
        <w:spacing w:after="0" w:line="26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Pivotal pediatric study ready in the EU and Canada. </w:t>
      </w:r>
      <w:r>
        <w:rPr>
          <w:rFonts w:ascii="Arial" w:cs="Arial" w:eastAsia="Arial" w:hAnsi="Arial"/>
          <w:sz w:val="18"/>
          <w:szCs w:val="18"/>
          <w:color w:val="auto"/>
        </w:rPr>
        <w:t>In addition to evaluating setrusumab in adult OI patients, Mereo’s Paediatric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Plan (PIP) has been approved by the EMA and a study design has been agreed for a pivotal registration trial in children. Mereo is also exploring an extension of the planned pivotal study into the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Alvelestat for Severe Alpha-1 Antitrypsin Deficiency (AATD)</w:t>
      </w:r>
    </w:p>
    <w:p>
      <w:pPr>
        <w:spacing w:after="0" w:line="131" w:lineRule="exact"/>
        <w:rPr>
          <w:sz w:val="20"/>
          <w:szCs w:val="20"/>
          <w:color w:val="auto"/>
        </w:rPr>
      </w:pPr>
    </w:p>
    <w:p>
      <w:pPr>
        <w:ind w:left="980" w:right="60" w:hanging="436"/>
        <w:spacing w:after="0" w:line="313"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Enrollment continuing for the Phase 2 proof-of-concept study in severe AATD patients </w:t>
      </w:r>
      <w:r>
        <w:rPr>
          <w:rFonts w:ascii="Arial" w:cs="Arial" w:eastAsia="Arial" w:hAnsi="Arial"/>
          <w:sz w:val="17"/>
          <w:szCs w:val="17"/>
          <w:color w:val="auto"/>
        </w:rPr>
        <w:t>with topline data expected in mid-2020. If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are positive, Mereo intends to commence a pivotal trial in the EU and the U.S. in AATD as soon as possible therafter.</w:t>
      </w:r>
    </w:p>
    <w:p>
      <w:pPr>
        <w:spacing w:after="0" w:line="43" w:lineRule="exact"/>
        <w:rPr>
          <w:rFonts w:ascii="Arial" w:cs="Arial" w:eastAsia="Arial" w:hAnsi="Arial"/>
          <w:sz w:val="17"/>
          <w:szCs w:val="17"/>
          <w:color w:val="auto"/>
        </w:rPr>
      </w:pPr>
    </w:p>
    <w:p>
      <w:pPr>
        <w:ind w:left="980" w:right="380" w:hanging="436"/>
        <w:spacing w:after="0" w:line="28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Investigator-sponsored clinical studies underway </w:t>
      </w:r>
      <w:r>
        <w:rPr>
          <w:rFonts w:ascii="Arial" w:cs="Arial" w:eastAsia="Arial" w:hAnsi="Arial"/>
          <w:sz w:val="17"/>
          <w:szCs w:val="17"/>
          <w:color w:val="auto"/>
        </w:rPr>
        <w:t>in AATD and also in bronchiolitis obliterans syndrome (BOS) as a result of graft-versus-host disease (GvHD) in patients undergoing hematopoietic stem cell transplantation (HSCT). BOS is an orphan disease characterized by inflammatory obstruction of the lung’s tiniest airways and is the primary cause of death in</w:t>
      </w:r>
    </w:p>
    <w:p>
      <w:pPr>
        <w:sectPr>
          <w:pgSz w:w="11900" w:h="16838" w:orient="portrait"/>
          <w:cols w:equalWidth="0" w:num="1">
            <w:col w:w="11020"/>
          </w:cols>
          <w:pgMar w:left="440" w:top="121" w:right="439" w:bottom="1440" w:gutter="0" w:footer="0" w:header="0"/>
        </w:sectPr>
      </w:pPr>
    </w:p>
    <w:bookmarkStart w:id="32" w:name="page33"/>
    <w:bookmarkEnd w:id="32"/>
    <w:p>
      <w:pPr>
        <w:ind w:left="98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who receive lung transplants. Based on the preliminary clinical data to-date, Mereo intends to investigate the use of alvelestat to treat patients with BOS patients following a lung transplant.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Partnering Discussions Continue for Broad Portfolio of Clinical-Stage Programs</w:t>
      </w:r>
    </w:p>
    <w:p>
      <w:pPr>
        <w:spacing w:after="0" w:line="131" w:lineRule="exact"/>
        <w:rPr>
          <w:sz w:val="20"/>
          <w:szCs w:val="20"/>
          <w:color w:val="auto"/>
        </w:rPr>
      </w:pPr>
    </w:p>
    <w:p>
      <w:pPr>
        <w:ind w:left="1420" w:hanging="322"/>
        <w:spacing w:after="0" w:line="314" w:lineRule="auto"/>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Leflutrozole for Hypogonadotropic Hypogonadism (HH). </w:t>
      </w:r>
      <w:r>
        <w:rPr>
          <w:rFonts w:ascii="Arial" w:cs="Arial" w:eastAsia="Arial" w:hAnsi="Arial"/>
          <w:sz w:val="16"/>
          <w:szCs w:val="16"/>
          <w:color w:val="auto"/>
        </w:rPr>
        <w:t>Following the positive Phase 2b and six-month extension data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in 2018, earlier this year Mereo held an advisory board to consider the future development strategy for leflutrozole, with a focus on the positive effects on semen parameters. Mereo has decided that future product development will focus on male fertility.</w:t>
      </w:r>
    </w:p>
    <w:p>
      <w:pPr>
        <w:spacing w:after="0" w:line="47" w:lineRule="exact"/>
        <w:rPr>
          <w:rFonts w:ascii="Arial" w:cs="Arial" w:eastAsia="Arial" w:hAnsi="Arial"/>
          <w:sz w:val="16"/>
          <w:szCs w:val="16"/>
          <w:color w:val="auto"/>
        </w:rPr>
      </w:pPr>
    </w:p>
    <w:p>
      <w:pPr>
        <w:ind w:left="1420" w:right="80" w:hanging="322"/>
        <w:spacing w:after="0" w:line="266"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Acumapimod for Acute Exacerbations of Chronic Obstructive Pulmonary Disease (AECOPD) </w:t>
      </w:r>
      <w:r>
        <w:rPr>
          <w:rFonts w:ascii="Arial" w:cs="Arial" w:eastAsia="Arial" w:hAnsi="Arial"/>
          <w:sz w:val="18"/>
          <w:szCs w:val="18"/>
          <w:color w:val="auto"/>
        </w:rPr>
        <w:t>is Phase 3-ready following a</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Type B End of Phase 2 meeting with the FDA and agreed outline for a pivotal Phase 3 clinical trial program. Recently, a positive Scientific Advice Working Party (SAWP) also took place with the EMA.</w:t>
      </w:r>
    </w:p>
    <w:p>
      <w:pPr>
        <w:spacing w:after="0" w:line="81" w:lineRule="exact"/>
        <w:rPr>
          <w:rFonts w:ascii="Arial" w:cs="Arial" w:eastAsia="Arial" w:hAnsi="Arial"/>
          <w:sz w:val="18"/>
          <w:szCs w:val="18"/>
          <w:color w:val="auto"/>
        </w:rPr>
      </w:pPr>
    </w:p>
    <w:p>
      <w:pPr>
        <w:ind w:left="1420" w:hanging="322"/>
        <w:spacing w:after="0" w:line="277" w:lineRule="auto"/>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Navicixizumab for Advanced Platinum-Resistant Ovarian Cancer. </w:t>
      </w:r>
      <w:r>
        <w:rPr>
          <w:rFonts w:ascii="Arial" w:cs="Arial" w:eastAsia="Arial" w:hAnsi="Arial"/>
          <w:sz w:val="17"/>
          <w:szCs w:val="17"/>
          <w:color w:val="auto"/>
        </w:rPr>
        <w:t>In July 2019, Mereo held a successful Type B End of Phase 1</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with the FDA regarding a potential pathway for accelerated approval for navicixizumab for the treatment of patients with advanced ovarian cancer. Mereo and the FDA discussed, and agreed in principle, an outline for the design of a Phase 2 clinical trial that could potentially support the accelerated approval of navicixizumab in patients with ovarian cancer (including peritoneal or fallopian tube cancer) who have become resistant to prior therapies.</w:t>
      </w:r>
    </w:p>
    <w:p>
      <w:pPr>
        <w:spacing w:after="0" w:line="73" w:lineRule="exact"/>
        <w:rPr>
          <w:rFonts w:ascii="Arial" w:cs="Arial" w:eastAsia="Arial" w:hAnsi="Arial"/>
          <w:sz w:val="17"/>
          <w:szCs w:val="17"/>
          <w:color w:val="auto"/>
        </w:rPr>
      </w:pPr>
    </w:p>
    <w:p>
      <w:pPr>
        <w:ind w:left="1420" w:right="60" w:hanging="322"/>
        <w:spacing w:after="0" w:line="282"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Etigilimab for Advanced Solid Tumors. </w:t>
      </w:r>
      <w:r>
        <w:rPr>
          <w:rFonts w:ascii="Arial" w:cs="Arial" w:eastAsia="Arial" w:hAnsi="Arial"/>
          <w:sz w:val="18"/>
          <w:szCs w:val="18"/>
          <w:color w:val="auto"/>
        </w:rPr>
        <w:t>Etigilimab has completed a Phase 1a/b trial of etigilimab, administered as either a single-agent or in combination with nivolumab, in patients with advanced or metastatic solid tumors.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35" w:lineRule="exact"/>
        <w:rPr>
          <w:sz w:val="20"/>
          <w:szCs w:val="20"/>
          <w:color w:val="auto"/>
        </w:rPr>
      </w:pPr>
    </w:p>
    <w:p>
      <w:pPr>
        <w:ind w:left="980" w:right="460" w:hanging="43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April 2019, Mereo completed a merger with OncoMed Pharmaceuticals, Inc (“OncoMed”), acquiring two clinical stage oncology programs - navicixizumab and etigilimab.</w:t>
      </w:r>
    </w:p>
    <w:p>
      <w:pPr>
        <w:spacing w:after="0" w:line="75" w:lineRule="exact"/>
        <w:rPr>
          <w:rFonts w:ascii="Arial" w:cs="Arial" w:eastAsia="Arial" w:hAnsi="Arial"/>
          <w:sz w:val="18"/>
          <w:szCs w:val="18"/>
          <w:color w:val="auto"/>
        </w:rPr>
      </w:pPr>
    </w:p>
    <w:p>
      <w:pPr>
        <w:ind w:left="980" w:right="200" w:hanging="43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completion of the acquisition of OncoMed, Michael Wyzga and Deepa Pakianathan, Ph.D. were appointed as Non-Executive Directors to the Mereo Board.</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August 2019, Mereo appointed Richard Francis as Head of Pharmaceutical Development.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September 2019, Dr. Arun Mistry appointed as Therapeutic Area Head, Setrusumab.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5" w:lineRule="exact"/>
        <w:rPr>
          <w:sz w:val="20"/>
          <w:szCs w:val="20"/>
          <w:color w:val="auto"/>
        </w:rPr>
      </w:pPr>
    </w:p>
    <w:p>
      <w:pPr>
        <w:ind w:left="980" w:hanging="436"/>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Cash resources </w:t>
      </w:r>
      <w:r>
        <w:rPr>
          <w:rFonts w:ascii="Arial" w:cs="Arial" w:eastAsia="Arial" w:hAnsi="Arial"/>
          <w:sz w:val="15"/>
          <w:szCs w:val="15"/>
          <w:color w:val="auto"/>
        </w:rPr>
        <w:t>1</w:t>
      </w:r>
      <w:r>
        <w:rPr>
          <w:rFonts w:ascii="Arial" w:cs="Arial" w:eastAsia="Arial" w:hAnsi="Arial"/>
          <w:sz w:val="18"/>
          <w:szCs w:val="18"/>
          <w:color w:val="auto"/>
        </w:rPr>
        <w:t xml:space="preserve"> of £36.1m as at June 30, 2019 (June 30, 2018 £36.9m)</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Loss after tax for the six-month period of £16.2m (2018: £17.0m) or 22 pence per ordinary share (2018: 24 pence per ordinary share)</w:t>
      </w:r>
    </w:p>
    <w:p>
      <w:pPr>
        <w:spacing w:after="0" w:line="153" w:lineRule="exact"/>
        <w:rPr>
          <w:rFonts w:ascii="Arial" w:cs="Arial" w:eastAsia="Arial" w:hAnsi="Arial"/>
          <w:sz w:val="16"/>
          <w:szCs w:val="16"/>
          <w:color w:val="auto"/>
        </w:rPr>
      </w:pPr>
    </w:p>
    <w:p>
      <w:pPr>
        <w:ind w:left="980" w:right="180" w:hanging="436"/>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American Depositary Receipts (“ADRs”) commenced trading on the NASDAQ Global Market on April 24, 2019 with the issue of 4.9m ADR’s each represented by 5 ordinary shares</w:t>
      </w:r>
    </w:p>
    <w:p>
      <w:pPr>
        <w:spacing w:after="0" w:line="197"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resources is defined as the aggregate of cash and short-term deposits and short-term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Mereo will host a live conference call and webcast today at 8:30 a.m. EDT / 1:30 p.m. BST to discuss the Company’s financial results and provide a corporate update. To participate in the conference call, please dial (866) 688-2942 (U.S.) or (561) 569-9224 (U.K./International). The conference ID number is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3" w:name="page34"/>
    <w:bookmarkEnd w:id="3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4572478. A live and archived webcast may be accessed by visiting the Investors sections of the Company’s website at </w:t>
      </w:r>
      <w:r>
        <w:rPr>
          <w:rFonts w:ascii="Arial" w:cs="Arial" w:eastAsia="Arial" w:hAnsi="Arial"/>
          <w:sz w:val="18"/>
          <w:szCs w:val="18"/>
          <w:u w:val="single" w:color="auto"/>
          <w:color w:val="auto"/>
        </w:rPr>
        <w:t>https://www.mereobiopharma.com/investors/results-reports-and-presentations/</w:t>
      </w:r>
      <w:r>
        <w:rPr>
          <w:rFonts w:ascii="Arial" w:cs="Arial" w:eastAsia="Arial" w:hAnsi="Arial"/>
          <w:sz w:val="18"/>
          <w:szCs w:val="18"/>
          <w:color w:val="auto"/>
        </w:rPr>
        <w:t>. The archived webcast will remain available on the Company’s website for fourteen (14) days following the live call.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is being developed for the treatment of osteogenesis imperfecta (OI) with topline</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12-month results from a Phase 2b dose ranging study expected in Q4 2019. Mereo’s second lead product candidate, alvelestat, is being investigated in a Phase 2 proof-of-concept clinical trial in patients with alpha-1 antitrypsin deficiency (AATD) with topline data expected in mid-2020.</w:t>
      </w:r>
    </w:p>
    <w:p>
      <w:pPr>
        <w:spacing w:after="0" w:line="13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800" w:type="dxa"/>
            <w:vAlign w:val="bottom"/>
          </w:tcPr>
          <w:p>
            <w:pPr>
              <w:ind w:left="220"/>
              <w:spacing w:after="0"/>
              <w:rPr>
                <w:sz w:val="20"/>
                <w:szCs w:val="20"/>
                <w:color w:val="auto"/>
              </w:rPr>
            </w:pPr>
            <w:r>
              <w:rPr>
                <w:rFonts w:ascii="Arial" w:cs="Arial" w:eastAsia="Arial" w:hAnsi="Arial"/>
                <w:sz w:val="18"/>
                <w:szCs w:val="18"/>
                <w:b w:val="1"/>
                <w:bCs w:val="1"/>
                <w:color w:val="auto"/>
                <w:w w:val="93"/>
              </w:rPr>
              <w:t>+44 (0)333 023 7300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0"/>
                <w:szCs w:val="20"/>
                <w:color w:val="auto"/>
              </w:rPr>
            </w:pPr>
            <w:r>
              <w:rPr>
                <w:rFonts w:ascii="Arial" w:cs="Arial" w:eastAsia="Arial" w:hAnsi="Arial"/>
                <w:sz w:val="18"/>
                <w:szCs w:val="18"/>
                <w:b w:val="1"/>
                <w:bCs w:val="1"/>
                <w:color w:val="auto"/>
                <w:w w:val="96"/>
              </w:rPr>
              <w:t>Cantor Fitzgerald Europe (Nominated Adviser and Broker to Mereo)</w:t>
            </w:r>
          </w:p>
        </w:tc>
        <w:tc>
          <w:tcPr>
            <w:tcW w:w="1800" w:type="dxa"/>
            <w:vAlign w:val="bottom"/>
          </w:tcPr>
          <w:p>
            <w:pPr>
              <w:ind w:left="220"/>
              <w:spacing w:after="0"/>
              <w:rPr>
                <w:sz w:val="20"/>
                <w:szCs w:val="20"/>
                <w:color w:val="auto"/>
              </w:rPr>
            </w:pPr>
            <w:r>
              <w:rPr>
                <w:rFonts w:ascii="Arial" w:cs="Arial" w:eastAsia="Arial" w:hAnsi="Arial"/>
                <w:sz w:val="18"/>
                <w:szCs w:val="18"/>
                <w:b w:val="1"/>
                <w:bCs w:val="1"/>
                <w:color w:val="auto"/>
                <w:w w:val="93"/>
              </w:rPr>
              <w:t>+44 (0)20 7894 7000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Phil Davies</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Will Goode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800" w:type="dxa"/>
            <w:vAlign w:val="bottom"/>
            <w:vMerge w:val="restart"/>
          </w:tcPr>
          <w:p>
            <w:pPr>
              <w:ind w:left="2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01 (0) 212 213 0006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Lisa Burns</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Steve Klass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6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Simon Conway</w:t>
            </w:r>
          </w:p>
        </w:tc>
        <w:tc>
          <w:tcPr>
            <w:tcW w:w="180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3"/>
              </w:rPr>
              <w:t>+44 (0)20 3727 1000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Brett Pollard</w:t>
            </w: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Ciara Martin</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560" w:type="dxa"/>
            <w:vAlign w:val="bottom"/>
          </w:tcPr>
          <w:p>
            <w:pPr>
              <w:ind w:left="502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74"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risks relating to unanticipated costs, liabilities or delays; failure or delays in research and development programs; unanticipated changes relating to competitive factors in the Company’s industry; risks relating to expectations regarding the Company’s capitalization, resources and ownership structure; the availability of sufficient resources for company operations and to conduct or continue planned clinical development programs; the outcome of any legal proceedings; risks related to the ability to correctly estimate operating expenses; risks related to the ability to project future cash utilization and reserves needed for contingent future liabilities and business operations; risks related to the changes in market prices of the Company’s ordinary shares; the Company’s ability to hire and retain key personnel; changes in law or regulations affecting the Company; international, national or local economic, social or political conditions that could adversely affect the Company and its business; conditions in the credit markets; risks associated with assumptions the Company makes in connection with its critical accounting estimates and other judgments.</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Six months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Six months</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ended</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 2019</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June 30, 2018</w:t>
            </w:r>
          </w:p>
        </w:tc>
        <w:tc>
          <w:tcPr>
            <w:tcW w:w="9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Unaudited</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Unaudited</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Notes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(11,918,484)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(10,864,310)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(22,703,553)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(6,461,759)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(7,101,760)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(12,504,887)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(18,380,243)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(17,966,070)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(35,208,440)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recognised on acquisition of subsidiary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1,035,379</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137,014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Finance charge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(1,454,222)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(1,587,150)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(20,127)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(18,682,199)</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(19,352,448)</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(37,306,120)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2,458,567</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2,364,904</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(16,223,632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(16,987,544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(32,028,740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for the period</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subsequently reclassified to the income statement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Fair value changes on investments held at fair value through OCI</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88,033</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710,830</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Total comprehensive loss for the period, attributable to equity holders of the parent</w:t>
            </w: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(15,424,769</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(16,987,544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(32,028,740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54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at June 30,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30, 2018</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Unaudited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Unaudited</w:t>
            </w:r>
          </w:p>
        </w:tc>
        <w:tc>
          <w:tcPr>
            <w:tcW w:w="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80" w:type="dxa"/>
            <w:vAlign w:val="bottom"/>
            <w:gridSpan w:val="3"/>
          </w:tcPr>
          <w:p>
            <w:pPr>
              <w:ind w:left="2760"/>
              <w:spacing w:after="0"/>
              <w:rPr>
                <w:sz w:val="20"/>
                <w:szCs w:val="20"/>
                <w:color w:val="auto"/>
              </w:rPr>
            </w:pPr>
            <w:r>
              <w:rPr>
                <w:rFonts w:ascii="Arial" w:cs="Arial" w:eastAsia="Arial" w:hAnsi="Arial"/>
                <w:sz w:val="14"/>
                <w:szCs w:val="14"/>
                <w:color w:val="auto"/>
              </w:rPr>
              <w:t>Notes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13,100,261</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Intangible assets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45,156,708</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32,690,229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58,256,969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32,842,225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32,781,164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3,068,326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1,225,744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R&amp;D tax credits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7,744,634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10,516,989</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5,277,380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1,953,886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7,828,066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28,289,504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34,412,363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25,041,945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48,884,416</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49,239,917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34,495,150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107,141,385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82,082,142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67,276,314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Issued capital</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293,879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213,435</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121,684,154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118,369,523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118,492,073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capital reserves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58,003,847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17,746,031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18,592,618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Trust shares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(1,304,842)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reserves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7,000,000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(127,356,393)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(96,179,599)</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(111,220,794)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Translation reserve</w:t>
            </w:r>
          </w:p>
        </w:tc>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710,830</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59,031,475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47,149,390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32,770,780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1,926,916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3,993,058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2,641,353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Interest-bearing loans and borrowings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11,720,999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15,260,753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14,646,753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34,289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 liability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225,473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1,534,964</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1,005,613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13,138,521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27,046,198</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20,788,775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18,328,008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6,758,235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4,983,626</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4,570,307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5,960,684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333,556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293,000</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8,011,237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6,837,884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21,063,712</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14,143,977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16,177,526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48,109,910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34,932,752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34,505,534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107,141,385</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82,082,142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67,276,314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80" w:type="dxa"/>
            <w:vAlign w:val="bottom"/>
            <w:vMerge w:val="restart"/>
          </w:tcPr>
          <w:p>
            <w:pPr>
              <w:jc w:val="right"/>
              <w:ind w:right="123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¹"/>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2019-12-04T22:52:26Z</dcterms:created>
  <dcterms:modified xsi:type="dcterms:W3CDTF">2019-12-04T22:52:26Z</dcterms:modified>
</cp:coreProperties>
</file>