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60" w:right="100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November, 2021</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001-38452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980"/>
        <w:spacing w:after="0"/>
        <w:rPr>
          <w:sz w:val="20"/>
          <w:szCs w:val="20"/>
          <w:color w:val="auto"/>
        </w:rPr>
      </w:pPr>
      <w:r>
        <w:rPr>
          <w:rFonts w:ascii="Arial" w:cs="Arial" w:eastAsia="Arial" w:hAnsi="Arial"/>
          <w:sz w:val="43"/>
          <w:szCs w:val="43"/>
          <w:b w:val="1"/>
          <w:bCs w:val="1"/>
          <w:color w:val="auto"/>
        </w:rPr>
        <w:t>MEREO BIOPHARMA GROUP PLC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4</w:t>
      </w:r>
      <w:r>
        <w:rPr>
          <w:rFonts w:ascii="Arial" w:cs="Arial" w:eastAsia="Arial" w:hAnsi="Arial"/>
          <w:sz w:val="15"/>
          <w:szCs w:val="15"/>
          <w:b w:val="1"/>
          <w:bCs w:val="1"/>
          <w:color w:val="auto"/>
        </w:rPr>
        <w:t>th</w:t>
      </w:r>
      <w:r>
        <w:rPr>
          <w:rFonts w:ascii="Arial" w:cs="Arial" w:eastAsia="Arial" w:hAnsi="Arial"/>
          <w:sz w:val="18"/>
          <w:szCs w:val="18"/>
          <w:b w:val="1"/>
          <w:bCs w:val="1"/>
          <w:color w:val="auto"/>
        </w:rPr>
        <w:t xml:space="preserve"> Floor, One Cavendish Place,</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London, W1G 0QF, United Kingdom</w:t>
      </w:r>
    </w:p>
    <w:p>
      <w:pPr>
        <w:spacing w:after="0" w:line="2"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196"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180"/>
        <w:spacing w:after="0" w:line="207" w:lineRule="exact"/>
        <w:tabs>
          <w:tab w:leader="none" w:pos="57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238760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Third Quarter 2021 Financial Information</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As of September 30, 2021, Mereo BioPharma Group plc (the “Company”) had cash and short-term deposits of £99.7 million ($134.2 million). Net cash burn during the third quarter of 2021 amounted to £10.4 million ($13.9 million). The Company expects that its existing cash and short-term deposits will enable it to fund its currently committed clinical trials, operating expenses and capital expenditure requirements into 2024.</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This Report on Form 6-K contains “forward-looking statements.” All statements other than statements of historical fact contained herein are forward-looking statements within the meaning of Section 27A of the United States Securities Act of 1933, as amended (the “Securities Act”), and Section 21E of the United States Securities Exchange Act of 1934, as amended (the “Exchange Act”). Forward-looking statements usually relate to future events and anticipated revenues, earnings, cash flows or other aspects of our operations or operating results. Forward-looking statements are often identified by the words “believe,” “expect,” “anticipate,” “plan,” “intend,” “foresee,” “should,” “would,” “could,” “may,” “estimate,” “outlook” and similar expressions, including the negative thereof. The absence of these words, however, does not mean that the statements are not forward-looking. These forward-looking statements are based on the Company’s current expectations, beliefs and assumptions concerning future developments and business conditions and their potential effect on the Company. While management believes that these forward-looking statements are reasonable as and when made, there can be no assurance that future developments affecting the Company will be those that it anticipates.</w:t>
      </w:r>
    </w:p>
    <w:p>
      <w:pPr>
        <w:spacing w:after="0" w:line="16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All of the Company’s forward-looking statements involve known and unknown risks and uncertainties some of which are significant or beyond its control and assumptions that could cause actual results to differ materially from the Company’s historical experience and its present expectations or projections. You should carefully consider the foregoing factors and the other risks and uncertainties that affect the Company’s business, including those described in the “Risk Factors” section of its latest Annual Report on Form 20-F, reports on Form 6-K and other documents furnished or filed from time to time by the Company with the Securities and Exchange Commission. The Company wishes to caution you not to place undue reliance on any forward-looking statements, which speak only as of the date hereof. The Company undertakes no obligation to publicly update or revise any of our forward-looking statements after the date they are made, whether as a result of new information, future events or otherwise, except to the extent required by law.</w:t>
      </w:r>
    </w:p>
    <w:p>
      <w:pPr>
        <w:sectPr>
          <w:pgSz w:w="11900" w:h="16838" w:orient="portrait"/>
          <w:cols w:equalWidth="0" w:num="1">
            <w:col w:w="11000"/>
          </w:cols>
          <w:pgMar w:left="440" w:top="270" w:right="45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2021</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MEREO BIOPHARMA GROUP PLC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Christine Fox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Christine Fox</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Financial Officer</w:t>
      </w:r>
    </w:p>
    <w:sectPr>
      <w:pgSz w:w="11900" w:h="16838" w:orient="portrait"/>
      <w:cols w:equalWidth="0" w:num="1">
        <w:col w:w="10700"/>
      </w:cols>
      <w:pgMar w:left="440" w:top="270"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2021-11-04T15:33:47Z</dcterms:created>
  <dcterms:modified xsi:type="dcterms:W3CDTF">2021-11-04T15:33:47Z</dcterms:modified>
</cp:coreProperties>
</file>