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53313d6k.htm"/>
      <w:bookmarkStart w:id="1" w:name="ksd353313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PURSUANT </w:t>
      </w:r>
    </w:p>
    <w:p>
      <w:pPr>
        <w:pStyle w:val="TextBody"/>
        <w:spacing w:before="0" w:after="0"/>
        <w:jc w:val="center"/>
        <w:rPr>
          <w:rFonts w:ascii="Times New Roman" w:hAnsi="Times New Roman"/>
          <w:b/>
          <w:sz w:val="24"/>
        </w:rPr>
      </w:pPr>
      <w:r>
        <w:rPr>
          <w:rFonts w:ascii="Times New Roman" w:hAnsi="Times New Roman"/>
          <w:b/>
          <w:sz w:val="24"/>
        </w:rPr>
        <w:t>TO RULE 13a-16 or 15d-16 UNDER THE</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May, 2022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001-38452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MEREO BIOPHARMA GROUP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4th Floor, One Cavendish Place,</w:t>
      </w:r>
    </w:p>
    <w:p>
      <w:pPr>
        <w:pStyle w:val="TextBody"/>
        <w:spacing w:before="0" w:after="0"/>
        <w:jc w:val="center"/>
        <w:rPr>
          <w:rFonts w:ascii="Times New Roman" w:hAnsi="Times New Roman"/>
          <w:b/>
          <w:sz w:val="20"/>
        </w:rPr>
      </w:pPr>
      <w:r>
        <w:rPr>
          <w:rFonts w:ascii="Times New Roman" w:hAnsi="Times New Roman"/>
          <w:b/>
          <w:sz w:val="20"/>
        </w:rPr>
        <w:t>London, W1G 0QF, United Kingdom</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Explanatory Note: </w:t>
      </w:r>
    </w:p>
    <w:p>
      <w:pPr>
        <w:pStyle w:val="TextBody"/>
        <w:spacing w:before="120" w:after="0"/>
        <w:jc w:val="left"/>
        <w:rPr>
          <w:rFonts w:ascii="Times New Roman" w:hAnsi="Times New Roman"/>
          <w:sz w:val="20"/>
        </w:rPr>
      </w:pPr>
      <w:r>
        <w:rPr>
          <w:rFonts w:ascii="Times New Roman" w:hAnsi="Times New Roman"/>
          <w:sz w:val="20"/>
        </w:rPr>
        <w:t xml:space="preserve">On May 23, 2022, Mereo BioPharma Group plc (the Company) received a letter (the Notification Letter) from the Listings Qualifications Department of The Nasdaq Stock Market, LLC (Nasdaq) notifying the Company that its American Depositary Shares (ADSs) failed to maintain a minimum bid price of $1.00 over the previous 30 consecutive business days as required by the Listing Rules of Nasdaq. The Notification Letter does not result in the immediate delisting of the Companys ADSs, and the ADSs will continue to trade uninterrupted under the symbol MREO. </w:t>
      </w:r>
    </w:p>
    <w:p>
      <w:pPr>
        <w:pStyle w:val="TextBody"/>
        <w:spacing w:before="240" w:after="0"/>
        <w:jc w:val="left"/>
        <w:rPr>
          <w:rFonts w:ascii="Times New Roman" w:hAnsi="Times New Roman"/>
          <w:sz w:val="20"/>
        </w:rPr>
      </w:pPr>
      <w:r>
        <w:rPr>
          <w:rFonts w:ascii="Times New Roman" w:hAnsi="Times New Roman"/>
          <w:sz w:val="20"/>
        </w:rPr>
        <w:t xml:space="preserve">Pursuant to Nasdaq Listing Rule 5810(c)(3)(A), the Company has a compliance period of 180 calendar days, or until November 21, 2022 (the Compliance Period), to regain compliance with Nasdaqs minimum bid price requirement. If at any time during the Compliance Period, the closing bid price per ADS of the Companys ADSs is at least $1.00 for a minimum of 10 consecutive business days, Nasdaq will provide the Company a written confirmation of compliance and the matter will be closed. </w:t>
      </w:r>
    </w:p>
    <w:p>
      <w:pPr>
        <w:pStyle w:val="TextBody"/>
        <w:spacing w:before="240" w:after="0"/>
        <w:jc w:val="left"/>
        <w:rPr>
          <w:rFonts w:ascii="Times New Roman" w:hAnsi="Times New Roman"/>
          <w:sz w:val="20"/>
        </w:rPr>
      </w:pPr>
      <w:r>
        <w:rPr>
          <w:rFonts w:ascii="Times New Roman" w:hAnsi="Times New Roman"/>
          <w:sz w:val="20"/>
        </w:rPr>
        <w:t xml:space="preserve">In the event the Company does not regain compliance by November 21, 2022, the Company may be eligible for an additional 180 calendar day grace period. To qualify, the Company will be required to meet the continued listing requirement for market value of publicly held shares and all other initial listing standards for Nasdaq, with the exception of the bid price requirement, and will need to provide written notice of its intention to cure the deficiency during the second compliance period. If the Company does not regain compliance during the initial grace period and is not eligible for an additional grace period, Nasdaq will provide written notice that the ADSs are subject to delisting from the Nasdaq Global Market. In that event, the Company may appeal such determination to a hearing panel. </w:t>
      </w:r>
    </w:p>
    <w:p>
      <w:pPr>
        <w:pStyle w:val="TextBody"/>
        <w:spacing w:before="240" w:after="0"/>
        <w:jc w:val="left"/>
        <w:rPr>
          <w:rFonts w:ascii="Times New Roman" w:hAnsi="Times New Roman"/>
          <w:sz w:val="20"/>
        </w:rPr>
      </w:pPr>
      <w:r>
        <w:rPr>
          <w:rFonts w:ascii="Times New Roman" w:hAnsi="Times New Roman"/>
          <w:sz w:val="20"/>
        </w:rPr>
        <w:t xml:space="preserve">The Company intends to monitor the closing bid price of its ADSs and its business operations are not affected by the receipt of the Notification Letter.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 May 25,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2"/>
        <w:gridCol w:w="60"/>
        <w:gridCol w:w="3670"/>
      </w:tblGrid>
      <w:tr>
        <w:trPr/>
        <w:tc>
          <w:tcPr>
            <w:tcW w:w="3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b/>
                <w:sz w:val="22"/>
              </w:rPr>
            </w:pPr>
            <w:r>
              <w:rPr>
                <w:b/>
                <w:sz w:val="22"/>
              </w:rPr>
              <w:t>MEREO BIOPHARMA GROUP PLC</w:t>
            </w:r>
          </w:p>
        </w:tc>
      </w:tr>
      <w:tr>
        <w:trPr>
          <w:trHeight w:val="240" w:hRule="atLeast"/>
        </w:trPr>
        <w:tc>
          <w:tcPr>
            <w:tcW w:w="352" w:type="dxa"/>
            <w:tcBorders/>
            <w:shd w:fill="auto" w:val="clear"/>
            <w:vAlign w:val="center"/>
          </w:tcPr>
          <w:p>
            <w:pPr>
              <w:pStyle w:val="TableContents"/>
              <w:spacing w:before="0" w:after="283"/>
              <w:rPr>
                <w:sz w:val="4"/>
                <w:szCs w:val="4"/>
              </w:rPr>
            </w:pPr>
            <w:r>
              <w:rPr>
                <w:sz w:val="4"/>
                <w:szCs w:val="4"/>
              </w:rPr>
            </w:r>
          </w:p>
        </w:tc>
        <w:tc>
          <w:tcPr>
            <w:tcW w:w="3730" w:type="dxa"/>
            <w:gridSpan w:val="2"/>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Charles Sermon</w:t>
            </w:r>
          </w:p>
        </w:tc>
      </w:tr>
      <w:tr>
        <w:trPr/>
        <w:tc>
          <w:tcPr>
            <w:tcW w:w="3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Charles Sermon</w:t>
            </w:r>
          </w:p>
        </w:tc>
      </w:tr>
      <w:tr>
        <w:trPr/>
        <w:tc>
          <w:tcPr>
            <w:tcW w:w="3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Title: General Counsel</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537</Words>
  <CharactersWithSpaces>3181</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