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As confidentially submitted to the Securities and Exchange Commission on February 27, 2018</w:t>
      </w:r>
    </w:p>
    <w:p>
      <w:pPr>
        <w:spacing w:after="0" w:line="23" w:lineRule="exact"/>
        <w:rPr>
          <w:sz w:val="24"/>
          <w:szCs w:val="24"/>
          <w:color w:val="auto"/>
        </w:rPr>
      </w:pPr>
    </w:p>
    <w:p>
      <w:pPr>
        <w:ind w:left="93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W</w:t>
      </w:r>
      <w:r>
        <w:rPr>
          <w:rFonts w:ascii="Arial" w:cs="Arial" w:eastAsia="Arial" w:hAnsi="Arial"/>
          <w:sz w:val="11"/>
          <w:szCs w:val="11"/>
          <w:b w:val="1"/>
          <w:bCs w:val="1"/>
          <w:color w:val="auto"/>
        </w:rPr>
        <w:t>ASHINGTON</w:t>
      </w:r>
      <w:r>
        <w:rPr>
          <w:rFonts w:ascii="Arial" w:cs="Arial" w:eastAsia="Arial" w:hAnsi="Arial"/>
          <w:sz w:val="14"/>
          <w:szCs w:val="14"/>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6"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Form F-1</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MEREO BIOPHARMA GROUP PLC</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1"/>
          <w:szCs w:val="11"/>
          <w:b w:val="1"/>
          <w:bCs w:val="1"/>
          <w:color w:val="auto"/>
        </w:rPr>
        <w:t>XACT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 OF</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EGISTRANT AS</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PECIFIED IN ITS</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HARTER</w:t>
      </w:r>
      <w:r>
        <w:rPr>
          <w:rFonts w:ascii="Arial" w:cs="Arial" w:eastAsia="Arial" w:hAnsi="Arial"/>
          <w:sz w:val="14"/>
          <w:szCs w:val="14"/>
          <w:b w:val="1"/>
          <w:bCs w:val="1"/>
          <w:color w:val="auto"/>
        </w:rPr>
        <w:t>)</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(Translation of Registrant’s Name into English)</w:t>
      </w:r>
    </w:p>
    <w:p>
      <w:pPr>
        <w:spacing w:after="0" w:line="51" w:lineRule="exact"/>
        <w:rPr>
          <w:sz w:val="24"/>
          <w:szCs w:val="24"/>
          <w:color w:val="auto"/>
        </w:rPr>
      </w:pPr>
    </w:p>
    <w:tbl>
      <w:tblPr>
        <w:tblLayout w:type="fixed"/>
        <w:tblInd w:w="1120" w:type="dxa"/>
        <w:tblCellMar>
          <w:top w:w="0" w:type="dxa"/>
          <w:left w:w="0" w:type="dxa"/>
          <w:bottom w:w="0" w:type="dxa"/>
          <w:right w:w="0" w:type="dxa"/>
        </w:tblCellMar>
      </w:tblPr>
      <w:tr>
        <w:trPr>
          <w:trHeight w:val="180"/>
        </w:trPr>
        <w:tc>
          <w:tcPr>
            <w:tcW w:w="2860" w:type="dxa"/>
            <w:vAlign w:val="bottom"/>
          </w:tcPr>
          <w:p>
            <w:pPr>
              <w:jc w:val="center"/>
              <w:ind w:right="868"/>
              <w:spacing w:after="0"/>
              <w:rPr>
                <w:sz w:val="20"/>
                <w:szCs w:val="20"/>
                <w:color w:val="auto"/>
              </w:rPr>
            </w:pPr>
            <w:r>
              <w:rPr>
                <w:rFonts w:ascii="Arial" w:cs="Arial" w:eastAsia="Arial" w:hAnsi="Arial"/>
                <w:sz w:val="14"/>
                <w:szCs w:val="14"/>
                <w:b w:val="1"/>
                <w:bCs w:val="1"/>
                <w:color w:val="auto"/>
              </w:rPr>
              <w:t>United Kingdom</w:t>
            </w:r>
          </w:p>
        </w:tc>
        <w:tc>
          <w:tcPr>
            <w:tcW w:w="3780" w:type="dxa"/>
            <w:vAlign w:val="bottom"/>
          </w:tcPr>
          <w:p>
            <w:pPr>
              <w:jc w:val="center"/>
              <w:ind w:right="28"/>
              <w:spacing w:after="0"/>
              <w:rPr>
                <w:sz w:val="20"/>
                <w:szCs w:val="20"/>
                <w:color w:val="auto"/>
              </w:rPr>
            </w:pPr>
            <w:r>
              <w:rPr>
                <w:rFonts w:ascii="Arial" w:cs="Arial" w:eastAsia="Arial" w:hAnsi="Arial"/>
                <w:sz w:val="14"/>
                <w:szCs w:val="14"/>
                <w:b w:val="1"/>
                <w:bCs w:val="1"/>
                <w:color w:val="auto"/>
              </w:rPr>
              <w:t>2834</w:t>
            </w:r>
          </w:p>
        </w:tc>
        <w:tc>
          <w:tcPr>
            <w:tcW w:w="2400" w:type="dxa"/>
            <w:vAlign w:val="bottom"/>
          </w:tcPr>
          <w:p>
            <w:pPr>
              <w:jc w:val="center"/>
              <w:ind w:left="92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286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3780" w:type="dxa"/>
            <w:vAlign w:val="bottom"/>
          </w:tcPr>
          <w:p>
            <w:pPr>
              <w:jc w:val="center"/>
              <w:ind w:right="8"/>
              <w:spacing w:after="0"/>
              <w:rPr>
                <w:sz w:val="20"/>
                <w:szCs w:val="20"/>
                <w:color w:val="auto"/>
              </w:rPr>
            </w:pPr>
            <w:r>
              <w:rPr>
                <w:rFonts w:ascii="Arial" w:cs="Arial" w:eastAsia="Arial" w:hAnsi="Arial"/>
                <w:sz w:val="14"/>
                <w:szCs w:val="14"/>
                <w:color w:val="auto"/>
              </w:rPr>
              <w:t>(Primary Standard Industrial</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(I.R.S. Employer</w:t>
            </w:r>
          </w:p>
        </w:tc>
      </w:tr>
      <w:tr>
        <w:trPr>
          <w:trHeight w:val="172"/>
        </w:trPr>
        <w:tc>
          <w:tcPr>
            <w:tcW w:w="286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3780" w:type="dxa"/>
            <w:vAlign w:val="bottom"/>
          </w:tcPr>
          <w:p>
            <w:pPr>
              <w:jc w:val="center"/>
              <w:ind w:right="8"/>
              <w:spacing w:after="0"/>
              <w:rPr>
                <w:sz w:val="20"/>
                <w:szCs w:val="20"/>
                <w:color w:val="auto"/>
              </w:rPr>
            </w:pPr>
            <w:r>
              <w:rPr>
                <w:rFonts w:ascii="Arial" w:cs="Arial" w:eastAsia="Arial" w:hAnsi="Arial"/>
                <w:sz w:val="14"/>
                <w:szCs w:val="14"/>
                <w:color w:val="auto"/>
              </w:rPr>
              <w:t>Classification Code Number)</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Identification Number)</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Fourth Floor</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One Cavendish Place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London W1G 0QF UK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 +44 (0) 33 3023 7300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Cogency Global Inc.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10 E. 40th Street, 10th floor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New York, New York 10016</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Telephone No.: +1 800 221 0102</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39" w:lineRule="exact"/>
        <w:rPr>
          <w:sz w:val="24"/>
          <w:szCs w:val="24"/>
          <w:color w:val="auto"/>
        </w:rPr>
      </w:pPr>
    </w:p>
    <w:tbl>
      <w:tblPr>
        <w:tblLayout w:type="fixed"/>
        <w:tblInd w:w="202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4880" w:type="dxa"/>
            <w:vAlign w:val="bottom"/>
          </w:tcPr>
          <w:p>
            <w:pPr>
              <w:ind w:left="7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Mark V. Roeder</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Nathan Ajiashvili</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Brent B. Siler</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Claire A. Keast-Butler</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Ed Lukins</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Latham &amp; Watkins LLP</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Yvan-Claude Pierre</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140 Scott Drive</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640" w:type="dxa"/>
            <w:vAlign w:val="bottom"/>
          </w:tcPr>
          <w:p>
            <w:pPr>
              <w:jc w:val="center"/>
              <w:ind w:right="628"/>
              <w:spacing w:after="0"/>
              <w:rPr>
                <w:sz w:val="20"/>
                <w:szCs w:val="20"/>
                <w:color w:val="auto"/>
              </w:rPr>
            </w:pPr>
            <w:r>
              <w:rPr>
                <w:rFonts w:ascii="Arial" w:cs="Arial" w:eastAsia="Arial" w:hAnsi="Arial"/>
                <w:sz w:val="14"/>
                <w:szCs w:val="14"/>
                <w:b w:val="1"/>
                <w:bCs w:val="1"/>
                <w:color w:val="auto"/>
              </w:rPr>
              <w:t>Menlo Park, California 94025</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1114 Avenue of the Americas</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+1 650 328 4600</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New York, New York 10036</w:t>
            </w:r>
          </w:p>
        </w:tc>
      </w:tr>
      <w:tr>
        <w:trPr>
          <w:trHeight w:val="190"/>
        </w:trPr>
        <w:tc>
          <w:tcPr>
            <w:tcW w:w="2640" w:type="dxa"/>
            <w:vAlign w:val="bottom"/>
          </w:tcPr>
          <w:p>
            <w:pPr>
              <w:spacing w:after="0"/>
              <w:rPr>
                <w:sz w:val="16"/>
                <w:szCs w:val="16"/>
                <w:color w:val="auto"/>
              </w:rPr>
            </w:pP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+1 212 479 6000</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55" w:lineRule="exact"/>
        <w:rPr>
          <w:sz w:val="24"/>
          <w:szCs w:val="24"/>
          <w:color w:val="auto"/>
        </w:rPr>
      </w:pPr>
    </w:p>
    <w:p>
      <w:pPr>
        <w:ind w:left="200" w:right="32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62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30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8" w:lineRule="exact"/>
        <w:rPr>
          <w:sz w:val="24"/>
          <w:szCs w:val="24"/>
          <w:color w:val="auto"/>
        </w:rPr>
      </w:pPr>
    </w:p>
    <w:p>
      <w:pPr>
        <w:ind w:left="9220"/>
        <w:spacing w:after="0" w:line="161" w:lineRule="exact"/>
        <w:tabs>
          <w:tab w:leader="none" w:pos="1106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06" w:lineRule="exact"/>
        <w:rPr>
          <w:sz w:val="24"/>
          <w:szCs w:val="24"/>
          <w:color w:val="auto"/>
        </w:rPr>
      </w:pPr>
    </w:p>
    <w:p>
      <w:pPr>
        <w:ind w:left="200" w:right="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62"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2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7280" w:type="dxa"/>
            <w:vAlign w:val="bottom"/>
            <w:tcBorders>
              <w:right w:val="single" w:sz="8" w:color="auto"/>
            </w:tcBorders>
          </w:tcPr>
          <w:p>
            <w:pPr>
              <w:spacing w:after="0"/>
              <w:rPr>
                <w:sz w:val="11"/>
                <w:szCs w:val="11"/>
                <w:color w:val="auto"/>
              </w:rPr>
            </w:pPr>
          </w:p>
        </w:tc>
        <w:tc>
          <w:tcPr>
            <w:tcW w:w="1440" w:type="dxa"/>
            <w:vAlign w:val="bottom"/>
          </w:tcPr>
          <w:p>
            <w:pPr>
              <w:jc w:val="center"/>
              <w:ind w:left="468"/>
              <w:spacing w:after="0" w:line="129"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ROPOSED</w:t>
            </w:r>
          </w:p>
        </w:tc>
        <w:tc>
          <w:tcPr>
            <w:tcW w:w="4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1440" w:type="dxa"/>
            <w:vAlign w:val="bottom"/>
          </w:tcPr>
          <w:p>
            <w:pPr>
              <w:jc w:val="center"/>
              <w:ind w:left="448"/>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AXIMUM</w:t>
            </w:r>
          </w:p>
        </w:tc>
        <w:tc>
          <w:tcPr>
            <w:tcW w:w="4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1440" w:type="dxa"/>
            <w:vAlign w:val="bottom"/>
          </w:tcPr>
          <w:p>
            <w:pPr>
              <w:jc w:val="center"/>
              <w:ind w:left="468"/>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GGREGATE</w:t>
            </w:r>
          </w:p>
        </w:tc>
        <w:tc>
          <w:tcPr>
            <w:tcW w:w="4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center"/>
              <w:ind w:right="408"/>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MOUNT OF</w:t>
            </w: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ITLE OF</w:t>
            </w:r>
            <w:r>
              <w:rPr>
                <w:rFonts w:ascii="Arial" w:cs="Arial" w:eastAsia="Arial" w:hAnsi="Arial"/>
                <w:sz w:val="14"/>
                <w:szCs w:val="14"/>
                <w:b w:val="1"/>
                <w:bCs w:val="1"/>
                <w:color w:val="auto"/>
              </w:rPr>
              <w:t xml:space="preserve"> E</w:t>
            </w:r>
            <w:r>
              <w:rPr>
                <w:rFonts w:ascii="Arial" w:cs="Arial" w:eastAsia="Arial" w:hAnsi="Arial"/>
                <w:sz w:val="11"/>
                <w:szCs w:val="11"/>
                <w:b w:val="1"/>
                <w:bCs w:val="1"/>
                <w:color w:val="auto"/>
              </w:rPr>
              <w:t>ACH</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LASS OF</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ECURITIES</w:t>
            </w:r>
          </w:p>
        </w:tc>
        <w:tc>
          <w:tcPr>
            <w:tcW w:w="1440" w:type="dxa"/>
            <w:vAlign w:val="bottom"/>
          </w:tcPr>
          <w:p>
            <w:pPr>
              <w:jc w:val="center"/>
              <w:ind w:left="448"/>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FFERING</w:t>
            </w:r>
          </w:p>
        </w:tc>
        <w:tc>
          <w:tcPr>
            <w:tcW w:w="440" w:type="dxa"/>
            <w:vAlign w:val="bottom"/>
            <w:tcBorders>
              <w:right w:val="single" w:sz="8" w:color="auto"/>
            </w:tcBorders>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EGISTRATION</w:t>
            </w:r>
          </w:p>
        </w:tc>
      </w:tr>
      <w:tr>
        <w:trPr>
          <w:trHeight w:val="189"/>
        </w:trPr>
        <w:tc>
          <w:tcPr>
            <w:tcW w:w="20" w:type="dxa"/>
            <w:vAlign w:val="bottom"/>
          </w:tcPr>
          <w:p>
            <w:pPr>
              <w:spacing w:after="0"/>
              <w:rPr>
                <w:sz w:val="16"/>
                <w:szCs w:val="16"/>
                <w:color w:val="auto"/>
              </w:rPr>
            </w:pPr>
          </w:p>
        </w:tc>
        <w:tc>
          <w:tcPr>
            <w:tcW w:w="7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TO BE </w:t>
            </w:r>
            <w:r>
              <w:rPr>
                <w:rFonts w:ascii="Arial" w:cs="Arial" w:eastAsia="Arial" w:hAnsi="Arial"/>
                <w:sz w:val="14"/>
                <w:szCs w:val="14"/>
                <w:b w:val="1"/>
                <w:bCs w:val="1"/>
                <w:color w:val="auto"/>
              </w:rPr>
              <w:t>R</w:t>
            </w:r>
            <w:r>
              <w:rPr>
                <w:rFonts w:ascii="Arial" w:cs="Arial" w:eastAsia="Arial" w:hAnsi="Arial"/>
                <w:sz w:val="12"/>
                <w:szCs w:val="12"/>
                <w:b w:val="1"/>
                <w:bCs w:val="1"/>
                <w:color w:val="auto"/>
              </w:rPr>
              <w:t>EGISTERED</w:t>
            </w:r>
          </w:p>
        </w:tc>
        <w:tc>
          <w:tcPr>
            <w:tcW w:w="144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RICE</w:t>
            </w:r>
            <w:r>
              <w:rPr>
                <w:rFonts w:ascii="Arial" w:cs="Arial" w:eastAsia="Arial" w:hAnsi="Arial"/>
                <w:sz w:val="14"/>
                <w:szCs w:val="14"/>
                <w:b w:val="1"/>
                <w:bCs w:val="1"/>
                <w:color w:val="auto"/>
              </w:rPr>
              <w:t>(2)(3)</w:t>
            </w:r>
          </w:p>
        </w:tc>
        <w:tc>
          <w:tcPr>
            <w:tcW w:w="44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EE</w:t>
            </w:r>
            <w:r>
              <w:rPr>
                <w:rFonts w:ascii="Arial" w:cs="Arial" w:eastAsia="Arial" w:hAnsi="Arial"/>
                <w:sz w:val="14"/>
                <w:szCs w:val="14"/>
                <w:b w:val="1"/>
                <w:bCs w:val="1"/>
                <w:color w:val="auto"/>
              </w:rPr>
              <w:t>(4)</w:t>
            </w:r>
          </w:p>
        </w:tc>
      </w:tr>
      <w:tr>
        <w:trPr>
          <w:trHeight w:val="156"/>
        </w:trPr>
        <w:tc>
          <w:tcPr>
            <w:tcW w:w="730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Ordinary shares, nominal value £0.003 per ordinary share(1)</w:t>
            </w:r>
          </w:p>
        </w:tc>
        <w:tc>
          <w:tcPr>
            <w:tcW w:w="144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r>
      <w:tr>
        <w:trPr>
          <w:trHeight w:val="161"/>
        </w:trPr>
        <w:tc>
          <w:tcPr>
            <w:tcW w:w="8740" w:type="dxa"/>
            <w:vAlign w:val="bottom"/>
            <w:gridSpan w:val="3"/>
          </w:tcPr>
          <w:p>
            <w:pPr>
              <w:spacing w:after="0"/>
              <w:rPr>
                <w:sz w:val="20"/>
                <w:szCs w:val="20"/>
                <w:color w:val="auto"/>
              </w:rPr>
            </w:pPr>
            <w:r>
              <w:rPr>
                <w:rFonts w:ascii="Arial" w:cs="Arial" w:eastAsia="Arial" w:hAnsi="Arial"/>
                <w:sz w:val="14"/>
                <w:szCs w:val="14"/>
                <w:color w:val="auto"/>
              </w:rPr>
              <w:t>(1)  In the U.S. offering, all ordinary shares are in the form of American Depositary Shares, or ADSs, with each ADS representing</w:t>
            </w:r>
          </w:p>
        </w:tc>
        <w:tc>
          <w:tcPr>
            <w:tcW w:w="2300" w:type="dxa"/>
            <w:vAlign w:val="bottom"/>
            <w:gridSpan w:val="3"/>
          </w:tcPr>
          <w:p>
            <w:pPr>
              <w:jc w:val="right"/>
              <w:ind w:right="148"/>
              <w:spacing w:after="0"/>
              <w:rPr>
                <w:sz w:val="20"/>
                <w:szCs w:val="20"/>
                <w:color w:val="auto"/>
              </w:rPr>
            </w:pPr>
            <w:r>
              <w:rPr>
                <w:rFonts w:ascii="Arial" w:cs="Arial" w:eastAsia="Arial" w:hAnsi="Arial"/>
                <w:sz w:val="14"/>
                <w:szCs w:val="14"/>
                <w:color w:val="auto"/>
              </w:rPr>
              <w:t>ordinary shares. ADSs issuable</w:t>
            </w:r>
          </w:p>
        </w:tc>
      </w:tr>
      <w:tr>
        <w:trPr>
          <w:trHeight w:val="162"/>
        </w:trPr>
        <w:tc>
          <w:tcPr>
            <w:tcW w:w="20" w:type="dxa"/>
            <w:vAlign w:val="bottom"/>
          </w:tcPr>
          <w:p>
            <w:pPr>
              <w:spacing w:after="0"/>
              <w:rPr>
                <w:sz w:val="14"/>
                <w:szCs w:val="14"/>
                <w:color w:val="auto"/>
              </w:rPr>
            </w:pPr>
          </w:p>
        </w:tc>
        <w:tc>
          <w:tcPr>
            <w:tcW w:w="9720" w:type="dxa"/>
            <w:vAlign w:val="bottom"/>
            <w:gridSpan w:val="4"/>
          </w:tcPr>
          <w:p>
            <w:pPr>
              <w:jc w:val="right"/>
              <w:spacing w:after="0"/>
              <w:rPr>
                <w:sz w:val="20"/>
                <w:szCs w:val="20"/>
                <w:color w:val="auto"/>
              </w:rPr>
            </w:pPr>
            <w:r>
              <w:rPr>
                <w:rFonts w:ascii="Arial" w:cs="Arial" w:eastAsia="Arial" w:hAnsi="Arial"/>
                <w:sz w:val="14"/>
                <w:szCs w:val="14"/>
                <w:color w:val="auto"/>
              </w:rPr>
              <w:t>upon deposit of the ordinary shares registered hereby are being registered pursuant to a separate registration statement on Form F-6 (File No. 333-</w:t>
            </w:r>
          </w:p>
        </w:tc>
        <w:tc>
          <w:tcPr>
            <w:tcW w:w="1300" w:type="dxa"/>
            <w:vAlign w:val="bottom"/>
          </w:tcPr>
          <w:p>
            <w:pPr>
              <w:jc w:val="right"/>
              <w:ind w:right="608"/>
              <w:spacing w:after="0"/>
              <w:rPr>
                <w:sz w:val="20"/>
                <w:szCs w:val="20"/>
                <w:color w:val="auto"/>
              </w:rPr>
            </w:pPr>
            <w:r>
              <w:rPr>
                <w:rFonts w:ascii="Arial" w:cs="Arial" w:eastAsia="Arial" w:hAnsi="Arial"/>
                <w:sz w:val="14"/>
                <w:szCs w:val="14"/>
                <w:color w:val="auto"/>
              </w:rPr>
              <w:t>).</w:t>
            </w:r>
          </w:p>
        </w:tc>
      </w:tr>
    </w:tbl>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457(o) of the Securities Act of 1933, as amended.</w:t>
      </w:r>
    </w:p>
    <w:p>
      <w:pPr>
        <w:spacing w:after="0" w:line="1" w:lineRule="exact"/>
        <w:rPr>
          <w:rFonts w:ascii="Arial" w:cs="Arial" w:eastAsia="Arial" w:hAnsi="Arial"/>
          <w:sz w:val="14"/>
          <w:szCs w:val="14"/>
          <w:color w:val="auto"/>
        </w:rPr>
      </w:pPr>
    </w:p>
    <w:p>
      <w:pPr>
        <w:ind w:left="520" w:right="100" w:hanging="316"/>
        <w:spacing w:after="0" w:line="24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 additional ordinary shares which the underwriters have the option to purchase and (b) ordinary shares which are being offered in a private placement in Europe and other countries outside of the United States and Canada but which may be resold from time to time in the United States in transactions requiring registration under the Securities Act or exemption therefrom. The total number of ordinary shares in the U.S. offering and the European private placement is subject to reallocation between them. All or part of the ordinary shares may be in the form of ADSs in the U.S. offering.</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jc w:val="both"/>
        <w:ind w:left="200" w:right="22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32385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75565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60"/>
        <w:spacing w:after="0" w:line="275" w:lineRule="auto"/>
        <w:rPr>
          <w:sz w:val="20"/>
          <w:szCs w:val="20"/>
          <w:color w:val="auto"/>
        </w:rPr>
      </w:pPr>
      <w:r>
        <w:rPr>
          <w:rFonts w:ascii="Arial" w:cs="Arial" w:eastAsia="Arial" w:hAnsi="Arial"/>
          <w:sz w:val="17"/>
          <w:szCs w:val="17"/>
          <w:color w:val="EA0000"/>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327" w:lineRule="exact"/>
        <w:rPr>
          <w:sz w:val="20"/>
          <w:szCs w:val="20"/>
          <w:color w:val="auto"/>
        </w:rPr>
      </w:pPr>
    </w:p>
    <w:p>
      <w:pPr>
        <w:ind w:left="200"/>
        <w:spacing w:after="0"/>
        <w:tabs>
          <w:tab w:leader="none" w:pos="9660" w:val="left"/>
        </w:tabs>
        <w:rPr>
          <w:sz w:val="20"/>
          <w:szCs w:val="20"/>
          <w:color w:val="auto"/>
        </w:rPr>
      </w:pPr>
      <w:r>
        <w:rPr>
          <w:rFonts w:ascii="Arial" w:cs="Arial" w:eastAsia="Arial" w:hAnsi="Arial"/>
          <w:sz w:val="18"/>
          <w:szCs w:val="18"/>
          <w:b w:val="1"/>
          <w:bCs w:val="1"/>
          <w:color w:val="auto"/>
        </w:rPr>
        <w:t>PRELIMINARY PROSPECTUS (Subject to Completion)</w:t>
      </w:r>
      <w:r>
        <w:rPr>
          <w:sz w:val="20"/>
          <w:szCs w:val="20"/>
          <w:color w:val="auto"/>
        </w:rPr>
        <w:tab/>
      </w:r>
      <w:r>
        <w:rPr>
          <w:rFonts w:ascii="Arial" w:cs="Arial" w:eastAsia="Arial" w:hAnsi="Arial"/>
          <w:sz w:val="17"/>
          <w:szCs w:val="17"/>
          <w:b w:val="1"/>
          <w:bCs w:val="1"/>
          <w:color w:val="EA0000"/>
        </w:rPr>
        <w:t>Dated</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EA0000"/>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auto"/>
        </w:rPr>
        <w:t>Ordinary Shares</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54610</wp:posOffset>
            </wp:positionV>
            <wp:extent cx="2470150" cy="900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60" w:hanging="772"/>
        <w:spacing w:after="0"/>
        <w:tabs>
          <w:tab w:leader="none" w:pos="4960" w:val="left"/>
        </w:tabs>
        <w:numPr>
          <w:ilvl w:val="0"/>
          <w:numId w:val="2"/>
        </w:numPr>
        <w:rPr>
          <w:rFonts w:ascii="Arial" w:cs="Arial" w:eastAsia="Arial" w:hAnsi="Arial"/>
          <w:sz w:val="25"/>
          <w:szCs w:val="25"/>
          <w:b w:val="1"/>
          <w:bCs w:val="1"/>
          <w:color w:val="auto"/>
        </w:rPr>
      </w:pPr>
      <w:r>
        <w:rPr>
          <w:rFonts w:ascii="Arial" w:cs="Arial" w:eastAsia="Arial" w:hAnsi="Arial"/>
          <w:sz w:val="25"/>
          <w:szCs w:val="25"/>
          <w:b w:val="1"/>
          <w:bCs w:val="1"/>
          <w:color w:val="auto"/>
        </w:rPr>
        <w:t>per Ordinary Share</w:t>
      </w:r>
    </w:p>
    <w:p>
      <w:pPr>
        <w:spacing w:after="0" w:line="64" w:lineRule="exact"/>
        <w:rPr>
          <w:sz w:val="20"/>
          <w:szCs w:val="20"/>
          <w:color w:val="auto"/>
        </w:rPr>
      </w:pPr>
    </w:p>
    <w:p>
      <w:pPr>
        <w:ind w:left="4180" w:hanging="692"/>
        <w:spacing w:after="0"/>
        <w:tabs>
          <w:tab w:leader="none" w:pos="418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per American Depositary Share</w:t>
      </w:r>
    </w:p>
    <w:p>
      <w:pPr>
        <w:spacing w:after="0" w:line="258" w:lineRule="exact"/>
        <w:rPr>
          <w:sz w:val="20"/>
          <w:szCs w:val="20"/>
          <w:color w:val="auto"/>
        </w:rPr>
      </w:pPr>
    </w:p>
    <w:p>
      <w:pPr>
        <w:ind w:left="200"/>
        <w:spacing w:after="0"/>
        <w:tabs>
          <w:tab w:leader="none" w:pos="3100" w:val="left"/>
        </w:tabs>
        <w:rPr>
          <w:sz w:val="20"/>
          <w:szCs w:val="20"/>
          <w:color w:val="auto"/>
        </w:rPr>
      </w:pPr>
      <w:r>
        <w:rPr>
          <w:rFonts w:ascii="Arial" w:cs="Arial" w:eastAsia="Arial" w:hAnsi="Arial"/>
          <w:sz w:val="16"/>
          <w:szCs w:val="16"/>
          <w:color w:val="auto"/>
        </w:rPr>
        <w:t>We are offering an aggregate of</w:t>
      </w:r>
      <w:r>
        <w:rPr>
          <w:sz w:val="20"/>
          <w:szCs w:val="20"/>
          <w:color w:val="auto"/>
        </w:rPr>
        <w:tab/>
      </w:r>
      <w:r>
        <w:rPr>
          <w:rFonts w:ascii="Arial" w:cs="Arial" w:eastAsia="Arial" w:hAnsi="Arial"/>
          <w:sz w:val="16"/>
          <w:szCs w:val="16"/>
          <w:color w:val="auto"/>
        </w:rPr>
        <w:t>of our ordinary shares, including ordinary shares in the form of American Depositary Shares, or ADSs, in a global</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offering.</w:t>
      </w:r>
    </w:p>
    <w:p>
      <w:pPr>
        <w:spacing w:after="0" w:line="59" w:lineRule="exact"/>
        <w:rPr>
          <w:sz w:val="20"/>
          <w:szCs w:val="20"/>
          <w:color w:val="auto"/>
        </w:rPr>
      </w:pPr>
    </w:p>
    <w:p>
      <w:pPr>
        <w:ind w:left="200"/>
        <w:spacing w:after="0"/>
        <w:tabs>
          <w:tab w:leader="none" w:pos="1920" w:val="left"/>
        </w:tabs>
        <w:rPr>
          <w:sz w:val="20"/>
          <w:szCs w:val="20"/>
          <w:color w:val="auto"/>
        </w:rPr>
      </w:pPr>
      <w:r>
        <w:rPr>
          <w:rFonts w:ascii="Arial" w:cs="Arial" w:eastAsia="Arial" w:hAnsi="Arial"/>
          <w:sz w:val="16"/>
          <w:szCs w:val="16"/>
          <w:color w:val="auto"/>
        </w:rPr>
        <w:t>We are offering</w:t>
      </w:r>
      <w:r>
        <w:rPr>
          <w:sz w:val="20"/>
          <w:szCs w:val="20"/>
          <w:color w:val="auto"/>
        </w:rPr>
        <w:tab/>
      </w:r>
      <w:r>
        <w:rPr>
          <w:rFonts w:ascii="Arial" w:cs="Arial" w:eastAsia="Arial" w:hAnsi="Arial"/>
          <w:sz w:val="16"/>
          <w:szCs w:val="16"/>
          <w:color w:val="auto"/>
        </w:rPr>
        <w:t>ADSs through the underwriters named in this prospectus in the United States, or the U.S. offering. Each ADS represents</w:t>
      </w:r>
    </w:p>
    <w:p>
      <w:pPr>
        <w:spacing w:after="0" w:line="5" w:lineRule="exact"/>
        <w:rPr>
          <w:sz w:val="20"/>
          <w:szCs w:val="20"/>
          <w:color w:val="auto"/>
        </w:rPr>
      </w:pPr>
    </w:p>
    <w:p>
      <w:pPr>
        <w:ind w:left="200" w:right="280" w:firstLine="586"/>
        <w:spacing w:after="0" w:line="260" w:lineRule="auto"/>
        <w:rPr>
          <w:sz w:val="20"/>
          <w:szCs w:val="20"/>
          <w:color w:val="auto"/>
        </w:rPr>
      </w:pPr>
      <w:r>
        <w:rPr>
          <w:rFonts w:ascii="Arial" w:cs="Arial" w:eastAsia="Arial" w:hAnsi="Arial"/>
          <w:sz w:val="16"/>
          <w:szCs w:val="16"/>
          <w:color w:val="auto"/>
        </w:rPr>
        <w:t>ordinary shares. This is our initial public offering of our ADSs, and no public market currently exists for our ADSs. We intend to apply to list our ADSs on The Nasdaq Global Market under the symbol “MREO.”</w:t>
      </w:r>
    </w:p>
    <w:p>
      <w:pPr>
        <w:spacing w:after="0" w:line="34" w:lineRule="exact"/>
        <w:rPr>
          <w:sz w:val="20"/>
          <w:szCs w:val="20"/>
          <w:color w:val="auto"/>
        </w:rPr>
      </w:pPr>
    </w:p>
    <w:p>
      <w:pPr>
        <w:ind w:left="200"/>
        <w:spacing w:after="0"/>
        <w:tabs>
          <w:tab w:leader="none" w:pos="1920" w:val="left"/>
        </w:tabs>
        <w:rPr>
          <w:sz w:val="20"/>
          <w:szCs w:val="20"/>
          <w:color w:val="auto"/>
        </w:rPr>
      </w:pPr>
      <w:r>
        <w:rPr>
          <w:rFonts w:ascii="Arial" w:cs="Arial" w:eastAsia="Arial" w:hAnsi="Arial"/>
          <w:sz w:val="16"/>
          <w:szCs w:val="16"/>
          <w:color w:val="auto"/>
        </w:rPr>
        <w:t>We are offering</w:t>
      </w:r>
      <w:r>
        <w:rPr>
          <w:sz w:val="20"/>
          <w:szCs w:val="20"/>
          <w:color w:val="auto"/>
        </w:rPr>
        <w:tab/>
      </w:r>
      <w:r>
        <w:rPr>
          <w:rFonts w:ascii="Arial" w:cs="Arial" w:eastAsia="Arial" w:hAnsi="Arial"/>
          <w:sz w:val="16"/>
          <w:szCs w:val="16"/>
          <w:color w:val="auto"/>
        </w:rPr>
        <w:t>ordinary shares through the underwriters named in this prospectus in Europe and countries outside of the United States and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Canada in a concurrent private placement, or the European private placement.</w:t>
      </w:r>
    </w:p>
    <w:p>
      <w:pPr>
        <w:spacing w:after="0" w:line="59" w:lineRule="exact"/>
        <w:rPr>
          <w:sz w:val="20"/>
          <w:szCs w:val="20"/>
          <w:color w:val="auto"/>
        </w:rPr>
      </w:pPr>
    </w:p>
    <w:p>
      <w:pPr>
        <w:ind w:left="200" w:right="460"/>
        <w:spacing w:after="0" w:line="260" w:lineRule="auto"/>
        <w:rPr>
          <w:sz w:val="20"/>
          <w:szCs w:val="20"/>
          <w:color w:val="auto"/>
        </w:rPr>
      </w:pPr>
      <w:r>
        <w:rPr>
          <w:rFonts w:ascii="Arial" w:cs="Arial" w:eastAsia="Arial" w:hAnsi="Arial"/>
          <w:sz w:val="16"/>
          <w:szCs w:val="16"/>
          <w:color w:val="auto"/>
        </w:rPr>
        <w:t>The closing of each of the U.S. offering and the European private placement, together referred to as the global offering, will be conditioned upon the other. The total number of ordinary shares in the U.S. offering and the European private placement is subject to reallocation between them.</w:t>
      </w:r>
    </w:p>
    <w:p>
      <w:pPr>
        <w:spacing w:after="0" w:line="34" w:lineRule="exact"/>
        <w:rPr>
          <w:sz w:val="20"/>
          <w:szCs w:val="20"/>
          <w:color w:val="auto"/>
        </w:rPr>
      </w:pPr>
    </w:p>
    <w:p>
      <w:pPr>
        <w:ind w:left="200"/>
        <w:spacing w:after="0"/>
        <w:tabs>
          <w:tab w:leader="none" w:pos="8480" w:val="left"/>
        </w:tabs>
        <w:rPr>
          <w:sz w:val="20"/>
          <w:szCs w:val="20"/>
          <w:color w:val="auto"/>
        </w:rPr>
      </w:pPr>
      <w:r>
        <w:rPr>
          <w:rFonts w:ascii="Arial" w:cs="Arial" w:eastAsia="Arial" w:hAnsi="Arial"/>
          <w:sz w:val="16"/>
          <w:szCs w:val="16"/>
          <w:color w:val="auto"/>
        </w:rPr>
        <w:t>Our ordinary shares trade on AIM, a market of the London Stock Exchange, under the symbol “MPH.” On</w:t>
      </w:r>
      <w:r>
        <w:rPr>
          <w:sz w:val="20"/>
          <w:szCs w:val="20"/>
          <w:color w:val="auto"/>
        </w:rPr>
        <w:tab/>
      </w:r>
      <w:r>
        <w:rPr>
          <w:rFonts w:ascii="Arial" w:cs="Arial" w:eastAsia="Arial" w:hAnsi="Arial"/>
          <w:sz w:val="16"/>
          <w:szCs w:val="16"/>
          <w:color w:val="auto"/>
        </w:rPr>
        <w:t>, 2018, the last reported sale price of</w:t>
      </w:r>
    </w:p>
    <w:p>
      <w:pPr>
        <w:spacing w:after="0" w:line="5" w:lineRule="exact"/>
        <w:rPr>
          <w:sz w:val="20"/>
          <w:szCs w:val="20"/>
          <w:color w:val="auto"/>
        </w:rPr>
      </w:pPr>
    </w:p>
    <w:p>
      <w:pPr>
        <w:ind w:left="200"/>
        <w:spacing w:after="0"/>
        <w:tabs>
          <w:tab w:leader="none" w:pos="3240" w:val="left"/>
          <w:tab w:leader="none" w:pos="6060" w:val="left"/>
          <w:tab w:leader="none" w:pos="10080" w:val="left"/>
        </w:tabs>
        <w:rPr>
          <w:sz w:val="20"/>
          <w:szCs w:val="20"/>
          <w:color w:val="auto"/>
        </w:rPr>
      </w:pPr>
      <w:r>
        <w:rPr>
          <w:rFonts w:ascii="Arial" w:cs="Arial" w:eastAsia="Arial" w:hAnsi="Arial"/>
          <w:sz w:val="16"/>
          <w:szCs w:val="16"/>
          <w:color w:val="auto"/>
        </w:rPr>
        <w:t>our ordinary shares on AIM was £</w:t>
      </w:r>
      <w:r>
        <w:rPr>
          <w:sz w:val="20"/>
          <w:szCs w:val="20"/>
          <w:color w:val="auto"/>
        </w:rPr>
        <w:tab/>
      </w:r>
      <w:r>
        <w:rPr>
          <w:rFonts w:ascii="Arial" w:cs="Arial" w:eastAsia="Arial" w:hAnsi="Arial"/>
          <w:sz w:val="16"/>
          <w:szCs w:val="16"/>
          <w:color w:val="auto"/>
        </w:rPr>
        <w:t>per ordinary share (equivalent to $</w:t>
      </w:r>
      <w:r>
        <w:rPr>
          <w:sz w:val="20"/>
          <w:szCs w:val="20"/>
          <w:color w:val="auto"/>
        </w:rPr>
        <w:tab/>
      </w:r>
      <w:r>
        <w:rPr>
          <w:rFonts w:ascii="Arial" w:cs="Arial" w:eastAsia="Arial" w:hAnsi="Arial"/>
          <w:sz w:val="16"/>
          <w:szCs w:val="16"/>
          <w:color w:val="auto"/>
        </w:rPr>
        <w:t>per ADS based on an exchange rate of £1.00 to $</w:t>
      </w:r>
      <w:r>
        <w:rPr>
          <w:sz w:val="20"/>
          <w:szCs w:val="20"/>
          <w:color w:val="auto"/>
        </w:rPr>
        <w:tab/>
      </w:r>
      <w:r>
        <w:rPr>
          <w:rFonts w:ascii="Arial" w:cs="Arial" w:eastAsia="Arial" w:hAnsi="Arial"/>
          <w:sz w:val="16"/>
          <w:szCs w:val="16"/>
          <w:color w:val="auto"/>
        </w:rPr>
        <w:t>). The initial</w:t>
      </w:r>
    </w:p>
    <w:p>
      <w:pPr>
        <w:spacing w:after="0" w:line="5" w:lineRule="exact"/>
        <w:rPr>
          <w:sz w:val="20"/>
          <w:szCs w:val="20"/>
          <w:color w:val="auto"/>
        </w:rPr>
      </w:pPr>
    </w:p>
    <w:p>
      <w:pPr>
        <w:ind w:left="200" w:right="240"/>
        <w:spacing w:after="0" w:line="260" w:lineRule="auto"/>
        <w:rPr>
          <w:sz w:val="20"/>
          <w:szCs w:val="20"/>
          <w:color w:val="auto"/>
        </w:rPr>
      </w:pPr>
      <w:r>
        <w:rPr>
          <w:rFonts w:ascii="Arial" w:cs="Arial" w:eastAsia="Arial" w:hAnsi="Arial"/>
          <w:sz w:val="16"/>
          <w:szCs w:val="16"/>
          <w:color w:val="auto"/>
        </w:rPr>
        <w:t>public offering price for the ADSs will be determined by negotiations between us and the representatives of the underwriters in the offering, and the last reported sale price may not be indicative of the initial public offering price.</w:t>
      </w:r>
    </w:p>
    <w:p>
      <w:pPr>
        <w:spacing w:after="0" w:line="34" w:lineRule="exact"/>
        <w:rPr>
          <w:sz w:val="20"/>
          <w:szCs w:val="20"/>
          <w:color w:val="auto"/>
        </w:rPr>
      </w:pPr>
    </w:p>
    <w:p>
      <w:pPr>
        <w:ind w:left="200" w:right="360"/>
        <w:spacing w:after="0" w:line="253" w:lineRule="auto"/>
        <w:rPr>
          <w:sz w:val="20"/>
          <w:szCs w:val="20"/>
          <w:color w:val="auto"/>
        </w:rPr>
      </w:pPr>
      <w:r>
        <w:rPr>
          <w:rFonts w:ascii="Arial" w:cs="Arial" w:eastAsia="Arial" w:hAnsi="Arial"/>
          <w:sz w:val="16"/>
          <w:szCs w:val="16"/>
          <w:color w:val="auto"/>
        </w:rPr>
        <w:t>We are an “emerging growth company” as defined in the Jumpstart Our Business Startups Act of 2012 and, as such, will be subject to reduced public company disclosure requirements. Please see “Prospectus Summary—Implications of Being an Emerging Growth Company and a Foreign Private Issuer” for additional information.</w:t>
      </w:r>
    </w:p>
    <w:p>
      <w:pPr>
        <w:spacing w:after="0" w:line="19" w:lineRule="exact"/>
        <w:rPr>
          <w:sz w:val="20"/>
          <w:szCs w:val="20"/>
          <w:color w:val="auto"/>
        </w:rPr>
      </w:pPr>
    </w:p>
    <w:p>
      <w:pPr>
        <w:ind w:left="200" w:right="28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Our business and an investment in our ordinary shares and ADSs involve significant risks. See “</w:t>
      </w:r>
      <w:hyperlink w:anchor="page1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13 of this prospectus.</w:t>
      </w:r>
    </w:p>
    <w:p>
      <w:pPr>
        <w:spacing w:after="0" w:line="14"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PER</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ORDINARY</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60" w:type="dxa"/>
            <w:vAlign w:val="bottom"/>
            <w:vMerge w:val="restart"/>
          </w:tcPr>
          <w:p>
            <w:pPr>
              <w:spacing w:after="0"/>
              <w:rPr>
                <w:sz w:val="20"/>
                <w:szCs w:val="20"/>
                <w:color w:val="auto"/>
              </w:rPr>
            </w:pPr>
            <w:r>
              <w:rPr>
                <w:rFonts w:ascii="Arial" w:cs="Arial" w:eastAsia="Arial" w:hAnsi="Arial"/>
                <w:sz w:val="16"/>
                <w:szCs w:val="16"/>
                <w:b w:val="1"/>
                <w:bCs w:val="1"/>
                <w:color w:val="auto"/>
              </w:rPr>
              <w:t>Offering price</w:t>
            </w:r>
          </w:p>
        </w:tc>
        <w:tc>
          <w:tcPr>
            <w:tcW w:w="17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SHARE</w:t>
            </w:r>
          </w:p>
        </w:tc>
        <w:tc>
          <w:tcPr>
            <w:tcW w:w="2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6"/>
              </w:rPr>
              <w:t>PER ADS</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64"/>
        </w:trPr>
        <w:tc>
          <w:tcPr>
            <w:tcW w:w="636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right"/>
              <w:ind w:right="667"/>
              <w:spacing w:after="0" w:line="164" w:lineRule="exact"/>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4"/>
                <w:szCs w:val="14"/>
                <w:color w:val="auto"/>
              </w:rPr>
            </w:pPr>
          </w:p>
        </w:tc>
        <w:tc>
          <w:tcPr>
            <w:tcW w:w="640" w:type="dxa"/>
            <w:vAlign w:val="bottom"/>
          </w:tcPr>
          <w:p>
            <w:pPr>
              <w:jc w:val="right"/>
              <w:ind w:right="486"/>
              <w:spacing w:after="0" w:line="164" w:lineRule="exact"/>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4"/>
                <w:szCs w:val="14"/>
                <w:color w:val="auto"/>
              </w:rPr>
            </w:pPr>
          </w:p>
        </w:tc>
        <w:tc>
          <w:tcPr>
            <w:tcW w:w="820" w:type="dxa"/>
            <w:vAlign w:val="bottom"/>
          </w:tcPr>
          <w:p>
            <w:pPr>
              <w:jc w:val="right"/>
              <w:ind w:right="666"/>
              <w:spacing w:after="0" w:line="164" w:lineRule="exact"/>
              <w:rPr>
                <w:sz w:val="20"/>
                <w:szCs w:val="20"/>
                <w:color w:val="auto"/>
              </w:rPr>
            </w:pPr>
            <w:r>
              <w:rPr>
                <w:rFonts w:ascii="Arial" w:cs="Arial" w:eastAsia="Arial" w:hAnsi="Arial"/>
                <w:sz w:val="15"/>
                <w:szCs w:val="15"/>
                <w:b w:val="1"/>
                <w:bCs w:val="1"/>
                <w:color w:val="auto"/>
                <w:w w:val="71"/>
              </w:rPr>
              <w:t>$</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20"/>
                <w:szCs w:val="20"/>
                <w:color w:val="auto"/>
              </w:rPr>
            </w:pPr>
            <w:r>
              <w:rPr>
                <w:rFonts w:ascii="Arial" w:cs="Arial" w:eastAsia="Arial" w:hAnsi="Arial"/>
                <w:sz w:val="16"/>
                <w:szCs w:val="16"/>
                <w:b w:val="1"/>
                <w:bCs w:val="1"/>
                <w:color w:val="auto"/>
              </w:rPr>
              <w:t>Underwriting discounts and commissions(1)</w:t>
            </w:r>
          </w:p>
        </w:tc>
        <w:tc>
          <w:tcPr>
            <w:tcW w:w="2600" w:type="dxa"/>
            <w:vAlign w:val="bottom"/>
            <w:gridSpan w:val="2"/>
          </w:tcPr>
          <w:p>
            <w:pPr>
              <w:jc w:val="right"/>
              <w:ind w:right="667"/>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486"/>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66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6360" w:type="dxa"/>
            <w:vAlign w:val="bottom"/>
          </w:tcPr>
          <w:p>
            <w:pPr>
              <w:spacing w:after="0"/>
              <w:rPr>
                <w:sz w:val="20"/>
                <w:szCs w:val="20"/>
                <w:color w:val="auto"/>
              </w:rPr>
            </w:pPr>
            <w:r>
              <w:rPr>
                <w:rFonts w:ascii="Arial" w:cs="Arial" w:eastAsia="Arial" w:hAnsi="Arial"/>
                <w:sz w:val="16"/>
                <w:szCs w:val="16"/>
                <w:b w:val="1"/>
                <w:bCs w:val="1"/>
                <w:color w:val="auto"/>
              </w:rPr>
              <w:t>Proceeds, before expenses, to Mereo BioPharma Group plc</w:t>
            </w:r>
          </w:p>
        </w:tc>
        <w:tc>
          <w:tcPr>
            <w:tcW w:w="2600" w:type="dxa"/>
            <w:vAlign w:val="bottom"/>
            <w:gridSpan w:val="2"/>
          </w:tcPr>
          <w:p>
            <w:pPr>
              <w:jc w:val="right"/>
              <w:ind w:right="667"/>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486"/>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66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18180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See “Underwriting” for additional information regarding underwriting compensation.</w:t>
      </w:r>
    </w:p>
    <w:p>
      <w:pPr>
        <w:spacing w:after="0" w:line="59" w:lineRule="exact"/>
        <w:rPr>
          <w:sz w:val="20"/>
          <w:szCs w:val="20"/>
          <w:color w:val="auto"/>
        </w:rPr>
      </w:pPr>
    </w:p>
    <w:p>
      <w:pPr>
        <w:ind w:left="200" w:right="420"/>
        <w:spacing w:after="0" w:line="260" w:lineRule="auto"/>
        <w:rPr>
          <w:sz w:val="20"/>
          <w:szCs w:val="20"/>
          <w:color w:val="auto"/>
        </w:rPr>
      </w:pPr>
      <w:r>
        <w:rPr>
          <w:rFonts w:ascii="Arial" w:cs="Arial" w:eastAsia="Arial" w:hAnsi="Arial"/>
          <w:sz w:val="16"/>
          <w:szCs w:val="16"/>
          <w:color w:val="auto"/>
        </w:rPr>
        <w:t>The underwriters may also purchase up to an additional ADSs from us in the U.S. offering at the initial public offering price, less underwriting discounts and commissions, within 30 days from the date of this prospectus to cover overallotments.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underwriters expect to deliver ADSs in the U.S. offering and ordinary shares in the European private placement against payment in New York, New</w:t>
      </w:r>
    </w:p>
    <w:p>
      <w:pPr>
        <w:spacing w:after="0" w:line="5"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380" w:type="dxa"/>
            <w:vAlign w:val="bottom"/>
          </w:tcPr>
          <w:p>
            <w:pPr>
              <w:spacing w:after="0"/>
              <w:rPr>
                <w:sz w:val="20"/>
                <w:szCs w:val="20"/>
                <w:color w:val="auto"/>
              </w:rPr>
            </w:pPr>
            <w:r>
              <w:rPr>
                <w:rFonts w:ascii="Arial" w:cs="Arial" w:eastAsia="Arial" w:hAnsi="Arial"/>
                <w:sz w:val="16"/>
                <w:szCs w:val="16"/>
                <w:color w:val="auto"/>
              </w:rPr>
              <w:t>York and London, United Kingdom, respectively, on or about</w:t>
            </w:r>
          </w:p>
        </w:tc>
        <w:tc>
          <w:tcPr>
            <w:tcW w:w="3380" w:type="dxa"/>
            <w:vAlign w:val="bottom"/>
          </w:tcPr>
          <w:p>
            <w:pPr>
              <w:jc w:val="right"/>
              <w:ind w:right="2081"/>
              <w:spacing w:after="0"/>
              <w:rPr>
                <w:sz w:val="20"/>
                <w:szCs w:val="20"/>
                <w:color w:val="auto"/>
              </w:rPr>
            </w:pPr>
            <w:r>
              <w:rPr>
                <w:rFonts w:ascii="Arial" w:cs="Arial" w:eastAsia="Arial" w:hAnsi="Arial"/>
                <w:sz w:val="16"/>
                <w:szCs w:val="16"/>
                <w:color w:val="auto"/>
              </w:rPr>
              <w:t>, 2018.</w:t>
            </w:r>
          </w:p>
        </w:tc>
        <w:tc>
          <w:tcPr>
            <w:tcW w:w="3280" w:type="dxa"/>
            <w:vAlign w:val="bottom"/>
          </w:tcPr>
          <w:p>
            <w:pPr>
              <w:spacing w:after="0"/>
              <w:rPr>
                <w:sz w:val="16"/>
                <w:szCs w:val="16"/>
                <w:color w:val="auto"/>
              </w:rPr>
            </w:pPr>
          </w:p>
        </w:tc>
      </w:tr>
      <w:tr>
        <w:trPr>
          <w:trHeight w:val="74"/>
        </w:trPr>
        <w:tc>
          <w:tcPr>
            <w:tcW w:w="4380" w:type="dxa"/>
            <w:vAlign w:val="bottom"/>
            <w:tcBorders>
              <w:bottom w:val="single" w:sz="8" w:color="auto"/>
            </w:tcBorders>
          </w:tcPr>
          <w:p>
            <w:pPr>
              <w:spacing w:after="0"/>
              <w:rPr>
                <w:sz w:val="6"/>
                <w:szCs w:val="6"/>
                <w:color w:val="auto"/>
              </w:rPr>
            </w:pPr>
          </w:p>
        </w:tc>
        <w:tc>
          <w:tcPr>
            <w:tcW w:w="338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374"/>
        </w:trPr>
        <w:tc>
          <w:tcPr>
            <w:tcW w:w="4380" w:type="dxa"/>
            <w:vAlign w:val="bottom"/>
          </w:tcPr>
          <w:p>
            <w:pPr>
              <w:spacing w:after="0"/>
              <w:rPr>
                <w:sz w:val="20"/>
                <w:szCs w:val="20"/>
                <w:color w:val="auto"/>
              </w:rPr>
            </w:pPr>
            <w:r>
              <w:rPr>
                <w:rFonts w:ascii="Arial" w:cs="Arial" w:eastAsia="Arial" w:hAnsi="Arial"/>
                <w:sz w:val="23"/>
                <w:szCs w:val="23"/>
                <w:b w:val="1"/>
                <w:bCs w:val="1"/>
                <w:color w:val="auto"/>
              </w:rPr>
              <w:t>Cowen</w:t>
            </w:r>
          </w:p>
        </w:tc>
        <w:tc>
          <w:tcPr>
            <w:tcW w:w="3380" w:type="dxa"/>
            <w:vAlign w:val="bottom"/>
          </w:tcPr>
          <w:p>
            <w:pPr>
              <w:jc w:val="right"/>
              <w:ind w:right="861"/>
              <w:spacing w:after="0"/>
              <w:rPr>
                <w:sz w:val="20"/>
                <w:szCs w:val="20"/>
                <w:color w:val="auto"/>
              </w:rPr>
            </w:pPr>
            <w:r>
              <w:rPr>
                <w:rFonts w:ascii="Arial" w:cs="Arial" w:eastAsia="Arial" w:hAnsi="Arial"/>
                <w:sz w:val="23"/>
                <w:szCs w:val="23"/>
                <w:b w:val="1"/>
                <w:bCs w:val="1"/>
                <w:color w:val="auto"/>
              </w:rPr>
              <w:t>BMO Capital Markets</w:t>
            </w:r>
          </w:p>
        </w:tc>
        <w:tc>
          <w:tcPr>
            <w:tcW w:w="3280" w:type="dxa"/>
            <w:vAlign w:val="bottom"/>
          </w:tcPr>
          <w:p>
            <w:pPr>
              <w:ind w:left="960"/>
              <w:spacing w:after="0"/>
              <w:rPr>
                <w:sz w:val="20"/>
                <w:szCs w:val="20"/>
                <w:color w:val="auto"/>
              </w:rPr>
            </w:pPr>
            <w:r>
              <w:rPr>
                <w:rFonts w:ascii="Arial" w:cs="Arial" w:eastAsia="Arial" w:hAnsi="Arial"/>
                <w:sz w:val="23"/>
                <w:szCs w:val="23"/>
                <w:b w:val="1"/>
                <w:bCs w:val="1"/>
                <w:color w:val="auto"/>
              </w:rPr>
              <w:t>RBC Capital Markets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109855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Cantor Fitzgerald Europe</w:t>
      </w:r>
    </w:p>
    <w:p>
      <w:pPr>
        <w:sectPr>
          <w:pgSz w:w="11900" w:h="16838" w:orient="portrait"/>
          <w:cols w:equalWidth="0" w:num="1">
            <w:col w:w="11240"/>
          </w:cols>
          <w:pgMar w:left="240" w:top="459" w:right="419" w:bottom="1440" w:gutter="0" w:footer="0" w:header="0"/>
        </w:sectPr>
      </w:pPr>
    </w:p>
    <w:p>
      <w:pPr>
        <w:spacing w:after="0" w:line="74" w:lineRule="exact"/>
        <w:rPr>
          <w:sz w:val="20"/>
          <w:szCs w:val="20"/>
          <w:color w:val="auto"/>
        </w:rPr>
      </w:pPr>
    </w:p>
    <w:p>
      <w:pPr>
        <w:ind w:left="4480"/>
        <w:spacing w:after="0"/>
        <w:tabs>
          <w:tab w:leader="none" w:pos="648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6"/>
          <w:szCs w:val="16"/>
          <w:color w:val="auto"/>
        </w:rPr>
        <w:t>, 2018</w:t>
      </w:r>
    </w:p>
    <w:p>
      <w:pPr>
        <w:sectPr>
          <w:pgSz w:w="11900" w:h="16838" w:orient="portrait"/>
          <w:cols w:equalWidth="0" w:num="1">
            <w:col w:w="11240"/>
          </w:cols>
          <w:pgMar w:left="240" w:top="459" w:right="4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80" w:type="dxa"/>
            <w:vAlign w:val="bottom"/>
            <w:gridSpan w:val="3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527"/>
        </w:trPr>
        <w:tc>
          <w:tcPr>
            <w:tcW w:w="200" w:type="dxa"/>
            <w:vAlign w:val="bottom"/>
          </w:tcPr>
          <w:p>
            <w:pPr>
              <w:spacing w:after="0"/>
              <w:rPr>
                <w:sz w:val="24"/>
                <w:szCs w:val="24"/>
                <w:color w:val="auto"/>
              </w:rPr>
            </w:pPr>
          </w:p>
        </w:tc>
        <w:tc>
          <w:tcPr>
            <w:tcW w:w="18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About This Prospectus</w:t>
              </w:r>
            </w:hyperlink>
          </w:p>
        </w:tc>
        <w:tc>
          <w:tcPr>
            <w:tcW w:w="7060" w:type="dxa"/>
            <w:vAlign w:val="bottom"/>
            <w:gridSpan w:val="17"/>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29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Presentation of Financial Information</w:t>
              </w:r>
            </w:hyperlink>
          </w:p>
        </w:tc>
        <w:tc>
          <w:tcPr>
            <w:tcW w:w="5940" w:type="dxa"/>
            <w:vAlign w:val="bottom"/>
            <w:gridSpan w:val="11"/>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17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160" w:type="dxa"/>
            <w:vAlign w:val="bottom"/>
            <w:gridSpan w:val="18"/>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Cautionary Statement Regarding Forward-Looking Statements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183"/>
        </w:trPr>
        <w:tc>
          <w:tcPr>
            <w:tcW w:w="200" w:type="dxa"/>
            <w:vAlign w:val="bottom"/>
          </w:tcPr>
          <w:p>
            <w:pPr>
              <w:spacing w:after="0"/>
              <w:rPr>
                <w:sz w:val="15"/>
                <w:szCs w:val="15"/>
                <w:color w:val="auto"/>
              </w:rPr>
            </w:pPr>
          </w:p>
        </w:tc>
        <w:tc>
          <w:tcPr>
            <w:tcW w:w="498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Market and Industry Data</w:t>
              </w:r>
            </w:hyperlink>
          </w:p>
        </w:tc>
        <w:tc>
          <w:tcPr>
            <w:tcW w:w="390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Trademarks, Service Marks and Tradenames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183"/>
        </w:trPr>
        <w:tc>
          <w:tcPr>
            <w:tcW w:w="200" w:type="dxa"/>
            <w:vAlign w:val="bottom"/>
          </w:tcPr>
          <w:p>
            <w:pPr>
              <w:spacing w:after="0"/>
              <w:rPr>
                <w:sz w:val="15"/>
                <w:szCs w:val="15"/>
                <w:color w:val="auto"/>
              </w:rPr>
            </w:pPr>
          </w:p>
        </w:tc>
        <w:tc>
          <w:tcPr>
            <w:tcW w:w="36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Exchange Rate Information</w:t>
              </w:r>
            </w:hyperlink>
          </w:p>
        </w:tc>
        <w:tc>
          <w:tcPr>
            <w:tcW w:w="5280" w:type="dxa"/>
            <w:vAlign w:val="bottom"/>
            <w:gridSpan w:val="6"/>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Price Range of Our Ordinary Shares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183"/>
        </w:trPr>
        <w:tc>
          <w:tcPr>
            <w:tcW w:w="20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Use of Proceeds</w:t>
              </w:r>
            </w:hyperlink>
          </w:p>
        </w:tc>
        <w:tc>
          <w:tcPr>
            <w:tcW w:w="1560" w:type="dxa"/>
            <w:vAlign w:val="bottom"/>
            <w:tcBorders>
              <w:top w:val="single" w:sz="8" w:color="0000EE"/>
            </w:tcBorders>
            <w:gridSpan w:val="7"/>
          </w:tcPr>
          <w:p>
            <w:pPr>
              <w:spacing w:after="0"/>
              <w:rPr>
                <w:sz w:val="15"/>
                <w:szCs w:val="15"/>
                <w:color w:val="auto"/>
              </w:rPr>
            </w:pPr>
          </w:p>
        </w:tc>
        <w:tc>
          <w:tcPr>
            <w:tcW w:w="5980" w:type="dxa"/>
            <w:vAlign w:val="bottom"/>
            <w:gridSpan w:val="1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200" w:type="dxa"/>
            <w:vAlign w:val="bottom"/>
          </w:tcPr>
          <w:p>
            <w:pPr>
              <w:spacing w:after="0"/>
              <w:rPr>
                <w:sz w:val="15"/>
                <w:szCs w:val="15"/>
                <w:color w:val="auto"/>
              </w:rPr>
            </w:pPr>
          </w:p>
        </w:tc>
        <w:tc>
          <w:tcPr>
            <w:tcW w:w="1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Dividend Policy</w:t>
              </w:r>
            </w:hyperlink>
          </w:p>
        </w:tc>
        <w:tc>
          <w:tcPr>
            <w:tcW w:w="7640" w:type="dxa"/>
            <w:vAlign w:val="bottom"/>
            <w:gridSpan w:val="2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Capitalization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183"/>
        </w:trPr>
        <w:tc>
          <w:tcPr>
            <w:tcW w:w="200" w:type="dxa"/>
            <w:vAlign w:val="bottom"/>
          </w:tcPr>
          <w:p>
            <w:pPr>
              <w:spacing w:after="0"/>
              <w:rPr>
                <w:sz w:val="15"/>
                <w:szCs w:val="15"/>
                <w:color w:val="auto"/>
              </w:rPr>
            </w:pPr>
          </w:p>
        </w:tc>
        <w:tc>
          <w:tcPr>
            <w:tcW w:w="1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Dilution</w:t>
              </w:r>
            </w:hyperlink>
          </w:p>
        </w:tc>
        <w:tc>
          <w:tcPr>
            <w:tcW w:w="7800" w:type="dxa"/>
            <w:vAlign w:val="bottom"/>
            <w:gridSpan w:val="2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Selected Consolidated Financial Data</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Management’s Discussion and Analysis of Financial Condition and Results of Operations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183"/>
        </w:trPr>
        <w:tc>
          <w:tcPr>
            <w:tcW w:w="2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100">
              <w:r>
                <w:rPr>
                  <w:rFonts w:ascii="Arial" w:cs="Arial" w:eastAsia="Arial" w:hAnsi="Arial"/>
                  <w:sz w:val="18"/>
                  <w:szCs w:val="18"/>
                  <w:color w:val="0000EE"/>
                  <w:w w:val="98"/>
                </w:rPr>
                <w:t>Business</w:t>
              </w:r>
            </w:hyperlink>
          </w:p>
        </w:tc>
        <w:tc>
          <w:tcPr>
            <w:tcW w:w="6340" w:type="dxa"/>
            <w:vAlign w:val="bottom"/>
            <w:tcBorders>
              <w:top w:val="single" w:sz="8" w:color="0000EE"/>
            </w:tcBorders>
            <w:gridSpan w:val="26"/>
          </w:tcPr>
          <w:p>
            <w:pPr>
              <w:spacing w:after="0"/>
              <w:rPr>
                <w:sz w:val="15"/>
                <w:szCs w:val="15"/>
                <w:color w:val="auto"/>
              </w:rPr>
            </w:pPr>
          </w:p>
        </w:tc>
        <w:tc>
          <w:tcPr>
            <w:tcW w:w="180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200" w:type="dxa"/>
            <w:vAlign w:val="bottom"/>
          </w:tcPr>
          <w:p>
            <w:pPr>
              <w:spacing w:after="0"/>
              <w:rPr>
                <w:sz w:val="15"/>
                <w:szCs w:val="15"/>
                <w:color w:val="auto"/>
              </w:rPr>
            </w:pPr>
          </w:p>
        </w:tc>
        <w:tc>
          <w:tcPr>
            <w:tcW w:w="10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45">
              <w:r>
                <w:rPr>
                  <w:rFonts w:ascii="Arial" w:cs="Arial" w:eastAsia="Arial" w:hAnsi="Arial"/>
                  <w:sz w:val="18"/>
                  <w:szCs w:val="18"/>
                  <w:color w:val="0000EE"/>
                  <w:w w:val="98"/>
                </w:rPr>
                <w:t>Management</w:t>
              </w:r>
            </w:hyperlink>
          </w:p>
        </w:tc>
        <w:tc>
          <w:tcPr>
            <w:tcW w:w="7820" w:type="dxa"/>
            <w:vAlign w:val="bottom"/>
            <w:gridSpan w:val="2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141</w:t>
            </w:r>
          </w:p>
        </w:tc>
      </w:tr>
      <w:tr>
        <w:trPr>
          <w:trHeight w:val="183"/>
        </w:trPr>
        <w:tc>
          <w:tcPr>
            <w:tcW w:w="200" w:type="dxa"/>
            <w:vAlign w:val="bottom"/>
          </w:tcPr>
          <w:p>
            <w:pPr>
              <w:spacing w:after="0"/>
              <w:rPr>
                <w:sz w:val="15"/>
                <w:szCs w:val="15"/>
                <w:color w:val="auto"/>
              </w:rPr>
            </w:pPr>
          </w:p>
        </w:tc>
        <w:tc>
          <w:tcPr>
            <w:tcW w:w="18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60">
              <w:r>
                <w:rPr>
                  <w:rFonts w:ascii="Arial" w:cs="Arial" w:eastAsia="Arial" w:hAnsi="Arial"/>
                  <w:sz w:val="18"/>
                  <w:szCs w:val="18"/>
                  <w:color w:val="0000EE"/>
                  <w:w w:val="99"/>
                </w:rPr>
                <w:t>Principal Shareholders</w:t>
              </w:r>
            </w:hyperlink>
          </w:p>
        </w:tc>
        <w:tc>
          <w:tcPr>
            <w:tcW w:w="7060" w:type="dxa"/>
            <w:vAlign w:val="bottom"/>
            <w:gridSpan w:val="1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156</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62">
              <w:r>
                <w:rPr>
                  <w:rFonts w:ascii="Arial" w:cs="Arial" w:eastAsia="Arial" w:hAnsi="Arial"/>
                  <w:sz w:val="18"/>
                  <w:szCs w:val="18"/>
                  <w:color w:val="0000EE"/>
                </w:rPr>
                <w:t>Related Party Transactions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158</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64">
              <w:r>
                <w:rPr>
                  <w:rFonts w:ascii="Arial" w:cs="Arial" w:eastAsia="Arial" w:hAnsi="Arial"/>
                  <w:sz w:val="18"/>
                  <w:szCs w:val="18"/>
                  <w:color w:val="0000EE"/>
                </w:rPr>
                <w:t>Description of Share Capital and Articles of Association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r>
      <w:tr>
        <w:trPr>
          <w:trHeight w:val="183"/>
        </w:trPr>
        <w:tc>
          <w:tcPr>
            <w:tcW w:w="200" w:type="dxa"/>
            <w:vAlign w:val="bottom"/>
          </w:tcPr>
          <w:p>
            <w:pPr>
              <w:spacing w:after="0"/>
              <w:rPr>
                <w:sz w:val="15"/>
                <w:szCs w:val="15"/>
                <w:color w:val="auto"/>
              </w:rPr>
            </w:pPr>
          </w:p>
        </w:tc>
        <w:tc>
          <w:tcPr>
            <w:tcW w:w="44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181">
              <w:r>
                <w:rPr>
                  <w:rFonts w:ascii="Arial" w:cs="Arial" w:eastAsia="Arial" w:hAnsi="Arial"/>
                  <w:sz w:val="18"/>
                  <w:szCs w:val="18"/>
                  <w:color w:val="0000EE"/>
                </w:rPr>
                <w:t>Description of American Depositary Shares</w:t>
              </w:r>
            </w:hyperlink>
          </w:p>
        </w:tc>
        <w:tc>
          <w:tcPr>
            <w:tcW w:w="4480" w:type="dxa"/>
            <w:vAlign w:val="bottom"/>
            <w:gridSpan w:val="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177</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Ordinary Shares and ADSs Eligible For Future Sale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188</w:t>
            </w:r>
          </w:p>
        </w:tc>
      </w:tr>
      <w:tr>
        <w:trPr>
          <w:trHeight w:val="183"/>
        </w:trPr>
        <w:tc>
          <w:tcPr>
            <w:tcW w:w="200" w:type="dxa"/>
            <w:vAlign w:val="bottom"/>
          </w:tcPr>
          <w:p>
            <w:pPr>
              <w:spacing w:after="0"/>
              <w:rPr>
                <w:sz w:val="15"/>
                <w:szCs w:val="15"/>
                <w:color w:val="auto"/>
              </w:rPr>
            </w:pPr>
          </w:p>
        </w:tc>
        <w:tc>
          <w:tcPr>
            <w:tcW w:w="41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Material Tax Considerations</w:t>
              </w:r>
            </w:hyperlink>
          </w:p>
        </w:tc>
        <w:tc>
          <w:tcPr>
            <w:tcW w:w="4780" w:type="dxa"/>
            <w:vAlign w:val="bottom"/>
            <w:gridSpan w:val="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190</w:t>
            </w:r>
          </w:p>
        </w:tc>
      </w:tr>
      <w:tr>
        <w:trPr>
          <w:trHeight w:val="183"/>
        </w:trPr>
        <w:tc>
          <w:tcPr>
            <w:tcW w:w="20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204">
              <w:r>
                <w:rPr>
                  <w:rFonts w:ascii="Arial" w:cs="Arial" w:eastAsia="Arial" w:hAnsi="Arial"/>
                  <w:sz w:val="18"/>
                  <w:szCs w:val="18"/>
                  <w:color w:val="0000EE"/>
                  <w:w w:val="98"/>
                </w:rPr>
                <w:t>Underwriting</w:t>
              </w:r>
            </w:hyperlink>
          </w:p>
        </w:tc>
        <w:tc>
          <w:tcPr>
            <w:tcW w:w="1200" w:type="dxa"/>
            <w:vAlign w:val="bottom"/>
            <w:tcBorders>
              <w:top w:val="single" w:sz="8" w:color="0000EE"/>
            </w:tcBorders>
            <w:gridSpan w:val="12"/>
          </w:tcPr>
          <w:p>
            <w:pPr>
              <w:spacing w:after="0"/>
              <w:rPr>
                <w:sz w:val="15"/>
                <w:szCs w:val="15"/>
                <w:color w:val="auto"/>
              </w:rPr>
            </w:pPr>
          </w:p>
        </w:tc>
        <w:tc>
          <w:tcPr>
            <w:tcW w:w="6660" w:type="dxa"/>
            <w:vAlign w:val="bottom"/>
            <w:gridSpan w:val="1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200</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212">
              <w:r>
                <w:rPr>
                  <w:rFonts w:ascii="Arial" w:cs="Arial" w:eastAsia="Arial" w:hAnsi="Arial"/>
                  <w:sz w:val="18"/>
                  <w:szCs w:val="18"/>
                  <w:color w:val="0000EE"/>
                </w:rPr>
                <w:t>Expenses of The Offering</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208</w:t>
            </w:r>
          </w:p>
        </w:tc>
      </w:tr>
      <w:tr>
        <w:trPr>
          <w:trHeight w:val="183"/>
        </w:trPr>
        <w:tc>
          <w:tcPr>
            <w:tcW w:w="2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w:anchor="page213">
              <w:r>
                <w:rPr>
                  <w:rFonts w:ascii="Arial" w:cs="Arial" w:eastAsia="Arial" w:hAnsi="Arial"/>
                  <w:sz w:val="18"/>
                  <w:szCs w:val="18"/>
                  <w:color w:val="0000EE"/>
                  <w:w w:val="98"/>
                </w:rPr>
                <w:t>Legal Matters</w:t>
              </w:r>
            </w:hyperlink>
          </w:p>
        </w:tc>
        <w:tc>
          <w:tcPr>
            <w:tcW w:w="940" w:type="dxa"/>
            <w:vAlign w:val="bottom"/>
            <w:tcBorders>
              <w:top w:val="single" w:sz="8" w:color="0000EE"/>
            </w:tcBorders>
            <w:gridSpan w:val="7"/>
          </w:tcPr>
          <w:p>
            <w:pPr>
              <w:spacing w:after="0"/>
              <w:rPr>
                <w:sz w:val="15"/>
                <w:szCs w:val="15"/>
                <w:color w:val="auto"/>
              </w:rPr>
            </w:pPr>
          </w:p>
        </w:tc>
        <w:tc>
          <w:tcPr>
            <w:tcW w:w="6840" w:type="dxa"/>
            <w:vAlign w:val="bottom"/>
            <w:gridSpan w:val="1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209</w:t>
            </w:r>
          </w:p>
        </w:tc>
      </w:tr>
      <w:tr>
        <w:trPr>
          <w:trHeight w:val="183"/>
        </w:trPr>
        <w:tc>
          <w:tcPr>
            <w:tcW w:w="20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213">
              <w:r>
                <w:rPr>
                  <w:rFonts w:ascii="Arial" w:cs="Arial" w:eastAsia="Arial" w:hAnsi="Arial"/>
                  <w:sz w:val="18"/>
                  <w:szCs w:val="18"/>
                  <w:color w:val="0000EE"/>
                  <w:w w:val="98"/>
                </w:rPr>
                <w:t>Experts</w:t>
              </w:r>
            </w:hyperlink>
          </w:p>
        </w:tc>
        <w:tc>
          <w:tcPr>
            <w:tcW w:w="8260" w:type="dxa"/>
            <w:vAlign w:val="bottom"/>
            <w:gridSpan w:val="28"/>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209</w:t>
            </w:r>
          </w:p>
        </w:tc>
      </w:tr>
      <w:tr>
        <w:trPr>
          <w:trHeight w:val="183"/>
        </w:trPr>
        <w:tc>
          <w:tcPr>
            <w:tcW w:w="200" w:type="dxa"/>
            <w:vAlign w:val="bottom"/>
          </w:tcPr>
          <w:p>
            <w:pPr>
              <w:spacing w:after="0"/>
              <w:rPr>
                <w:sz w:val="15"/>
                <w:szCs w:val="15"/>
                <w:color w:val="auto"/>
              </w:rPr>
            </w:pPr>
          </w:p>
        </w:tc>
        <w:tc>
          <w:tcPr>
            <w:tcW w:w="39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14">
              <w:r>
                <w:rPr>
                  <w:rFonts w:ascii="Arial" w:cs="Arial" w:eastAsia="Arial" w:hAnsi="Arial"/>
                  <w:sz w:val="18"/>
                  <w:szCs w:val="18"/>
                  <w:color w:val="0000EE"/>
                  <w:w w:val="99"/>
                </w:rPr>
                <w:t>Service of Process and Enforcement of Liabilities</w:t>
              </w:r>
            </w:hyperlink>
          </w:p>
        </w:tc>
        <w:tc>
          <w:tcPr>
            <w:tcW w:w="4960" w:type="dxa"/>
            <w:vAlign w:val="bottom"/>
            <w:gridSpan w:val="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210</w:t>
            </w:r>
          </w:p>
        </w:tc>
      </w:tr>
      <w:tr>
        <w:trPr>
          <w:trHeight w:val="183"/>
        </w:trPr>
        <w:tc>
          <w:tcPr>
            <w:tcW w:w="200" w:type="dxa"/>
            <w:vAlign w:val="bottom"/>
          </w:tcPr>
          <w:p>
            <w:pPr>
              <w:spacing w:after="0"/>
              <w:rPr>
                <w:sz w:val="15"/>
                <w:szCs w:val="15"/>
                <w:color w:val="auto"/>
              </w:rPr>
            </w:pPr>
          </w:p>
        </w:tc>
        <w:tc>
          <w:tcPr>
            <w:tcW w:w="3080" w:type="dxa"/>
            <w:vAlign w:val="bottom"/>
            <w:tcBorders>
              <w:bottom w:val="single" w:sz="8" w:color="0000EE"/>
            </w:tcBorders>
            <w:gridSpan w:val="21"/>
          </w:tcPr>
          <w:p>
            <w:pPr>
              <w:spacing w:after="0" w:line="182" w:lineRule="exact"/>
              <w:rPr>
                <w:rFonts w:ascii="Arial" w:cs="Arial" w:eastAsia="Arial" w:hAnsi="Arial"/>
                <w:sz w:val="18"/>
                <w:szCs w:val="18"/>
                <w:color w:val="0000EE"/>
                <w:w w:val="98"/>
              </w:rPr>
            </w:pPr>
            <w:hyperlink w:anchor="page216">
              <w:r>
                <w:rPr>
                  <w:rFonts w:ascii="Arial" w:cs="Arial" w:eastAsia="Arial" w:hAnsi="Arial"/>
                  <w:sz w:val="18"/>
                  <w:szCs w:val="18"/>
                  <w:color w:val="0000EE"/>
                  <w:w w:val="98"/>
                </w:rPr>
                <w:t>Where You Can Find More Information</w:t>
              </w:r>
            </w:hyperlink>
          </w:p>
        </w:tc>
        <w:tc>
          <w:tcPr>
            <w:tcW w:w="5800" w:type="dxa"/>
            <w:vAlign w:val="bottom"/>
            <w:gridSpan w:val="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212</w:t>
            </w:r>
          </w:p>
        </w:tc>
      </w:tr>
      <w:tr>
        <w:trPr>
          <w:trHeight w:val="183"/>
        </w:trPr>
        <w:tc>
          <w:tcPr>
            <w:tcW w:w="200" w:type="dxa"/>
            <w:vAlign w:val="bottom"/>
          </w:tcPr>
          <w:p>
            <w:pPr>
              <w:spacing w:after="0"/>
              <w:rPr>
                <w:sz w:val="15"/>
                <w:szCs w:val="15"/>
                <w:color w:val="auto"/>
              </w:rPr>
            </w:pPr>
          </w:p>
        </w:tc>
        <w:tc>
          <w:tcPr>
            <w:tcW w:w="34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17">
              <w:r>
                <w:rPr>
                  <w:rFonts w:ascii="Arial" w:cs="Arial" w:eastAsia="Arial" w:hAnsi="Arial"/>
                  <w:sz w:val="18"/>
                  <w:szCs w:val="18"/>
                  <w:color w:val="0000EE"/>
                  <w:w w:val="99"/>
                </w:rPr>
                <w:t>Index to Consolidated Financial Statements</w:t>
              </w:r>
            </w:hyperlink>
          </w:p>
        </w:tc>
        <w:tc>
          <w:tcPr>
            <w:tcW w:w="5400" w:type="dxa"/>
            <w:vAlign w:val="bottom"/>
            <w:gridSpan w:val="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231775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our ADSs or ordinary shares in any jurisdiction where the offer or sale is not permitted. You should not assume that the information contained in this prospectus is accurate as of any date other than the date on the front cover of this prospectus, regardless of the time of delivery of this prospectus or the sale of any ADSs or ordinary shares.</w:t>
      </w:r>
    </w:p>
    <w:p>
      <w:pPr>
        <w:spacing w:after="0" w:line="201"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the global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global offering and the distribution of this prospectus outside the United States.</w:t>
      </w:r>
    </w:p>
    <w:p>
      <w:pPr>
        <w:spacing w:after="0" w:line="202"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ectPr>
          <w:pgSz w:w="11900" w:h="16838" w:orient="portrait"/>
          <w:cols w:equalWidth="0" w:num="1">
            <w:col w:w="11200"/>
          </w:cols>
          <w:pgMar w:left="24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Unless otherwise indicated or the context otherwise requires, all references in this prospectus to the terms “Mereo,” the “Company,” “we,” “us,” and “our” refer to Mereo BioPharma Group plc and our wholly owned subsidiaries Mereo BioPharma 1 Limited, Mereo BioPharma 2 Limited, Mereo BioPharma 3 Limited, and Mereo BioPharma 4 Limited.</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342"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This prospectus includes our audited consolidated financial statements as of and for the years ended December 31, 2016 and 2017 prepared in accordance with International Financial Reporting Standards, or IFRS, as issued by the International Accounting Standards Board, or IASB. None of our financial statements were prepared in accordance with U.S. GAAP.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financial information is presented in pounds sterling. For the convenience of the reader, in this prospectus, unless otherwise</w:t>
      </w:r>
    </w:p>
    <w:p>
      <w:pPr>
        <w:ind w:left="200"/>
        <w:spacing w:after="0" w:line="234" w:lineRule="auto"/>
        <w:rPr>
          <w:sz w:val="20"/>
          <w:szCs w:val="20"/>
          <w:color w:val="auto"/>
        </w:rPr>
      </w:pPr>
      <w:r>
        <w:rPr>
          <w:rFonts w:ascii="Arial" w:cs="Arial" w:eastAsia="Arial" w:hAnsi="Arial"/>
          <w:sz w:val="18"/>
          <w:szCs w:val="18"/>
          <w:color w:val="auto"/>
        </w:rPr>
        <w:t>indicated, translations from pounds sterling into U.S. dollars were made at the rate of £1.00 to $ , which was the noon buying rate of the Federal Reserve Bank of New York on . Such U.S. dollar amounts are not necessarily indicative of the amounts of</w:t>
      </w:r>
    </w:p>
    <w:p>
      <w:pPr>
        <w:spacing w:after="0" w:line="2" w:lineRule="exact"/>
        <w:rPr>
          <w:sz w:val="20"/>
          <w:szCs w:val="20"/>
          <w:color w:val="auto"/>
        </w:rPr>
      </w:pPr>
    </w:p>
    <w:p>
      <w:pPr>
        <w:ind w:left="200" w:right="580"/>
        <w:spacing w:after="0" w:line="246" w:lineRule="auto"/>
        <w:rPr>
          <w:sz w:val="20"/>
          <w:szCs w:val="20"/>
          <w:color w:val="auto"/>
        </w:rPr>
      </w:pPr>
      <w:r>
        <w:rPr>
          <w:rFonts w:ascii="Arial" w:cs="Arial" w:eastAsia="Arial" w:hAnsi="Arial"/>
          <w:sz w:val="18"/>
          <w:szCs w:val="18"/>
          <w:color w:val="auto"/>
        </w:rPr>
        <w:t>U.S. dollars that could actually have been purchased upon exchange of pounds sterling at the dates indicated. All references in this prospectus to “$” mean U.S. dollars and all references to “£” and “GBP” mean pounds sterling.</w:t>
      </w:r>
    </w:p>
    <w:p>
      <w:pPr>
        <w:spacing w:after="0" w:line="197"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80" w:right="40" w:firstLine="320"/>
        <w:spacing w:after="0" w:line="24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“Risk Factors,” “Business,” “Management’s Discussion and Analysis of Financial Condition and Results of Operations” and our consolidated financial statements, including the notes thereto, before deciding to invest in our ADSs or ordinary shares.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85"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osteogenesis imperfecta, or OI, AZD-9668 for the treatment of severe alpha-1 antitrypsin deficiency, or AATD, BCT-197 for the treatment of acute exacerbations of chronic obstructive pulmonary disease, or AECOPD, and BGS-649 for the treatment of hypogonadotropic hypogonadism, or HH, in obese men.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Pharma AG, or Novartis, and AstraZeneca AB, or AstraZeneca. We have commenced or completed large, randomized, placebo-controlled Phase 2 clinical trials for three of our product candidates. In December 2017, we reported top-line data from our completed Phase 2 dose-ranging clinical trial for BCT-197. We intend to commence additional late-stage clinical trials in 2018.</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pipeline. We have global commercial rights to all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9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55098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 Since June 9, 2016, our ordinary shares have traded on AIM, a market of the London Stock Exchange, under the symbol “MPH.” Since our inception in March 2015, we have raised a total of £102.8 million in gross proceeds from private and public placements of our ordinary shares to institutional investors.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BPS-804 for the Treatment of Osteogenesis Imperfecta</w:t>
      </w:r>
    </w:p>
    <w:p>
      <w:pPr>
        <w:spacing w:after="0" w:line="85"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BPS-804, or setrusumab, is a novel antibody we are developing as a treatment for OI, a rare genetic disease that results in bones that can break easily and is commonly known as brittle bone disease. OI is a debilitating orphan disease for which there are no treatments approved by the U.S. Food and Drug Administration, or FDA, or European Medicines Agency, or EMA. It is estimated that OI affects a minimum of 20,000 people in the United States and approximately 32,000 people in Germany, Spain, France, Italy, and the United Kingdom. BPS-804 is designed to inhibit sclerostin, a protein that inhibits the activity of bone-forming cells. We believe BPS-804’s mechanism of action is well suited for the treatment of OI and has the potential to become a novel treatment option for patients that could reduce fractures and improve patient quality of life.</w:t>
      </w:r>
    </w:p>
    <w:p>
      <w:pPr>
        <w:spacing w:after="0" w:line="203"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Prior to our acquisition of BPS-804, Novartis conducted four clinical trials in 106 subjects. One of these trials was a Phase 2 randomized, open-label, intra-patient dose-escalating proof-of-concept trial in the United States, Canada, and Europe in adults with OI. Treatment with BPS-804 showed a statistically significant increase in lumbar spine bone mineral density from baseline, which was sustained at day 141 of the trial, 16 weeks after the last dose of BPS-804. Treatment with BPS-804 also showed a statistically significant improvement in all measured bone formation biomarkers and a clinically relevant reduction in a bone resorption biomarker at day 43 of the trial. We believe that the observed increase in lumbar spine bone mineral density in patients treated with BPS-804, along with the biomarker data, support the potential of BPS-804 for the treatment of OI.</w:t>
      </w:r>
    </w:p>
    <w:p>
      <w:pPr>
        <w:spacing w:after="0" w:line="203" w:lineRule="exact"/>
        <w:rPr>
          <w:sz w:val="20"/>
          <w:szCs w:val="20"/>
          <w:color w:val="auto"/>
        </w:rPr>
      </w:pPr>
    </w:p>
    <w:p>
      <w:pPr>
        <w:ind w:left="380" w:right="220" w:firstLine="320"/>
        <w:spacing w:after="0" w:line="236" w:lineRule="auto"/>
        <w:rPr>
          <w:sz w:val="20"/>
          <w:szCs w:val="20"/>
          <w:color w:val="auto"/>
        </w:rPr>
      </w:pPr>
      <w:r>
        <w:rPr>
          <w:rFonts w:ascii="Arial" w:cs="Arial" w:eastAsia="Arial" w:hAnsi="Arial"/>
          <w:sz w:val="18"/>
          <w:szCs w:val="18"/>
          <w:color w:val="auto"/>
        </w:rPr>
        <w:t>In 2016, we obtained orphan drug designation in OI for BPS-804 in the United States and the European Union, or EU, and in February 2017, BPS-804 was accepted into the adaptive pathways program in the EU. In addition, BPS-804 was admitted to the PRIME scheme of the EMA in November 2017. In May 2017, we initiated a randomized, double-blind, placebo-controlled Phase 2b clinical trial of BPS-804 in adults in the United States and Europe. We intend to enroll approximately 120 patients for this trial. We expect the results from this trial, if favorable, along with validation of our use of high resolution peripheral quantitative computerized tomography, or HRPqCT, as a biomarker for fracture, may be sufficient to support the submission of a Conditional Marketing Authorisation, or CMA, to the EMA for BPS-804 for the treatment of adults with OI in the EU. We also intend to commence a Phase 2b/3 clinical trial of BPS-804 in children with OI in 2018 in Europe. We intend to enroll approximately 150 patients for this trial, with fracture rate as the primary endpoint. We expect the results from this trial, if favorable, may be sufficient to validate our use of HRPqCT and support the submission of a CMA to the EMA for BPS-804 for the treatment of children with severe OI in the EU.</w:t>
      </w:r>
    </w:p>
    <w:p>
      <w:pPr>
        <w:spacing w:after="0" w:line="207" w:lineRule="exact"/>
        <w:rPr>
          <w:sz w:val="20"/>
          <w:szCs w:val="20"/>
          <w:color w:val="auto"/>
        </w:rPr>
      </w:pPr>
    </w:p>
    <w:p>
      <w:pPr>
        <w:ind w:left="380" w:right="140" w:firstLine="320"/>
        <w:spacing w:after="0" w:line="238" w:lineRule="auto"/>
        <w:rPr>
          <w:sz w:val="20"/>
          <w:szCs w:val="20"/>
          <w:color w:val="auto"/>
        </w:rPr>
      </w:pPr>
      <w:r>
        <w:rPr>
          <w:rFonts w:ascii="Arial" w:cs="Arial" w:eastAsia="Arial" w:hAnsi="Arial"/>
          <w:sz w:val="18"/>
          <w:szCs w:val="18"/>
          <w:color w:val="auto"/>
        </w:rPr>
        <w:t>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However, because of this uncertainty, the FDA has informed us that a risk/benefit assessment for sclerostin inhibitors cannot be completed at this time and has recommended that we do not submit our proposed pediatric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80"/>
        <w:spacing w:after="0" w:line="237" w:lineRule="auto"/>
        <w:rPr>
          <w:sz w:val="20"/>
          <w:szCs w:val="20"/>
          <w:color w:val="auto"/>
        </w:rPr>
      </w:pPr>
      <w:r>
        <w:rPr>
          <w:rFonts w:ascii="Arial" w:cs="Arial" w:eastAsia="Arial" w:hAnsi="Arial"/>
          <w:sz w:val="18"/>
          <w:szCs w:val="18"/>
          <w:color w:val="auto"/>
        </w:rPr>
        <w:t>protocol until the cardiovascular safety issue has been adequately addressed and favorably resolved. Given the undetermined risk/benefit assessment in adults, the FDA believes it is premature to conduct a study of sclerostin inhibitors in children. If this safety issue is resolved, we plan on submitting our proposed European Phase 2b/3 study for BPS-804 in children with severe OI to the FDA to expand the proposed trial into the United States. We believe the FDA’s position does not impact our ability to conduct our clinical development activities of BPS-804 in Europe for children with severe OI and our clinical development activities of BPS-804 in Europe and the United States for adults with OI.</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AZD-9668 for the Treatment of Severe Alpha-1-Antitrypsin Deficiency</w:t>
      </w:r>
    </w:p>
    <w:p>
      <w:pPr>
        <w:spacing w:after="0" w:line="85" w:lineRule="exact"/>
        <w:rPr>
          <w:sz w:val="20"/>
          <w:szCs w:val="20"/>
          <w:color w:val="auto"/>
        </w:rPr>
      </w:pPr>
    </w:p>
    <w:p>
      <w:pPr>
        <w:ind w:left="380" w:right="120" w:firstLine="320"/>
        <w:spacing w:after="0" w:line="237" w:lineRule="auto"/>
        <w:rPr>
          <w:sz w:val="20"/>
          <w:szCs w:val="20"/>
          <w:color w:val="auto"/>
        </w:rPr>
      </w:pPr>
      <w:r>
        <w:rPr>
          <w:rFonts w:ascii="Arial" w:cs="Arial" w:eastAsia="Arial" w:hAnsi="Arial"/>
          <w:sz w:val="18"/>
          <w:szCs w:val="18"/>
          <w:color w:val="auto"/>
        </w:rPr>
        <w:t>AZD-9668, or alvelestat, is a novel, oral small molecule we are developing for the treatment of severe AATD, a potentially life-threatening rare, genetic condition. There are an estimated 50,000 patients in North America and 60,000 patients in Europe with severe AATD. Treatment of AATD involves bronchodilators and inhaled corticosteroid medications or surgical options such as lung volume reduction surgery and lung transplantation. Intravenous augmentation therapy is available for AATD using a partially purified plasma preparation highly enriched for AATD. However, this therapy was approved by the FDA based on its biochemical efficacy but not based on clinical outcome data.</w:t>
      </w:r>
    </w:p>
    <w:p>
      <w:pPr>
        <w:spacing w:after="0" w:line="205" w:lineRule="exact"/>
        <w:rPr>
          <w:sz w:val="20"/>
          <w:szCs w:val="20"/>
          <w:color w:val="auto"/>
        </w:rPr>
      </w:pPr>
    </w:p>
    <w:p>
      <w:pPr>
        <w:ind w:left="380" w:right="200" w:firstLine="320"/>
        <w:spacing w:after="0" w:line="238" w:lineRule="auto"/>
        <w:rPr>
          <w:sz w:val="20"/>
          <w:szCs w:val="20"/>
          <w:color w:val="auto"/>
        </w:rPr>
      </w:pPr>
      <w:r>
        <w:rPr>
          <w:rFonts w:ascii="Arial" w:cs="Arial" w:eastAsia="Arial" w:hAnsi="Arial"/>
          <w:sz w:val="18"/>
          <w:szCs w:val="18"/>
          <w:color w:val="auto"/>
        </w:rPr>
        <w:t>AATD is caused by a lack of alpha-1 antitrypsin, or AAT, a protein that protects the lungs from enzymatic degradation. This degradation leads to severe debilitating diseases, including early-onset pulmonary emphysema, a disease that irreversibly destroys the tissues that support lung function. AZD-9668 is designed to inhibit neutrophil elastase, or NE, a neutrophil protease and a key enzyme involved in the destruction of lung tissue. We believe the inhibition of NE has the potential to protect AATD patients from further lung damage.</w:t>
      </w:r>
    </w:p>
    <w:p>
      <w:pPr>
        <w:spacing w:after="0" w:line="203"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Prior to our license of AZD-9668, AstraZeneca conducted 12 clinical trials involving 1,776 subjects. Although these trials were conducted in other indications, we believe the data demonstrated potential clinical benefit and biomarker evidence of treatment effect for AATD patients. In particular, we believe the results from two Phase 2 clinical trials conducted for the treatment of bronchiectasis and cystic fibrosis, or CF, are most relevant in assessing AZD-9668’s potential to treat severe AATD. AstraZeneca conducted a double-blind, placebo-controlled Phase 2 clinical trial in bronchiectasis in a total of 38 patients, 22 of whom were treated with AZD-9668. The results of this four-week trial showed a statistically significant improvement in the amount of air that can be forcibly exhaled in one second, or FEV1, a standard measure of exhalation, and a clinically meaningful improvement of slow vital capacity, which measures the volume of air on a slow exhale. We believe that bronchiectasis and AATD share common pathological features that support the potential for AZD-9668 to treat severe AATD. Additionally, we believe that data from the Phase 2 CF trial provides proof of concept for mechanistic effect and the use of a biomarker of lung degradation in diseases of high or unopposed NE, such as severe AATD.</w:t>
      </w:r>
    </w:p>
    <w:p>
      <w:pPr>
        <w:spacing w:after="0" w:line="206" w:lineRule="exact"/>
        <w:rPr>
          <w:sz w:val="20"/>
          <w:szCs w:val="20"/>
          <w:color w:val="auto"/>
        </w:rPr>
      </w:pPr>
    </w:p>
    <w:p>
      <w:pPr>
        <w:ind w:left="380" w:right="520" w:firstLine="320"/>
        <w:spacing w:after="0"/>
        <w:rPr>
          <w:sz w:val="20"/>
          <w:szCs w:val="20"/>
          <w:color w:val="auto"/>
        </w:rPr>
      </w:pPr>
      <w:r>
        <w:rPr>
          <w:rFonts w:ascii="Arial" w:cs="Arial" w:eastAsia="Arial" w:hAnsi="Arial"/>
          <w:sz w:val="18"/>
          <w:szCs w:val="18"/>
          <w:color w:val="auto"/>
        </w:rPr>
        <w:t>We intend to initiate a Phase 2 proof-of-concept clinical trial in patients with severe AATD in 2018. We intend to enroll approximately 150 patients. If the results are favorable, we intend to seek regulatory advice on the design of, and commence, a pivotal trial.</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BCT-197 for the Treatment of AECOPD</w:t>
      </w:r>
    </w:p>
    <w:p>
      <w:pPr>
        <w:spacing w:after="0" w:line="85" w:lineRule="exact"/>
        <w:rPr>
          <w:sz w:val="20"/>
          <w:szCs w:val="20"/>
          <w:color w:val="auto"/>
        </w:rPr>
      </w:pPr>
    </w:p>
    <w:p>
      <w:pPr>
        <w:ind w:left="380" w:right="40" w:firstLine="320"/>
        <w:spacing w:after="0" w:line="261" w:lineRule="auto"/>
        <w:rPr>
          <w:sz w:val="20"/>
          <w:szCs w:val="20"/>
          <w:color w:val="auto"/>
        </w:rPr>
      </w:pPr>
      <w:r>
        <w:rPr>
          <w:rFonts w:ascii="Arial" w:cs="Arial" w:eastAsia="Arial" w:hAnsi="Arial"/>
          <w:sz w:val="17"/>
          <w:szCs w:val="17"/>
          <w:color w:val="auto"/>
        </w:rPr>
        <w:t>BCT-197, or acumapimod, is a p38 MAP kinase inhibitor we are developing as an oral first-line acute therapy for patients with AECOPD. Chronic obstructive pulmonary disease, or COPD, is a non-fully-reversible, progressive lung disease in which inflammation plays a central role. There are an estimated 16 million people in the United States and 13 million people in Europe diagnosed with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47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6470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240"/>
        <w:spacing w:after="0" w:line="237" w:lineRule="auto"/>
        <w:rPr>
          <w:sz w:val="20"/>
          <w:szCs w:val="20"/>
          <w:color w:val="auto"/>
        </w:rPr>
      </w:pPr>
      <w:r>
        <w:rPr>
          <w:rFonts w:ascii="Arial" w:cs="Arial" w:eastAsia="Arial" w:hAnsi="Arial"/>
          <w:sz w:val="18"/>
          <w:szCs w:val="18"/>
          <w:color w:val="auto"/>
        </w:rPr>
        <w:t>COPD. Of all hospital admissions in the United States related to COPD, approximately 63% are for AECOPD patients. We believe BCT-197 offers a potential new treatment for controlling inflammation by targeting pathways that drive the pathological mechanism behind AECOPD. Since there are currently no approved therapies in the United States or the EU to treat AECOPD, we believe that there is significant medical need for a drug which is disease-modifying. We believe BCT-197 could potentially prevent AECOPD instead of just treating the symptoms and improve quality of life, slow the progression of the disease, and significantly reduce direct healthcare costs.</w:t>
      </w:r>
    </w:p>
    <w:p>
      <w:pPr>
        <w:spacing w:after="0" w:line="205" w:lineRule="exact"/>
        <w:rPr>
          <w:sz w:val="20"/>
          <w:szCs w:val="20"/>
          <w:color w:val="auto"/>
        </w:rPr>
      </w:pPr>
    </w:p>
    <w:p>
      <w:pPr>
        <w:ind w:left="380" w:firstLine="320"/>
        <w:spacing w:after="0"/>
        <w:rPr>
          <w:sz w:val="20"/>
          <w:szCs w:val="20"/>
          <w:color w:val="auto"/>
        </w:rPr>
      </w:pPr>
      <w:r>
        <w:rPr>
          <w:rFonts w:ascii="Arial" w:cs="Arial" w:eastAsia="Arial" w:hAnsi="Arial"/>
          <w:sz w:val="18"/>
          <w:szCs w:val="18"/>
          <w:color w:val="auto"/>
        </w:rPr>
        <w:t>Prior to our acquisition of BCT-197, Novartis conducted five clinical trials in 459 subjects, including a double-blind, Phase 2 clinical trial in AECOPD in Europe comparing BCT-197 to the steroid prednisolone and a placebo control. AECOPD patients receiving BCT-197 showed a statistically significant improvement in lung function at the highest dose.</w:t>
      </w:r>
    </w:p>
    <w:p>
      <w:pPr>
        <w:spacing w:after="0" w:line="203"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In December 2017, we reported top-line data from our completed Phase 2 dose-ranging clinical trial for BCT-197. The trial was conducted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Treatment with BCT-197 also showed a statistically significant reduction in the number of COPD exacerbations that required hospitalization. In addition, BCT-197 was observed to be well tolerated. Based on these results, we plan to enter into one or more strategic relationships with third parties for further clinical development and, if approved, commercialization, of BCT-197.</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BGS-649 for the Treatment of Hypogonadotropic Hypogonadism</w:t>
      </w:r>
    </w:p>
    <w:p>
      <w:pPr>
        <w:spacing w:after="0" w:line="85" w:lineRule="exact"/>
        <w:rPr>
          <w:sz w:val="20"/>
          <w:szCs w:val="20"/>
          <w:color w:val="auto"/>
        </w:rPr>
      </w:pPr>
    </w:p>
    <w:p>
      <w:pPr>
        <w:ind w:left="380" w:right="40" w:firstLine="320"/>
        <w:spacing w:after="0" w:line="248" w:lineRule="auto"/>
        <w:rPr>
          <w:sz w:val="20"/>
          <w:szCs w:val="20"/>
          <w:color w:val="auto"/>
        </w:rPr>
      </w:pPr>
      <w:r>
        <w:rPr>
          <w:rFonts w:ascii="Arial" w:cs="Arial" w:eastAsia="Arial" w:hAnsi="Arial"/>
          <w:sz w:val="17"/>
          <w:szCs w:val="17"/>
          <w:color w:val="auto"/>
        </w:rPr>
        <w:t>BGS-649, or leflutrozole, is a once-weekly oral therapy we are developing for the treatment of HH in obese men. HH is a clinical syndrome that results from inadequate levels of testosterone. Based on World Health Organization estimates and scientific data, we estimate there are approximately seven million cases of HH in obese men in the United States and approximately five million cases of</w:t>
      </w:r>
    </w:p>
    <w:p>
      <w:pPr>
        <w:spacing w:after="0" w:line="2" w:lineRule="exact"/>
        <w:rPr>
          <w:sz w:val="20"/>
          <w:szCs w:val="20"/>
          <w:color w:val="auto"/>
        </w:rPr>
      </w:pPr>
    </w:p>
    <w:p>
      <w:pPr>
        <w:ind w:left="380" w:right="80" w:firstLine="2"/>
        <w:spacing w:after="0" w:line="237" w:lineRule="auto"/>
        <w:tabs>
          <w:tab w:leader="none" w:pos="69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obese men in Europe. In these men, a decline in testosterone is exacerbated by high levels of the aromatase enzyme, which is present in fat tissue and leads to a reduction in testosterone. BGS-649 is designed to inhibit the aromatase enzyme and is being developed to restore normal levels of testosterone without causing excessively high testosterone levels or reducing the levels of luteinizing hormone, or LH, or follicular stimulating hormone, or FSH. Both FSH and LH play key roles in sperm formation and LH plays a key role in endogenous testosterone formation. In contrast to current therapies for HH, which involve the exogenous administration of testosterone and lead to further down regulation of LH and FSH, we believe that BGS-649, by preserving sperm formation through LH and FSH production, may present a benefit to patients.</w:t>
      </w:r>
    </w:p>
    <w:p>
      <w:pPr>
        <w:spacing w:after="0" w:line="203"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Prior to our acquisition of BGS-649, Novartis conducted seven clinical trials in 131 subjects, including a two-part Phase 2 proof-of-concept trial for HH in obese men in North America. The first part was open-label to evaluate the pharmacokinetics and pharmacodynamics of a range of doses of BGS-649 administered orally once a week in obese men. Consistent with the goal of the trial, BGS-649 treatment increased testosterone into the normal range in all patients. The second part was two-arm, randomized, placebo-controlled, double-blind and lasted 12-weeks, with a three-month follow-up. Testosterone increase was statistically significant in the BGS-649 group with no evidence of increased total testosterone levels beyond the upper limit of the normal range in any patient exposed to BGS-649. Both FSH and LH levels also increased in the BGS-649 group.</w:t>
      </w:r>
    </w:p>
    <w:p>
      <w:pPr>
        <w:spacing w:after="0" w:line="203" w:lineRule="exact"/>
        <w:rPr>
          <w:sz w:val="20"/>
          <w:szCs w:val="20"/>
          <w:color w:val="auto"/>
        </w:rPr>
      </w:pPr>
    </w:p>
    <w:p>
      <w:pPr>
        <w:ind w:left="380" w:right="320" w:firstLine="320"/>
        <w:spacing w:after="0" w:line="246" w:lineRule="auto"/>
        <w:rPr>
          <w:sz w:val="20"/>
          <w:szCs w:val="20"/>
          <w:color w:val="auto"/>
        </w:rPr>
      </w:pPr>
      <w:r>
        <w:rPr>
          <w:rFonts w:ascii="Arial" w:cs="Arial" w:eastAsia="Arial" w:hAnsi="Arial"/>
          <w:sz w:val="18"/>
          <w:szCs w:val="18"/>
          <w:color w:val="auto"/>
        </w:rPr>
        <w:t>In 2016, we commenced a randomized, placebo-controlled Phase 2b clinical trial of BGS-649 for the treatment of HH in obese men. We completed enrollment in this trial with 271 patients, and we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09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2095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560"/>
        <w:spacing w:after="0" w:line="246" w:lineRule="auto"/>
        <w:rPr>
          <w:sz w:val="20"/>
          <w:szCs w:val="20"/>
          <w:color w:val="auto"/>
        </w:rPr>
      </w:pPr>
      <w:r>
        <w:rPr>
          <w:rFonts w:ascii="Arial" w:cs="Arial" w:eastAsia="Arial" w:hAnsi="Arial"/>
          <w:sz w:val="18"/>
          <w:szCs w:val="18"/>
          <w:color w:val="auto"/>
        </w:rPr>
        <w:t>expect to report top-line data in the first quarter of 2018. If the results from the Phase 2b clinical trial are favorable, we intend to commence a Phase 3 clinical program of BGS-649 for the treatment of HH in obese men.</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17" w:lineRule="exact"/>
        <w:rPr>
          <w:sz w:val="20"/>
          <w:szCs w:val="20"/>
          <w:color w:val="auto"/>
        </w:rPr>
      </w:pPr>
    </w:p>
    <w:p>
      <w:pPr>
        <w:ind w:left="1100" w:right="8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commenced a Phase 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 of BPS-804 for the treatment of OI in adults in the United States and Europe. If the results from this trial are favorable and our use of HRPqCT as a biomarker for fracture is validated, we intend to submit a CMA to the EMA for the treatment of OI in adults in the EU. We also intend to commence a Phase 2b/3 clinical trial of BPS-804 for the treatment of OI in children in 2018 in Europe. We expect that the results from this trial, if favorable, will be sufficient to validate our use of HRPqCT and support the submission of a CMA to the EMA for BPS-804 for the treatment of children with severe OI in the EU. We intend to initiate a Phase 2 clinical trial of AZD-9668 for the treatment of severe AATD in 2018 and, if the results are favorable and pending regulatory feedback, continue to develop AZD-9668 toward approval and commercialization. We plan to establish our own sales and marketing organization in the United States and Europe for BPS-804 and AZD-9668 and any future rare disease product candidates.</w:t>
      </w:r>
    </w:p>
    <w:p>
      <w:pPr>
        <w:spacing w:after="0" w:line="12" w:lineRule="exact"/>
        <w:rPr>
          <w:rFonts w:ascii="MS PGothic" w:cs="MS PGothic" w:eastAsia="MS PGothic" w:hAnsi="MS PGothic"/>
          <w:sz w:val="25"/>
          <w:szCs w:val="25"/>
          <w:color w:val="auto"/>
          <w:vertAlign w:val="superscript"/>
        </w:rPr>
      </w:pPr>
    </w:p>
    <w:p>
      <w:pPr>
        <w:ind w:left="1100" w:right="4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specialty disease product candidates and explore strategic relationships with third parties for further clinical development and/or commercialization. </w:t>
      </w:r>
      <w:r>
        <w:rPr>
          <w:rFonts w:ascii="Arial" w:cs="Arial" w:eastAsia="Arial" w:hAnsi="Arial"/>
          <w:sz w:val="18"/>
          <w:szCs w:val="18"/>
          <w:color w:val="auto"/>
        </w:rPr>
        <w:t>Based on the top-line results from our Phase 2 clinical 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BCT-197, we plan to enter into one or more strategic relationships with third parties for BCT-197 to undertake the next phase of clinical development and, if approved, commercialization. We also expect to report top-line Phase 2b data for BGS-649 for the treatment of HH in the first quarter of 2018. If these results are favorable, we intend to commence a Phase 3 clinical program for BGS-649 and plan to enter into strategic relationships with third parties for commercialization. We may also enter into strategic relationships with third parties to complete the clinical development of BGS-649.</w:t>
      </w:r>
    </w:p>
    <w:p>
      <w:pPr>
        <w:spacing w:after="0" w:line="7" w:lineRule="exact"/>
        <w:rPr>
          <w:rFonts w:ascii="MS PGothic" w:cs="MS PGothic" w:eastAsia="MS PGothic" w:hAnsi="MS PGothic"/>
          <w:sz w:val="25"/>
          <w:szCs w:val="25"/>
          <w:color w:val="auto"/>
          <w:vertAlign w:val="superscript"/>
        </w:rPr>
      </w:pPr>
    </w:p>
    <w:p>
      <w:pPr>
        <w:ind w:left="110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as evidenced by the acquisition of our four clinical-stage product candidates. We intend to leverage these relationships to grow our pipeline with a focus on rare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indication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10" w:lineRule="exact"/>
        <w:rPr>
          <w:rFonts w:ascii="MS PGothic" w:cs="MS PGothic" w:eastAsia="MS PGothic" w:hAnsi="MS PGothic"/>
          <w:sz w:val="25"/>
          <w:szCs w:val="25"/>
          <w:color w:val="auto"/>
          <w:vertAlign w:val="superscript"/>
        </w:rPr>
      </w:pPr>
    </w:p>
    <w:p>
      <w:pPr>
        <w:ind w:left="110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and a track record of structuring transactions that enable us to leverage our core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06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7067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were re-registered as a public limited company with the legal name Mereo BioPharma Group plc. Since June 9, 2016, our ordinary shares have traded on AIM under the symbol “MPH.”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Cogency Global Inc.</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85" w:lineRule="exact"/>
        <w:rPr>
          <w:sz w:val="20"/>
          <w:szCs w:val="20"/>
          <w:color w:val="auto"/>
        </w:rPr>
      </w:pPr>
    </w:p>
    <w:p>
      <w:pPr>
        <w:jc w:val="both"/>
        <w:ind w:left="380" w:right="360" w:firstLine="320"/>
        <w:spacing w:after="0" w:line="261"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ADSs or ordinary shares. Among these important risks are the following:</w:t>
      </w:r>
    </w:p>
    <w:p>
      <w:pPr>
        <w:spacing w:after="0" w:line="92" w:lineRule="exact"/>
        <w:rPr>
          <w:sz w:val="20"/>
          <w:szCs w:val="20"/>
          <w:color w:val="auto"/>
        </w:rPr>
      </w:pPr>
    </w:p>
    <w:p>
      <w:pPr>
        <w:ind w:left="1100" w:right="20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successful in our efforts to identify and acquire additional product candidates.</w:t>
      </w:r>
    </w:p>
    <w:p>
      <w:pPr>
        <w:spacing w:after="0" w:line="26" w:lineRule="exact"/>
        <w:rPr>
          <w:rFonts w:ascii="MS PGothic" w:cs="MS PGothic" w:eastAsia="MS PGothic" w:hAnsi="MS PGothic"/>
          <w:sz w:val="25"/>
          <w:szCs w:val="25"/>
          <w:color w:val="auto"/>
          <w:vertAlign w:val="superscript"/>
        </w:rPr>
      </w:pPr>
    </w:p>
    <w:p>
      <w:pPr>
        <w:ind w:left="1100" w:right="2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need additional funding to complete the development and commercialization of our product candidates, if approved, and to acquire additional product candidates, and if we are unable to raise capital when needed, we could be forced to delay, reduce, or eliminate our product development programs or future commercialization efforts.</w:t>
      </w:r>
    </w:p>
    <w:p>
      <w:pPr>
        <w:spacing w:after="0" w:line="28" w:lineRule="exact"/>
        <w:rPr>
          <w:rFonts w:ascii="MS PGothic" w:cs="MS PGothic" w:eastAsia="MS PGothic" w:hAnsi="MS PGothic"/>
          <w:sz w:val="25"/>
          <w:szCs w:val="25"/>
          <w:color w:val="auto"/>
          <w:vertAlign w:val="superscript"/>
        </w:rPr>
      </w:pPr>
    </w:p>
    <w:p>
      <w:pPr>
        <w:ind w:left="1100" w:right="640" w:hanging="407"/>
        <w:spacing w:after="0" w:line="229" w:lineRule="auto"/>
        <w:tabs>
          <w:tab w:leader="none" w:pos="1100" w:val="left"/>
        </w:tabs>
        <w:numPr>
          <w:ilvl w:val="0"/>
          <w:numId w:val="6"/>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depend heavily on the success of our product candidates, and we cannot give any assurance that our product candidates will receive regulatory approval for any indication, which is necessary before they can be commercialized.</w:t>
      </w:r>
    </w:p>
    <w:p>
      <w:pPr>
        <w:spacing w:after="0" w:line="27" w:lineRule="exact"/>
        <w:rPr>
          <w:rFonts w:ascii="MS PGothic" w:cs="MS PGothic" w:eastAsia="MS PGothic" w:hAnsi="MS PGothic"/>
          <w:sz w:val="24"/>
          <w:szCs w:val="24"/>
          <w:color w:val="auto"/>
          <w:vertAlign w:val="superscript"/>
        </w:rPr>
      </w:pPr>
    </w:p>
    <w:p>
      <w:pPr>
        <w:jc w:val="both"/>
        <w:ind w:left="1100" w:right="200" w:hanging="407"/>
        <w:spacing w:after="0" w:line="226"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are, and will continue to be, dependent on pre-clinical and clinical trials conducted prior to our acquisition of a product candidate having been conducted in compliance with all applicable regulatory requirements and clinical standards and the results having been accurately reported, including for trials conducted by Novartis and AstraZeneca for our current product candidates.</w:t>
      </w:r>
    </w:p>
    <w:p>
      <w:pPr>
        <w:spacing w:after="0" w:line="27" w:lineRule="exact"/>
        <w:rPr>
          <w:rFonts w:ascii="MS PGothic" w:cs="MS PGothic" w:eastAsia="MS PGothic" w:hAnsi="MS PGothic"/>
          <w:sz w:val="25"/>
          <w:szCs w:val="25"/>
          <w:color w:val="auto"/>
          <w:vertAlign w:val="superscript"/>
        </w:rPr>
      </w:pPr>
    </w:p>
    <w:p>
      <w:pPr>
        <w:ind w:left="1100" w:right="16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Undesirable side effects that may be caused by BPS-804, AZD-9668, BCT-197, and BGS-649 could cause us or regulatory authorities to interrupt, delay or halt clinical trials, and could result in a more restrictive label or the delay or denial of regulatory approval by the FDA, the EMA, or other comparable foreign authorities.</w:t>
      </w:r>
    </w:p>
    <w:p>
      <w:pPr>
        <w:spacing w:after="0" w:line="28" w:lineRule="exact"/>
        <w:rPr>
          <w:rFonts w:ascii="MS PGothic" w:cs="MS PGothic" w:eastAsia="MS PGothic" w:hAnsi="MS PGothic"/>
          <w:sz w:val="25"/>
          <w:szCs w:val="25"/>
          <w:color w:val="auto"/>
          <w:vertAlign w:val="superscript"/>
        </w:rPr>
      </w:pPr>
    </w:p>
    <w:p>
      <w:pPr>
        <w:ind w:left="1100" w:right="28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rely, and expect to continue to rely, on third parties to conduct our clinical trials and to manufacture our product candidates for pre-clinical and clinical testing, and those third parties may not perform satisfactorily, which could delay our product development activities.</w:t>
      </w:r>
    </w:p>
    <w:p>
      <w:pPr>
        <w:spacing w:after="0" w:line="28" w:lineRule="exact"/>
        <w:rPr>
          <w:rFonts w:ascii="MS PGothic" w:cs="MS PGothic" w:eastAsia="MS PGothic" w:hAnsi="MS PGothic"/>
          <w:sz w:val="25"/>
          <w:szCs w:val="25"/>
          <w:color w:val="auto"/>
          <w:vertAlign w:val="superscript"/>
        </w:rPr>
      </w:pPr>
    </w:p>
    <w:p>
      <w:pPr>
        <w:ind w:left="1100" w:right="18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adequately protect our technology, or to secure and maintain freedom to operate or issued patents protecting our product candidates, others could preclude us from commercializing our technology and products or compete against us more directly.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face significant competition from other biotechnology and pharmaceutical companies.</w:t>
      </w:r>
    </w:p>
    <w:p>
      <w:pPr>
        <w:spacing w:after="0" w:line="26" w:lineRule="exact"/>
        <w:rPr>
          <w:rFonts w:ascii="MS PGothic" w:cs="MS PGothic" w:eastAsia="MS PGothic" w:hAnsi="MS PGothic"/>
          <w:sz w:val="25"/>
          <w:szCs w:val="25"/>
          <w:color w:val="auto"/>
          <w:vertAlign w:val="superscript"/>
        </w:rPr>
      </w:pPr>
    </w:p>
    <w:p>
      <w:pPr>
        <w:ind w:left="1100" w:right="24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likely be classified as a passive foreign investment company in the current taxable year and may be classified as a passive foreign investment company in any future taxable year, which may result in adverse U.S. federal income tax consequences to U.S. holders of our ADSs or ordinary shares.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18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44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a foreign private issuer, we are exempt from a number of rules under the U.S. securities laws and Nasdaq corporate governance rules and are permitted to file less information with the SEC than U.S. companies, which may limit the information available to holders of our ADSs and ordinary shares.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85" w:lineRule="exact"/>
        <w:rPr>
          <w:sz w:val="20"/>
          <w:szCs w:val="20"/>
          <w:color w:val="auto"/>
        </w:rPr>
      </w:pPr>
    </w:p>
    <w:p>
      <w:pPr>
        <w:jc w:val="both"/>
        <w:ind w:left="380" w:right="180" w:firstLine="32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an emerging growth company we may take advantage of certain exemptions from various reporting requirements that are applicable to other publicly traded entities that are not emerging growth companies. These exemptions include:</w:t>
      </w:r>
    </w:p>
    <w:p>
      <w:pPr>
        <w:spacing w:after="0" w:line="230" w:lineRule="exact"/>
        <w:rPr>
          <w:sz w:val="20"/>
          <w:szCs w:val="20"/>
          <w:color w:val="auto"/>
        </w:rPr>
      </w:pPr>
    </w:p>
    <w:p>
      <w:pPr>
        <w:ind w:left="1100" w:right="10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1"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00" w:right="40" w:hanging="407"/>
        <w:spacing w:after="0" w:line="223"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00" w:right="28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00" w:right="520" w:hanging="407"/>
        <w:spacing w:after="0" w:line="223"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80" w:right="300" w:firstLine="320"/>
        <w:spacing w:after="0" w:line="238"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2023; (iii) the date that we become a “large accelerated filer” as defined in Rule 12b-2 under the Exchange Act, which would occur if the market value of our common equity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203" w:lineRule="exact"/>
        <w:rPr>
          <w:sz w:val="20"/>
          <w:szCs w:val="20"/>
          <w:color w:val="auto"/>
        </w:rPr>
      </w:pPr>
    </w:p>
    <w:p>
      <w:pPr>
        <w:ind w:left="380" w:right="20" w:firstLine="320"/>
        <w:spacing w:after="0" w:line="246" w:lineRule="auto"/>
        <w:rPr>
          <w:sz w:val="20"/>
          <w:szCs w:val="20"/>
          <w:color w:val="auto"/>
        </w:rPr>
      </w:pPr>
      <w:r>
        <w:rPr>
          <w:rFonts w:ascii="Arial" w:cs="Arial" w:eastAsia="Arial" w:hAnsi="Arial"/>
          <w:sz w:val="18"/>
          <w:szCs w:val="18"/>
          <w:color w:val="auto"/>
        </w:rPr>
        <w:t>As a result, we do not know if some investors will find our ADSs or ordinary shares less attractive. The result may be a less active trading market for our ADSs or ordinary shares, and the price of our ADSs or ordinary shares may become more volatile.</w:t>
      </w:r>
    </w:p>
    <w:p>
      <w:pPr>
        <w:spacing w:after="0" w:line="197"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We are choosing to irrevocably opt out of this extended transition period and, as a result, we will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02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26028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85"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Upon the completion of the U.S.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29" w:lineRule="exact"/>
        <w:rPr>
          <w:sz w:val="20"/>
          <w:szCs w:val="20"/>
          <w:color w:val="auto"/>
        </w:rPr>
      </w:pPr>
    </w:p>
    <w:p>
      <w:pPr>
        <w:ind w:left="1100" w:right="40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00" w:right="30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00" w:right="16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80" w:right="360" w:firstLine="320"/>
        <w:spacing w:after="0" w:line="239"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680" w:type="dxa"/>
            <w:vAlign w:val="bottom"/>
            <w:tcBorders>
              <w:top w:val="single" w:sz="8" w:color="auto"/>
              <w:left w:val="single" w:sz="8" w:color="auto"/>
            </w:tcBorders>
          </w:tcPr>
          <w:p>
            <w:pPr>
              <w:spacing w:after="0"/>
              <w:rPr>
                <w:sz w:val="24"/>
                <w:szCs w:val="24"/>
                <w:color w:val="auto"/>
              </w:rPr>
            </w:pPr>
          </w:p>
        </w:tc>
        <w:tc>
          <w:tcPr>
            <w:tcW w:w="136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w w:val="97"/>
              </w:rPr>
              <w:t>The Offering</w:t>
            </w:r>
          </w:p>
        </w:tc>
        <w:tc>
          <w:tcPr>
            <w:tcW w:w="10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000" w:type="dxa"/>
            <w:vAlign w:val="bottom"/>
            <w:tcBorders>
              <w:top w:val="single" w:sz="8" w:color="auto"/>
              <w:right w:val="single" w:sz="8" w:color="auto"/>
            </w:tcBorders>
          </w:tcPr>
          <w:p>
            <w:pPr>
              <w:spacing w:after="0"/>
              <w:rPr>
                <w:sz w:val="24"/>
                <w:szCs w:val="24"/>
                <w:color w:val="auto"/>
              </w:rPr>
            </w:pPr>
          </w:p>
        </w:tc>
      </w:tr>
      <w:tr>
        <w:trPr>
          <w:trHeight w:val="553"/>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Global offering</w:t>
            </w:r>
          </w:p>
        </w:tc>
        <w:tc>
          <w:tcPr>
            <w:tcW w:w="580" w:type="dxa"/>
            <w:vAlign w:val="bottom"/>
          </w:tcPr>
          <w:p>
            <w:pPr>
              <w:spacing w:after="0"/>
              <w:rPr>
                <w:sz w:val="24"/>
                <w:szCs w:val="24"/>
                <w:color w:val="auto"/>
              </w:rPr>
            </w:pPr>
          </w:p>
        </w:tc>
        <w:tc>
          <w:tcPr>
            <w:tcW w:w="578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ordinary shares offered by us, consisting of ordinary shares in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form of ADSs offered in the U.S. offering and ordinary shares offered in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European private placement. The closing of each of the U.S. offering and</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the European private placement is conditioned upon the other. The total</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number of ordinary shares in the U.S. offering and European private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placement is subject to reallocation between these offerings as permitted</w:t>
            </w:r>
          </w:p>
        </w:tc>
      </w:tr>
      <w:tr>
        <w:trPr>
          <w:trHeight w:val="217"/>
        </w:trPr>
        <w:tc>
          <w:tcPr>
            <w:tcW w:w="4680" w:type="dxa"/>
            <w:vAlign w:val="bottom"/>
            <w:tcBorders>
              <w:left w:val="single" w:sz="8" w:color="auto"/>
            </w:tcBorders>
          </w:tcPr>
          <w:p>
            <w:pPr>
              <w:spacing w:after="0"/>
              <w:rPr>
                <w:sz w:val="18"/>
                <w:szCs w:val="18"/>
                <w:color w:val="auto"/>
              </w:rPr>
            </w:pPr>
          </w:p>
        </w:tc>
        <w:tc>
          <w:tcPr>
            <w:tcW w:w="4360" w:type="dxa"/>
            <w:vAlign w:val="bottom"/>
            <w:gridSpan w:val="4"/>
          </w:tcPr>
          <w:p>
            <w:pPr>
              <w:ind w:left="80"/>
              <w:spacing w:after="0"/>
              <w:rPr>
                <w:sz w:val="20"/>
                <w:szCs w:val="20"/>
                <w:color w:val="auto"/>
              </w:rPr>
            </w:pPr>
            <w:r>
              <w:rPr>
                <w:rFonts w:ascii="Arial" w:cs="Arial" w:eastAsia="Arial" w:hAnsi="Arial"/>
                <w:sz w:val="18"/>
                <w:szCs w:val="18"/>
                <w:color w:val="auto"/>
              </w:rPr>
              <w:t>under applicable laws and regulations.</w:t>
            </w:r>
          </w:p>
        </w:tc>
        <w:tc>
          <w:tcPr>
            <w:tcW w:w="2000" w:type="dxa"/>
            <w:vAlign w:val="bottom"/>
            <w:tcBorders>
              <w:right w:val="single" w:sz="8" w:color="auto"/>
            </w:tcBorders>
          </w:tcPr>
          <w:p>
            <w:pPr>
              <w:spacing w:after="0"/>
              <w:rPr>
                <w:sz w:val="18"/>
                <w:szCs w:val="18"/>
                <w:color w:val="auto"/>
              </w:rPr>
            </w:pPr>
          </w:p>
        </w:tc>
      </w:tr>
      <w:tr>
        <w:trPr>
          <w:trHeight w:val="44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offering</w:t>
            </w:r>
          </w:p>
        </w:tc>
        <w:tc>
          <w:tcPr>
            <w:tcW w:w="5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ADSs</w:t>
            </w:r>
          </w:p>
        </w:tc>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r>
      <w:tr>
        <w:trPr>
          <w:trHeight w:val="459"/>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European private placement</w:t>
            </w:r>
          </w:p>
        </w:tc>
        <w:tc>
          <w:tcPr>
            <w:tcW w:w="58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ordinary shares</w:t>
            </w:r>
          </w:p>
        </w:tc>
        <w:tc>
          <w:tcPr>
            <w:tcW w:w="198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r>
      <w:tr>
        <w:trPr>
          <w:trHeight w:val="445"/>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Ordinary shares to be outstanding immediately after the</w:t>
            </w:r>
          </w:p>
        </w:tc>
        <w:tc>
          <w:tcPr>
            <w:tcW w:w="58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ordinary shares (or</w:t>
            </w:r>
          </w:p>
        </w:tc>
        <w:tc>
          <w:tcPr>
            <w:tcW w:w="3980" w:type="dxa"/>
            <w:vAlign w:val="bottom"/>
            <w:tcBorders>
              <w:right w:val="single" w:sz="8" w:color="auto"/>
            </w:tcBorders>
            <w:gridSpan w:val="2"/>
          </w:tcPr>
          <w:p>
            <w:pPr>
              <w:ind w:left="560"/>
              <w:spacing w:after="0"/>
              <w:rPr>
                <w:sz w:val="20"/>
                <w:szCs w:val="20"/>
                <w:color w:val="auto"/>
              </w:rPr>
            </w:pPr>
            <w:r>
              <w:rPr>
                <w:rFonts w:ascii="Arial" w:cs="Arial" w:eastAsia="Arial" w:hAnsi="Arial"/>
                <w:sz w:val="18"/>
                <w:szCs w:val="18"/>
                <w:color w:val="auto"/>
              </w:rPr>
              <w:t>ordinary shares if the underwriters</w:t>
            </w:r>
          </w:p>
        </w:tc>
      </w:tr>
      <w:tr>
        <w:trPr>
          <w:trHeight w:val="203"/>
        </w:trPr>
        <w:tc>
          <w:tcPr>
            <w:tcW w:w="4680" w:type="dxa"/>
            <w:vAlign w:val="bottom"/>
            <w:tcBorders>
              <w:left w:val="single" w:sz="8" w:color="auto"/>
            </w:tcBorders>
          </w:tcPr>
          <w:p>
            <w:pPr>
              <w:ind w:left="280"/>
              <w:spacing w:after="0" w:line="202" w:lineRule="exact"/>
              <w:rPr>
                <w:sz w:val="20"/>
                <w:szCs w:val="20"/>
                <w:color w:val="auto"/>
              </w:rPr>
            </w:pPr>
            <w:r>
              <w:rPr>
                <w:rFonts w:ascii="Arial" w:cs="Arial" w:eastAsia="Arial" w:hAnsi="Arial"/>
                <w:sz w:val="18"/>
                <w:szCs w:val="18"/>
                <w:color w:val="auto"/>
              </w:rPr>
              <w:t>global offering</w:t>
            </w:r>
          </w:p>
        </w:tc>
        <w:tc>
          <w:tcPr>
            <w:tcW w:w="436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exercise in full their option to purchase an additional</w:t>
            </w:r>
          </w:p>
        </w:tc>
        <w:tc>
          <w:tcPr>
            <w:tcW w:w="2000" w:type="dxa"/>
            <w:vAlign w:val="bottom"/>
            <w:tcBorders>
              <w:right w:val="single" w:sz="8" w:color="auto"/>
            </w:tcBorders>
          </w:tcPr>
          <w:p>
            <w:pPr>
              <w:ind w:left="560"/>
              <w:spacing w:after="0" w:line="202" w:lineRule="exact"/>
              <w:rPr>
                <w:sz w:val="20"/>
                <w:szCs w:val="20"/>
                <w:color w:val="auto"/>
              </w:rPr>
            </w:pPr>
            <w:r>
              <w:rPr>
                <w:rFonts w:ascii="Arial" w:cs="Arial" w:eastAsia="Arial" w:hAnsi="Arial"/>
                <w:sz w:val="18"/>
                <w:szCs w:val="18"/>
                <w:color w:val="auto"/>
              </w:rPr>
              <w:t>ADSs),</w:t>
            </w:r>
          </w:p>
        </w:tc>
      </w:tr>
      <w:tr>
        <w:trPr>
          <w:trHeight w:val="217"/>
        </w:trPr>
        <w:tc>
          <w:tcPr>
            <w:tcW w:w="4680" w:type="dxa"/>
            <w:vAlign w:val="bottom"/>
            <w:tcBorders>
              <w:left w:val="single" w:sz="8" w:color="auto"/>
            </w:tcBorders>
          </w:tcPr>
          <w:p>
            <w:pPr>
              <w:spacing w:after="0"/>
              <w:rPr>
                <w:sz w:val="18"/>
                <w:szCs w:val="18"/>
                <w:color w:val="auto"/>
              </w:rPr>
            </w:pPr>
          </w:p>
        </w:tc>
        <w:tc>
          <w:tcPr>
            <w:tcW w:w="4360" w:type="dxa"/>
            <w:vAlign w:val="bottom"/>
            <w:gridSpan w:val="4"/>
          </w:tcPr>
          <w:p>
            <w:pPr>
              <w:ind w:left="80"/>
              <w:spacing w:after="0"/>
              <w:rPr>
                <w:sz w:val="20"/>
                <w:szCs w:val="20"/>
                <w:color w:val="auto"/>
              </w:rPr>
            </w:pPr>
            <w:r>
              <w:rPr>
                <w:rFonts w:ascii="Arial" w:cs="Arial" w:eastAsia="Arial" w:hAnsi="Arial"/>
                <w:sz w:val="18"/>
                <w:szCs w:val="18"/>
                <w:color w:val="auto"/>
              </w:rPr>
              <w:t>including ordinary shares in the form of ADSs</w:t>
            </w:r>
          </w:p>
        </w:tc>
        <w:tc>
          <w:tcPr>
            <w:tcW w:w="2000" w:type="dxa"/>
            <w:vAlign w:val="bottom"/>
            <w:tcBorders>
              <w:right w:val="single" w:sz="8" w:color="auto"/>
            </w:tcBorders>
          </w:tcPr>
          <w:p>
            <w:pPr>
              <w:spacing w:after="0"/>
              <w:rPr>
                <w:sz w:val="18"/>
                <w:szCs w:val="18"/>
                <w:color w:val="auto"/>
              </w:rPr>
            </w:pPr>
          </w:p>
        </w:tc>
      </w:tr>
      <w:tr>
        <w:trPr>
          <w:trHeight w:val="431"/>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Underwriters’ option to purchase additional ADSs in the</w:t>
            </w:r>
          </w:p>
        </w:tc>
        <w:tc>
          <w:tcPr>
            <w:tcW w:w="580" w:type="dxa"/>
            <w:vAlign w:val="bottom"/>
          </w:tcPr>
          <w:p>
            <w:pPr>
              <w:spacing w:after="0"/>
              <w:rPr>
                <w:sz w:val="24"/>
                <w:szCs w:val="24"/>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ADSs</w:t>
            </w:r>
          </w:p>
        </w:tc>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r>
      <w:tr>
        <w:trPr>
          <w:trHeight w:val="217"/>
        </w:trPr>
        <w:tc>
          <w:tcPr>
            <w:tcW w:w="468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U.S. offering</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r>
      <w:tr>
        <w:trPr>
          <w:trHeight w:val="445"/>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Offering price</w:t>
            </w:r>
          </w:p>
        </w:tc>
        <w:tc>
          <w:tcPr>
            <w:tcW w:w="580" w:type="dxa"/>
            <w:vAlign w:val="bottom"/>
          </w:tcPr>
          <w:p>
            <w:pPr>
              <w:ind w:left="80"/>
              <w:spacing w:after="0"/>
              <w:rPr>
                <w:sz w:val="20"/>
                <w:szCs w:val="20"/>
                <w:color w:val="auto"/>
              </w:rPr>
            </w:pPr>
            <w:r>
              <w:rPr>
                <w:rFonts w:ascii="Arial" w:cs="Arial" w:eastAsia="Arial" w:hAnsi="Arial"/>
                <w:sz w:val="18"/>
                <w:szCs w:val="18"/>
                <w:color w:val="auto"/>
              </w:rPr>
              <w:t>On</w:t>
            </w:r>
          </w:p>
        </w:tc>
        <w:tc>
          <w:tcPr>
            <w:tcW w:w="5780" w:type="dxa"/>
            <w:vAlign w:val="bottom"/>
            <w:tcBorders>
              <w:right w:val="single" w:sz="8" w:color="auto"/>
            </w:tcBorders>
            <w:gridSpan w:val="4"/>
          </w:tcPr>
          <w:p>
            <w:pPr>
              <w:ind w:left="600"/>
              <w:spacing w:after="0"/>
              <w:rPr>
                <w:sz w:val="20"/>
                <w:szCs w:val="20"/>
                <w:color w:val="auto"/>
              </w:rPr>
            </w:pPr>
            <w:r>
              <w:rPr>
                <w:rFonts w:ascii="Arial" w:cs="Arial" w:eastAsia="Arial" w:hAnsi="Arial"/>
                <w:sz w:val="18"/>
                <w:szCs w:val="18"/>
                <w:color w:val="auto"/>
              </w:rPr>
              <w:t>, 2018, the last reported sale price of our ordinary shares on</w:t>
            </w:r>
          </w:p>
        </w:tc>
      </w:tr>
      <w:tr>
        <w:trPr>
          <w:trHeight w:val="203"/>
        </w:trPr>
        <w:tc>
          <w:tcPr>
            <w:tcW w:w="4680" w:type="dxa"/>
            <w:vAlign w:val="bottom"/>
            <w:tcBorders>
              <w:left w:val="single" w:sz="8" w:color="auto"/>
            </w:tcBorders>
          </w:tcPr>
          <w:p>
            <w:pPr>
              <w:spacing w:after="0"/>
              <w:rPr>
                <w:sz w:val="17"/>
                <w:szCs w:val="17"/>
                <w:color w:val="auto"/>
              </w:rPr>
            </w:pPr>
          </w:p>
        </w:tc>
        <w:tc>
          <w:tcPr>
            <w:tcW w:w="13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AIM was £</w:t>
            </w:r>
          </w:p>
        </w:tc>
        <w:tc>
          <w:tcPr>
            <w:tcW w:w="3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per ordinary share (equivalent to $</w:t>
            </w:r>
          </w:p>
        </w:tc>
        <w:tc>
          <w:tcPr>
            <w:tcW w:w="200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per ADS). The initial</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public offering price for the ADSs will be determined by negotiations</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between us and the representatives of the underwriters in the offering, and</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the last reported sale price may not be indicative of the initial offering price.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For a discussion of the factors considered in determining the initial public</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offering price of our ADSs in the U.S. offering and the price of our ordinary</w:t>
            </w:r>
          </w:p>
        </w:tc>
      </w:tr>
      <w:tr>
        <w:trPr>
          <w:trHeight w:val="217"/>
        </w:trPr>
        <w:tc>
          <w:tcPr>
            <w:tcW w:w="4680" w:type="dxa"/>
            <w:vAlign w:val="bottom"/>
            <w:tcBorders>
              <w:left w:val="single" w:sz="8" w:color="auto"/>
            </w:tcBorders>
          </w:tcPr>
          <w:p>
            <w:pPr>
              <w:spacing w:after="0"/>
              <w:rPr>
                <w:sz w:val="18"/>
                <w:szCs w:val="18"/>
                <w:color w:val="auto"/>
              </w:rPr>
            </w:pPr>
          </w:p>
        </w:tc>
        <w:tc>
          <w:tcPr>
            <w:tcW w:w="63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shares in the European private placement, see “Underwriting”.</w:t>
            </w:r>
          </w:p>
        </w:tc>
      </w:tr>
      <w:tr>
        <w:trPr>
          <w:trHeight w:val="431"/>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American Depositary Shares</w:t>
            </w: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Each ADS represents</w:t>
            </w:r>
          </w:p>
        </w:tc>
        <w:tc>
          <w:tcPr>
            <w:tcW w:w="39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ordinary shares, nominal value £0.003 per</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ordinary share. As an ADS holder, you will not be treated as one of our</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shareholders and you will not have shareholder rights. You will have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rights of an ADS holder or beneficial owner of ADSs as provided in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deposit agreement among us, the depositary, and holders and beneficial</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owners of ADSs from time to time. To better understand the terms of our</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ADSs, see “Description of American Depositary Shares.” We also</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encourage you to read the deposit agreement, the form of which is filed as</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an exhibit to the registration statement of which this prospectus forms a</w:t>
            </w:r>
          </w:p>
        </w:tc>
      </w:tr>
      <w:tr>
        <w:trPr>
          <w:trHeight w:val="217"/>
        </w:trPr>
        <w:tc>
          <w:tcPr>
            <w:tcW w:w="4680" w:type="dxa"/>
            <w:vAlign w:val="bottom"/>
            <w:tcBorders>
              <w:left w:val="single" w:sz="8" w:color="auto"/>
            </w:tcBorders>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part.</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r>
      <w:tr>
        <w:trPr>
          <w:trHeight w:val="44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Depositary</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Citibank, N.A.</w:t>
            </w:r>
          </w:p>
        </w:tc>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r>
      <w:tr>
        <w:trPr>
          <w:trHeight w:val="445"/>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3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We estimate that the net proceeds to us from the global offering will be</w:t>
            </w:r>
          </w:p>
        </w:tc>
      </w:tr>
      <w:tr>
        <w:trPr>
          <w:trHeight w:val="217"/>
        </w:trPr>
        <w:tc>
          <w:tcPr>
            <w:tcW w:w="4680" w:type="dxa"/>
            <w:vAlign w:val="bottom"/>
            <w:tcBorders>
              <w:left w:val="single" w:sz="8" w:color="auto"/>
            </w:tcBorders>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9"/>
              </w:rPr>
              <w:t>approximately $</w:t>
            </w:r>
          </w:p>
        </w:tc>
        <w:tc>
          <w:tcPr>
            <w:tcW w:w="3000" w:type="dxa"/>
            <w:vAlign w:val="bottom"/>
            <w:gridSpan w:val="2"/>
          </w:tcPr>
          <w:p>
            <w:pPr>
              <w:ind w:left="400"/>
              <w:spacing w:after="0"/>
              <w:rPr>
                <w:sz w:val="20"/>
                <w:szCs w:val="20"/>
                <w:color w:val="auto"/>
              </w:rPr>
            </w:pPr>
            <w:r>
              <w:rPr>
                <w:rFonts w:ascii="Arial" w:cs="Arial" w:eastAsia="Arial" w:hAnsi="Arial"/>
                <w:sz w:val="18"/>
                <w:szCs w:val="18"/>
                <w:color w:val="auto"/>
              </w:rPr>
              <w:t>million (or</w:t>
            </w:r>
          </w:p>
        </w:tc>
        <w:tc>
          <w:tcPr>
            <w:tcW w:w="2000" w:type="dxa"/>
            <w:vAlign w:val="bottom"/>
            <w:tcBorders>
              <w:right w:val="single" w:sz="8" w:color="auto"/>
            </w:tcBorders>
          </w:tcPr>
          <w:p>
            <w:pPr>
              <w:spacing w:after="0"/>
              <w:rPr>
                <w:sz w:val="18"/>
                <w:szCs w:val="18"/>
                <w:color w:val="auto"/>
              </w:rPr>
            </w:pPr>
          </w:p>
        </w:tc>
      </w:tr>
      <w:tr>
        <w:trPr>
          <w:trHeight w:val="226"/>
        </w:trPr>
        <w:tc>
          <w:tcPr>
            <w:tcW w:w="468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spacing w:after="0"/>
              <w:rPr>
                <w:sz w:val="19"/>
                <w:szCs w:val="19"/>
                <w:color w:val="auto"/>
              </w:rPr>
            </w:pPr>
          </w:p>
        </w:tc>
      </w:tr>
      <w:tr>
        <w:trPr>
          <w:trHeight w:val="604"/>
        </w:trPr>
        <w:tc>
          <w:tcPr>
            <w:tcW w:w="4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rPr>
              <w:t>9</w:t>
            </w:r>
          </w:p>
        </w:tc>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72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37273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960"/>
        <w:spacing w:after="0"/>
        <w:tabs>
          <w:tab w:leader="none" w:pos="66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if the underwriters exercise in full their option to</w:t>
      </w:r>
    </w:p>
    <w:p>
      <w:pPr>
        <w:ind w:left="4960"/>
        <w:spacing w:after="0" w:line="234" w:lineRule="auto"/>
        <w:rPr>
          <w:sz w:val="20"/>
          <w:szCs w:val="20"/>
          <w:color w:val="auto"/>
        </w:rPr>
      </w:pPr>
      <w:r>
        <w:rPr>
          <w:rFonts w:ascii="Arial" w:cs="Arial" w:eastAsia="Arial" w:hAnsi="Arial"/>
          <w:sz w:val="18"/>
          <w:szCs w:val="18"/>
          <w:color w:val="auto"/>
        </w:rPr>
        <w:t>purchase additional ADSs), based on an assumed initial public offering price</w:t>
      </w:r>
    </w:p>
    <w:p>
      <w:pPr>
        <w:ind w:left="4960"/>
        <w:spacing w:after="0"/>
        <w:tabs>
          <w:tab w:leader="none" w:pos="564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7"/>
          <w:szCs w:val="17"/>
          <w:color w:val="auto"/>
        </w:rPr>
        <w:t>per ADS in the U.S. offering and an assumed offering price of</w:t>
      </w:r>
    </w:p>
    <w:p>
      <w:pPr>
        <w:ind w:left="4960"/>
        <w:spacing w:after="0" w:line="235" w:lineRule="auto"/>
        <w:tabs>
          <w:tab w:leader="none" w:pos="5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ordinary share in the European private placement, which reflect</w:t>
      </w:r>
    </w:p>
    <w:p>
      <w:pPr>
        <w:ind w:left="4960"/>
        <w:spacing w:after="0" w:line="235" w:lineRule="auto"/>
        <w:tabs>
          <w:tab w:leader="none" w:pos="10580" w:val="left"/>
        </w:tabs>
        <w:rPr>
          <w:sz w:val="20"/>
          <w:szCs w:val="20"/>
          <w:color w:val="auto"/>
        </w:rPr>
      </w:pPr>
      <w:r>
        <w:rPr>
          <w:rFonts w:ascii="Arial" w:cs="Arial" w:eastAsia="Arial" w:hAnsi="Arial"/>
          <w:sz w:val="18"/>
          <w:szCs w:val="18"/>
          <w:color w:val="auto"/>
        </w:rPr>
        <w:t>the last reported sale price of our ordinary shares on AIM on</w:t>
      </w:r>
      <w:r>
        <w:rPr>
          <w:sz w:val="20"/>
          <w:szCs w:val="20"/>
          <w:color w:val="auto"/>
        </w:rPr>
        <w:tab/>
      </w:r>
      <w:r>
        <w:rPr>
          <w:rFonts w:ascii="Arial" w:cs="Arial" w:eastAsia="Arial" w:hAnsi="Arial"/>
          <w:sz w:val="18"/>
          <w:szCs w:val="18"/>
          <w:color w:val="auto"/>
        </w:rPr>
        <w:t>,</w:t>
      </w:r>
    </w:p>
    <w:p>
      <w:pPr>
        <w:ind w:left="4960"/>
        <w:spacing w:after="0" w:line="235" w:lineRule="auto"/>
        <w:rPr>
          <w:sz w:val="20"/>
          <w:szCs w:val="20"/>
          <w:color w:val="auto"/>
        </w:rPr>
      </w:pPr>
      <w:r>
        <w:rPr>
          <w:rFonts w:ascii="Arial" w:cs="Arial" w:eastAsia="Arial" w:hAnsi="Arial"/>
          <w:sz w:val="18"/>
          <w:szCs w:val="18"/>
          <w:color w:val="auto"/>
        </w:rPr>
        <w:t>2018, after deducting the estimated underwriting discounts and</w:t>
      </w:r>
    </w:p>
    <w:p>
      <w:pPr>
        <w:ind w:left="4960"/>
        <w:spacing w:after="0" w:line="235" w:lineRule="auto"/>
        <w:rPr>
          <w:sz w:val="20"/>
          <w:szCs w:val="20"/>
          <w:color w:val="auto"/>
        </w:rPr>
      </w:pPr>
      <w:r>
        <w:rPr>
          <w:rFonts w:ascii="Arial" w:cs="Arial" w:eastAsia="Arial" w:hAnsi="Arial"/>
          <w:sz w:val="18"/>
          <w:szCs w:val="18"/>
          <w:color w:val="auto"/>
        </w:rPr>
        <w:t>commissions and estimated offering expenses payable by us. We intend to</w:t>
      </w:r>
    </w:p>
    <w:p>
      <w:pPr>
        <w:ind w:left="4960"/>
        <w:spacing w:after="0" w:line="235" w:lineRule="auto"/>
        <w:rPr>
          <w:sz w:val="20"/>
          <w:szCs w:val="20"/>
          <w:color w:val="auto"/>
        </w:rPr>
      </w:pPr>
      <w:r>
        <w:rPr>
          <w:rFonts w:ascii="Arial" w:cs="Arial" w:eastAsia="Arial" w:hAnsi="Arial"/>
          <w:sz w:val="18"/>
          <w:szCs w:val="18"/>
          <w:color w:val="auto"/>
        </w:rPr>
        <w:t>use the net proceeds from the global offering, together with our existing</w:t>
      </w:r>
    </w:p>
    <w:p>
      <w:pPr>
        <w:ind w:left="4960"/>
        <w:spacing w:after="0" w:line="235" w:lineRule="auto"/>
        <w:rPr>
          <w:sz w:val="20"/>
          <w:szCs w:val="20"/>
          <w:color w:val="auto"/>
        </w:rPr>
      </w:pPr>
      <w:r>
        <w:rPr>
          <w:rFonts w:ascii="Arial" w:cs="Arial" w:eastAsia="Arial" w:hAnsi="Arial"/>
          <w:sz w:val="18"/>
          <w:szCs w:val="18"/>
          <w:color w:val="auto"/>
        </w:rPr>
        <w:t>cash resources, to fund our clinical development program and for working</w:t>
      </w:r>
    </w:p>
    <w:p>
      <w:pPr>
        <w:ind w:left="4960"/>
        <w:spacing w:after="0"/>
        <w:rPr>
          <w:sz w:val="20"/>
          <w:szCs w:val="20"/>
          <w:color w:val="auto"/>
        </w:rPr>
      </w:pPr>
      <w:r>
        <w:rPr>
          <w:rFonts w:ascii="Arial" w:cs="Arial" w:eastAsia="Arial" w:hAnsi="Arial"/>
          <w:sz w:val="18"/>
          <w:szCs w:val="18"/>
          <w:color w:val="auto"/>
        </w:rPr>
        <w:t>capital and other general corporate purposes. See “Use of Proceeds.”</w:t>
      </w:r>
    </w:p>
    <w:p>
      <w:pPr>
        <w:sectPr>
          <w:pgSz w:w="11900" w:h="16838" w:orient="portrait"/>
          <w:cols w:equalWidth="0" w:num="1">
            <w:col w:w="11040"/>
          </w:cols>
          <w:pgMar w:left="240" w:top="459" w:right="619" w:bottom="1440" w:gutter="0" w:footer="0" w:header="0"/>
        </w:sectPr>
      </w:pP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See “Risk Factors” and the other information included in this prospectus for a discussion of factors you should consider before deciding to invest in our ADSs or ordinary shares.</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Proposed Nasdaq trading symbol</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“MREO”</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AIM trading symbol</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“MPH”</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25" w:lineRule="exact"/>
        <w:rPr>
          <w:sz w:val="20"/>
          <w:szCs w:val="20"/>
          <w:color w:val="auto"/>
        </w:rPr>
      </w:pPr>
    </w:p>
    <w:p>
      <w:pPr>
        <w:ind w:left="380" w:right="340" w:firstLine="320"/>
        <w:spacing w:after="0" w:line="246" w:lineRule="auto"/>
        <w:rPr>
          <w:sz w:val="20"/>
          <w:szCs w:val="20"/>
          <w:color w:val="auto"/>
        </w:rPr>
      </w:pPr>
      <w:r>
        <w:rPr>
          <w:rFonts w:ascii="Arial" w:cs="Arial" w:eastAsia="Arial" w:hAnsi="Arial"/>
          <w:sz w:val="18"/>
          <w:szCs w:val="18"/>
          <w:color w:val="auto"/>
        </w:rPr>
        <w:t>The number of our ordinary shares to be outstanding after the global offering is based on as of , 2018 and excludes: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outstanding</w:t>
      </w:r>
    </w:p>
    <w:p>
      <w:pPr>
        <w:spacing w:after="0" w:line="427" w:lineRule="exact"/>
        <w:rPr>
          <w:sz w:val="20"/>
          <w:szCs w:val="20"/>
          <w:color w:val="auto"/>
        </w:rPr>
      </w:pPr>
    </w:p>
    <w:p>
      <w:pPr>
        <w:sectPr>
          <w:pgSz w:w="11900" w:h="16838" w:orient="portrait"/>
          <w:cols w:equalWidth="0" w:num="2">
            <w:col w:w="8100" w:space="720"/>
            <w:col w:w="2220"/>
          </w:cols>
          <w:pgMar w:left="240" w:top="459" w:right="619" w:bottom="1440" w:gutter="0" w:footer="0" w:header="0"/>
          <w:type w:val="continuous"/>
        </w:sectPr>
      </w:pPr>
    </w:p>
    <w:p>
      <w:pPr>
        <w:ind w:left="7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40" w:firstLine="850"/>
        <w:spacing w:after="0" w:line="244" w:lineRule="auto"/>
        <w:rPr>
          <w:sz w:val="20"/>
          <w:szCs w:val="20"/>
          <w:color w:val="auto"/>
        </w:rPr>
      </w:pPr>
      <w:r>
        <w:rPr>
          <w:rFonts w:ascii="Arial" w:cs="Arial" w:eastAsia="Arial" w:hAnsi="Arial"/>
          <w:sz w:val="18"/>
          <w:szCs w:val="18"/>
          <w:color w:val="auto"/>
        </w:rPr>
        <w:t>ordinary shares issuable upon the exercise of share options outstanding as of average exercise price of £ per ordinary share;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 2018 at a weighted</w:t>
      </w:r>
    </w:p>
    <w:p>
      <w:pPr>
        <w:spacing w:after="0" w:line="226" w:lineRule="exact"/>
        <w:rPr>
          <w:sz w:val="20"/>
          <w:szCs w:val="20"/>
          <w:color w:val="auto"/>
        </w:rPr>
      </w:pPr>
    </w:p>
    <w:p>
      <w:pPr>
        <w:sectPr>
          <w:pgSz w:w="11900" w:h="16838" w:orient="portrait"/>
          <w:cols w:equalWidth="0" w:num="3">
            <w:col w:w="780" w:space="320"/>
            <w:col w:w="7360" w:space="720"/>
            <w:col w:w="1860"/>
          </w:cols>
          <w:pgMar w:left="240" w:top="459" w:right="619" w:bottom="1440" w:gutter="0" w:footer="0" w:header="0"/>
          <w:type w:val="continuous"/>
        </w:sectPr>
      </w:pPr>
    </w:p>
    <w:p>
      <w:pPr>
        <w:ind w:left="1940" w:hanging="1247"/>
        <w:spacing w:after="0" w:line="215" w:lineRule="auto"/>
        <w:tabs>
          <w:tab w:leader="none" w:pos="194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under our existing share incentive plans, as described in “Management—</w:t>
      </w:r>
    </w:p>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17"/>
        </w:trPr>
        <w:tc>
          <w:tcPr>
            <w:tcW w:w="3860" w:type="dxa"/>
            <w:vAlign w:val="bottom"/>
          </w:tcPr>
          <w:p>
            <w:pPr>
              <w:spacing w:after="0"/>
              <w:rPr>
                <w:sz w:val="20"/>
                <w:szCs w:val="20"/>
                <w:color w:val="auto"/>
              </w:rPr>
            </w:pPr>
            <w:r>
              <w:rPr>
                <w:rFonts w:ascii="Arial" w:cs="Arial" w:eastAsia="Arial" w:hAnsi="Arial"/>
                <w:sz w:val="18"/>
                <w:szCs w:val="18"/>
                <w:color w:val="auto"/>
              </w:rPr>
              <w:t>Equity Compensation Arrangements,” as of</w:t>
            </w:r>
          </w:p>
        </w:tc>
        <w:tc>
          <w:tcPr>
            <w:tcW w:w="980" w:type="dxa"/>
            <w:vAlign w:val="bottom"/>
          </w:tcPr>
          <w:p>
            <w:pPr>
              <w:jc w:val="right"/>
              <w:spacing w:after="0"/>
              <w:rPr>
                <w:sz w:val="20"/>
                <w:szCs w:val="20"/>
                <w:color w:val="auto"/>
              </w:rPr>
            </w:pPr>
            <w:r>
              <w:rPr>
                <w:rFonts w:ascii="Arial" w:cs="Arial" w:eastAsia="Arial" w:hAnsi="Arial"/>
                <w:sz w:val="18"/>
                <w:szCs w:val="18"/>
                <w:color w:val="auto"/>
              </w:rPr>
              <w:t>, 2018;</w:t>
            </w:r>
          </w:p>
        </w:tc>
      </w:tr>
    </w:tbl>
    <w:p>
      <w:pPr>
        <w:ind w:left="1940" w:hanging="1247"/>
        <w:spacing w:after="0" w:line="230" w:lineRule="auto"/>
        <w:tabs>
          <w:tab w:leader="none" w:pos="194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upon conversion of certain convertible notes issued to Novartis, as described</w:t>
      </w:r>
    </w:p>
    <w:p>
      <w:pPr>
        <w:sectPr>
          <w:pgSz w:w="11900" w:h="16838" w:orient="portrait"/>
          <w:cols w:equalWidth="0" w:num="1">
            <w:col w:w="11040"/>
          </w:cols>
          <w:pgMar w:left="240" w:top="459" w:right="619" w:bottom="1440" w:gutter="0" w:footer="0" w:header="0"/>
          <w:type w:val="continuous"/>
        </w:sectPr>
      </w:pPr>
    </w:p>
    <w:p>
      <w:pPr>
        <w:ind w:left="1100"/>
        <w:spacing w:after="0"/>
        <w:tabs>
          <w:tab w:leader="none" w:pos="9900" w:val="left"/>
        </w:tabs>
        <w:rPr>
          <w:sz w:val="20"/>
          <w:szCs w:val="20"/>
          <w:color w:val="auto"/>
        </w:rPr>
      </w:pPr>
      <w:r>
        <w:rPr>
          <w:rFonts w:ascii="Arial" w:cs="Arial" w:eastAsia="Arial" w:hAnsi="Arial"/>
          <w:sz w:val="18"/>
          <w:szCs w:val="18"/>
          <w:color w:val="auto"/>
        </w:rPr>
        <w:t>in “Related Parties—Other Transactions with Novartis—Novartis Notes,” or the Novartis Notes, as of</w:t>
      </w:r>
      <w:r>
        <w:rPr>
          <w:sz w:val="20"/>
          <w:szCs w:val="20"/>
          <w:color w:val="auto"/>
        </w:rPr>
        <w:tab/>
      </w:r>
      <w:r>
        <w:rPr>
          <w:rFonts w:ascii="Arial" w:cs="Arial" w:eastAsia="Arial" w:hAnsi="Arial"/>
          <w:sz w:val="17"/>
          <w:szCs w:val="17"/>
          <w:color w:val="auto"/>
        </w:rPr>
        <w:t>, 2018; and</w:t>
      </w:r>
    </w:p>
    <w:p>
      <w:pPr>
        <w:sectPr>
          <w:pgSz w:w="11900" w:h="16838" w:orient="portrait"/>
          <w:cols w:equalWidth="0" w:num="1">
            <w:col w:w="11040"/>
          </w:cols>
          <w:pgMar w:left="240" w:top="459" w:right="619" w:bottom="1440" w:gutter="0" w:footer="0" w:header="0"/>
          <w:type w:val="continuous"/>
        </w:sectPr>
      </w:pPr>
    </w:p>
    <w:p>
      <w:pPr>
        <w:spacing w:after="0" w:line="2" w:lineRule="exact"/>
        <w:rPr>
          <w:sz w:val="20"/>
          <w:szCs w:val="20"/>
          <w:color w:val="auto"/>
        </w:rPr>
      </w:pPr>
    </w:p>
    <w:p>
      <w:pPr>
        <w:ind w:left="7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20" w:firstLine="850"/>
        <w:spacing w:after="0" w:line="246" w:lineRule="auto"/>
        <w:rPr>
          <w:sz w:val="20"/>
          <w:szCs w:val="20"/>
          <w:color w:val="auto"/>
        </w:rPr>
      </w:pPr>
      <w:r>
        <w:rPr>
          <w:rFonts w:ascii="Arial" w:cs="Arial" w:eastAsia="Arial" w:hAnsi="Arial"/>
          <w:sz w:val="18"/>
          <w:szCs w:val="18"/>
          <w:color w:val="auto"/>
        </w:rPr>
        <w:t>ordinary shares issuable upon the exercise of warrants to purchase ordinary shares outstanding as of 2018 at a weighted average exercise price of £ per ordinary share.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14" w:lineRule="exact"/>
        <w:rPr>
          <w:sz w:val="20"/>
          <w:szCs w:val="20"/>
          <w:color w:val="auto"/>
        </w:rPr>
      </w:pPr>
    </w:p>
    <w:p>
      <w:pPr>
        <w:sectPr>
          <w:pgSz w:w="11900" w:h="16838" w:orient="portrait"/>
          <w:cols w:equalWidth="0" w:num="3">
            <w:col w:w="780" w:space="320"/>
            <w:col w:w="9040" w:space="720"/>
            <w:col w:w="180"/>
          </w:cols>
          <w:pgMar w:left="240" w:top="459" w:right="61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241"/>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160"/>
              <w:spacing w:after="0"/>
              <w:rPr>
                <w:sz w:val="20"/>
                <w:szCs w:val="20"/>
                <w:color w:val="auto"/>
              </w:rPr>
            </w:pPr>
            <w:r>
              <w:rPr>
                <w:rFonts w:ascii="Arial" w:cs="Arial" w:eastAsia="Arial" w:hAnsi="Arial"/>
                <w:sz w:val="18"/>
                <w:szCs w:val="18"/>
                <w:color w:val="auto"/>
              </w:rPr>
              <w:t>no exercise of the outstanding share options after</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 2018;</w:t>
            </w:r>
          </w:p>
        </w:tc>
        <w:tc>
          <w:tcPr>
            <w:tcW w:w="1080" w:type="dxa"/>
            <w:vAlign w:val="bottom"/>
          </w:tcPr>
          <w:p>
            <w:pPr>
              <w:spacing w:after="0"/>
              <w:rPr>
                <w:sz w:val="20"/>
                <w:szCs w:val="20"/>
                <w:color w:val="auto"/>
              </w:rPr>
            </w:pPr>
          </w:p>
        </w:tc>
      </w:tr>
      <w:tr>
        <w:trPr>
          <w:trHeight w:val="24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160"/>
              <w:spacing w:after="0"/>
              <w:rPr>
                <w:sz w:val="20"/>
                <w:szCs w:val="20"/>
                <w:color w:val="auto"/>
              </w:rPr>
            </w:pPr>
            <w:r>
              <w:rPr>
                <w:rFonts w:ascii="Arial" w:cs="Arial" w:eastAsia="Arial" w:hAnsi="Arial"/>
                <w:sz w:val="18"/>
                <w:szCs w:val="18"/>
                <w:color w:val="auto"/>
              </w:rPr>
              <w:t>no conversion of the Novartis Notes after</w:t>
            </w:r>
          </w:p>
        </w:tc>
        <w:tc>
          <w:tcPr>
            <w:tcW w:w="1500" w:type="dxa"/>
            <w:vAlign w:val="bottom"/>
          </w:tcPr>
          <w:p>
            <w:pPr>
              <w:jc w:val="right"/>
              <w:ind w:right="770"/>
              <w:spacing w:after="0"/>
              <w:rPr>
                <w:sz w:val="20"/>
                <w:szCs w:val="20"/>
                <w:color w:val="auto"/>
              </w:rPr>
            </w:pPr>
            <w:r>
              <w:rPr>
                <w:rFonts w:ascii="Arial" w:cs="Arial" w:eastAsia="Arial" w:hAnsi="Arial"/>
                <w:sz w:val="18"/>
                <w:szCs w:val="18"/>
                <w:color w:val="auto"/>
              </w:rPr>
              <w:t>, 2018;</w:t>
            </w:r>
          </w:p>
        </w:tc>
        <w:tc>
          <w:tcPr>
            <w:tcW w:w="1080" w:type="dxa"/>
            <w:vAlign w:val="bottom"/>
          </w:tcPr>
          <w:p>
            <w:pPr>
              <w:spacing w:after="0"/>
              <w:rPr>
                <w:sz w:val="21"/>
                <w:szCs w:val="21"/>
                <w:color w:val="auto"/>
              </w:rPr>
            </w:pPr>
          </w:p>
        </w:tc>
      </w:tr>
      <w:tr>
        <w:trPr>
          <w:trHeight w:val="24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no exercise of the warrants to purchase ordinary shares after</w:t>
            </w:r>
          </w:p>
        </w:tc>
        <w:tc>
          <w:tcPr>
            <w:tcW w:w="1080" w:type="dxa"/>
            <w:vAlign w:val="bottom"/>
          </w:tcPr>
          <w:p>
            <w:pPr>
              <w:ind w:left="180"/>
              <w:spacing w:after="0"/>
              <w:rPr>
                <w:sz w:val="20"/>
                <w:szCs w:val="20"/>
                <w:color w:val="auto"/>
              </w:rPr>
            </w:pPr>
            <w:r>
              <w:rPr>
                <w:rFonts w:ascii="Arial" w:cs="Arial" w:eastAsia="Arial" w:hAnsi="Arial"/>
                <w:sz w:val="18"/>
                <w:szCs w:val="18"/>
                <w:color w:val="auto"/>
                <w:w w:val="97"/>
              </w:rPr>
              <w:t>, 2018; and</w:t>
            </w:r>
          </w:p>
        </w:tc>
      </w:tr>
    </w:tbl>
    <w:p>
      <w:pPr>
        <w:spacing w:after="0" w:line="26" w:lineRule="exact"/>
        <w:rPr>
          <w:sz w:val="20"/>
          <w:szCs w:val="20"/>
          <w:color w:val="auto"/>
        </w:rPr>
      </w:pPr>
    </w:p>
    <w:p>
      <w:pPr>
        <w:ind w:left="5620" w:right="3920" w:hanging="4927"/>
        <w:spacing w:after="0" w:line="944" w:lineRule="auto"/>
        <w:tabs>
          <w:tab w:leader="none" w:pos="1104"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by the underwriters of their option to purchase additional ADSs. 10</w:t>
      </w:r>
    </w:p>
    <w:p>
      <w:pPr>
        <w:sectPr>
          <w:pgSz w:w="11900" w:h="16838" w:orient="portrait"/>
          <w:cols w:equalWidth="0" w:num="1">
            <w:col w:w="11040"/>
          </w:cols>
          <w:pgMar w:left="240" w:top="459" w:right="6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815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48152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42" w:lineRule="exact"/>
        <w:rPr>
          <w:sz w:val="20"/>
          <w:szCs w:val="20"/>
          <w:color w:val="auto"/>
        </w:rPr>
      </w:pPr>
    </w:p>
    <w:p>
      <w:pPr>
        <w:ind w:left="380" w:right="240" w:firstLine="320"/>
        <w:spacing w:after="0" w:line="237" w:lineRule="auto"/>
        <w:rPr>
          <w:sz w:val="20"/>
          <w:szCs w:val="20"/>
          <w:color w:val="auto"/>
        </w:rPr>
      </w:pPr>
      <w:r>
        <w:rPr>
          <w:rFonts w:ascii="Arial" w:cs="Arial" w:eastAsia="Arial" w:hAnsi="Arial"/>
          <w:sz w:val="18"/>
          <w:szCs w:val="18"/>
          <w:color w:val="auto"/>
        </w:rPr>
        <w:t>The following tables set forth our summary consolidated financial data for the period indicated. We have derived the consolidated statement of comprehensive loss data for the years ended December 31, 2016 and 2017 and the consolidated balance sheet data as of December 31, 2017 from our audited consolidated financial statements included elsewhere in this prospectus. Our historical results are not necessarily indicative of the results that should be expected for any future period. You should read the following summary consolidated financial data together with the audited consolidated financial statements included elsewhere in this prospectus and the sections titled “Exchange Rate Information” and “Management’s Discussion and Analysis of Financial Condition and Results of Operations.”</w:t>
      </w:r>
    </w:p>
    <w:p>
      <w:pPr>
        <w:spacing w:after="0" w:line="203" w:lineRule="exact"/>
        <w:rPr>
          <w:sz w:val="20"/>
          <w:szCs w:val="20"/>
          <w:color w:val="auto"/>
        </w:rPr>
      </w:pPr>
    </w:p>
    <w:p>
      <w:pPr>
        <w:ind w:left="380" w:right="220" w:firstLine="320"/>
        <w:spacing w:after="0" w:line="237"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in the tables below as of December 31, 2017 and for the years ended December 31, 2016 and 2017 into U.S. dollars at the noon buying rate of the Federal Reserve Bank of New York on December 29, 2017, which was £1.00 to $1.3529.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8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880" w:type="dxa"/>
            <w:vAlign w:val="bottom"/>
            <w:gridSpan w:val="7"/>
          </w:tcPr>
          <w:p>
            <w:pPr>
              <w:jc w:val="center"/>
              <w:ind w:left="554"/>
              <w:spacing w:after="0"/>
              <w:rPr>
                <w:sz w:val="20"/>
                <w:szCs w:val="20"/>
                <w:color w:val="auto"/>
              </w:rPr>
            </w:pPr>
            <w:r>
              <w:rPr>
                <w:rFonts w:ascii="Arial" w:cs="Arial" w:eastAsia="Arial" w:hAnsi="Arial"/>
                <w:sz w:val="14"/>
                <w:szCs w:val="14"/>
                <w:b w:val="1"/>
                <w:bCs w:val="1"/>
                <w:color w:val="auto"/>
              </w:rPr>
              <w:t>(in thousands, except per ordinary share data)</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8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Comprehensive Loss Data:</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(24,563)</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(33,231)</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(34,607)</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(46,819)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(11,617)</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(15,716)</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(10,697)</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Operating loss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(36,179)</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(48,947)</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(45,304)</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(61,292)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(180)</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(243)</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(1,090)</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(1,475)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3,061</w:t>
            </w:r>
          </w:p>
        </w:tc>
        <w:tc>
          <w:tcPr>
            <w:tcW w:w="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Net loss before tax</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(33,722)</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(45,622)</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(46,951)</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(63,520)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5,331</w:t>
            </w:r>
          </w:p>
        </w:tc>
        <w:tc>
          <w:tcPr>
            <w:tcW w:w="4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7,213</w:t>
            </w:r>
          </w:p>
        </w:tc>
        <w:tc>
          <w:tcPr>
            <w:tcW w:w="4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8,152</w:t>
            </w:r>
          </w:p>
        </w:tc>
        <w:tc>
          <w:tcPr>
            <w:tcW w:w="4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11,029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Loss attributable to equity holders of the Company</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(28,390)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(38,409)</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(38,799)</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(52,491)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the Company</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(28,390)</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(38,409)</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(38,799)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Basic and diluted loss per share</w:t>
            </w:r>
          </w:p>
        </w:tc>
        <w:tc>
          <w:tcPr>
            <w:tcW w:w="12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(0.63)</w:t>
            </w:r>
          </w:p>
        </w:tc>
        <w:tc>
          <w:tcPr>
            <w:tcW w:w="122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(0.85)</w:t>
            </w:r>
          </w:p>
        </w:tc>
        <w:tc>
          <w:tcPr>
            <w:tcW w:w="12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(0.58)</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200" w:type="dxa"/>
            <w:vAlign w:val="bottom"/>
            <w:gridSpan w:val="2"/>
          </w:tcPr>
          <w:p>
            <w:pPr>
              <w:jc w:val="right"/>
              <w:ind w:right="49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446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44462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As of December 31, 2017,</w:t>
            </w: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Actual</w:t>
            </w:r>
          </w:p>
        </w:tc>
        <w:tc>
          <w:tcPr>
            <w:tcW w:w="7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Borders>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As Adjusted(1)(2)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240" w:type="dxa"/>
            <w:vAlign w:val="bottom"/>
            <w:tcBorders>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68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1240" w:type="dxa"/>
            <w:vAlign w:val="bottom"/>
          </w:tcPr>
          <w:p>
            <w:pPr>
              <w:jc w:val="right"/>
              <w:ind w:right="435"/>
              <w:spacing w:after="0" w:line="202" w:lineRule="exact"/>
              <w:rPr>
                <w:sz w:val="20"/>
                <w:szCs w:val="20"/>
                <w:color w:val="auto"/>
              </w:rPr>
            </w:pPr>
            <w:r>
              <w:rPr>
                <w:rFonts w:ascii="Arial" w:cs="Arial" w:eastAsia="Arial" w:hAnsi="Arial"/>
                <w:sz w:val="18"/>
                <w:szCs w:val="18"/>
                <w:color w:val="auto"/>
              </w:rPr>
              <w:t>52,545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71,088</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jc w:val="right"/>
              <w:ind w:right="435"/>
              <w:spacing w:after="0" w:line="202" w:lineRule="exact"/>
              <w:rPr>
                <w:sz w:val="20"/>
                <w:szCs w:val="20"/>
                <w:color w:val="auto"/>
              </w:rPr>
            </w:pPr>
            <w:r>
              <w:rPr>
                <w:rFonts w:ascii="Arial" w:cs="Arial" w:eastAsia="Arial" w:hAnsi="Arial"/>
                <w:sz w:val="18"/>
                <w:szCs w:val="18"/>
                <w:color w:val="auto"/>
              </w:rPr>
              <w:t>96,335</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130,332</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Issued capital</w:t>
            </w:r>
          </w:p>
        </w:tc>
        <w:tc>
          <w:tcPr>
            <w:tcW w:w="1240" w:type="dxa"/>
            <w:vAlign w:val="bottom"/>
          </w:tcPr>
          <w:p>
            <w:pPr>
              <w:jc w:val="right"/>
              <w:ind w:right="435"/>
              <w:spacing w:after="0"/>
              <w:rPr>
                <w:sz w:val="20"/>
                <w:szCs w:val="20"/>
                <w:color w:val="auto"/>
              </w:rPr>
            </w:pPr>
            <w:r>
              <w:rPr>
                <w:rFonts w:ascii="Arial" w:cs="Arial" w:eastAsia="Arial" w:hAnsi="Arial"/>
                <w:sz w:val="18"/>
                <w:szCs w:val="18"/>
                <w:color w:val="auto"/>
              </w:rPr>
              <w:t>213</w:t>
            </w:r>
          </w:p>
        </w:tc>
        <w:tc>
          <w:tcPr>
            <w:tcW w:w="740" w:type="dxa"/>
            <w:vAlign w:val="bottom"/>
          </w:tcPr>
          <w:p>
            <w:pPr>
              <w:jc w:val="right"/>
              <w:spacing w:after="0"/>
              <w:rPr>
                <w:sz w:val="20"/>
                <w:szCs w:val="20"/>
                <w:color w:val="auto"/>
              </w:rPr>
            </w:pPr>
            <w:r>
              <w:rPr>
                <w:rFonts w:ascii="Arial" w:cs="Arial" w:eastAsia="Arial" w:hAnsi="Arial"/>
                <w:sz w:val="18"/>
                <w:szCs w:val="18"/>
                <w:color w:val="auto"/>
              </w:rPr>
              <w:t>289</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12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118,227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159,949</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12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(79,316)</w:t>
            </w: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(107,307)</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240" w:type="dxa"/>
            <w:vAlign w:val="bottom"/>
            <w:shd w:val="clear" w:color="auto" w:fill="CCEEFF"/>
          </w:tcPr>
          <w:p>
            <w:pPr>
              <w:jc w:val="right"/>
              <w:ind w:right="435"/>
              <w:spacing w:after="0" w:line="202" w:lineRule="exact"/>
              <w:rPr>
                <w:sz w:val="20"/>
                <w:szCs w:val="20"/>
                <w:color w:val="auto"/>
              </w:rPr>
            </w:pPr>
            <w:r>
              <w:rPr>
                <w:rFonts w:ascii="Arial" w:cs="Arial" w:eastAsia="Arial" w:hAnsi="Arial"/>
                <w:sz w:val="18"/>
                <w:szCs w:val="18"/>
                <w:color w:val="auto"/>
              </w:rPr>
              <w:t>62,483</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84,534</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Total liabilities(3)</w:t>
            </w:r>
          </w:p>
        </w:tc>
        <w:tc>
          <w:tcPr>
            <w:tcW w:w="1240" w:type="dxa"/>
            <w:vAlign w:val="bottom"/>
          </w:tcPr>
          <w:p>
            <w:pPr>
              <w:jc w:val="right"/>
              <w:ind w:right="435"/>
              <w:spacing w:after="0"/>
              <w:rPr>
                <w:sz w:val="20"/>
                <w:szCs w:val="20"/>
                <w:color w:val="auto"/>
              </w:rPr>
            </w:pPr>
            <w:r>
              <w:rPr>
                <w:rFonts w:ascii="Arial" w:cs="Arial" w:eastAsia="Arial" w:hAnsi="Arial"/>
                <w:sz w:val="18"/>
                <w:szCs w:val="18"/>
                <w:color w:val="auto"/>
              </w:rPr>
              <w:t>33,852</w:t>
            </w:r>
          </w:p>
        </w:tc>
        <w:tc>
          <w:tcPr>
            <w:tcW w:w="740" w:type="dxa"/>
            <w:vAlign w:val="bottom"/>
          </w:tcPr>
          <w:p>
            <w:pPr>
              <w:jc w:val="right"/>
              <w:spacing w:after="0"/>
              <w:rPr>
                <w:sz w:val="20"/>
                <w:szCs w:val="20"/>
                <w:color w:val="auto"/>
              </w:rPr>
            </w:pPr>
            <w:r>
              <w:rPr>
                <w:rFonts w:ascii="Arial" w:cs="Arial" w:eastAsia="Arial" w:hAnsi="Arial"/>
                <w:sz w:val="18"/>
                <w:szCs w:val="18"/>
                <w:color w:val="auto"/>
              </w:rPr>
              <w:t>45,798</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00" w:hanging="310"/>
        <w:spacing w:after="0"/>
        <w:rPr>
          <w:sz w:val="20"/>
          <w:szCs w:val="20"/>
          <w:color w:val="auto"/>
        </w:rPr>
      </w:pPr>
      <w:r>
        <w:rPr>
          <w:rFonts w:ascii="Arial" w:cs="Arial" w:eastAsia="Arial" w:hAnsi="Arial"/>
          <w:sz w:val="18"/>
          <w:szCs w:val="18"/>
          <w:color w:val="auto"/>
        </w:rPr>
        <w:t>(1) The as adjusted balance sheet data give effect to the sale by us of</w:t>
      </w:r>
      <w:r>
        <w:rPr>
          <w:sz w:val="20"/>
          <w:szCs w:val="20"/>
          <w:color w:val="auto"/>
        </w:rPr>
        <w:t xml:space="preserve"> </w:t>
      </w:r>
      <w:r>
        <w:rPr>
          <w:rFonts w:ascii="Arial" w:cs="Arial" w:eastAsia="Arial" w:hAnsi="Arial"/>
          <w:sz w:val="18"/>
          <w:szCs w:val="18"/>
          <w:color w:val="auto"/>
        </w:rPr>
        <w:t>ordinary shares (including ordinary shares in the form of ADSs) in the global offering at an assumed initial public offering price of $ per ADS in the U.S. offering and an assumed offering price of £ per ordinary share in the European private placement, which reflect the last reported sale price of our ordinary shares on AIM on , 2018, after deducting the estimated underwriting discounts and commissions and estimated offering expenses payable by us.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 This as adjusted information is illustrative only and will depend on the actual offering prices and other terms of the global offering</w:t>
      </w:r>
    </w:p>
    <w:p>
      <w:pPr>
        <w:ind w:left="700"/>
        <w:spacing w:after="0" w:line="234" w:lineRule="auto"/>
        <w:tabs>
          <w:tab w:leader="none" w:pos="3460" w:val="left"/>
          <w:tab w:leader="none" w:pos="8300" w:val="left"/>
        </w:tabs>
        <w:rPr>
          <w:sz w:val="20"/>
          <w:szCs w:val="20"/>
          <w:color w:val="auto"/>
        </w:rPr>
      </w:pPr>
      <w:r>
        <w:rPr>
          <w:rFonts w:ascii="Arial" w:cs="Arial" w:eastAsia="Arial" w:hAnsi="Arial"/>
          <w:sz w:val="18"/>
          <w:szCs w:val="18"/>
          <w:color w:val="auto"/>
        </w:rPr>
        <w:t>determined at pricing. Each £</w:t>
      </w:r>
      <w:r>
        <w:rPr>
          <w:sz w:val="20"/>
          <w:szCs w:val="20"/>
          <w:color w:val="auto"/>
        </w:rPr>
        <w:tab/>
      </w:r>
      <w:r>
        <w:rPr>
          <w:rFonts w:ascii="Arial" w:cs="Arial" w:eastAsia="Arial" w:hAnsi="Arial"/>
          <w:sz w:val="18"/>
          <w:szCs w:val="18"/>
          <w:color w:val="auto"/>
        </w:rPr>
        <w:t>increase or decrease in the assumed offering price of £</w:t>
      </w:r>
      <w:r>
        <w:rPr>
          <w:sz w:val="20"/>
          <w:szCs w:val="20"/>
          <w:color w:val="auto"/>
        </w:rPr>
        <w:tab/>
      </w:r>
      <w:r>
        <w:rPr>
          <w:rFonts w:ascii="Arial" w:cs="Arial" w:eastAsia="Arial" w:hAnsi="Arial"/>
          <w:sz w:val="18"/>
          <w:szCs w:val="18"/>
          <w:color w:val="auto"/>
        </w:rPr>
        <w:t>per ordinary share, which reflects</w:t>
      </w:r>
    </w:p>
    <w:p>
      <w:pPr>
        <w:ind w:left="700"/>
        <w:spacing w:after="0"/>
        <w:tabs>
          <w:tab w:leader="none" w:pos="6320" w:val="left"/>
        </w:tabs>
        <w:rPr>
          <w:sz w:val="20"/>
          <w:szCs w:val="20"/>
          <w:color w:val="auto"/>
        </w:rPr>
      </w:pPr>
      <w:r>
        <w:rPr>
          <w:rFonts w:ascii="Arial" w:cs="Arial" w:eastAsia="Arial" w:hAnsi="Arial"/>
          <w:sz w:val="18"/>
          <w:szCs w:val="18"/>
          <w:color w:val="auto"/>
        </w:rPr>
        <w:t>the last reported sale price of our ordinary shares on AIM on</w:t>
      </w:r>
      <w:r>
        <w:rPr>
          <w:sz w:val="20"/>
          <w:szCs w:val="20"/>
          <w:color w:val="auto"/>
        </w:rPr>
        <w:tab/>
      </w:r>
      <w:r>
        <w:rPr>
          <w:rFonts w:ascii="Arial" w:cs="Arial" w:eastAsia="Arial" w:hAnsi="Arial"/>
          <w:sz w:val="17"/>
          <w:szCs w:val="17"/>
          <w:color w:val="auto"/>
        </w:rPr>
        <w:t>, 2018, would increase or decrease the as adjusted</w:t>
      </w:r>
    </w:p>
    <w:p>
      <w:pPr>
        <w:ind w:left="700"/>
        <w:spacing w:after="0" w:line="235" w:lineRule="auto"/>
        <w:tabs>
          <w:tab w:leader="none" w:pos="9880" w:val="left"/>
        </w:tabs>
        <w:rPr>
          <w:sz w:val="20"/>
          <w:szCs w:val="20"/>
          <w:color w:val="auto"/>
        </w:rPr>
      </w:pPr>
      <w:r>
        <w:rPr>
          <w:rFonts w:ascii="Arial" w:cs="Arial" w:eastAsia="Arial" w:hAnsi="Arial"/>
          <w:sz w:val="18"/>
          <w:szCs w:val="18"/>
          <w:color w:val="auto"/>
        </w:rPr>
        <w:t>amount of each of cash and short-term deposits and short-term investments, total assets, and total equity by £</w:t>
      </w:r>
      <w:r>
        <w:rPr>
          <w:sz w:val="20"/>
          <w:szCs w:val="20"/>
          <w:color w:val="auto"/>
        </w:rPr>
        <w:tab/>
      </w:r>
      <w:r>
        <w:rPr>
          <w:rFonts w:ascii="Arial" w:cs="Arial" w:eastAsia="Arial" w:hAnsi="Arial"/>
          <w:sz w:val="18"/>
          <w:szCs w:val="18"/>
          <w:color w:val="auto"/>
        </w:rPr>
        <w:t>million</w:t>
      </w:r>
    </w:p>
    <w:p>
      <w:pPr>
        <w:ind w:left="700"/>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million), assuming that the number of ordinary shares (including ordinary shares in the form of ADSs) offered by us in</w:t>
      </w:r>
    </w:p>
    <w:p>
      <w:pPr>
        <w:ind w:left="700" w:right="20"/>
        <w:spacing w:after="0" w:line="248" w:lineRule="auto"/>
        <w:rPr>
          <w:sz w:val="20"/>
          <w:szCs w:val="20"/>
          <w:color w:val="auto"/>
        </w:rPr>
      </w:pPr>
      <w:r>
        <w:rPr>
          <w:rFonts w:ascii="Arial" w:cs="Arial" w:eastAsia="Arial" w:hAnsi="Arial"/>
          <w:sz w:val="17"/>
          <w:szCs w:val="17"/>
          <w:color w:val="auto"/>
        </w:rPr>
        <w:t>the global offering, as set forth on the cover page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the as adjusted amount of each of cash and short-term deposits</w:t>
      </w:r>
    </w:p>
    <w:p>
      <w:pPr>
        <w:spacing w:after="0" w:line="2" w:lineRule="exact"/>
        <w:rPr>
          <w:sz w:val="20"/>
          <w:szCs w:val="20"/>
          <w:color w:val="auto"/>
        </w:rPr>
      </w:pPr>
    </w:p>
    <w:p>
      <w:pPr>
        <w:ind w:left="700" w:right="180"/>
        <w:spacing w:after="0"/>
        <w:rPr>
          <w:sz w:val="20"/>
          <w:szCs w:val="20"/>
          <w:color w:val="auto"/>
        </w:rPr>
      </w:pPr>
      <w:r>
        <w:rPr>
          <w:rFonts w:ascii="Arial" w:cs="Arial" w:eastAsia="Arial" w:hAnsi="Arial"/>
          <w:sz w:val="18"/>
          <w:szCs w:val="18"/>
          <w:color w:val="auto"/>
        </w:rPr>
        <w:t>and short-term investments, total assets, and total equity by £ million ($ million), 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27" w:lineRule="exact"/>
        <w:rPr>
          <w:sz w:val="20"/>
          <w:szCs w:val="20"/>
          <w:color w:val="auto"/>
        </w:rPr>
      </w:pPr>
    </w:p>
    <w:p>
      <w:pPr>
        <w:ind w:left="700" w:right="20" w:hanging="318"/>
        <w:spacing w:after="0" w:line="246"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£2.0 million ($2.7 million) aggregate principal amount of, and accrued interest on, the Novartis Notes. See “Related Party Transactions—Other Transactions with Novartis—Novartis Notes.”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prospectus before making an investment in our ADSs or ordinary shares. Our business, financial condition, results of operations, or prospects could be materially and adversely affected if any of these risks occurs, and as a result, the market price of our ADSs or ordinary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We are a multi-asset, clinical-stage biopharmaceutical company with a limited operating history, and have incurred significant operating losses since our inception. We had net losses of £28.4 million and £38.8 million in the years ended December 31, 2016 and 2017, respectively. As of December 31, 2016 and 2017, we had an accumulated loss of £40.6 million and £ 79.3 million, respectively.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seek to acquire new product candidates, expand our research and development efforts, and seek to obtain regulatory approval and potentially commercialize our product candidates. We anticipate that our expenses will increase substantially as we:</w:t>
      </w:r>
    </w:p>
    <w:p>
      <w:pPr>
        <w:spacing w:after="0" w:line="235" w:lineRule="exact"/>
        <w:rPr>
          <w:sz w:val="20"/>
          <w:szCs w:val="20"/>
          <w:color w:val="auto"/>
        </w:rPr>
      </w:pPr>
    </w:p>
    <w:p>
      <w:pPr>
        <w:ind w:left="960" w:right="180" w:hanging="432"/>
        <w:spacing w:after="0" w:line="218"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2b clinical trial of BPS-804 for the treatment of OI in adults, and our ongoing Phase 2b clinical trial of BGS-649 for the treatment of HH;</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23"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commence our planned pediatric Phase 2b/3 clinical trial of BPS-804 for the treatment of OI in Europe, our planned Phase 2 clinical trial of AZD-9668 for the treatment of severe AATD, and our planned Phase 3 clinical program of BGS-649 for the treatment of HH;</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acquire additional novel product candidates to treat rare and specialty diseases;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our product candidates;</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commercial infrastructure and work with CMOs to scale up manufacturing processes to commercialize selected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 expand, and protect our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secure, maintain, or obtain freedom to operate for our technologies and products;</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clinical, scientific, operational, financial, and management personnel, including personnel to support the development of our product candidates and potential future commercialization efforts;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operations in the United Kingdom and potentially hire employees in the United States.</w:t>
      </w:r>
    </w:p>
    <w:p>
      <w:pPr>
        <w:spacing w:after="0" w:line="202"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97"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We have devoted substantially all of our financial resources and efforts to the acquisition and clinical development of BPS-804, AZD-9668, BCT-197, and BGS-649. We have not completed the clinical development of any product candidate through approval.</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To become and remain profitable, we must succeed in developing and commercializing products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or entering into strategic relationships for our current and future product candidates, if approved. We are only in the preliminary stages of many of these activities. We may never succeed in these activities and, even if we do, we may never generate revenue that is significant enough to achieve profitability.</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208"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Our failure to sustain profitability would depress the market price of our ADSs and ordinary shares and could impair our ability to raise capital, acquire new product candidates, expand our business, or continue our operations. A decline in the market price of our ADSs or ordinary shares also could cause you to lose all or a part of your investment.</w:t>
      </w:r>
    </w:p>
    <w:p>
      <w:pPr>
        <w:spacing w:after="0" w:line="180" w:lineRule="exact"/>
        <w:rPr>
          <w:sz w:val="20"/>
          <w:szCs w:val="20"/>
          <w:color w:val="auto"/>
        </w:rPr>
      </w:pPr>
    </w:p>
    <w:p>
      <w:pPr>
        <w:ind w:left="200" w:right="420"/>
        <w:spacing w:after="0" w:line="271"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Since our inception, we have devoted substantially all of our resources to acquiring and developing BPS-804, AZD-9668, BCT-197, and BGS-649; building our intellectual property portfolio; developing our supply chain; planning our business; raising capital; and providing general and administrative support for these operations. We have not yet demonstrated our ability to successfully complete any Phase 3 or other pivotal clinical trials, obtain regulatory approval, arrange for third parties to manufacture commercial-scale products,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for rare and specialty diseases from, and becoming a partner of choice for, large pharmaceutical companies, nor have we demonstrated our ability to obtain approvals for or to commercialize these product candidates. Consequently, any predictions you make about our future success or viability may not be as accurate as they could be if we had a longer operating history.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acquire additional product candidates.</w:t>
      </w:r>
    </w:p>
    <w:p>
      <w:pPr>
        <w:spacing w:after="0" w:line="85"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Part of our strategy involves identifying and acquiring novel product candidates that have received significant investment from large pharmaceutical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229" w:lineRule="exact"/>
        <w:rPr>
          <w:sz w:val="20"/>
          <w:szCs w:val="20"/>
          <w:color w:val="auto"/>
        </w:rPr>
      </w:pPr>
    </w:p>
    <w:p>
      <w:pPr>
        <w:ind w:left="960" w:right="260" w:hanging="432"/>
        <w:spacing w:after="0" w:line="218"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432"/>
        <w:spacing w:after="0" w:line="218" w:lineRule="auto"/>
        <w:tabs>
          <w:tab w:leader="none" w:pos="9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product candidates may, with further studies, be shown to have harmful side effects or other characteristics that indicate that they are unlikely to be products that will receive marketing approval and achieve market acceptance;</w:t>
      </w:r>
    </w:p>
    <w:p>
      <w:pPr>
        <w:spacing w:after="0" w:line="27" w:lineRule="exact"/>
        <w:rPr>
          <w:rFonts w:ascii="MS PGothic" w:cs="MS PGothic" w:eastAsia="MS PGothic" w:hAnsi="MS PGothic"/>
          <w:sz w:val="25"/>
          <w:szCs w:val="25"/>
          <w:color w:val="auto"/>
          <w:vertAlign w:val="superscript"/>
        </w:rPr>
      </w:pPr>
    </w:p>
    <w:p>
      <w:pPr>
        <w:ind w:left="960" w:right="1020" w:hanging="432"/>
        <w:spacing w:after="0" w:line="218" w:lineRule="auto"/>
        <w:tabs>
          <w:tab w:leader="none" w:pos="9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regulatory pathway for a potential product candidate may be too complex and difficult to navigate successfully or economically;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may be competitive bids for potential product candidates which we do not seek to or are unable to match.</w:t>
      </w:r>
    </w:p>
    <w:p>
      <w:pPr>
        <w:spacing w:after="0" w:line="202"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In addition, we may choose to focus our efforts and resources on a potential product candidate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81"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our product development programs or any future commercialization efforts.</w:t>
      </w:r>
    </w:p>
    <w:p>
      <w:pPr>
        <w:spacing w:after="0" w:line="6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conduct our ongoing Phase 2b clinical trials for BPS-804 and BGS-649, our planned pediatric Phase 2b/3 study for BPS-804 and our planned Phase 2 clinical trial for AZD-9668. We also expect our expenses to rise as we seek to acquire and develop new product candidates. In addition, if we obtain regulatory approval for any of our product candidates, we expect to incur significant commercialization expenses related to product manufacturing, marketing, sales, and distribution for any products we commercialize directly. Furthermore, upon the closing of the global offering, we expect to incur additional costs associated with operating as a public company in the United Kingdom and the United States and maintaining listings on both AIM and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any future commercialization efforts, or acquisitions of potential product candidates.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that our existing cash resources, together with anticipated net proceeds from the global offering, will enable us to fund our</w:t>
      </w:r>
    </w:p>
    <w:p>
      <w:pPr>
        <w:jc w:val="both"/>
        <w:ind w:left="200" w:right="80"/>
        <w:spacing w:after="0" w:line="238" w:lineRule="auto"/>
        <w:rPr>
          <w:sz w:val="20"/>
          <w:szCs w:val="20"/>
          <w:color w:val="auto"/>
        </w:rPr>
      </w:pPr>
      <w:r>
        <w:rPr>
          <w:rFonts w:ascii="Arial" w:cs="Arial" w:eastAsia="Arial" w:hAnsi="Arial"/>
          <w:sz w:val="18"/>
          <w:szCs w:val="18"/>
          <w:color w:val="auto"/>
        </w:rPr>
        <w:t>operating expenses and capital expenditure requirements through . We have based this estimate on assumptions that may prove to be wrong, and we could use our capital resources sooner than we currently expect, or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960" w:right="20" w:hanging="432"/>
        <w:spacing w:after="0" w:line="218"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trials for BPS-804 and BGS-649; our planned pediatric Phase 2b/3 study for BPS-804; our planned Phase 2 clinical trial for AZD-9668; and our planned Phase 3 clinical program for BGS-649;</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2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 and</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or ordinary shares.</w:t>
      </w:r>
    </w:p>
    <w:p>
      <w:pPr>
        <w:spacing w:after="0" w:line="20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 and potentially force us to discontinue operations.</w:t>
      </w:r>
    </w:p>
    <w:p>
      <w:pPr>
        <w:spacing w:after="0" w:line="180"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our security holders, including purchasers of our ADSs or ordinary shares in the global offering; restrict our operations; or require us to relinquish rights to our technologies or product candidates.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Until such time, if ever, as we can generate substantial product revenues, we may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 may include liquidation or other preferences that adversely affect your rights as a holder of our ADSs or ordinary shares.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For example, our credit facility with Silicon Valley Bank and Kreos Capital V (UK) Limited, or the credit facility, requires us to seek consent for certain corporate transactions, dispositions, or incurrences of certain debt.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or ordinary shares to decline.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0"/>
        <w:spacing w:after="0" w:line="244" w:lineRule="auto"/>
        <w:rPr>
          <w:sz w:val="20"/>
          <w:szCs w:val="20"/>
          <w:color w:val="auto"/>
        </w:rPr>
      </w:pPr>
      <w:r>
        <w:rPr>
          <w:rFonts w:ascii="Arial" w:cs="Arial" w:eastAsia="Arial" w:hAnsi="Arial"/>
          <w:sz w:val="18"/>
          <w:szCs w:val="18"/>
          <w:b w:val="1"/>
          <w:bCs w:val="1"/>
          <w:i w:val="1"/>
          <w:iCs w:val="1"/>
          <w:color w:val="auto"/>
        </w:rPr>
        <w:t>We depend heavily on the success of BPS-804, AZD-9668, BCT-197, and BGS-649. We cannot give any assurance that any of these product candidates will receive regulatory approval, which is necessary before they can be commercialized. If we are unable to commercialize, whether on our own or through agreements with third parties, BPS-804, AZD-9668, BCT-197, or BGS-649, or experience significant delays in doing so, our ability to generate revenue and our financial condition will be adversely affected.</w:t>
      </w:r>
    </w:p>
    <w:p>
      <w:pPr>
        <w:spacing w:after="0" w:line="6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do not currently generate any revenue from sales of any products, and we may never be able to develop or commercialize a marketable product. We have invested substantially all of our efforts and financial resources in the acquisition and development of BPS-804, AZD-9668, BCT-197, and BGS-649, and we do not have any other product candidates currently under development.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and significant marketing efforts before we generate any revenue from product sales. For example, we intend to commence a Phase 2b/3 clinical trial of BPS-804, our most advanced product candidate, in children with OI in 2018. We are currently in communication with the EMA regarding the endpoints for the trial, and the EMA has not approved the pediatric investigation plan, or PIP, for this trial. While we anticipate approval of the PIP from the EMA, we may not receive such approval. In addition, the FDA may not approve our pediatric trial for BPS-804 in the future. Either of these occurrences would adversely affect the clinical development of BPS-804, which would adversely affect our commercialization plans.</w:t>
      </w:r>
    </w:p>
    <w:p>
      <w:pPr>
        <w:spacing w:after="0" w:line="204"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not permitted to market or promote any product candidates in the United States, Europe, or other countries before we receive regulatory approval from the FDA, the EMA, or comparable foreign regulatory authorities, and we may never receive such regulatory approval for our current product candidates. We have not submitted a Biologics License application, or BLA, or a New Drug Application, or NDA, to the FDA; a Marketing Authorization Application, or MAA, to the EMA; or comparable applications to other regulatory authorities, and do not expect to be in a position to do so in the foreseeable future. The success of our current product candidates will depend on many factors, including the following:</w:t>
      </w:r>
    </w:p>
    <w:p>
      <w:pPr>
        <w:spacing w:after="0" w:line="232" w:lineRule="exact"/>
        <w:rPr>
          <w:sz w:val="20"/>
          <w:szCs w:val="20"/>
          <w:color w:val="auto"/>
        </w:rPr>
      </w:pPr>
    </w:p>
    <w:p>
      <w:pPr>
        <w:ind w:left="960" w:right="62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able to demonstrate that any of our current product candidates is safe and effective as a treatment for the targeted indications to the satisfaction of the applicable regulatory authorities;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additional clinical trials of our current product candidates, which would increase our costs and prolong development;</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of our current product candidates may not meet the level of statistical or clinical significance required by the applicable regulatory authorities for marketing approval;</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the number, design, size, conduct, or implementation of our planned and future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find the data from clinical trials sufficient to demonstrate that the clinical and other benefits of our current product candidates outweigh their safety risks;</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our interpretation of data from our clinical trials or may require that we conduct additional trials;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accept data generated at our clinical trial sites;</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submit a BLA or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27" w:lineRule="exact"/>
        <w:rPr>
          <w:rFonts w:ascii="MS PGothic" w:cs="MS PGothic" w:eastAsia="MS PGothic" w:hAnsi="MS PGothic"/>
          <w:sz w:val="25"/>
          <w:szCs w:val="25"/>
          <w:color w:val="auto"/>
          <w:vertAlign w:val="superscript"/>
        </w:rPr>
      </w:pPr>
    </w:p>
    <w:p>
      <w:pPr>
        <w:ind w:left="960" w:right="62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27"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change its approval policies or adopt new regulations;</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our clinical trials, we may discover factors that limit the commercial viability of our current product candidates or make the commercialization of any of our current product candidates unfeasible;</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6"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approved, acceptance of our current product candidates by patients, the medical community, and third-party payors; our ability to compete with other therapies to treat OI, AATD, AECOPD, or HH; continued acceptable safety profiles following approval of our current product candidates; and our ability to qualify for, maintain, enforce, and defend our intellectual property rights and claims.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may not be able to successfully commercialize our current product candidates.</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plan to seek regulatory approval to commercialize our current product candidates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may become subject to economic, political, regulatory and other risks associated with international operations.</w:t>
      </w:r>
    </w:p>
    <w:p>
      <w:pPr>
        <w:spacing w:after="0" w:line="99"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w:t>
      </w:r>
    </w:p>
    <w:p>
      <w:pPr>
        <w:spacing w:after="0" w:line="193" w:lineRule="exact"/>
        <w:rPr>
          <w:sz w:val="20"/>
          <w:szCs w:val="20"/>
          <w:color w:val="auto"/>
        </w:rPr>
      </w:pPr>
    </w:p>
    <w:p>
      <w:pPr>
        <w:ind w:left="960" w:hanging="432"/>
        <w:spacing w:after="0"/>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non-U.K. economies and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regulatory requirements for drug approvals in non-U.K. countries;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60" w:hanging="432"/>
        <w:spacing w:after="0" w:line="218"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jurisdictions could present different issues for securing, maintaining, or obtaining freedom to operate for our intellectual property in such jurisdictions;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in compliance with non-U.K. laws and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regulations and customs, tariffs, and trade barriers;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currency exchange rates of the pound sterling and currency controls;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trade protection measures, import or export licensing requirements or other restrictive actions by U.K. or non-U.K. governments;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reimbursement regimes and price controls in certain non-U.K.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negative consequences from changes in tax laws;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outside of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more common than in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960" w:right="1080" w:hanging="432"/>
        <w:spacing w:after="0" w:line="218"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3"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 may have a negative effect on global economic conditions, financial markets and our business, which could reduce the price of our ADSs and ordinary shares.</w:t>
      </w:r>
    </w:p>
    <w:p>
      <w:pPr>
        <w:spacing w:after="0" w:line="27"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Following the vote of a majority of the eligible members of the electorate in the United Kingdom to withdraw from the EU in a national referendum held on June 23, 2016, the U.K. government served notice under Article 50 of the Treaty of the European Union on March 29, 2017 to formally initiate a withdrawal process. The United Kingdom and the EU have a two-year period under Article 50 to negotiate the terms for withdrawal. Any extension of the negotiation period for withdrawal will require the consent of all of the remaining 27 member states.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referendum and withdrawal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healthcare and pharmaceutical regulations; financial laws and regulations; tax and free trade agreements; intellectual property rights; supply chain logistics; environmental, health,</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and safety laws and regulations; immigration laws; and employment laws, could decrease foreign direct investment in the United Kingdom, increase costs, depress economic activity, and restrict our access to capital. If the United Kingdom and the EU are unable to negotiate acceptable withdrawal terms or if other EU member states pursue withdrawal, barrier-free access between the United Kingdom and other EU member states or among the European economic area overall could be diminished or eliminated.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In addition, changes to U.K. border and immigration policy could occur as a result of the United Kingdom’s withdrawal from the EU, affecting our ability to recruit and retain employees from outside the United Kingdom. Any of these factors could have a significant adverse effect on our business, financial condition, results of operations, and prospects.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Development, Clinical Testing, Manufacturing and Regulatory Approval</w:t>
      </w:r>
    </w:p>
    <w:p>
      <w:pPr>
        <w:spacing w:after="0" w:line="212"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BPS-804, AZD-9668, BCT-197, and BGS-649 are in clinical development. Clinical drug development is a lengthy and expensive process with uncertain timelines and uncertain outcomes, and results of earlier studies and trials may not be predictive of future results. If clinical trials of our product candidates are prolonged or delayed, or if our product candidates fail to show the desired safety and efficacy in later stage clinical trials, we may be unable to obtain required regulatory approvals and be unable to commercialize our product candidates on a timely basis, or at all.</w:t>
      </w:r>
    </w:p>
    <w:p>
      <w:pPr>
        <w:spacing w:after="0" w:line="6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To obtain the requisite regulatory approvals to market and sell any of our product candidates, we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208"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230" w:lineRule="exact"/>
        <w:rPr>
          <w:sz w:val="20"/>
          <w:szCs w:val="20"/>
          <w:color w:val="auto"/>
        </w:rPr>
      </w:pPr>
    </w:p>
    <w:p>
      <w:pPr>
        <w:ind w:left="960" w:right="480" w:hanging="432"/>
        <w:spacing w:after="0" w:line="223"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regulatory or ethics committee approval to commence a trial, for example, if we fail to obtain approval by the EMA for the PIP for BPS-804 or if we are unable to submit our proposed protocol to the FDA for a pediatric clinical trial for BPS-804;</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our CROs to execute our trials in accordance with the clinical trial protocol; good laboratory, clinical, and manufacturing practices, or GxP; or other regulatory or contractual obligations;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institutional review board, or IRB, approval, centrally or at each site;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recruit suitable patients to participate in a trial;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our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adding new clinical trial sites;</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during manufacture, storage, or transport of our product candidates and the corresponding drug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inability to manufacture sufficient quantities of our product candidates for use in clinical trials;</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actions claiming infringement by our product candidates in clinical trials inside or outside of the United States and obtaining injunctions interfering with our progress;</w:t>
      </w:r>
    </w:p>
    <w:p>
      <w:pPr>
        <w:spacing w:after="0" w:line="27" w:lineRule="exact"/>
        <w:rPr>
          <w:rFonts w:ascii="MS PGothic" w:cs="MS PGothic" w:eastAsia="MS PGothic" w:hAnsi="MS PGothic"/>
          <w:sz w:val="25"/>
          <w:szCs w:val="25"/>
          <w:color w:val="auto"/>
          <w:vertAlign w:val="superscript"/>
        </w:rPr>
      </w:pPr>
    </w:p>
    <w:p>
      <w:pPr>
        <w:ind w:left="960" w:right="102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regulatory requirements, policies, and guidelines;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lower than anticipated retention rates of patients and healthy volunteers in clinical trials;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with the equipment used to conduct clinical trials or analyze the results;</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identifying the populations that we are trying to treat in a particular trial, which may delay enrollment and reduce the power of a clinical trial to detect statistically significant results;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quality or stability of our product candidates falling below acceptable standards for either safety or efficacy;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discoveries that may reduce the commercial viability of our product candidates.</w:t>
      </w:r>
    </w:p>
    <w:p>
      <w:pPr>
        <w:spacing w:after="0" w:line="203" w:lineRule="exact"/>
        <w:rPr>
          <w:sz w:val="20"/>
          <w:szCs w:val="20"/>
          <w:color w:val="auto"/>
        </w:rPr>
      </w:pPr>
    </w:p>
    <w:p>
      <w:pPr>
        <w:ind w:left="200" w:firstLine="331"/>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192"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A number of academic institutions are currently conducting and sponsoring clinical trials relating to our product candidate AZD-9668, including a clinical trial in patients with Type 2 diabetes and a clinical trial in patients with bronchiolitis obliterans. We do not control the design or administration of investigator-sponsored trials, and the investigator-sponsored trials could identify significant concerns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with respect to AZD-9668 that could impact our findings from our clinical trials, and adversely affect our ability to obtain marketing approval from the FDA or other applicable authorities. To the extent the results of these or other investigator-sponsored trials are inconsistent with, or different from, the results of our company-sponsored trials or raise concerns regarding AZD-9668, the FDA or a foreign regulatory authority may question the results of the company-sponsored trial, or subject such results to greater scrutiny than it otherwise would. In these circumstances, the FDA or such foreign regulatory authorities may require us to conduct additional clinical studies or submit additional clinical data, which could delay clinical development or marketing approval of AZD-9668.</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EMA, or another regulatory authority. The FDA, the EMA, or the other regulatory authority may conclude that a financial relationship between us and a principal investigator has created a conflict of interest or otherwise affected interpretation of the study. The FDA, the EMA, or the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the EMA, or the other regulatory authority, as the case may be, and may ultimately lead to the denial of marketing approval of our product candidates.</w:t>
      </w:r>
    </w:p>
    <w:p>
      <w:pPr>
        <w:spacing w:after="0" w:line="208"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If we experience delays in the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our product candidates produced in compliance with the requirements of current good manufacturing practice, or cGMP,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i w:val="1"/>
          <w:iCs w:val="1"/>
          <w:color w:val="auto"/>
        </w:rPr>
        <w:t>Prior to our acquisition of BPS-804, AZD-9668, BCT-197, and BGS-649, we were not involved in the development of these product candidates and, as a result, we are dependent on Novartis and AstraZeneca having accurately reported the results and correctly collected and interpreted the data from all clinical trials conducted prior to our acquisition.</w:t>
      </w:r>
    </w:p>
    <w:p>
      <w:pPr>
        <w:spacing w:after="0" w:line="5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were not involved in the development of our current product candidates prior to our acquisition of them. We licensed AZD-9668 from AstraZeneca only in October 2017, and we may experience difficulties in the transition of this product candidate from AstraZeneca to us, which may result in delays in our clinical trial, including regulatory approval of the trial, for AZD-9668, particularly if we do not receive all of the necessary clinical trial materials, information, reports, and data in a timely manner. For all of our current product candidates, we have had no involvement with or control over their pre-clinical and clinical development prior to our acquisition of them. We are dependent on Novartis and AstraZeneca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or AstraZeneca have not complied, the clinical development, regulatory approval, or commercialization of our product candidates may be adversely affected.</w:t>
      </w:r>
    </w:p>
    <w:p>
      <w:pPr>
        <w:spacing w:after="0" w:line="185"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3" w:lineRule="exact"/>
        <w:rPr>
          <w:sz w:val="20"/>
          <w:szCs w:val="20"/>
          <w:color w:val="auto"/>
        </w:rPr>
      </w:pPr>
    </w:p>
    <w:p>
      <w:pPr>
        <w:ind w:left="200" w:right="220"/>
        <w:spacing w:after="0" w:line="244"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50"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Undesirable side effects that may be caused by BPS-804, AZD-9668, BCT-197, and BGS-649 could cause us or regulatory authorities to interrupt, delay or halt clinical trials, and could result in a more restrictive label or the delay or denial of regulatory approval by the FDA, the EMA, or other comparable foreign authorities. Each of our product candidates has completed one or more Phase 2 clinical trials. In these trials, the most common adverse events observed have been the following:</w:t>
      </w:r>
    </w:p>
    <w:p>
      <w:pPr>
        <w:spacing w:after="0" w:line="193" w:lineRule="exact"/>
        <w:rPr>
          <w:sz w:val="20"/>
          <w:szCs w:val="20"/>
          <w:color w:val="auto"/>
        </w:rPr>
      </w:pPr>
    </w:p>
    <w:p>
      <w:pPr>
        <w:ind w:left="960" w:hanging="432"/>
        <w:spacing w:after="0"/>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BPS-804, headache, influenza, arthralgia, and fatigue;</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1"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AZD-9668, headache, nasopharyngitis, and elevated levels of the liver enzymes aspartate aminotransferase and alanine aminotransferase;</w:t>
      </w: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 mild acne-like rash, dizziness, and headache;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BGS-649, headache, nasal congestion, somnolence, and spontaneous penile erection.</w:t>
      </w:r>
    </w:p>
    <w:p>
      <w:pPr>
        <w:spacing w:after="0" w:line="24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Clinical development for all of these product candidates is ongoing. Results of our ongoing and future clinical trials, or results from clinical trials for other similar product candidates, could reveal a high and unacceptable severity and prevalence of adverse side effects. In such an event, our trials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could be suspended or terminated and the FDA, EMA, or other comparable foreign regulatory authorities could order us to cease further development of or deny approval of our product candidates for any or all targeted indications.</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For example, 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However, because of this uncertainty, the FDA has informed us that a risk/benefit assessment for sclerostin inhibitors cannot be completed at this time and has recommended that we do not submit our proposed pediatric protocol until the cardiovascular safety issue has been adequately addressed and favorably resolved. Given the undetermined risk/benefit assessment in adults, the FDA believes it is premature to conduct a study of sclerostin inhibitors in children. If this safety issue is resolved, we plan on submitting our proposed European Phase 2b/3 study for BPS-804 in children with severe OI to the FDA to expand the proposed trial into the United States. We intend to continue our clinical development of BPS-804 in Europe for children with severe OI and are continuing clinical development of BPS-804 in Europe and the United States for adults with OI.</w:t>
      </w:r>
    </w:p>
    <w:p>
      <w:pPr>
        <w:spacing w:after="0" w:line="207"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Drug-related side effects could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93" w:lineRule="exact"/>
        <w:rPr>
          <w:sz w:val="20"/>
          <w:szCs w:val="20"/>
          <w:color w:val="auto"/>
        </w:rPr>
      </w:pPr>
    </w:p>
    <w:p>
      <w:pPr>
        <w:ind w:left="960" w:hanging="432"/>
        <w:spacing w:after="0"/>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withdraw approvals of any such product and require us to take it off the market;</w:t>
      </w:r>
    </w:p>
    <w:p>
      <w:pPr>
        <w:spacing w:after="0" w:line="26" w:lineRule="exact"/>
        <w:rPr>
          <w:rFonts w:ascii="MS PGothic" w:cs="MS PGothic" w:eastAsia="MS PGothic" w:hAnsi="MS PGothic"/>
          <w:sz w:val="25"/>
          <w:szCs w:val="25"/>
          <w:color w:val="auto"/>
          <w:vertAlign w:val="superscript"/>
        </w:rPr>
      </w:pPr>
    </w:p>
    <w:p>
      <w:pPr>
        <w:ind w:left="960" w:right="480" w:hanging="432"/>
        <w:spacing w:after="0" w:line="218"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required to change the way a product is administered, conduct additional clinical trials, or change the labeling of a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limitations on how we may promote the product;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product may decrease significantly;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litigation or product liability claims;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reputation may suffer.</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56"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Successful and timely completion of clinical trials for our product candidates will require that we enroll a sufficient number of patient candidates. Trials may be subject to delays as a result of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limited number of patients with the diseases that these product candidates target, patient enrollment taking longer than anticipated, or patient withdrawal. Due to the small number of patients for any rare disease, it may be difficult for us to enroll a sufficient number of patients in our clinical trials for our product candidates with indications in rare diseases or enrollment for these product candidates may take significantly longer than we anticipate. In addition, we will compete with other companies in enrolling the same limited population of patients, which may further challenge our ability to timely enroll patients in our clinical trials. It is estimated that OI, the target indication for BPS-804, affects a minimum of 20,000 people in the United States and approximately 32,000 people in Germany, Spain, France, Italy, and the United Kingdom, respectively. There are an estimated 50,000 and 60,000 persons in North America and Europe, respectively, with the genotypes that we intend to enroll in our clinical trials for AATD, the target indication for AZD-9668.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our product candidates will increase our costs, slow down our development and approval of our product candidates,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93"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41" w:lineRule="exact"/>
        <w:rPr>
          <w:sz w:val="20"/>
          <w:szCs w:val="20"/>
          <w:color w:val="auto"/>
        </w:rPr>
      </w:pPr>
    </w:p>
    <w:p>
      <w:pPr>
        <w:ind w:left="200" w:right="220" w:firstLine="331"/>
        <w:spacing w:after="0" w:line="236"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development, manufacturing, marketing, and use of pharmaceutical products. Currently, we have no products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199" w:lineRule="exact"/>
        <w:rPr>
          <w:sz w:val="20"/>
          <w:szCs w:val="20"/>
          <w:color w:val="auto"/>
        </w:rPr>
      </w:pPr>
    </w:p>
    <w:p>
      <w:pPr>
        <w:ind w:left="960" w:hanging="432"/>
        <w:spacing w:after="0"/>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decreased demand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injury to our reputation;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 of clinical trial participants;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defend related litigation;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management’s time and our resources;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substantial monetary awards to trial participants or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loss of revenue;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inability to commercialize or promote our product candidates.</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our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40"/>
        <w:spacing w:after="0"/>
        <w:rPr>
          <w:sz w:val="20"/>
          <w:szCs w:val="20"/>
          <w:color w:val="auto"/>
        </w:rPr>
      </w:pPr>
      <w:r>
        <w:rPr>
          <w:rFonts w:ascii="Arial" w:cs="Arial" w:eastAsia="Arial" w:hAnsi="Arial"/>
          <w:sz w:val="18"/>
          <w:szCs w:val="18"/>
          <w:color w:val="auto"/>
        </w:rPr>
        <w:t>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 consuming, and inherently unpredictable, and if we are ultimately unable to obtain regulatory approval for our product candidates, our business will be substantially harmed.</w:t>
      </w:r>
    </w:p>
    <w:p>
      <w:pPr>
        <w:spacing w:after="0" w:line="5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none of our product candidates will obtain regulatory approval.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9" w:lineRule="exact"/>
        <w:rPr>
          <w:sz w:val="20"/>
          <w:szCs w:val="20"/>
          <w:color w:val="auto"/>
        </w:rPr>
      </w:pPr>
    </w:p>
    <w:p>
      <w:pPr>
        <w:ind w:left="960" w:right="24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to the satisfaction of the FDA, the EMA, or comparable foreign regulatory authorities that a product candidates is safe and effective for its proposed indication;</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that a product candidate’s clinical and other benefits outweigh its safety risks;</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collected from clinical trials may not be sufficient to support the submission of a BLA or NDA in the United States, an MAA in the EU, or other comparable submission to obtain regulatory approval in other countries;</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product candidates. The FDA, the EMA, and other regulatory authorities have substantial discretion in the approval process, and determining when or whether regulatory approval will be obtained for a product candidate. Even if we believe the data collected from clinical trials are promising, such data may not be sufficient to support approval by the FDA, the EMA, or any other regulatory authority.</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our product candidates for fewer or more limited indications than we request, may not approve the price we intend to charge for our product candidates, may grant approval contingent on the performance of costly post-marketing clinical trials, or may approve a product candidate with a label that does not include the labeling claims necessary or desirable for the successful commercialization of such product candidate. Any of the foregoing scenarios could materially harm our commercial prospects and business.</w:t>
      </w:r>
    </w:p>
    <w:p>
      <w:pPr>
        <w:spacing w:after="0" w:line="181"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 candidate.</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and recordkeeping for such product candidate will be subject to extensive and ongoing regulatory requirements. These requirements include submissions of safety and other post-marketing information and reports, facility registration, and drug listing, as well as continued compliance with cGMP requirements for manufacturing, GDP, or good distribution practice, requirements for product distribution, and GCP requirements for any clinical trials that we conduct post-approval, all of which may result in significant expense and limit our ability to commercialize a product candidate.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a product candidate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206"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MAAs. If any of these events occurs, our ability to sell our product may be impaired, and we may incur substantial additional expense to comply with regulatory requirements.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the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50" w:lineRule="auto"/>
        <w:rPr>
          <w:sz w:val="20"/>
          <w:szCs w:val="20"/>
          <w:color w:val="auto"/>
        </w:rPr>
      </w:pPr>
      <w:r>
        <w:rPr>
          <w:rFonts w:ascii="Arial" w:cs="Arial" w:eastAsia="Arial" w:hAnsi="Arial"/>
          <w:sz w:val="17"/>
          <w:szCs w:val="17"/>
          <w:color w:val="auto"/>
        </w:rPr>
        <w:t>United Kingdom, Europe, or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Notably, in January 2017, an Executive 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Even if we obtain marketing approval of any of our product candidates in a major pharmaceutical market such as the United States or the EU, we may not be able to obtain approval or commercialize that product candidate in other markets, which would limit our ability to realize its full market potential.</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or any other markets, and our management team does not have experience in obtaining regulatory approval in markets outside of the United States and the EU.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61"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w:t>
      </w:r>
    </w:p>
    <w:p>
      <w:pPr>
        <w:spacing w:after="0" w:line="4" w:lineRule="exact"/>
        <w:rPr>
          <w:sz w:val="20"/>
          <w:szCs w:val="20"/>
          <w:color w:val="auto"/>
        </w:rPr>
      </w:pPr>
    </w:p>
    <w:p>
      <w:pPr>
        <w:ind w:left="200" w:right="100" w:firstLine="4"/>
        <w:spacing w:after="0" w:line="236"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ind w:left="200" w:right="72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2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United States,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230" w:lineRule="exact"/>
        <w:rPr>
          <w:sz w:val="20"/>
          <w:szCs w:val="20"/>
          <w:color w:val="auto"/>
        </w:rPr>
      </w:pPr>
    </w:p>
    <w:p>
      <w:pPr>
        <w:ind w:left="960" w:hanging="432"/>
        <w:spacing w:after="0" w:line="223"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28" w:lineRule="exact"/>
        <w:rPr>
          <w:rFonts w:ascii="MS PGothic" w:cs="MS PGothic" w:eastAsia="MS PGothic" w:hAnsi="MS PGothic"/>
          <w:sz w:val="25"/>
          <w:szCs w:val="25"/>
          <w:color w:val="auto"/>
          <w:vertAlign w:val="superscript"/>
        </w:rPr>
      </w:pPr>
    </w:p>
    <w:p>
      <w:pPr>
        <w:ind w:left="960" w:right="8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 and capped the total rebate amount for innovator drugs at 100% of the Average Manufacturer Price, or AMP;</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and biologics, including our product candidates, that are inhaled, infused, instilled, implanted, or injected;</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8"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 w:lineRule="exact"/>
        <w:rPr>
          <w:rFonts w:ascii="MS PGothic" w:cs="MS PGothic" w:eastAsia="MS PGothic" w:hAnsi="MS PGothic"/>
          <w:sz w:val="25"/>
          <w:szCs w:val="25"/>
          <w:color w:val="auto"/>
          <w:vertAlign w:val="superscript"/>
        </w:rPr>
      </w:pPr>
    </w:p>
    <w:p>
      <w:pPr>
        <w:jc w:val="both"/>
        <w:ind w:left="960" w:right="38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Congress;</w:t>
      </w:r>
    </w:p>
    <w:p>
      <w:pPr>
        <w:spacing w:after="0" w:line="28"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31"/>
        </w:numPr>
        <w:rPr>
          <w:rFonts w:ascii="MS PGothic" w:cs="MS PGothic" w:eastAsia="MS PGothic" w:hAnsi="MS PGothic"/>
          <w:sz w:val="24"/>
          <w:szCs w:val="24"/>
          <w:color w:val="auto"/>
          <w:vertAlign w:val="superscript"/>
        </w:rPr>
      </w:pPr>
      <w:r>
        <w:rPr>
          <w:rFonts w:ascii="Arial" w:cs="Arial" w:eastAsia="Arial" w:hAnsi="Arial"/>
          <w:sz w:val="17"/>
          <w:szCs w:val="17"/>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the entities eligible for discounts under the Public Health Service program;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licensure framework for follow on biologic products.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any certain provisions of the ACA or otherwise circumvent some of the requirements for health insurance mandated by the ACA. The Trump administration has also announced that it will discontinue the payment of cost-sharing reduction, or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have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We continue to evaluate the effect that the ACA and its possible repeal and replacement has on our business. It is uncertain the extent to which any such changes may impact our business or financial condition.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206"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In markets outside of the United States and EU, reimbursement and healthcare payment systems vary significantly by country, and many countries have instituted price ceilings on specific products and therapies.</w:t>
      </w:r>
    </w:p>
    <w:p>
      <w:pPr>
        <w:spacing w:after="0" w:line="19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6"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229" w:lineRule="exact"/>
        <w:rPr>
          <w:sz w:val="20"/>
          <w:szCs w:val="20"/>
          <w:color w:val="auto"/>
        </w:rPr>
      </w:pPr>
    </w:p>
    <w:p>
      <w:pPr>
        <w:ind w:left="960" w:hanging="432"/>
        <w:spacing w:after="0" w:line="230"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31"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false claims and civil monetary penalties laws, including the civil False Claims Act, or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9" w:lineRule="exact"/>
        <w:rPr>
          <w:rFonts w:ascii="MS PGothic" w:cs="MS PGothic" w:eastAsia="MS PGothic" w:hAnsi="MS PGothic"/>
          <w:sz w:val="25"/>
          <w:szCs w:val="25"/>
          <w:color w:val="auto"/>
          <w:vertAlign w:val="superscript"/>
        </w:rPr>
      </w:pPr>
    </w:p>
    <w:p>
      <w:pPr>
        <w:ind w:left="960" w:right="40" w:hanging="432"/>
        <w:spacing w:after="0" w:line="226"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39" w:lineRule="auto"/>
        <w:rPr>
          <w:sz w:val="20"/>
          <w:szCs w:val="20"/>
          <w:color w:val="auto"/>
        </w:rPr>
      </w:pPr>
      <w:r>
        <w:rPr>
          <w:rFonts w:ascii="Arial" w:cs="Arial" w:eastAsia="Arial" w:hAnsi="Arial"/>
          <w:sz w:val="18"/>
          <w:szCs w:val="18"/>
          <w:color w:val="auto"/>
        </w:rPr>
        <w:t>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6" w:lineRule="exact"/>
        <w:rPr>
          <w:sz w:val="20"/>
          <w:szCs w:val="20"/>
          <w:color w:val="auto"/>
        </w:rPr>
      </w:pPr>
    </w:p>
    <w:p>
      <w:pPr>
        <w:ind w:left="960" w:hanging="432"/>
        <w:spacing w:after="0" w:line="230"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8"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their immediate family members;</w:t>
      </w:r>
    </w:p>
    <w:p>
      <w:pPr>
        <w:spacing w:after="0" w:line="26"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29"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authorities will conclude that our business practices do not comply with current or future statutes, regulations, agency guidance or case law involving applicable fraud and abuse or other healthcare laws and regulations.</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4" w:lineRule="exact"/>
        <w:rPr>
          <w:sz w:val="20"/>
          <w:szCs w:val="20"/>
          <w:color w:val="auto"/>
        </w:rPr>
      </w:pPr>
    </w:p>
    <w:p>
      <w:pPr>
        <w:ind w:left="200" w:right="440"/>
        <w:spacing w:after="0" w:line="253" w:lineRule="auto"/>
        <w:rPr>
          <w:sz w:val="20"/>
          <w:szCs w:val="20"/>
          <w:color w:val="auto"/>
        </w:rPr>
      </w:pPr>
      <w:r>
        <w:rPr>
          <w:rFonts w:ascii="Arial" w:cs="Arial" w:eastAsia="Arial" w:hAnsi="Arial"/>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7"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05"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00"/>
        <w:spacing w:after="0" w:line="246" w:lineRule="auto"/>
        <w:rPr>
          <w:sz w:val="20"/>
          <w:szCs w:val="20"/>
          <w:color w:val="auto"/>
        </w:rPr>
      </w:pPr>
      <w:r>
        <w:rPr>
          <w:rFonts w:ascii="Arial" w:cs="Arial" w:eastAsia="Arial" w:hAnsi="Arial"/>
          <w:sz w:val="18"/>
          <w:szCs w:val="18"/>
          <w:color w:val="auto"/>
        </w:rPr>
        <w:t>followed at all times or effectively detect and prevent violations of the applicable laws by one or more of our employees, consultants, agents, or collaborators and, as a result, we could be subject to fines, penalties, or prosecution.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left="200" w:right="860"/>
        <w:spacing w:after="0" w:line="271"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acquiring, developing, or commercializing competing products before or more successfully than we do.</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acquire, develop, and obtain marketing approval for new products on a cost-effective basis and to market them successfully. If BPS-804, AZD-9668, BCT-197, or BGS-649 is approved, we will face intense competition from a variety of businesses, including large, fully integrated pharmaceutical companies, specialty pharmaceutical companies, and biopharmaceutical companies in the United States, Europe,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 candidates.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to face competition for each of our current product candidates, including specifically:</w:t>
      </w:r>
    </w:p>
    <w:p>
      <w:pPr>
        <w:spacing w:after="0" w:line="239" w:lineRule="exact"/>
        <w:rPr>
          <w:sz w:val="20"/>
          <w:szCs w:val="20"/>
          <w:color w:val="auto"/>
        </w:rPr>
      </w:pPr>
    </w:p>
    <w:p>
      <w:pPr>
        <w:ind w:left="960" w:right="40" w:hanging="432"/>
        <w:spacing w:after="0" w:line="229"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BPS-804’s current closest potential competitors in development for the treatment of OI to be denosumab (Prolia) from Amgen Inc., or Amgen, an anti-resorptive agent, and UCB S.A., or UCB, and Amgen’s anti-sclerostin antibody, romosozumab. Blosozumab, an anti-sclerostin antibody, was in Phase 1 development for osteoporosis by Eli Lilly and Company, or Eli Lilly; however, we are not aware of any ongoing clinical trials for this product candidate and we do not believe this product candidate remains under active development. Additionally, Bone Therapeutics SA, or Bone Therapeutics, is developing osteoblastic cell therapy products.</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9"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AZD-9668’s current closest potential competitors for the treatment of severe AATD to be alpha1-proteinase inhibitors that are administered intravenously in AAT augmentation therapy. Currently, there are four inhibitors on the market in the United States: Prolastin-C from Grifols, S.A., or Grifols, Aralast from Shire plc, or Shire, Zemaira from CSL Limited, or CSL, and Glassia from Kamada Ltd., or Kamada. Kamada is also investigating an inhaled version of augmentation therapy and Apic Bio, Inc., or Apic Bio and Adverum Biotechnologies, Inc., or Adverum, are in the early stages of developing gene-therapy approaches for AATD. Santhera Pharmaceuticals, or Santhera, has in-licensed an inhaled neutrophil elastase inhibitor and is planning a multiple ascending dose study, with the initial indication targeted being cystic fibrosis.</w:t>
      </w:r>
    </w:p>
    <w:p>
      <w:pPr>
        <w:spacing w:after="0" w:line="32" w:lineRule="exact"/>
        <w:rPr>
          <w:rFonts w:ascii="MS PGothic" w:cs="MS PGothic" w:eastAsia="MS PGothic" w:hAnsi="MS PGothic"/>
          <w:sz w:val="25"/>
          <w:szCs w:val="25"/>
          <w:color w:val="auto"/>
          <w:vertAlign w:val="superscript"/>
        </w:rPr>
      </w:pPr>
    </w:p>
    <w:p>
      <w:pPr>
        <w:ind w:left="960" w:right="160" w:hanging="432"/>
        <w:spacing w:after="0" w:line="226"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although we are not aware of any approved therapies for the treatment of AECOPD, there are a wide range of established therapies available for COPD as well as a number of products in development, with Verona Pharma plc, or Verona Pharma, GlaxoSmithKline plc. or GlaxoSmithKline, and AstraZeneca each conducting Phase 2 trials on drugs for the treatment of COPD.</w:t>
      </w:r>
    </w:p>
    <w:p>
      <w:pPr>
        <w:spacing w:after="0" w:line="27"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BGS-649’s current closest potential competitors for the treatment of HH to be testosterone replacement therapies, or TRT. These include Androgel from AbbVie Inc., or Abbvie, and Eli Lilly’s Axiron, both administered transdermally by applying a gel formulation, which are approved in the United States and Europe, and Andriol from Merck &amp; Co., Inc., or Merck, an oral testosterone therapy, which is approved in Europe but not in the United States. There are also other approved TRT products that are administered via injection and other oral TRTs that are still in the development or registration stages, such as JATENZO from Clarus Therapeutics, Inc., or Clarus, and TLANDO from Lipocine, Inc., or Lipocine. The FDA held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20"/>
        <w:spacing w:after="0" w:line="239" w:lineRule="auto"/>
        <w:rPr>
          <w:sz w:val="20"/>
          <w:szCs w:val="20"/>
          <w:color w:val="auto"/>
        </w:rPr>
      </w:pPr>
      <w:r>
        <w:rPr>
          <w:rFonts w:ascii="Arial" w:cs="Arial" w:eastAsia="Arial" w:hAnsi="Arial"/>
          <w:sz w:val="18"/>
          <w:szCs w:val="18"/>
          <w:color w:val="auto"/>
        </w:rPr>
        <w:t>Advisory Committee meetings in January 2018 for JATENZO and TLANDO. Lipocine has a Prescription Drug User Fee Act, or PDUFA, date of May 8, 2018. In addition, Repros Therapeutics, Inc., or Repros, is developing a selective estrogen receptor modulator and the EMA’s Committee for Medicinal Products for Human Use, or CHMP, adopted a negative opinion recommending the refusal of its marketing authorization. In December 2017, Allergan announced the acquisition of Repros.</w:t>
      </w:r>
    </w:p>
    <w:p>
      <w:pPr>
        <w:spacing w:after="0" w:line="20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also anticipate that new companies will enter these markets in the future. If we successfully develop and commercialize any of BPS-804, AZD-9668, BCT-197, or BGS-649,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229" w:lineRule="exact"/>
        <w:rPr>
          <w:sz w:val="20"/>
          <w:szCs w:val="20"/>
          <w:color w:val="auto"/>
        </w:rPr>
      </w:pPr>
    </w:p>
    <w:p>
      <w:pPr>
        <w:ind w:left="960" w:right="60" w:hanging="432"/>
        <w:spacing w:after="0" w:line="223"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commercialize products that are safer, more effective, less expensive, more convenient, or easier to administer, or have fewer or less severe effects, or in certain cases could be curative for the condition;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obtain quicker regulatory approval;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superior proprietary positions covering our products and technologies;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implement more effective approaches to sales and marketing;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more advantageous strategic alliances.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ours, which could result in our competitors establishing or strengthening their market position before we are able to enter the market.</w:t>
      </w:r>
    </w:p>
    <w:p>
      <w:pPr>
        <w:spacing w:after="0" w:line="186"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We have obtained orphan drug designation for BPS-804 for the treatment of OI in the United States and EU, but we may be unable to obtain orphan drug designation for AZD-9668 or any future product candidates, and we may be unable to obtain or maintain the benefits associated with orphan drug designation, including the potential for orphan drug exclusivity, for BPS-804 or any other product candidate for which we obtain orphan drug designation.</w:t>
      </w:r>
    </w:p>
    <w:p>
      <w:pPr>
        <w:spacing w:after="0" w:line="6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03"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drug is sufficiently profitable not to justify maintenance of market exclusivity.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21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have obtained orphan drug designation from the FDA and EMA for BPS-804 for the treatment of OI, and we plan to seek orphan drug designation for AZD-9668 and future product candidates. Even with orphan drug designation, we may not be the first to obtain marketing approval for any particular orphan indication due to the uncertainties associated with developing pharmaceutical products, which could prevent us from marketing our product candidates if another company is able to obtain orphan drug exclusivity before we do. In addition, exclusive marketing rights in the United States may be unavailable if we seek approval for an indication broader than the orphan-designated indication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with different active moieties can be approved for the same condition. In addition, the FDA and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AZD-9668, we may never receive such designations.</w:t>
      </w:r>
    </w:p>
    <w:p>
      <w:pPr>
        <w:spacing w:after="0" w:line="203"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 In 2014, a U.S. district court invalidated the FDA’s denial of orphan exclusivity to an orphan designated drug, which the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 regulations and policies, and it is uncertain how ongoing and future challenges might affect our business.</w:t>
      </w:r>
    </w:p>
    <w:p>
      <w:pPr>
        <w:spacing w:after="0" w:line="185" w:lineRule="exact"/>
        <w:rPr>
          <w:sz w:val="20"/>
          <w:szCs w:val="20"/>
          <w:color w:val="auto"/>
        </w:rPr>
      </w:pPr>
    </w:p>
    <w:p>
      <w:pPr>
        <w:ind w:left="200" w:right="200"/>
        <w:spacing w:after="0" w:line="247" w:lineRule="auto"/>
        <w:rPr>
          <w:sz w:val="20"/>
          <w:szCs w:val="20"/>
          <w:color w:val="auto"/>
        </w:rPr>
      </w:pPr>
      <w:r>
        <w:rPr>
          <w:rFonts w:ascii="Arial" w:cs="Arial" w:eastAsia="Arial" w:hAnsi="Arial"/>
          <w:sz w:val="18"/>
          <w:szCs w:val="18"/>
          <w:b w:val="1"/>
          <w:bCs w:val="1"/>
          <w:i w:val="1"/>
          <w:iCs w:val="1"/>
          <w:color w:val="auto"/>
        </w:rPr>
        <w:t>We may seek and fail to obtain breakthrough therapy designation by the FDA for BPS-804 or AZD-9668, or any future product candidates or access to the PRIME scheme by the EMA for AZD-9668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2012, the FDA established a breakthrough therapy designation which is intended to expedite the development and review of product candidates that treat serious or life-threatening diseases where preliminary clinical evidence indicates that the product candidate may demonstrate substantial improvement over existing therapies on one or more clinically-significant endpoints, such as substantial treatment effects observed early in clinical development. The designation of a product candidate as a breakthrough therapy provides potential benefits that include but are not limited to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BPS-804 was admitted to the PRIME scheme of the EMA.</w:t>
      </w:r>
    </w:p>
    <w:p>
      <w:pPr>
        <w:spacing w:after="0" w:line="20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we cannot be sure that AZD-9668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207"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203"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05" w:lineRule="exact"/>
        <w:rPr>
          <w:sz w:val="20"/>
          <w:szCs w:val="20"/>
          <w:color w:val="auto"/>
        </w:rPr>
      </w:pPr>
    </w:p>
    <w:p>
      <w:pPr>
        <w:jc w:val="both"/>
        <w:ind w:left="200" w:right="400" w:firstLine="331"/>
        <w:spacing w:after="0"/>
        <w:rPr>
          <w:sz w:val="20"/>
          <w:szCs w:val="20"/>
          <w:color w:val="auto"/>
        </w:rPr>
      </w:pPr>
      <w:r>
        <w:rPr>
          <w:rFonts w:ascii="Arial" w:cs="Arial" w:eastAsia="Arial" w:hAnsi="Arial"/>
          <w:sz w:val="18"/>
          <w:szCs w:val="18"/>
          <w:color w:val="auto"/>
        </w:rPr>
        <w:t>Our operations are also subject to extensive governmental price controls and other market regulations in the United Kingdom and other countries outside of the United States, and we believe the increasing emphasis on cost-containment initiatives in European and other countries have and will</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20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1"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Our existing and future product candidates may not gain market acceptance, in which case our ability to generate product revenues will be compromised.</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Even if the FDA, the EMA,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93" w:lineRule="exact"/>
        <w:rPr>
          <w:sz w:val="20"/>
          <w:szCs w:val="20"/>
          <w:color w:val="auto"/>
        </w:rPr>
      </w:pPr>
    </w:p>
    <w:p>
      <w:pPr>
        <w:ind w:left="960" w:hanging="432"/>
        <w:spacing w:after="0"/>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of market introduction;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number and clinical profile of competing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clinical indications for which our product candidates are approved;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provide acceptable evidence of safety and efficacy;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side effects;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cost-effectiveness;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marketing and distribution support;</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potential advantages over alternative treatment methods.</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75"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We intend to directly commercialize our product candidates for rare diseases and to seek strategic relationships with third parties for the commercialization of our product candidates for specialty diseases. If we are unable to develop our own sales, marketing, and distribution capabilities or enter into business arrangements, we may not be successful in commercializing our product candidates.</w:t>
      </w:r>
    </w:p>
    <w:p>
      <w:pPr>
        <w:spacing w:after="0" w:line="48" w:lineRule="exact"/>
        <w:rPr>
          <w:sz w:val="20"/>
          <w:szCs w:val="20"/>
          <w:color w:val="auto"/>
        </w:rPr>
      </w:pPr>
    </w:p>
    <w:p>
      <w:pPr>
        <w:ind w:left="200" w:right="1040" w:firstLine="331"/>
        <w:spacing w:after="0" w:line="246"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We also have no strategic relationships 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place for the commercialization of our product candidates. For BPS-804 and AZD-9668, if approved, and for any future product candidates for rare diseases, we intend either to establish a sales and marketing organization with technical expertise and supporting distribution capabilities to commercialize these product candidates in major markets or potentially to outsource aspects of these functions to third parties. We may not be able to hire a sales force that is sufficient in size or has adequate expertise in OI, AATD, or other relevant rare diseases. Any failure or delay in the development of our internal sales, marketing, and distribution capabilities would adversely impact the commercialization of these product candidates.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 BCT-197 and BGS-649, and for any future product candidates for specialty diseases, we intend to enter into strategic relationships for the commercialization of these product candidates. These arrangements may also include the late-stage clinical development of a product candidate. As a result, our revenue from product sales may be lower than if we directly marketed or sold these product candidates. In addition, any revenue we receive will depend upon the terms of such arrangement, which may not be as favorable to us as possible, and the efforts of the other party, which may not be adequate or successful and are likely to be beyond our control. If we are unable to enter into these arrangements on acceptable terms or at all, we may not be able to successfully commercialize these product candidates.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strategic relationships with third parties, our future product revenue will suffer and we may incur significant losses.</w:t>
      </w:r>
    </w:p>
    <w:p>
      <w:pPr>
        <w:spacing w:after="0" w:line="180"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products in the United States may face competition sooner than anticipated.</w:t>
      </w:r>
    </w:p>
    <w:p>
      <w:pPr>
        <w:spacing w:after="0" w:line="4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 the United States, 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products.</w:t>
      </w:r>
    </w:p>
    <w:p>
      <w:pPr>
        <w:spacing w:after="0" w:line="207"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We believe that if any product candidate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products is not yet clear, and will depend on a number of marketplace and regulatory factors that are still developing.</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34" w:lineRule="auto"/>
        <w:rPr>
          <w:sz w:val="20"/>
          <w:szCs w:val="20"/>
          <w:color w:val="auto"/>
        </w:rPr>
      </w:pPr>
      <w:r>
        <w:rPr>
          <w:rFonts w:ascii="Arial" w:cs="Arial" w:eastAsia="Arial" w:hAnsi="Arial"/>
          <w:sz w:val="18"/>
          <w:szCs w:val="18"/>
          <w:color w:val="auto"/>
        </w:rPr>
        <w:t>In the EU, MAAs for products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w:t>
      </w:r>
    </w:p>
    <w:p>
      <w:pPr>
        <w:spacing w:after="0" w:line="2" w:lineRule="exact"/>
        <w:rPr>
          <w:sz w:val="20"/>
          <w:szCs w:val="20"/>
          <w:color w:val="auto"/>
        </w:rPr>
      </w:pPr>
    </w:p>
    <w:p>
      <w:pPr>
        <w:ind w:left="200" w:right="160" w:firstLine="4"/>
        <w:spacing w:after="0" w:line="238"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have relied upon and plan to continue to rely upon independent clinical investigators and CROs to conduct our clinical trials and to monitor and manage data for our ongoing clinical programs. We rely on these parties for the execution of our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GxP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GxP requirements. Our failure to comply with these regulations may require us to repeat clinical trials, which would delay the regulatory approval process.</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result, delays could occur, which could materially impact our ability to meet our desired clinical development timelines.</w:t>
      </w:r>
    </w:p>
    <w:p>
      <w:pPr>
        <w:spacing w:after="0" w:line="21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83" w:lineRule="exact"/>
        <w:rPr>
          <w:sz w:val="20"/>
          <w:szCs w:val="20"/>
          <w:color w:val="auto"/>
        </w:rPr>
      </w:pPr>
    </w:p>
    <w:p>
      <w:pPr>
        <w:ind w:left="200" w:right="80"/>
        <w:spacing w:after="0" w:line="247" w:lineRule="auto"/>
        <w:rPr>
          <w:sz w:val="20"/>
          <w:szCs w:val="20"/>
          <w:color w:val="auto"/>
        </w:rPr>
      </w:pPr>
      <w:r>
        <w:rPr>
          <w:rFonts w:ascii="Arial" w:cs="Arial" w:eastAsia="Arial" w:hAnsi="Arial"/>
          <w:sz w:val="18"/>
          <w:szCs w:val="18"/>
          <w:b w:val="1"/>
          <w:bCs w:val="1"/>
          <w:i w:val="1"/>
          <w:iCs w:val="1"/>
          <w:color w:val="auto"/>
        </w:rPr>
        <w:t>We currently rely on third-party contract manufacturing organizations, or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6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our product candidates. Instead, we rely on and expect to continue to rely on CMOs for the supply of cGMP grade clinical trial materials and commercial quantities of our product candidates, if approved. Reliance on CMOs may expose us to more risk than if we were to manufacture our product candidates ourselves. Novartis previously provided clinical supplies for BPS-804, BCT-197, and BGS-649 and certain transitional services. We have moved the clinical supply manufacture for these product candidates to CMOs. We also intend to contract with CMOs for the clinical supply of AZD-9668.</w:t>
      </w:r>
    </w:p>
    <w:p>
      <w:pPr>
        <w:spacing w:after="0" w:line="20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facilities used to manufacture our product candidates must be approved by the FDA, the EMA, and comparable foreign authorities pursuant to inspections. While we provide oversight of manufacturing activities, we do not and will not control the execution of our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investigational medicinal products in clinical trials, or for commercial distribution of our product candidates, if approved. In addition, we have limited control over the ability of our CMOs to maintain adequate quality control, quality assurance and qualified personnel. If the FDA, the EMA or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the manufacture of biologics involves expensive and complex processes and worldwide capacity at CMOs for the manufacture of biologics is currently limited. In addition, Novartis has a contractual right to approve or reject any additional CMO we wish to engage for the manufacture of BPS-804. If we were unable to find an adequate CMO or another acceptable solution in time, our clinical trials could be delayed or our commercial activities could be harmed.</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20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81" w:lineRule="exact"/>
        <w:rPr>
          <w:sz w:val="20"/>
          <w:szCs w:val="20"/>
          <w:color w:val="auto"/>
        </w:rPr>
      </w:pPr>
    </w:p>
    <w:p>
      <w:pPr>
        <w:ind w:left="200" w:right="420"/>
        <w:spacing w:after="0" w:line="253" w:lineRule="auto"/>
        <w:rPr>
          <w:sz w:val="20"/>
          <w:szCs w:val="20"/>
          <w:color w:val="auto"/>
        </w:rPr>
      </w:pPr>
      <w:r>
        <w:rPr>
          <w:rFonts w:ascii="Arial" w:cs="Arial" w:eastAsia="Arial" w:hAnsi="Arial"/>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56"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Our development program for our product candidates, particularly as we enter late-stage development, will require substantial additional funds. We currently intend to enter into a strategic relationship with a pharmaceutical or biopharmaceutical company for the continued development of BCT-197 and potentially for BGS-649, and we may take the same approach for other product candidates.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These types of development arrangements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we are unable to enter into an appropriate arrangement for the development of BCT-197 and potentially for BGS-649 or other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Intellectual Property and Data Protection</w:t>
      </w:r>
    </w:p>
    <w:p>
      <w:pPr>
        <w:spacing w:after="0" w:line="212" w:lineRule="exact"/>
        <w:rPr>
          <w:sz w:val="20"/>
          <w:szCs w:val="20"/>
          <w:color w:val="auto"/>
        </w:rPr>
      </w:pPr>
    </w:p>
    <w:p>
      <w:pPr>
        <w:ind w:left="200" w:right="300"/>
        <w:spacing w:after="0" w:line="25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56"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products, and methods of using our product candidates for the treatment of the indications we are developing or plan to develop, or on in-licensing such rights. Our patent portfolio comprises patents and patent applications which cover our BPS-804, BCT-197, and BGS-649 product candidates acquired or exclusively licensed from Novartis, and patents and patent applications which cover our AZD-9668 product candidate exclusively licensed (with the option to purchase) from AstraZeneca. The assignments of those patents and patent applications which we acquired from Novartis have been registered with the relevant authorities in key territories and the exclusive licenses from AstraZeneca are in the process of being registered with the relevant authorities in key territories.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204"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w:t>
      </w:r>
    </w:p>
    <w:p>
      <w:pPr>
        <w:ind w:left="200"/>
        <w:spacing w:after="0" w:line="234" w:lineRule="auto"/>
        <w:rPr>
          <w:sz w:val="20"/>
          <w:szCs w:val="20"/>
          <w:color w:val="auto"/>
        </w:rPr>
      </w:pPr>
      <w:r>
        <w:rPr>
          <w:rFonts w:ascii="Arial" w:cs="Arial" w:eastAsia="Arial" w:hAnsi="Arial"/>
          <w:sz w:val="18"/>
          <w:szCs w:val="18"/>
          <w:color w:val="auto"/>
        </w:rPr>
        <w:t>that we or our licensors were the first to file any patent application related to our product candidates. Furthermore, in the United States, if</w:t>
      </w:r>
    </w:p>
    <w:p>
      <w:pPr>
        <w:ind w:left="200"/>
        <w:spacing w:after="0" w:line="235" w:lineRule="auto"/>
        <w:rPr>
          <w:sz w:val="20"/>
          <w:szCs w:val="20"/>
          <w:color w:val="auto"/>
        </w:rPr>
      </w:pPr>
      <w:r>
        <w:rPr>
          <w:rFonts w:ascii="Arial" w:cs="Arial" w:eastAsia="Arial" w:hAnsi="Arial"/>
          <w:sz w:val="18"/>
          <w:szCs w:val="18"/>
          <w:color w:val="auto"/>
        </w:rPr>
        <w:t>third parties have filed such patent applications on or before March 15, 2013, the date on which the United States changed from a first to</w:t>
      </w:r>
    </w:p>
    <w:p>
      <w:pPr>
        <w:ind w:left="200"/>
        <w:spacing w:after="0" w:line="235" w:lineRule="auto"/>
        <w:rPr>
          <w:sz w:val="20"/>
          <w:szCs w:val="20"/>
          <w:color w:val="auto"/>
        </w:rPr>
      </w:pPr>
      <w:r>
        <w:rPr>
          <w:rFonts w:ascii="Arial" w:cs="Arial" w:eastAsia="Arial" w:hAnsi="Arial"/>
          <w:sz w:val="18"/>
          <w:szCs w:val="18"/>
          <w:color w:val="auto"/>
        </w:rPr>
        <w:t>invent to a first to file patent system, an interference proceeding can be initiated by such third parties to determine who was the first to</w:t>
      </w:r>
    </w:p>
    <w:p>
      <w:pPr>
        <w:ind w:left="200"/>
        <w:spacing w:after="0" w:line="235" w:lineRule="auto"/>
        <w:rPr>
          <w:sz w:val="20"/>
          <w:szCs w:val="20"/>
          <w:color w:val="auto"/>
        </w:rPr>
      </w:pPr>
      <w:r>
        <w:rPr>
          <w:rFonts w:ascii="Arial" w:cs="Arial" w:eastAsia="Arial" w:hAnsi="Arial"/>
          <w:sz w:val="18"/>
          <w:szCs w:val="18"/>
          <w:color w:val="auto"/>
        </w:rPr>
        <w:t>invent any of the subject matter covered by the patent claims of our applications. If third parties have filed such applications after</w:t>
      </w:r>
    </w:p>
    <w:p>
      <w:pPr>
        <w:ind w:left="200"/>
        <w:spacing w:after="0" w:line="235" w:lineRule="auto"/>
        <w:rPr>
          <w:sz w:val="20"/>
          <w:szCs w:val="20"/>
          <w:color w:val="auto"/>
        </w:rPr>
      </w:pPr>
      <w:r>
        <w:rPr>
          <w:rFonts w:ascii="Arial" w:cs="Arial" w:eastAsia="Arial" w:hAnsi="Arial"/>
          <w:sz w:val="18"/>
          <w:szCs w:val="18"/>
          <w:color w:val="auto"/>
        </w:rPr>
        <w:t>March 15, 2013, a derivation proceeding can be initiated by such third parties to determine whether our invention was derived from theirs.</w:t>
      </w:r>
    </w:p>
    <w:p>
      <w:pPr>
        <w:ind w:left="200"/>
        <w:spacing w:after="0" w:line="235" w:lineRule="auto"/>
        <w:rPr>
          <w:sz w:val="20"/>
          <w:szCs w:val="20"/>
          <w:color w:val="auto"/>
        </w:rPr>
      </w:pPr>
      <w:r>
        <w:rPr>
          <w:rFonts w:ascii="Arial" w:cs="Arial" w:eastAsia="Arial" w:hAnsi="Arial"/>
          <w:sz w:val="18"/>
          <w:szCs w:val="18"/>
          <w:color w:val="auto"/>
        </w:rPr>
        <w:t>Even where we have a valid and enforceable patent, we may not be able to exclude others from practicing our invention where the other</w:t>
      </w:r>
    </w:p>
    <w:p>
      <w:pPr>
        <w:ind w:left="200"/>
        <w:spacing w:after="0"/>
        <w:rPr>
          <w:sz w:val="20"/>
          <w:szCs w:val="20"/>
          <w:color w:val="auto"/>
        </w:rPr>
      </w:pPr>
      <w:r>
        <w:rPr>
          <w:rFonts w:ascii="Arial" w:cs="Arial" w:eastAsia="Arial" w:hAnsi="Arial"/>
          <w:sz w:val="18"/>
          <w:szCs w:val="18"/>
          <w:color w:val="auto"/>
        </w:rPr>
        <w:t>party can show that they used the invention in commerce before our filing date or the other party benefits from a compulsory license.</w:t>
      </w:r>
    </w:p>
    <w:p>
      <w:pPr>
        <w:spacing w:after="0" w:line="190"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we may not be able to protect our intellectual property rights throughout the world.</w:t>
      </w:r>
    </w:p>
    <w:p>
      <w:pPr>
        <w:spacing w:after="0" w:line="4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and our licensors’ technologies in jurisdictions where we have not obtained patent protection to develop their own products and, further, may export otherwise infringing products to territories where we and our licensors have patent protection, but enforcement rights are not as strong as that in the United States or Europe. These products may compete with our product candidates, and our and our licensors’ patents or other intellectual property rights may not be effective or sufficient to prevent them from competing.</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candidate or technology.</w:t>
      </w:r>
    </w:p>
    <w:p>
      <w:pPr>
        <w:spacing w:after="0" w:line="20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business in such jurisdictions, the value of these rights may be diminished and we may face additional competition from others in those jurisdictions.</w:t>
      </w:r>
    </w:p>
    <w:p>
      <w:pPr>
        <w:spacing w:after="0" w:line="197" w:lineRule="exact"/>
        <w:rPr>
          <w:sz w:val="20"/>
          <w:szCs w:val="20"/>
          <w:color w:val="auto"/>
        </w:rPr>
      </w:pPr>
    </w:p>
    <w:p>
      <w:pPr>
        <w:ind w:left="200" w:right="100" w:firstLine="331"/>
        <w:spacing w:after="0" w:line="257"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67"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41" w:lineRule="exact"/>
        <w:rPr>
          <w:sz w:val="20"/>
          <w:szCs w:val="20"/>
          <w:color w:val="auto"/>
        </w:rPr>
      </w:pPr>
    </w:p>
    <w:p>
      <w:pPr>
        <w:ind w:left="200" w:right="80" w:firstLine="331"/>
        <w:spacing w:after="0" w:line="275" w:lineRule="auto"/>
        <w:rPr>
          <w:sz w:val="20"/>
          <w:szCs w:val="20"/>
          <w:color w:val="auto"/>
        </w:rPr>
      </w:pPr>
      <w:r>
        <w:rPr>
          <w:rFonts w:ascii="Arial" w:cs="Arial" w:eastAsia="Arial" w:hAnsi="Arial"/>
          <w:sz w:val="17"/>
          <w:szCs w:val="17"/>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0" w:lineRule="exact"/>
        <w:rPr>
          <w:sz w:val="20"/>
          <w:szCs w:val="20"/>
          <w:color w:val="auto"/>
        </w:rPr>
      </w:pPr>
    </w:p>
    <w:p>
      <w:pPr>
        <w:ind w:left="96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be able to make compounds that are the same as or similar to our product candidates but that are not covered by the claims of the patents that we own or have exclusively licensed;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impair our ability to develop or commercialize our product candidates;</w:t>
      </w:r>
    </w:p>
    <w:p>
      <w:pPr>
        <w:spacing w:after="0" w:line="26"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be extended beyond the expected patent term and thus may impair our ability to develop or commercialize our product candidates;</w:t>
      </w:r>
    </w:p>
    <w:p>
      <w:pPr>
        <w:spacing w:after="0" w:line="27"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27" w:lineRule="exact"/>
        <w:rPr>
          <w:rFonts w:ascii="MS PGothic" w:cs="MS PGothic" w:eastAsia="MS PGothic" w:hAnsi="MS PGothic"/>
          <w:sz w:val="25"/>
          <w:szCs w:val="25"/>
          <w:color w:val="auto"/>
          <w:vertAlign w:val="superscript"/>
        </w:rPr>
      </w:pPr>
    </w:p>
    <w:p>
      <w:pPr>
        <w:ind w:left="960" w:right="460" w:hanging="432"/>
        <w:spacing w:after="0" w:line="223"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possible that the pending patent applications that we own or have exclusively licensed may not lead to issued patents;</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performing manufacturing or testing for us using our products or technologies could use the intellectual property of others without obtaining a proper license;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or our licensors’ inventions or technologies may be found to be not patentable;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develop additional technologies that are patentable.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40"/>
        <w:spacing w:after="0" w:line="247" w:lineRule="auto"/>
        <w:rPr>
          <w:sz w:val="20"/>
          <w:szCs w:val="20"/>
          <w:color w:val="auto"/>
        </w:rPr>
      </w:pPr>
      <w:r>
        <w:rPr>
          <w:rFonts w:ascii="Arial" w:cs="Arial" w:eastAsia="Arial" w:hAnsi="Arial"/>
          <w:sz w:val="18"/>
          <w:szCs w:val="18"/>
          <w:b w:val="1"/>
          <w:bCs w:val="1"/>
          <w:i w:val="1"/>
          <w:iCs w:val="1"/>
          <w:color w:val="auto"/>
        </w:rPr>
        <w:t>We may become subject to third parties’ claims alleging infringement of their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6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or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204"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third-party patents are valid, enforceable and infringed, and the holders of any such patents may be able to block our ability to commercialize the applicable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or EPO, containing claims that appear to cover the use of BPS-804 in the treatment of OI. The patent owner could assert such patent against us, which could present the foregoing risks and impose limitations in our ability to develop, manufacture or sell BPS-804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214"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the product or product candidate that is the subject of the suit may be delayed or terminated. As a result of patent infringement claims, or in order to avoid potential infringement claims, we may choose to seek, or be required to seek, a license from</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8"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In addition, if the breadth or strength of protection provided by our patents is threatened, it could dissuade companies from collaborating with us to license, develop, or commercialize our current or future product candidates. Furthermore, our patents and other intellectual property rights also will not protect our technology if competitors design around our protected technology without infringing our patents or other intellectual property rights.</w:t>
      </w:r>
    </w:p>
    <w:p>
      <w:pPr>
        <w:spacing w:after="0" w:line="21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interim proceedings or developments. If securities analysts or investors view these announcements in a negative light, the price of our ADSs and ordinary shares could be adversely affected.</w:t>
      </w:r>
    </w:p>
    <w:p>
      <w:pPr>
        <w:spacing w:after="0" w:line="175"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41"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United States, Europe and elsewhere that is relevant to or necessary for the commercialization of our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w:t>
      </w:r>
    </w:p>
    <w:p>
      <w:pPr>
        <w:spacing w:after="0" w:line="192"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27" w:lineRule="exact"/>
        <w:rPr>
          <w:sz w:val="20"/>
          <w:szCs w:val="20"/>
          <w:color w:val="auto"/>
        </w:rPr>
      </w:pPr>
    </w:p>
    <w:p>
      <w:pPr>
        <w:ind w:left="200" w:right="220" w:firstLine="331"/>
        <w:spacing w:after="0" w:line="253" w:lineRule="auto"/>
        <w:rPr>
          <w:sz w:val="20"/>
          <w:szCs w:val="20"/>
          <w:color w:val="auto"/>
        </w:rPr>
      </w:pPr>
      <w:r>
        <w:rPr>
          <w:rFonts w:ascii="Arial" w:cs="Arial" w:eastAsia="Arial" w:hAnsi="Arial"/>
          <w:sz w:val="17"/>
          <w:szCs w:val="17"/>
          <w:color w:val="auto"/>
        </w:rPr>
        <w:t>We are party to agreements with Novartis and AstraZeneca, under which we in-license certain intellectual property and were assigned, in the case of Novartis, or granted an option to acquire, in the case of AstraZeneca, certain patents and patent applications related to our business.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73"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27"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our product candidates, and our success will likely depend 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83" w:lineRule="exact"/>
        <w:rPr>
          <w:sz w:val="20"/>
          <w:szCs w:val="20"/>
          <w:color w:val="auto"/>
        </w:rPr>
      </w:pPr>
    </w:p>
    <w:p>
      <w:pPr>
        <w:jc w:val="both"/>
        <w:ind w:left="200" w:right="3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85"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Although we are not currently experiencing any claims challenging the inventorship of our patents and patent applications or ownership of our intellectual property, we may in the future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ind w:left="200" w:right="240"/>
        <w:spacing w:after="0" w:line="27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41"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or the AIA, which was passed in September, 2011, resulted in significant changes to the U.S. patent system.</w:t>
      </w:r>
    </w:p>
    <w:p>
      <w:pPr>
        <w:spacing w:after="0" w:line="203"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05"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amendments that are allowed during prosecution. Complying with these laws and regulations could limit our ability to obtain new patents in the future that may be important for our business.</w:t>
      </w:r>
    </w:p>
    <w:p>
      <w:pPr>
        <w:spacing w:after="0" w:line="175" w:lineRule="exact"/>
        <w:rPr>
          <w:sz w:val="20"/>
          <w:szCs w:val="20"/>
          <w:color w:val="auto"/>
        </w:rPr>
      </w:pPr>
    </w:p>
    <w:p>
      <w:pPr>
        <w:ind w:left="200" w:right="180"/>
        <w:spacing w:after="0" w:line="271"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41"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 Waxman Amendments. The Hatch Waxman Amendments permit a patent term extension of up to five years for a patent covering an approved product or method of use as compensation for patent term lost during product development and the FDA regulatory review process.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4"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2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would be harmed.</w:t>
      </w:r>
    </w:p>
    <w:p>
      <w:pPr>
        <w:spacing w:after="0" w:line="27" w:lineRule="exact"/>
        <w:rPr>
          <w:sz w:val="20"/>
          <w:szCs w:val="20"/>
          <w:color w:val="auto"/>
        </w:rPr>
      </w:pPr>
    </w:p>
    <w:p>
      <w:pPr>
        <w:ind w:left="200" w:right="480" w:firstLine="331"/>
        <w:spacing w:after="0" w:line="239"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20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3"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80"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61"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20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proprietary information may be lost or we may suffer security breaches.</w:t>
      </w:r>
    </w:p>
    <w:p>
      <w:pPr>
        <w:spacing w:after="0" w:line="126"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attacks by hackers or breached due to employee error, malfeasance, or other disruptions. The loss of clinical trial data from completed, ongoing, or planned trials could result in delays in our regulatory approval efforts and significantly increase our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Our success depends upon the continued contributions of our key management, including all of our senior management team, and scientific and technical personnel, many of whom have been instrumental for us and have substantial experience with rare and specialty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86"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acquisition and development, regulatory affairs, and sales and marketing. To manage our anticipated future growth, we must continue to implement and improve our managerial, operational and financial systems, expand our facilities or acquire new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Global Offering and Our ADSs and Ordinary Shares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ADSs and ordinary shares may be volatile and may fluctuate due to factors beyond our control.</w:t>
      </w:r>
    </w:p>
    <w:p>
      <w:pPr>
        <w:spacing w:after="0" w:line="85" w:lineRule="exact"/>
        <w:rPr>
          <w:sz w:val="20"/>
          <w:szCs w:val="20"/>
          <w:color w:val="auto"/>
        </w:rPr>
      </w:pPr>
    </w:p>
    <w:p>
      <w:pPr>
        <w:jc w:val="both"/>
        <w:ind w:left="200" w:right="240" w:firstLine="331"/>
        <w:spacing w:after="0" w:line="246" w:lineRule="auto"/>
        <w:rPr>
          <w:sz w:val="20"/>
          <w:szCs w:val="20"/>
          <w:color w:val="auto"/>
        </w:rPr>
      </w:pPr>
      <w:r>
        <w:rPr>
          <w:rFonts w:ascii="Arial" w:cs="Arial" w:eastAsia="Arial" w:hAnsi="Arial"/>
          <w:sz w:val="18"/>
          <w:szCs w:val="18"/>
          <w:color w:val="auto"/>
        </w:rPr>
        <w:t>The trading market for publicly traded emerging drug development companies has been highly volatile and is likely to remain highly volatile in the future. The market price of our ADSs and ordinary shares may fluctuate significantly due to a variety of factors, including:</w:t>
      </w:r>
    </w:p>
    <w:p>
      <w:pPr>
        <w:spacing w:after="0" w:line="188" w:lineRule="exact"/>
        <w:rPr>
          <w:sz w:val="20"/>
          <w:szCs w:val="20"/>
          <w:color w:val="auto"/>
        </w:rPr>
      </w:pPr>
    </w:p>
    <w:p>
      <w:pPr>
        <w:ind w:left="960" w:hanging="432"/>
        <w:spacing w:after="0"/>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us or our competitors;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or ordinary shares by us, our senior management and board members, holders of our ADSs or our security holders in the future;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 affect the liquidity of our ADSs and ordinary shares. In addition, the stock market in general, and emerging companies in particular, have experienced extreme price and volume fluctuations that have often been unrelated or disproportionate to the operating performance of these companies. In the past in the United States, when the market price of a security has been volatile, holders of that security have sometimes instituted securities class action litigation against the issuer. If any of the holders of our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5" w:lineRule="exact"/>
        <w:rPr>
          <w:sz w:val="20"/>
          <w:szCs w:val="20"/>
          <w:color w:val="auto"/>
        </w:rPr>
      </w:pPr>
    </w:p>
    <w:p>
      <w:pPr>
        <w:ind w:left="200" w:right="340"/>
        <w:spacing w:after="0" w:line="302"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company with securities listed in the United States, and our senior management will be required to devote substantial time to new compliance initiatives and corporate governance practices.</w:t>
      </w:r>
    </w:p>
    <w:p>
      <w:pPr>
        <w:spacing w:after="0" w:line="16"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of directors.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Pursuant to Section 404 of the Sarbanes-Oxley Act of 2002, or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52" w:lineRule="auto"/>
        <w:rPr>
          <w:sz w:val="20"/>
          <w:szCs w:val="20"/>
          <w:color w:val="auto"/>
        </w:rPr>
      </w:pPr>
      <w:r>
        <w:rPr>
          <w:rFonts w:ascii="Arial" w:cs="Arial" w:eastAsia="Arial" w:hAnsi="Arial"/>
          <w:sz w:val="17"/>
          <w:szCs w:val="17"/>
          <w:color w:val="auto"/>
        </w:rPr>
        <w:t>To prepare for eventual compliance with Section 404, once we no longer qualify as an emerging growth company,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73"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i w:val="1"/>
          <w:iCs w:val="1"/>
          <w:color w:val="auto"/>
        </w:rPr>
        <w:t>There has been no public market for our ADSs prior to the U.S. offering, and an active market may not develop in which investors can resell our ADSs.</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Prior to the U.S. offering, there has been no public market for our ADSs, although our ordinary shares have traded on AIM. We cannot predict the extent to which an active market for our ADSs will develop or be sustained after the U.S. offering, or how the development of such a market might affect the market price for our ADSs. The initial public offering price of our ADSs in the U.S. offering will be agreed upon between us and the underwriters based on a number of factors, including market conditions in effect at the time of the offering, which may not be indicative of the price at which our ADSs will trade following completion of the U.S. offering. Investors may not be able to sell their ADSs at or above the initial public offering price.</w:t>
      </w:r>
    </w:p>
    <w:p>
      <w:pPr>
        <w:spacing w:after="0" w:line="183"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The dual listing of our ordinary shares and our ADSs following the U.S. offering may adversely affect the liquidity and value of our ADSs and ordinary shares.</w:t>
      </w:r>
    </w:p>
    <w:p>
      <w:pPr>
        <w:spacing w:after="0" w:line="27"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Following the global offering and after our ADSs begin trading on Nasdaq, our ordinary shares will continue to be admitted to trading on AIM. We cannot predict the effect of this dual listing on the value of our ADSs and ordinary shares. However, the dual listing of our ADSs and ordinary shares may dilute the liquidity of these securities in one or both markets and may adversely affect the development of an active trading market for our ADSs. The price of our ADSs could also be adversely affected by trading in our ordinary shares on AIM.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the ADSs.</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share price is quoted on AIM in pence sterling, while the ADSs will trade on Nasdaq in U.S. dollars. Fluctuations in the exchange rate between the U.S. dollar and the pound sterling may result in temporary differences between the value of the ADSs and the value of our ordinary shares, which may result in heavy trading by investors seeking to exploit such differences. In addition, as a result of fluctuations in the exchange rate between the U.S. dollar and the pound sterling, the U.S. dollar equivalent of the proceeds that a holder of the ADSs would receive upon the sale in the United Kingdom of any shares withdrawn from the depositary, and the U.S. dollar equivalent of any cash dividends paid in pounds sterling on our shares represented by the ADSs, could also decline.</w:t>
      </w:r>
    </w:p>
    <w:p>
      <w:pPr>
        <w:spacing w:after="0" w:line="183"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Following the global offering, our executive officers, board of directors, and certain of our existing shareholders will continue to own a majority of our ordinary shares (including ordinary shares represented by ADSs) and as a result, will have control or significant influence over us, and your interests may conflict with the interests of these shareholders.</w:t>
      </w:r>
    </w:p>
    <w:p>
      <w:pPr>
        <w:spacing w:after="0" w:line="56"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As of , 2018, after giving effect to the closing of the global offering, our executive officers, board of directors, and greater than 3% shareholders and their respective affiliates, in the aggregate, will own approximately % of our ordinary shares (including ordinary shares in the form of ADSs). Depending on the level of attendance at our general meetings of shareholders, these shareholders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either alone or voting together as a group may be in a position to control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These shareholders may have interests that differ from yours and may vote in a way with which you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81"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ADSs or ordinary shares could adversely affect the price of our ADSs and ordinary shares.</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Future sales of a substantial number of our ADSs or ordinary shares, or the perception that such sales will occur, could cause a</w:t>
      </w:r>
    </w:p>
    <w:p>
      <w:pPr>
        <w:ind w:left="200" w:right="120"/>
        <w:spacing w:after="0" w:line="234" w:lineRule="auto"/>
        <w:rPr>
          <w:sz w:val="20"/>
          <w:szCs w:val="20"/>
          <w:color w:val="auto"/>
        </w:rPr>
      </w:pPr>
      <w:r>
        <w:rPr>
          <w:rFonts w:ascii="Arial" w:cs="Arial" w:eastAsia="Arial" w:hAnsi="Arial"/>
          <w:sz w:val="18"/>
          <w:szCs w:val="18"/>
          <w:color w:val="auto"/>
        </w:rPr>
        <w:t>decline in the market price of our ADSs and ordinary shares. Based on the number of ordinary shares outstanding as of , 2018, after giving effect to the closing of the global offering, we will have ordinary shares outstanding (including ordinary shares in the</w:t>
      </w:r>
    </w:p>
    <w:p>
      <w:pPr>
        <w:spacing w:after="0" w:line="2"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form of ADSs). ADSs and ordinary shares issued and sold in the global offering may be resold in the public market immediately without restriction, unless sold in the United States by an affiliate. A significant portion of these ordinary shares, and potentially of our ADSs, will be subject to the lock-up agreements described in the sections titled “Ordinary Shares and ADSs Eligible for Future Sale” and “Underwriting.” If, after the termination of these lock-up agreements, these shareholders sell substantial amounts of ADSs or ordinary shares in the public market, or the market perceives that such sales may occur, the market price of our ADSs or ordinary shares and our ability to raise capital through an issue of equity securities in the future could be adversely affected.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purchase ordinary shares or ADSs in the global offering, you will suffer immediate dilution of your investment.</w:t>
      </w:r>
    </w:p>
    <w:p>
      <w:pPr>
        <w:spacing w:after="0" w:line="85" w:lineRule="exact"/>
        <w:rPr>
          <w:sz w:val="20"/>
          <w:szCs w:val="20"/>
          <w:color w:val="auto"/>
        </w:rPr>
      </w:pPr>
    </w:p>
    <w:p>
      <w:pPr>
        <w:ind w:left="200" w:right="160" w:firstLine="331"/>
        <w:spacing w:after="0" w:line="248" w:lineRule="auto"/>
        <w:rPr>
          <w:sz w:val="20"/>
          <w:szCs w:val="20"/>
          <w:color w:val="auto"/>
        </w:rPr>
      </w:pPr>
      <w:r>
        <w:rPr>
          <w:rFonts w:ascii="Arial" w:cs="Arial" w:eastAsia="Arial" w:hAnsi="Arial"/>
          <w:sz w:val="17"/>
          <w:szCs w:val="17"/>
          <w:color w:val="auto"/>
        </w:rPr>
        <w:t>We expect the initial public offering price of our ADSs in the US offering and the offering price of our ordinary shares in the European private placement to be substantially higher than the net tangible book value per ADS and per ordinary share prior to the global offering. Therefore, if you purchase ADSs or ordinary shares in the global offering, you will pay a price per ADS and per ordinary share that substantially exceeds our net tangible book value per ADS and per ordinary share after the global offering. To the extent any of our outstanding share options or warrants are exercised, or convertible notes are converted, for ordinary shares, you may experience further</w:t>
      </w:r>
    </w:p>
    <w:p>
      <w:pPr>
        <w:spacing w:after="0" w:line="3" w:lineRule="exact"/>
        <w:rPr>
          <w:sz w:val="20"/>
          <w:szCs w:val="20"/>
          <w:color w:val="auto"/>
        </w:rPr>
      </w:pPr>
    </w:p>
    <w:p>
      <w:pPr>
        <w:ind w:left="200" w:right="100"/>
        <w:spacing w:after="0" w:line="234" w:lineRule="auto"/>
        <w:rPr>
          <w:sz w:val="20"/>
          <w:szCs w:val="20"/>
          <w:color w:val="auto"/>
        </w:rPr>
      </w:pPr>
      <w:r>
        <w:rPr>
          <w:rFonts w:ascii="Arial" w:cs="Arial" w:eastAsia="Arial" w:hAnsi="Arial"/>
          <w:sz w:val="18"/>
          <w:szCs w:val="18"/>
          <w:color w:val="auto"/>
        </w:rPr>
        <w:t>dilution. Based on the assumed initial public offering price of $ per ADS and £ per ordinary share, which reflect the last reported sale price of our ordinary shares on AIM on , 2018, you will experience immediate dilution of $ per ADS and £ per</w:t>
      </w:r>
    </w:p>
    <w:p>
      <w:pPr>
        <w:spacing w:after="0" w:line="2"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ordinary share, representing the difference between our net tangible book value per ADS and per ordinary share after giving effect to the global offering and the assumed offering prices for our ADSs and ordinary shares in the global offering. See “Dilution.”</w:t>
      </w:r>
    </w:p>
    <w:p>
      <w:pPr>
        <w:spacing w:after="0" w:line="175"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or ordinary shares in the foreseeable future, capital appreciation, if any, will be your sole source of gains and you may never receive a return on your investment.</w:t>
      </w:r>
    </w:p>
    <w:p>
      <w:pPr>
        <w:spacing w:after="0" w:line="2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In addition, our credit facility prohibits us from paying dividends on our equity securities, and any future debt agreements may likewise preclude us from paying dividends. As a result, capital appreciation, if any, on our ADSs or ordinary shares will be your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sole source of gains for the foreseeable future, and you will suffer a loss on your investment if you are unable to sell your ADSs or ordinary shares at or above the offering price for each. Investors seeking cash dividends should not purchase our ADSs or ordinary shares in the global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the global offering and may not use them effectively.</w:t>
      </w:r>
    </w:p>
    <w:p>
      <w:pPr>
        <w:spacing w:after="0" w:line="99"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Our senior management will have broad discretion in the application of the net proceeds from the global offering and could spend the proceeds in ways that do not improve our results of operations or enhance the value of our ADSs or ordinary shares. The failure by our senior management to apply these funds effectively could result in financial losses, cause the price of our ADSs or ordinary shares to decline, and delay the development of our product candidates. Pending their use, we may invest the net proceeds from the global offering in a manner that does not produce income or that loses value.</w:t>
      </w:r>
    </w:p>
    <w:p>
      <w:pPr>
        <w:spacing w:after="0" w:line="181"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Securities traded on AIM may carry a higher risk than securities traded on other exchanges, which may impact the value of your investment.</w:t>
      </w:r>
    </w:p>
    <w:p>
      <w:pPr>
        <w:spacing w:after="0" w:line="27"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or Nasdaq. This is because AIM imposes less stringent corporate governance and ongoing reporting requirements than these other exchanges. In addition, AIM requires only half-yearly financial reporting, rather than the quarterly financial reporting required for domestic U.S.-listed companies. You should be aware that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prices may be volatile and subject to significant fluctuations. Therefore, the market price of our ADSs, our ordinary shares, or the ordinary shares underlying our ADSs may not reflect the underlying value of our company.</w:t>
      </w:r>
    </w:p>
    <w:p>
      <w:pPr>
        <w:spacing w:after="0" w:line="185"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Purchasers of ADSs in the U.S. offering may not have the same voting rights as the holders of our ordinary shares and may not receive voting materials in time to be able to exercise their right to vote.</w:t>
      </w:r>
    </w:p>
    <w:p>
      <w:pPr>
        <w:spacing w:after="0" w:line="27"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Except as described in this prospectus, holders of our ADSs will not be able to exercise voting rights attaching to the ordinary shares represented by our ADSs on an individual basis. Holders of our ADSs will appoint the depositary or its nominee as their representative to exercise the voting rights attaching to the ordinary shares represented by our ADSs. Purchasers of ADSs in the U.S. offering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purchasers of ADSs in the U.S. offering may not be able to exercise voting rights and may lack recourse if their ADSs are not voted as requested. In addition, in their capacity as ADS holders, purchasers of ADSs in the U.S. offering will not be able to call a shareholders’ meeting.</w:t>
      </w:r>
    </w:p>
    <w:p>
      <w:pPr>
        <w:spacing w:after="0" w:line="185"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i w:val="1"/>
          <w:iCs w:val="1"/>
          <w:color w:val="auto"/>
        </w:rPr>
        <w:t>Purchasers of ADSs in the U.S. offering may not receive distributions on our ordinary shares represented by our ADSs or any value for them if it is illegal or impractical to make them available to holders of ADSs.</w:t>
      </w:r>
    </w:p>
    <w:p>
      <w:pPr>
        <w:spacing w:after="0" w:line="41"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depositary for our ADSs has agreed to pay to purchasers of ADSs in the U.S. offering cash dividends or other distributions it or the custodian receives on our ordinary shares after deducting its fees and expenses. Purchasers of our ADSs will receive these distributions in proportion to the number of our ordinary shares their ADSs represent. However, in accordance with the limitations set forth 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deposit agreement, it may be unlawful or impractical to make a distribution available to holders of ADSs. We have no obligation to take any other action to permit the distribution of our ADSs, ordinary shares, rights or anything else to holders of our ADSs. This means that purchasers of ADSs in the U.S. offering may not receive the distributions we make on our ordinary shares or any value from them if it is unlawful or impractical to make them available to them. These restrictions may negatively impact the value of our ADSs.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Purchasers of ADSs in the U.S. offering may be subject to limitations on transfer of their ADSs.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These rights differ in certain respects from the rights of shareholders in typical U.S. corporations. See “Description of Share Capital and Articles of Association—Differences in Corporate Law” and “Description of Share Capital and Articles of Association—Articles of Association— Other U.K. Law Considerations—City Code on Takeovers and Mergers.” in this prospectus for a description of the principal differences between the provisions of the U.K. Companies Act 2006 applicable to us and, for example, the Delaware General Corporation Law relating to shareholders’ rights and protections.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8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2"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English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81" w:lineRule="exact"/>
        <w:rPr>
          <w:sz w:val="20"/>
          <w:szCs w:val="20"/>
          <w:color w:val="auto"/>
        </w:rPr>
      </w:pPr>
    </w:p>
    <w:p>
      <w:pPr>
        <w:jc w:val="both"/>
        <w:ind w:left="200" w:right="80"/>
        <w:spacing w:after="0" w:line="253" w:lineRule="auto"/>
        <w:rPr>
          <w:sz w:val="20"/>
          <w:szCs w:val="20"/>
          <w:color w:val="auto"/>
        </w:rPr>
      </w:pPr>
      <w:r>
        <w:rPr>
          <w:rFonts w:ascii="Arial" w:cs="Arial" w:eastAsia="Arial" w:hAnsi="Arial"/>
          <w:sz w:val="18"/>
          <w:szCs w:val="18"/>
          <w:b w:val="1"/>
          <w:bCs w:val="1"/>
          <w:i w:val="1"/>
          <w:iCs w:val="1"/>
          <w:color w:val="auto"/>
        </w:rPr>
        <w:t>We qualify as a foreign private issuer and, as a result, we will not be subject to U.S. proxy rules and will be subject to reporting obligations under the Securities Exchange Act of 1934, as amended, or the Exchange Act, that, to some extent, are more lenient and less frequent than those of a U.S. domestic public company.</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the closing of the U.S.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3"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may follow U.K. corporate governance rules instead of the corporate governance requirements of Nasdaq.</w:t>
      </w:r>
    </w:p>
    <w:p>
      <w:pPr>
        <w:spacing w:after="0" w:line="27" w:lineRule="exact"/>
        <w:rPr>
          <w:sz w:val="20"/>
          <w:szCs w:val="20"/>
          <w:color w:val="auto"/>
        </w:rPr>
      </w:pPr>
    </w:p>
    <w:p>
      <w:pPr>
        <w:ind w:left="200" w:right="740" w:firstLine="331"/>
        <w:spacing w:after="0" w:line="275" w:lineRule="auto"/>
        <w:rPr>
          <w:sz w:val="20"/>
          <w:szCs w:val="20"/>
          <w:color w:val="auto"/>
        </w:rPr>
      </w:pPr>
      <w:r>
        <w:rPr>
          <w:rFonts w:ascii="Arial" w:cs="Arial" w:eastAsia="Arial" w:hAnsi="Arial"/>
          <w:sz w:val="17"/>
          <w:szCs w:val="17"/>
          <w:color w:val="auto"/>
        </w:rPr>
        <w:t>As a foreign private issuer, we may follow our home country corporate governance rules instead of the corporate governance requirements of Nasdaq. For example, we are exempt from Nasdaq regulations that require a listed U.S. company to:</w:t>
      </w:r>
    </w:p>
    <w:p>
      <w:pPr>
        <w:spacing w:after="0" w:line="164" w:lineRule="exact"/>
        <w:rPr>
          <w:sz w:val="20"/>
          <w:szCs w:val="20"/>
          <w:color w:val="auto"/>
        </w:rPr>
      </w:pPr>
    </w:p>
    <w:p>
      <w:pPr>
        <w:ind w:left="960" w:hanging="432"/>
        <w:spacing w:after="0"/>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a majority of the board of directors consist of independent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require non-management directors to meet on a regular basis without management present;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promptly disclose any waivers of the code for directors or executive officers that should address certain specified items;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an independent nominating committee;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solicit proxies and provide proxy statements for all shareholder meetings;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03"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For an overview of our corporate governance principles, including those which comply with certain of the requirements above, see “Description of Share Capital and Articles of Association—Articles of Association.”</w:t>
      </w:r>
    </w:p>
    <w:p>
      <w:pPr>
        <w:spacing w:after="0" w:line="197" w:lineRule="exact"/>
        <w:rPr>
          <w:sz w:val="20"/>
          <w:szCs w:val="20"/>
          <w:color w:val="auto"/>
        </w:rPr>
      </w:pPr>
    </w:p>
    <w:p>
      <w:pPr>
        <w:ind w:left="200" w:right="360" w:firstLine="331"/>
        <w:spacing w:after="0" w:line="238" w:lineRule="auto"/>
        <w:rPr>
          <w:sz w:val="20"/>
          <w:szCs w:val="20"/>
          <w:color w:val="auto"/>
        </w:rPr>
      </w:pPr>
      <w:r>
        <w:rPr>
          <w:rFonts w:ascii="Arial" w:cs="Arial" w:eastAsia="Arial" w:hAnsi="Arial"/>
          <w:sz w:val="18"/>
          <w:szCs w:val="18"/>
          <w:color w:val="auto"/>
        </w:rPr>
        <w:t>In accordance with our Nasdaq listing, 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To the extent we determine to follow U.K. corporate governance practices instead of Nasdaq governance requirements, you may not have the same protections afforded to shareholders of companies that are subject to these Nasdaq requirements.</w:t>
      </w:r>
    </w:p>
    <w:p>
      <w:pPr>
        <w:spacing w:after="0" w:line="175" w:lineRule="exact"/>
        <w:rPr>
          <w:sz w:val="20"/>
          <w:szCs w:val="20"/>
          <w:color w:val="auto"/>
        </w:rPr>
      </w:pPr>
    </w:p>
    <w:p>
      <w:pPr>
        <w:ind w:left="200" w:right="740"/>
        <w:spacing w:after="0" w:line="271"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order to maintain our current status as a foreign private issuer, either (a) a majority of our ordinary shares, including ordinary shares in the form of ADSs, must be either directly or indirectly owned of record by non-residents of the United States or (b)(i) a majority of our executive officers or directors are not U.S. citizens or residents, (ii) more than 50 percent of our assets must be located outside the United States and (iii) our business must be administered principally outside the United 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the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ADSs or ordinary shares less attractive to investors.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in this prospectus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ADSs and ordinary shares held by non-affiliates exceeds $700 million as of any June 30 (the end of our second fiscal quarter) before that time, in which case we would no longer be an emerging growth company as of the following December 31 (our fiscal year-end). We cannot predict if investors will find our ADSs or ordinary shares less attractive because we may rely on these exemptions. If some investors find our ADSs or ordinary shares less attractive as a result, there may be a less active trading market for our ADSs or ordinary shares and the price of our ADSs or ordinary shares may be more volatile.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 or ordinary shares.</w:t>
      </w:r>
    </w:p>
    <w:p>
      <w:pPr>
        <w:spacing w:after="0" w:line="56"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 or ordinary shares.</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Management will be required to assess the effectiveness of our internal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83"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ADSs and ordinary shares and our trading volume could decline.</w:t>
      </w:r>
    </w:p>
    <w:p>
      <w:pPr>
        <w:spacing w:after="0" w:line="27"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7"/>
          <w:szCs w:val="17"/>
          <w:color w:val="auto"/>
        </w:rPr>
        <w:t>The trading market for our ADSs and ordinary shares will depend in part on the research and reports that securities or industry analysts publish about us or our business. If no or too few securities or industry analysts commence or continue coverage on us, the trading price for our ADSs and ordinary shares would likely be negatively affected. If one or more of the analysts who cover us downgrade our ADSs or ordinary shares or publish inaccurate or unfavorable research about our business, the price of our ADSs and ordinary shares would likely decline. If one or more of these analysts cease coverage of us or fail to publish reports on us regularly, demand for our ADSs or ordinary shares could decrease, which might cause the price of our ADSs and ordinary shares and trading volume to decline.</w:t>
      </w:r>
    </w:p>
    <w:p>
      <w:pPr>
        <w:spacing w:after="0" w:line="173" w:lineRule="exact"/>
        <w:rPr>
          <w:sz w:val="20"/>
          <w:szCs w:val="20"/>
          <w:color w:val="auto"/>
        </w:rPr>
      </w:pPr>
    </w:p>
    <w:p>
      <w:pPr>
        <w:jc w:val="both"/>
        <w:ind w:left="200" w:right="420"/>
        <w:spacing w:after="0" w:line="253" w:lineRule="auto"/>
        <w:rPr>
          <w:sz w:val="20"/>
          <w:szCs w:val="20"/>
          <w:color w:val="auto"/>
        </w:rPr>
      </w:pPr>
      <w:r>
        <w:rPr>
          <w:rFonts w:ascii="Arial" w:cs="Arial" w:eastAsia="Arial" w:hAnsi="Arial"/>
          <w:sz w:val="18"/>
          <w:szCs w:val="18"/>
          <w:b w:val="1"/>
          <w:bCs w:val="1"/>
          <w:i w:val="1"/>
          <w:iCs w:val="1"/>
          <w:color w:val="auto"/>
        </w:rPr>
        <w:t>We believe we will likely be classified as a passive foreign investment company for U.S. federal income tax purposes for the current year, which could result in adverse U.S. federal income tax consequences to U.S. investors in our ADSs or ordinary shares.</w:t>
      </w:r>
    </w:p>
    <w:p>
      <w:pPr>
        <w:spacing w:after="0" w:line="4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under “Material Tax Considerations—U.S. Federal Income Taxation”) owns our ADSs or ordinary shares, we will continue to be treated as a PFIC with respect to such U.S. Holder in all succeeding years during which the U.S. Holder owns ADSs or ordinary shares, regardless of whether we continue to meet the PFIC test</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described above, unless the U.S. Holder makes a specified election once we cease to be a PFIC. If we are classified as a PFIC for any taxable year during which a U.S. Holder holds our ADSs or ordinary shares,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“Material Tax Considerations—Passive Foreign Investment Company Rules.”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24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60" w:right="660" w:hanging="432"/>
        <w:spacing w:after="0" w:line="218"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use of proceeds from the global offering;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acquire or in-license new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strategic relationships;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24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240" w:top="459" w:right="6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33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 xml:space="preserve">Solely for convenience, the trademarks, service marks, logos and trade names referred to in this prospectus are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EXCHANGE RATE INFORMATION</w:t>
      </w:r>
    </w:p>
    <w:p>
      <w:pPr>
        <w:spacing w:after="0" w:line="34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following table presents information on the exchange rates between the pound sterling and the U.S. dollar for the periods indicated. Such U.S. dollar amounts are not necessarily indicative of the amounts of U.S. dollars that could actually have been purchased upon exchange of pounds sterling at the dates indicated.</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177"/>
              <w:spacing w:after="0"/>
              <w:rPr>
                <w:sz w:val="20"/>
                <w:szCs w:val="20"/>
                <w:color w:val="auto"/>
              </w:rPr>
            </w:pPr>
            <w:r>
              <w:rPr>
                <w:rFonts w:ascii="Arial" w:cs="Arial" w:eastAsia="Arial" w:hAnsi="Arial"/>
                <w:sz w:val="14"/>
                <w:szCs w:val="14"/>
                <w:b w:val="1"/>
                <w:bCs w:val="1"/>
                <w:color w:val="auto"/>
              </w:rPr>
              <w:t>Average for</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9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9"/>
              </w:rPr>
              <w:t>Period-end(1)</w:t>
            </w:r>
          </w:p>
        </w:tc>
        <w:tc>
          <w:tcPr>
            <w:tcW w:w="1440" w:type="dxa"/>
            <w:vAlign w:val="bottom"/>
          </w:tcPr>
          <w:p>
            <w:pPr>
              <w:jc w:val="right"/>
              <w:ind w:right="257"/>
              <w:spacing w:after="0"/>
              <w:rPr>
                <w:sz w:val="20"/>
                <w:szCs w:val="20"/>
                <w:color w:val="auto"/>
              </w:rPr>
            </w:pPr>
            <w:r>
              <w:rPr>
                <w:rFonts w:ascii="Arial" w:cs="Arial" w:eastAsia="Arial" w:hAnsi="Arial"/>
                <w:sz w:val="14"/>
                <w:szCs w:val="14"/>
                <w:b w:val="1"/>
                <w:bCs w:val="1"/>
                <w:color w:val="auto"/>
              </w:rPr>
              <w:t>period(2)</w:t>
            </w: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tcPr>
          <w:p>
            <w:pPr>
              <w:ind w:left="340"/>
              <w:spacing w:after="0"/>
              <w:rPr>
                <w:sz w:val="20"/>
                <w:szCs w:val="20"/>
                <w:color w:val="auto"/>
              </w:rPr>
            </w:pPr>
            <w:r>
              <w:rPr>
                <w:rFonts w:ascii="Arial" w:cs="Arial" w:eastAsia="Arial" w:hAnsi="Arial"/>
                <w:sz w:val="14"/>
                <w:szCs w:val="14"/>
                <w:b w:val="1"/>
                <w:bCs w:val="1"/>
                <w:color w:val="auto"/>
              </w:rPr>
              <w:t>High</w:t>
            </w:r>
          </w:p>
        </w:tc>
      </w:tr>
      <w:tr>
        <w:trPr>
          <w:trHeight w:val="184"/>
        </w:trPr>
        <w:tc>
          <w:tcPr>
            <w:tcW w:w="59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(U.S. dollars per pound sterling)</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7"/>
        </w:trPr>
        <w:tc>
          <w:tcPr>
            <w:tcW w:w="5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1.6574</w:t>
            </w:r>
          </w:p>
        </w:tc>
        <w:tc>
          <w:tcPr>
            <w:tcW w:w="14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1.5641</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1.4837</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1.6574</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1.5578</w:t>
            </w:r>
          </w:p>
        </w:tc>
        <w:tc>
          <w:tcPr>
            <w:tcW w:w="14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1.6484</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1.5517</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1.7165</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1.4746</w:t>
            </w:r>
          </w:p>
        </w:tc>
        <w:tc>
          <w:tcPr>
            <w:tcW w:w="14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1.5284</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1.4648</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1.5882</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1.2337</w:t>
            </w:r>
          </w:p>
        </w:tc>
        <w:tc>
          <w:tcPr>
            <w:tcW w:w="14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1.3555</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1.2155</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1.4800</w:t>
            </w: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2017</w:t>
            </w:r>
          </w:p>
        </w:tc>
        <w:tc>
          <w:tcPr>
            <w:tcW w:w="1000" w:type="dxa"/>
            <w:vAlign w:val="bottom"/>
          </w:tcPr>
          <w:p>
            <w:pPr>
              <w:jc w:val="right"/>
              <w:spacing w:after="0"/>
              <w:rPr>
                <w:sz w:val="20"/>
                <w:szCs w:val="20"/>
                <w:color w:val="auto"/>
              </w:rPr>
            </w:pPr>
            <w:r>
              <w:rPr>
                <w:rFonts w:ascii="Arial" w:cs="Arial" w:eastAsia="Arial" w:hAnsi="Arial"/>
                <w:sz w:val="18"/>
                <w:szCs w:val="18"/>
                <w:color w:val="auto"/>
              </w:rPr>
              <w:t>1.3529</w:t>
            </w:r>
          </w:p>
        </w:tc>
        <w:tc>
          <w:tcPr>
            <w:tcW w:w="1440" w:type="dxa"/>
            <w:vAlign w:val="bottom"/>
          </w:tcPr>
          <w:p>
            <w:pPr>
              <w:jc w:val="right"/>
              <w:ind w:right="177"/>
              <w:spacing w:after="0"/>
              <w:rPr>
                <w:sz w:val="20"/>
                <w:szCs w:val="20"/>
                <w:color w:val="auto"/>
              </w:rPr>
            </w:pPr>
            <w:r>
              <w:rPr>
                <w:rFonts w:ascii="Arial" w:cs="Arial" w:eastAsia="Arial" w:hAnsi="Arial"/>
                <w:sz w:val="18"/>
                <w:szCs w:val="18"/>
                <w:color w:val="auto"/>
              </w:rPr>
              <w:t>1.2890</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1.2118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hanging="316"/>
        <w:spacing w:after="0" w:line="246"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the period end fell on a day for which data are not available, the exchange rate on the prior most recent business day is given.</w:t>
      </w:r>
    </w:p>
    <w:p>
      <w:pPr>
        <w:spacing w:after="0" w:line="21" w:lineRule="exact"/>
        <w:rPr>
          <w:rFonts w:ascii="Arial" w:cs="Arial" w:eastAsia="Arial" w:hAnsi="Arial"/>
          <w:sz w:val="18"/>
          <w:szCs w:val="18"/>
          <w:color w:val="auto"/>
        </w:rPr>
      </w:pPr>
    </w:p>
    <w:p>
      <w:pPr>
        <w:ind w:left="520" w:right="180" w:hanging="316"/>
        <w:spacing w:after="0" w:line="246"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average of the noon buying rate of the Federal Reserve Bank of New York for pounds sterling on the last day of each full month during the relevant year or each business day during the relevant month indicated.</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1520" w:type="dxa"/>
            <w:vAlign w:val="bottom"/>
          </w:tcPr>
          <w:p>
            <w:pPr>
              <w:jc w:val="right"/>
              <w:ind w:right="834"/>
              <w:spacing w:after="0"/>
              <w:rPr>
                <w:sz w:val="20"/>
                <w:szCs w:val="20"/>
                <w:color w:val="auto"/>
              </w:rPr>
            </w:pPr>
            <w:r>
              <w:rPr>
                <w:rFonts w:ascii="Arial" w:cs="Arial" w:eastAsia="Arial" w:hAnsi="Arial"/>
                <w:sz w:val="14"/>
                <w:szCs w:val="14"/>
                <w:b w:val="1"/>
                <w:bCs w:val="1"/>
                <w:color w:val="auto"/>
              </w:rPr>
              <w:t>Low</w:t>
            </w:r>
          </w:p>
        </w:tc>
        <w:tc>
          <w:tcPr>
            <w:tcW w:w="1340" w:type="dxa"/>
            <w:vAlign w:val="bottom"/>
            <w:gridSpan w:val="2"/>
          </w:tcPr>
          <w:p>
            <w:pPr>
              <w:ind w:left="600"/>
              <w:spacing w:after="0"/>
              <w:rPr>
                <w:sz w:val="20"/>
                <w:szCs w:val="20"/>
                <w:color w:val="auto"/>
              </w:rPr>
            </w:pPr>
            <w:r>
              <w:rPr>
                <w:rFonts w:ascii="Arial" w:cs="Arial" w:eastAsia="Arial" w:hAnsi="Arial"/>
                <w:sz w:val="14"/>
                <w:szCs w:val="14"/>
                <w:b w:val="1"/>
                <w:bCs w:val="1"/>
                <w:color w:val="auto"/>
              </w:rPr>
              <w:t>High</w:t>
            </w:r>
          </w:p>
        </w:tc>
      </w:tr>
      <w:tr>
        <w:trPr>
          <w:trHeight w:val="184"/>
        </w:trPr>
        <w:tc>
          <w:tcPr>
            <w:tcW w:w="7500" w:type="dxa"/>
            <w:vAlign w:val="bottom"/>
          </w:tcPr>
          <w:p>
            <w:pPr>
              <w:spacing w:after="0"/>
              <w:rPr>
                <w:sz w:val="15"/>
                <w:szCs w:val="15"/>
                <w:color w:val="auto"/>
              </w:rPr>
            </w:pPr>
          </w:p>
        </w:tc>
        <w:tc>
          <w:tcPr>
            <w:tcW w:w="2800" w:type="dxa"/>
            <w:vAlign w:val="bottom"/>
            <w:tcBorders>
              <w:top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(U.S. dollars per pound sterling)</w:t>
            </w:r>
          </w:p>
        </w:tc>
        <w:tc>
          <w:tcPr>
            <w:tcW w:w="60" w:type="dxa"/>
            <w:vAlign w:val="bottom"/>
          </w:tcPr>
          <w:p>
            <w:pPr>
              <w:spacing w:after="0"/>
              <w:rPr>
                <w:sz w:val="15"/>
                <w:szCs w:val="15"/>
                <w:color w:val="auto"/>
              </w:rPr>
            </w:pPr>
          </w:p>
        </w:tc>
      </w:tr>
      <w:tr>
        <w:trPr>
          <w:trHeight w:val="147"/>
        </w:trPr>
        <w:tc>
          <w:tcPr>
            <w:tcW w:w="7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Month Ended:</w:t>
            </w: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July 31,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1.2851</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1.3196</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31,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1.2787</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1.3236</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September 30,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1.2972</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1.3578</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31,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1.3063</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1.3304</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November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1.3067</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1.3506</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1.3316</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1.3529</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January 2018</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1.3513</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1.4264</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February 2018 (through February 23)</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1.3794</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1.4247</w:t>
            </w: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February 16, 2018, the exchange rate between the pound sterling and the U.S. dollar was $1.4055 per £1.00.</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PRICE RANGE OF OUR ORDINARY SHARES</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ordinary shares have been trading on AIM under the symbol “MPH” since June 9, 2016.</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following table presents, for the periods indicated, the reported high and low sale prices, including intra-day sales, of our ordinary shares on AIM in pounds sterling and U.S. dollars. For the convenience of the reader, we have translated pound sterling amounts in the table below into U.S. dollars at the noon buying rate of the Federal Reserve Bank of New York on February 16, 2018, which was £1.00 to $1.4055.</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80" w:type="dxa"/>
            <w:vAlign w:val="bottom"/>
            <w:gridSpan w:val="4"/>
          </w:tcPr>
          <w:p>
            <w:pPr>
              <w:ind w:left="300"/>
              <w:spacing w:after="0"/>
              <w:rPr>
                <w:sz w:val="20"/>
                <w:szCs w:val="20"/>
                <w:color w:val="auto"/>
              </w:rPr>
            </w:pPr>
            <w:r>
              <w:rPr>
                <w:rFonts w:ascii="Arial" w:cs="Arial" w:eastAsia="Arial" w:hAnsi="Arial"/>
                <w:sz w:val="14"/>
                <w:szCs w:val="14"/>
                <w:b w:val="1"/>
                <w:bCs w:val="1"/>
                <w:color w:val="auto"/>
              </w:rPr>
              <w:t>Price Per Ordinary</w:t>
            </w:r>
          </w:p>
        </w:tc>
        <w:tc>
          <w:tcPr>
            <w:tcW w:w="1920" w:type="dxa"/>
            <w:vAlign w:val="bottom"/>
            <w:gridSpan w:val="5"/>
          </w:tcPr>
          <w:p>
            <w:pPr>
              <w:ind w:left="300"/>
              <w:spacing w:after="0"/>
              <w:rPr>
                <w:sz w:val="20"/>
                <w:szCs w:val="20"/>
                <w:color w:val="auto"/>
              </w:rPr>
            </w:pPr>
            <w:r>
              <w:rPr>
                <w:rFonts w:ascii="Arial" w:cs="Arial" w:eastAsia="Arial" w:hAnsi="Arial"/>
                <w:sz w:val="14"/>
                <w:szCs w:val="14"/>
                <w:b w:val="1"/>
                <w:bCs w:val="1"/>
                <w:color w:val="auto"/>
              </w:rPr>
              <w:t>Price Per Ordinary</w:t>
            </w:r>
          </w:p>
        </w:tc>
      </w:tr>
      <w:tr>
        <w:trPr>
          <w:trHeight w:val="175"/>
        </w:trPr>
        <w:tc>
          <w:tcPr>
            <w:tcW w:w="5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2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Share £</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Share $</w:t>
            </w:r>
          </w:p>
        </w:tc>
      </w:tr>
      <w:tr>
        <w:trPr>
          <w:trHeight w:val="156"/>
        </w:trPr>
        <w:tc>
          <w:tcPr>
            <w:tcW w:w="5960" w:type="dxa"/>
            <w:vAlign w:val="bottom"/>
          </w:tcPr>
          <w:p>
            <w:pPr>
              <w:spacing w:after="0"/>
              <w:rPr>
                <w:sz w:val="13"/>
                <w:szCs w:val="13"/>
                <w:color w:val="auto"/>
              </w:rPr>
            </w:pPr>
          </w:p>
        </w:tc>
        <w:tc>
          <w:tcPr>
            <w:tcW w:w="66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Low</w:t>
            </w:r>
          </w:p>
        </w:tc>
        <w:tc>
          <w:tcPr>
            <w:tcW w:w="620" w:type="dxa"/>
            <w:vAlign w:val="bottom"/>
          </w:tcPr>
          <w:p>
            <w:pPr>
              <w:spacing w:after="0"/>
              <w:rPr>
                <w:sz w:val="13"/>
                <w:szCs w:val="13"/>
                <w:color w:val="auto"/>
              </w:rPr>
            </w:pPr>
          </w:p>
        </w:tc>
        <w:tc>
          <w:tcPr>
            <w:tcW w:w="66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2016 (beginning June 9, 2016)</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2.40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4.78</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3.37</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3.59</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2.60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5.05</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7"/>
                <w:szCs w:val="17"/>
                <w:color w:val="auto"/>
              </w:rPr>
            </w:pPr>
          </w:p>
        </w:tc>
      </w:tr>
      <w:tr>
        <w:trPr>
          <w:trHeight w:val="378"/>
        </w:trPr>
        <w:tc>
          <w:tcPr>
            <w:tcW w:w="596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2016 (beginning June 9, 2016)</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3.03</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4.26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Third Quarter 2016</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2.71</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4.78</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3.81</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2016</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3.00</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2.41</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4.22</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First Quarter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2.60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4.36</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3.65</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3.60</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2.90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5.06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Third Quarter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3.14</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2.85</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4.41</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4.01</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3.39</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4.76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7"/>
                <w:szCs w:val="17"/>
                <w:color w:val="auto"/>
              </w:rPr>
            </w:pPr>
          </w:p>
        </w:tc>
      </w:tr>
      <w:tr>
        <w:trPr>
          <w:trHeight w:val="378"/>
        </w:trPr>
        <w:tc>
          <w:tcPr>
            <w:tcW w:w="596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3.14</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2.90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4.41</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September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3.12</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4.39</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4.22</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4.78</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November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3.35</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3.15</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4.71</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4.43</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3.34</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3.15</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4.69</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4.43</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January 2018</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3.26</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3.20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4.58</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February 2018 (through February 26)</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3.23</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3.05</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4.54</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jc w:val="both"/>
        <w:ind w:left="200" w:right="260" w:firstLine="331"/>
        <w:spacing w:after="0" w:line="246" w:lineRule="auto"/>
        <w:rPr>
          <w:sz w:val="20"/>
          <w:szCs w:val="20"/>
          <w:color w:val="auto"/>
        </w:rPr>
      </w:pPr>
      <w:r>
        <w:rPr>
          <w:rFonts w:ascii="Arial" w:cs="Arial" w:eastAsia="Arial" w:hAnsi="Arial"/>
          <w:sz w:val="18"/>
          <w:szCs w:val="18"/>
          <w:color w:val="auto"/>
        </w:rPr>
        <w:t>On February 26, 2018, the last reported sale price of our ordinary shares on AIM was £3.05 per ordinary share ($4.29 per ordinary share based on the exchange rate set forth above).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240" w:top="459" w:right="5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Table of Contents</w:t>
              </w:r>
            </w:hyperlink>
          </w:p>
        </w:tc>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4"/>
        </w:trPr>
        <w:tc>
          <w:tcPr>
            <w:tcW w:w="4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20" w:type="dxa"/>
            <w:vAlign w:val="bottom"/>
            <w:gridSpan w:val="2"/>
          </w:tcPr>
          <w:p>
            <w:pPr>
              <w:ind w:left="1160"/>
              <w:spacing w:after="0"/>
              <w:rPr>
                <w:sz w:val="20"/>
                <w:szCs w:val="20"/>
                <w:color w:val="auto"/>
              </w:rPr>
            </w:pPr>
            <w:r>
              <w:rPr>
                <w:rFonts w:ascii="Arial" w:cs="Arial" w:eastAsia="Arial" w:hAnsi="Arial"/>
                <w:sz w:val="18"/>
                <w:szCs w:val="18"/>
                <w:b w:val="1"/>
                <w:bCs w:val="1"/>
                <w:color w:val="auto"/>
              </w:rPr>
              <w:t>USE OF PROCEEDS</w:t>
            </w: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12"/>
        </w:trPr>
        <w:tc>
          <w:tcPr>
            <w:tcW w:w="440" w:type="dxa"/>
            <w:vAlign w:val="bottom"/>
          </w:tcPr>
          <w:p>
            <w:pPr>
              <w:spacing w:after="0"/>
              <w:rPr>
                <w:sz w:val="24"/>
                <w:szCs w:val="24"/>
                <w:color w:val="auto"/>
              </w:rPr>
            </w:pPr>
          </w:p>
        </w:tc>
        <w:tc>
          <w:tcPr>
            <w:tcW w:w="7260" w:type="dxa"/>
            <w:vAlign w:val="bottom"/>
            <w:gridSpan w:val="5"/>
          </w:tcPr>
          <w:p>
            <w:pPr>
              <w:ind w:left="100"/>
              <w:spacing w:after="0"/>
              <w:rPr>
                <w:sz w:val="20"/>
                <w:szCs w:val="20"/>
                <w:color w:val="auto"/>
              </w:rPr>
            </w:pPr>
            <w:r>
              <w:rPr>
                <w:rFonts w:ascii="Arial" w:cs="Arial" w:eastAsia="Arial" w:hAnsi="Arial"/>
                <w:sz w:val="18"/>
                <w:szCs w:val="18"/>
                <w:color w:val="auto"/>
              </w:rPr>
              <w:t>We estimate that the net proceeds to us from the global offering will be approximately $</w:t>
            </w: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million (or approximately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million if</w:t>
            </w:r>
          </w:p>
        </w:tc>
      </w:tr>
      <w:tr>
        <w:trPr>
          <w:trHeight w:val="203"/>
        </w:trPr>
        <w:tc>
          <w:tcPr>
            <w:tcW w:w="9740" w:type="dxa"/>
            <w:vAlign w:val="bottom"/>
            <w:gridSpan w:val="7"/>
          </w:tcPr>
          <w:p>
            <w:pPr>
              <w:ind w:left="200"/>
              <w:spacing w:after="0" w:line="202" w:lineRule="exact"/>
              <w:rPr>
                <w:sz w:val="20"/>
                <w:szCs w:val="20"/>
                <w:color w:val="auto"/>
              </w:rPr>
            </w:pPr>
            <w:r>
              <w:rPr>
                <w:rFonts w:ascii="Arial" w:cs="Arial" w:eastAsia="Arial" w:hAnsi="Arial"/>
                <w:sz w:val="18"/>
                <w:szCs w:val="18"/>
                <w:color w:val="auto"/>
              </w:rPr>
              <w:t>the underwriters exercise in full their option to purchase additional ADSs), assuming an initial public offering price of $</w:t>
            </w:r>
          </w:p>
        </w:tc>
        <w:tc>
          <w:tcPr>
            <w:tcW w:w="1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per ADS in the</w:t>
            </w:r>
          </w:p>
        </w:tc>
      </w:tr>
      <w:tr>
        <w:trPr>
          <w:trHeight w:val="203"/>
        </w:trPr>
        <w:tc>
          <w:tcPr>
            <w:tcW w:w="36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U.S. offering and an offering price of £</w:t>
            </w:r>
          </w:p>
        </w:tc>
        <w:tc>
          <w:tcPr>
            <w:tcW w:w="7540" w:type="dxa"/>
            <w:vAlign w:val="bottom"/>
            <w:gridSpan w:val="5"/>
          </w:tcPr>
          <w:p>
            <w:pPr>
              <w:jc w:val="right"/>
              <w:spacing w:after="0" w:line="202" w:lineRule="exact"/>
              <w:rPr>
                <w:sz w:val="20"/>
                <w:szCs w:val="20"/>
                <w:color w:val="auto"/>
              </w:rPr>
            </w:pPr>
            <w:r>
              <w:rPr>
                <w:rFonts w:ascii="Arial" w:cs="Arial" w:eastAsia="Arial" w:hAnsi="Arial"/>
                <w:sz w:val="18"/>
                <w:szCs w:val="18"/>
                <w:color w:val="auto"/>
                <w:w w:val="99"/>
              </w:rPr>
              <w:t>per ordinary share in the European private placement, which reflect the last reported sale price</w:t>
            </w:r>
          </w:p>
        </w:tc>
      </w:tr>
      <w:tr>
        <w:trPr>
          <w:trHeight w:val="203"/>
        </w:trPr>
        <w:tc>
          <w:tcPr>
            <w:tcW w:w="36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of our ordinary shares on AIM on</w:t>
            </w:r>
          </w:p>
        </w:tc>
        <w:tc>
          <w:tcPr>
            <w:tcW w:w="67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 2018, after deducting the estimated underwriting discounts and commissions and</w:t>
            </w:r>
          </w:p>
        </w:tc>
        <w:tc>
          <w:tcPr>
            <w:tcW w:w="760" w:type="dxa"/>
            <w:vAlign w:val="bottom"/>
          </w:tcPr>
          <w:p>
            <w:pPr>
              <w:spacing w:after="0"/>
              <w:rPr>
                <w:sz w:val="17"/>
                <w:szCs w:val="17"/>
                <w:color w:val="auto"/>
              </w:rPr>
            </w:pPr>
          </w:p>
        </w:tc>
      </w:tr>
      <w:tr>
        <w:trPr>
          <w:trHeight w:val="217"/>
        </w:trPr>
        <w:tc>
          <w:tcPr>
            <w:tcW w:w="3680" w:type="dxa"/>
            <w:vAlign w:val="bottom"/>
            <w:gridSpan w:val="4"/>
          </w:tcPr>
          <w:p>
            <w:pPr>
              <w:ind w:left="200"/>
              <w:spacing w:after="0"/>
              <w:rPr>
                <w:sz w:val="20"/>
                <w:szCs w:val="20"/>
                <w:color w:val="auto"/>
              </w:rPr>
            </w:pPr>
            <w:r>
              <w:rPr>
                <w:rFonts w:ascii="Arial" w:cs="Arial" w:eastAsia="Arial" w:hAnsi="Arial"/>
                <w:sz w:val="18"/>
                <w:szCs w:val="18"/>
                <w:color w:val="auto"/>
                <w:w w:val="99"/>
              </w:rPr>
              <w:t>estimated offering expenses payable by us.</w:t>
            </w: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04"/>
        </w:trPr>
        <w:tc>
          <w:tcPr>
            <w:tcW w:w="44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Each £</w:t>
            </w:r>
          </w:p>
        </w:tc>
        <w:tc>
          <w:tcPr>
            <w:tcW w:w="4700" w:type="dxa"/>
            <w:vAlign w:val="bottom"/>
            <w:gridSpan w:val="2"/>
          </w:tcPr>
          <w:p>
            <w:pPr>
              <w:ind w:left="80"/>
              <w:spacing w:after="0"/>
              <w:rPr>
                <w:sz w:val="20"/>
                <w:szCs w:val="20"/>
                <w:color w:val="auto"/>
              </w:rPr>
            </w:pPr>
            <w:r>
              <w:rPr>
                <w:rFonts w:ascii="Arial" w:cs="Arial" w:eastAsia="Arial" w:hAnsi="Arial"/>
                <w:sz w:val="18"/>
                <w:szCs w:val="18"/>
                <w:color w:val="auto"/>
              </w:rPr>
              <w:t>increase or decrease in the assumed offering price of £</w:t>
            </w:r>
          </w:p>
        </w:tc>
        <w:tc>
          <w:tcPr>
            <w:tcW w:w="5060" w:type="dxa"/>
            <w:vAlign w:val="bottom"/>
            <w:gridSpan w:val="4"/>
          </w:tcPr>
          <w:p>
            <w:pPr>
              <w:jc w:val="right"/>
              <w:spacing w:after="0"/>
              <w:rPr>
                <w:sz w:val="20"/>
                <w:szCs w:val="20"/>
                <w:color w:val="auto"/>
              </w:rPr>
            </w:pPr>
            <w:r>
              <w:rPr>
                <w:rFonts w:ascii="Arial" w:cs="Arial" w:eastAsia="Arial" w:hAnsi="Arial"/>
                <w:sz w:val="18"/>
                <w:szCs w:val="18"/>
                <w:color w:val="auto"/>
              </w:rPr>
              <w:t>per ordinary share, which reflects the last reported sale price</w:t>
            </w:r>
          </w:p>
        </w:tc>
      </w:tr>
      <w:tr>
        <w:trPr>
          <w:trHeight w:val="203"/>
        </w:trPr>
        <w:tc>
          <w:tcPr>
            <w:tcW w:w="36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of our ordinary shares on AIM on</w:t>
            </w:r>
          </w:p>
        </w:tc>
        <w:tc>
          <w:tcPr>
            <w:tcW w:w="67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 2018, would increase or decrease our net proceeds from the global offering by £</w:t>
            </w:r>
          </w:p>
        </w:tc>
        <w:tc>
          <w:tcPr>
            <w:tcW w:w="760" w:type="dxa"/>
            <w:vAlign w:val="bottom"/>
          </w:tcPr>
          <w:p>
            <w:pPr>
              <w:spacing w:after="0"/>
              <w:rPr>
                <w:sz w:val="17"/>
                <w:szCs w:val="17"/>
                <w:color w:val="auto"/>
              </w:rPr>
            </w:pPr>
          </w:p>
        </w:tc>
      </w:tr>
      <w:tr>
        <w:trPr>
          <w:trHeight w:val="203"/>
        </w:trPr>
        <w:tc>
          <w:tcPr>
            <w:tcW w:w="4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0780" w:type="dxa"/>
            <w:vAlign w:val="bottom"/>
            <w:gridSpan w:val="8"/>
          </w:tcPr>
          <w:p>
            <w:pPr>
              <w:jc w:val="right"/>
              <w:ind w:right="170"/>
              <w:spacing w:after="0" w:line="202" w:lineRule="exact"/>
              <w:rPr>
                <w:sz w:val="20"/>
                <w:szCs w:val="20"/>
                <w:color w:val="auto"/>
              </w:rPr>
            </w:pPr>
            <w:r>
              <w:rPr>
                <w:rFonts w:ascii="Arial" w:cs="Arial" w:eastAsia="Arial" w:hAnsi="Arial"/>
                <w:sz w:val="18"/>
                <w:szCs w:val="18"/>
                <w:color w:val="auto"/>
              </w:rPr>
              <w:t>), assuming that the number of ordinary shares (including ordinary shares in the form of ADSs) offered by us, as set forth on the</w:t>
            </w:r>
          </w:p>
        </w:tc>
      </w:tr>
    </w:tbl>
    <w:p>
      <w:pPr>
        <w:ind w:left="200" w:right="10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our net</w:t>
      </w:r>
    </w:p>
    <w:p>
      <w:pPr>
        <w:spacing w:after="0" w:line="2"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proceeds by approximately £ million ($ million), 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We intend to use the net proceeds from the global offering, together with our existing cash resources, to fund our clinical development program and the remainder for working capital and other general corporate purposes.</w:t>
      </w:r>
    </w:p>
    <w:p>
      <w:pPr>
        <w:spacing w:after="0" w:line="197"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The expected use of the net proceeds from the global offering represents our intentions based upon our current plans and business conditions. We may also use a portion of the net proceeds to in-license, acquire, or invest in additional products or assets, businesses, or technologies, although currently we have no specific agreements, commitments, or understandings in this regard. As of the date of this prospectus, we cannot predict with certainty all of the particular uses for the net proceeds to be received upon the closing of the global offering or the amounts that we will actually spend on the uses set forth above. Predicting the costs necessary to develop product candidates can be difficult. The amounts and timing of our actual expenditures and the extent of clinical development may vary significantly depending on numerous factors, including the progress of our development efforts, the status of and results from ongoing clinical trials or clinical trials we may commence in the future, as well as any collaborations that we may enter into with third parties and any unforeseen cash needs. As a result, our management will retain broad discretion over the allocation of the net proceeds from the global offering.</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anticipate that our existing cash resources, together with the anticipated net proceeds from the global offering, will enable us to</w:t>
      </w:r>
    </w:p>
    <w:p>
      <w:pPr>
        <w:ind w:left="200" w:right="340"/>
        <w:spacing w:after="0" w:line="246" w:lineRule="auto"/>
        <w:rPr>
          <w:sz w:val="20"/>
          <w:szCs w:val="20"/>
          <w:color w:val="auto"/>
        </w:rPr>
      </w:pPr>
      <w:r>
        <w:rPr>
          <w:rFonts w:ascii="Arial" w:cs="Arial" w:eastAsia="Arial" w:hAnsi="Arial"/>
          <w:sz w:val="18"/>
          <w:szCs w:val="18"/>
          <w:color w:val="auto"/>
        </w:rPr>
        <w:t>fund our operating expenses and capital expenditure requirements through . We have based this estimate on assumptions that may prove to be incorrect, and we could use our available capital resources sooner than we currently expect.</w:t>
      </w:r>
    </w:p>
    <w:p>
      <w:pPr>
        <w:spacing w:after="0" w:line="197"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Pending their use, we plan to invest the net proceeds from the global offering in short- and intermediate-term interest-bearing obligations and certificates of deposit.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46"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200" w:right="40" w:firstLine="331"/>
        <w:spacing w:after="0" w:line="255" w:lineRule="auto"/>
        <w:rPr>
          <w:sz w:val="20"/>
          <w:szCs w:val="20"/>
          <w:color w:val="auto"/>
        </w:rPr>
      </w:pPr>
      <w:r>
        <w:rPr>
          <w:rFonts w:ascii="Arial" w:cs="Arial" w:eastAsia="Arial" w:hAnsi="Arial"/>
          <w:sz w:val="17"/>
          <w:szCs w:val="17"/>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191"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addition, the terms of our existing loan agreement with Silicon Valley Bank and Kreos Capital V (UK) Limited, or Kreos, preclude us from paying cash dividends without Kreos’s consent.</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24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The table below sets forth our cash and short-term deposits and short-term investments and capitalization as of December 31, 2017 derived from our audited consolidated financial statements to be included elsewhere in this prospectus:</w:t>
      </w:r>
    </w:p>
    <w:p>
      <w:pPr>
        <w:spacing w:after="0" w:line="188" w:lineRule="exact"/>
        <w:rPr>
          <w:sz w:val="20"/>
          <w:szCs w:val="20"/>
          <w:color w:val="auto"/>
        </w:rPr>
      </w:pPr>
    </w:p>
    <w:p>
      <w:pPr>
        <w:ind w:left="960" w:hanging="432"/>
        <w:spacing w:after="0"/>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an actual basis; and</w:t>
      </w:r>
    </w:p>
    <w:p>
      <w:pPr>
        <w:sectPr>
          <w:pgSz w:w="11900" w:h="16838" w:orient="portrait"/>
          <w:cols w:equalWidth="0" w:num="1">
            <w:col w:w="11200"/>
          </w:cols>
          <w:pgMar w:left="240" w:top="459" w:right="459" w:bottom="1440" w:gutter="0" w:footer="0" w:header="0"/>
        </w:sectPr>
      </w:pPr>
    </w:p>
    <w:p>
      <w:pPr>
        <w:spacing w:after="0" w:line="71" w:lineRule="exact"/>
        <w:rPr>
          <w:sz w:val="20"/>
          <w:szCs w:val="20"/>
          <w:color w:val="auto"/>
        </w:rPr>
      </w:pPr>
    </w:p>
    <w:p>
      <w:pPr>
        <w:ind w:left="5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00"/>
        <w:spacing w:after="0" w:line="213" w:lineRule="auto"/>
        <w:rPr>
          <w:sz w:val="20"/>
          <w:szCs w:val="20"/>
          <w:color w:val="auto"/>
        </w:rPr>
      </w:pPr>
      <w:r>
        <w:rPr>
          <w:rFonts w:ascii="Arial" w:cs="Arial" w:eastAsia="Arial" w:hAnsi="Arial"/>
          <w:sz w:val="18"/>
          <w:szCs w:val="18"/>
          <w:color w:val="auto"/>
        </w:rPr>
        <w:t>on an as adjusted basis to give effect to the sale of ordinary shares (including ordinary shares in the form of ADSs) in the global offering at the assumed initial public offering price of $ per ADS in the U.S. offering and the assumed offering price of £ per ordinary share in the European private placement, which reflect the last reported sale price of our ordinary shares on AIM on , 2018, after deducting the estimated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600" w:space="360"/>
            <w:col w:w="10240"/>
          </w:cols>
          <w:pgMar w:left="240" w:top="459" w:right="459" w:bottom="1440" w:gutter="0" w:footer="0" w:header="0"/>
          <w:type w:val="continuous"/>
        </w:sectPr>
      </w:pPr>
    </w:p>
    <w:p>
      <w:pPr>
        <w:spacing w:after="0" w:line="4"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You should read this table in conjunction with our consolidated financial statements included elsewhere in this prospectus and the sections of this prospectus titled “Exchange Rate Information,” “Use of Proceeds,” “Selected Consolidated Financial Data,” and “Management’s Discussion and Analysis of Financial Condition and Results of Operations.” These translations should not be considered representations that any such amounts have been, could have been or could be converted into U.S. dollars at that or any other exchange rate as of that or any other date.</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8"/>
          </w:tcPr>
          <w:p>
            <w:pPr>
              <w:ind w:left="40"/>
              <w:spacing w:after="0"/>
              <w:rPr>
                <w:sz w:val="20"/>
                <w:szCs w:val="20"/>
                <w:color w:val="auto"/>
              </w:rPr>
            </w:pPr>
            <w:r>
              <w:rPr>
                <w:rFonts w:ascii="Arial" w:cs="Arial" w:eastAsia="Arial" w:hAnsi="Arial"/>
                <w:sz w:val="14"/>
                <w:szCs w:val="14"/>
                <w:b w:val="1"/>
                <w:bCs w:val="1"/>
                <w:color w:val="auto"/>
              </w:rPr>
              <w:t>As of December 31, 2017</w:t>
            </w:r>
          </w:p>
        </w:tc>
      </w:tr>
      <w:tr>
        <w:trPr>
          <w:trHeight w:val="156"/>
        </w:trPr>
        <w:tc>
          <w:tcPr>
            <w:tcW w:w="5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Actual</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As Adjusted(1)</w:t>
            </w:r>
          </w:p>
        </w:tc>
        <w:tc>
          <w:tcPr>
            <w:tcW w:w="60" w:type="dxa"/>
            <w:vAlign w:val="bottom"/>
          </w:tcPr>
          <w:p>
            <w:pPr>
              <w:spacing w:after="0"/>
              <w:rPr>
                <w:sz w:val="13"/>
                <w:szCs w:val="13"/>
                <w:color w:val="auto"/>
              </w:rPr>
            </w:pPr>
          </w:p>
        </w:tc>
      </w:tr>
      <w:tr>
        <w:trPr>
          <w:trHeight w:val="156"/>
        </w:trPr>
        <w:tc>
          <w:tcPr>
            <w:tcW w:w="5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52,545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71,088</w:t>
            </w:r>
          </w:p>
        </w:tc>
        <w:tc>
          <w:tcPr>
            <w:tcW w:w="5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8"/>
              <w:spacing w:after="0" w:line="196" w:lineRule="exact"/>
              <w:rPr>
                <w:sz w:val="20"/>
                <w:szCs w:val="20"/>
                <w:color w:val="auto"/>
              </w:rPr>
            </w:pPr>
            <w:r>
              <w:rPr>
                <w:rFonts w:ascii="Arial" w:cs="Arial" w:eastAsia="Arial" w:hAnsi="Arial"/>
                <w:sz w:val="18"/>
                <w:szCs w:val="18"/>
                <w:color w:val="auto"/>
              </w:rPr>
              <w:t>20,752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28,075</w:t>
            </w:r>
          </w:p>
        </w:tc>
        <w:tc>
          <w:tcPr>
            <w:tcW w:w="5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1,822</w:t>
            </w:r>
          </w:p>
        </w:tc>
        <w:tc>
          <w:tcPr>
            <w:tcW w:w="5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capital</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Share premium</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w w:val="98"/>
              </w:rPr>
              <w:t>118,227</w:t>
            </w:r>
          </w:p>
        </w:tc>
        <w:tc>
          <w:tcPr>
            <w:tcW w:w="12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159,949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capital reserves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16,359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22,132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Other reserves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7,000</w:t>
            </w:r>
          </w:p>
        </w:tc>
        <w:tc>
          <w:tcPr>
            <w:tcW w:w="12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9,470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loss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rPr>
              <w:t>(79,316)</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(107,307)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6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8"/>
              <w:spacing w:after="0"/>
              <w:rPr>
                <w:sz w:val="20"/>
                <w:szCs w:val="20"/>
                <w:color w:val="auto"/>
              </w:rPr>
            </w:pPr>
            <w:r>
              <w:rPr>
                <w:rFonts w:ascii="Arial" w:cs="Arial" w:eastAsia="Arial" w:hAnsi="Arial"/>
                <w:sz w:val="18"/>
                <w:szCs w:val="18"/>
                <w:color w:val="auto"/>
              </w:rPr>
              <w:t>62,483</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84,534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5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84,582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114,431</w:t>
            </w:r>
          </w:p>
        </w:tc>
        <w:tc>
          <w:tcPr>
            <w:tcW w:w="5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520" w:hanging="319"/>
        <w:spacing w:after="0" w:line="234" w:lineRule="auto"/>
        <w:tabs>
          <w:tab w:leader="none" w:pos="500" w:val="left"/>
        </w:tabs>
        <w:rPr>
          <w:sz w:val="20"/>
          <w:szCs w:val="20"/>
          <w:color w:val="auto"/>
        </w:rPr>
      </w:pPr>
      <w:r>
        <w:rPr>
          <w:rFonts w:ascii="Arial" w:cs="Arial" w:eastAsia="Arial" w:hAnsi="Arial"/>
          <w:sz w:val="18"/>
          <w:szCs w:val="18"/>
          <w:color w:val="auto"/>
        </w:rPr>
        <w:t>(1)</w:t>
        <w:tab/>
        <w:t>Each £ increase or decrease in the assumed offering price of £ per ordinary share, which reflects the last reported sale price of our ordinary shares on AIM and the exchange rate on , 2018, would increase or decrease the as adjusted amount of each of cash and short-term deposits and short-term investments, total equity and total capitalization by £ million ($ million),</w:t>
      </w:r>
    </w:p>
    <w:p>
      <w:pPr>
        <w:spacing w:after="0" w:line="2" w:lineRule="exact"/>
        <w:rPr>
          <w:sz w:val="20"/>
          <w:szCs w:val="20"/>
          <w:color w:val="auto"/>
        </w:rPr>
      </w:pPr>
    </w:p>
    <w:p>
      <w:pPr>
        <w:ind w:left="520" w:right="80"/>
        <w:spacing w:after="0" w:line="234" w:lineRule="auto"/>
        <w:rPr>
          <w:sz w:val="20"/>
          <w:szCs w:val="20"/>
          <w:color w:val="auto"/>
        </w:rPr>
      </w:pPr>
      <w:r>
        <w:rPr>
          <w:rFonts w:ascii="Arial" w:cs="Arial" w:eastAsia="Arial" w:hAnsi="Arial"/>
          <w:sz w:val="18"/>
          <w:szCs w:val="18"/>
          <w:color w:val="auto"/>
        </w:rPr>
        <w:t>assuming the number of ordinary shares (including ordinary shares in the form of ADSs) offered by us in the global offering, as set forth on the cover page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the as adjusted amount of each of cash and short-term deposits and short-term investments, share</w:t>
      </w:r>
    </w:p>
    <w:p>
      <w:pPr>
        <w:spacing w:after="0" w:line="4" w:lineRule="exact"/>
        <w:rPr>
          <w:sz w:val="20"/>
          <w:szCs w:val="20"/>
          <w:color w:val="auto"/>
        </w:rPr>
      </w:pPr>
    </w:p>
    <w:p>
      <w:pPr>
        <w:ind w:left="520" w:right="260"/>
        <w:spacing w:after="0"/>
        <w:rPr>
          <w:sz w:val="20"/>
          <w:szCs w:val="20"/>
          <w:color w:val="auto"/>
        </w:rPr>
      </w:pPr>
      <w:r>
        <w:rPr>
          <w:rFonts w:ascii="Arial" w:cs="Arial" w:eastAsia="Arial" w:hAnsi="Arial"/>
          <w:sz w:val="18"/>
          <w:szCs w:val="18"/>
          <w:color w:val="auto"/>
        </w:rPr>
        <w:t>premium, total equity and total capitalization by £ million ($ million), 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above excludes:</w:t>
      </w:r>
    </w:p>
    <w:p>
      <w:pPr>
        <w:spacing w:after="0" w:line="239" w:lineRule="exact"/>
        <w:rPr>
          <w:sz w:val="20"/>
          <w:szCs w:val="20"/>
          <w:color w:val="auto"/>
        </w:rPr>
      </w:pPr>
    </w:p>
    <w:p>
      <w:pPr>
        <w:ind w:left="960" w:right="18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11,916,424 ordinary shares issuable upon the exercise of share options outstanding as of December 31, 2017 at a weighted average exercise price of £1.42 per ordinary share;</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9,064,506 ordinary shares that may be issued under our existing equity incentive plans, as described in “Management—Equity Compensation Arrangements,” as of December 31, 2017;</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1,799,382 ordinary shares that may be issued upon conversion of the Novartis Notes as of December 31, 2017; and</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696,490 ordinary shares issuable upon the exercise of warrants to purchase ordinary shares outstanding as of December 31, 2017 at a weighted average exercise price of £3.16 per ordinary share.</w:t>
      </w:r>
    </w:p>
    <w:p>
      <w:pPr>
        <w:spacing w:after="0" w:line="13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240" w:top="459" w:right="6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If you invest in our ADSs or ordinary shares, your interest will be diluted to the extent of the difference between the offering price per ADS or ordinary share paid by purchasers in the global offering and our as adjusted net tangible book value per ADS or ordinary share after completion of the global offering.</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December 31, 2017, we had a historical net tangible book value of £27.9 million ($37.7 million), corresponding to a net tangible</w:t>
      </w:r>
    </w:p>
    <w:p>
      <w:pPr>
        <w:ind w:left="200" w:right="120"/>
        <w:spacing w:after="0"/>
        <w:rPr>
          <w:sz w:val="20"/>
          <w:szCs w:val="20"/>
          <w:color w:val="auto"/>
        </w:rPr>
      </w:pPr>
      <w:r>
        <w:rPr>
          <w:rFonts w:ascii="Arial" w:cs="Arial" w:eastAsia="Arial" w:hAnsi="Arial"/>
          <w:sz w:val="18"/>
          <w:szCs w:val="18"/>
          <w:color w:val="auto"/>
        </w:rPr>
        <w:t>book value of £ 0.39 per ordinary share and $ per ADS. Net tangible book value per ordinary share represents the amount of our total assets less our total liabilities, excluding goodwill and other intangible assets, divided by the total number of our ordinary shares outstanding as of December 31, 2017.</w:t>
      </w:r>
    </w:p>
    <w:p>
      <w:pPr>
        <w:spacing w:after="0" w:line="203" w:lineRule="exact"/>
        <w:rPr>
          <w:sz w:val="20"/>
          <w:szCs w:val="20"/>
          <w:color w:val="auto"/>
        </w:rPr>
      </w:pPr>
    </w:p>
    <w:p>
      <w:pPr>
        <w:ind w:left="200" w:right="60" w:firstLine="331"/>
        <w:spacing w:after="0" w:line="234" w:lineRule="auto"/>
        <w:rPr>
          <w:sz w:val="20"/>
          <w:szCs w:val="20"/>
          <w:color w:val="auto"/>
        </w:rPr>
      </w:pPr>
      <w:r>
        <w:rPr>
          <w:rFonts w:ascii="Arial" w:cs="Arial" w:eastAsia="Arial" w:hAnsi="Arial"/>
          <w:sz w:val="18"/>
          <w:szCs w:val="18"/>
          <w:color w:val="auto"/>
        </w:rPr>
        <w:t>After giving effect to the sale by us of ordinary shares (including ordinary shares in the form of ADSs) in the global offering at an assumed initial public offering price of $ per ADS in the U.S. offering and an assumed offering price of £ per ordinary share in the European private placement, which reflect the last reported sale price of our ordinary shares on AIM on ,</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and after deducting the estimated underwriting discounts and commissions and estimated expenses payable by us, our as adjusted</w:t>
      </w:r>
    </w:p>
    <w:p>
      <w:pPr>
        <w:spacing w:after="0" w:line="200" w:lineRule="exact"/>
        <w:rPr>
          <w:sz w:val="20"/>
          <w:szCs w:val="20"/>
          <w:color w:val="auto"/>
        </w:rPr>
      </w:pPr>
    </w:p>
    <w:p>
      <w:pPr>
        <w:spacing w:after="0" w:line="210" w:lineRule="exact"/>
        <w:rPr>
          <w:sz w:val="20"/>
          <w:szCs w:val="20"/>
          <w:color w:val="auto"/>
        </w:rPr>
      </w:pPr>
    </w:p>
    <w:p>
      <w:pPr>
        <w:ind w:left="200" w:right="100"/>
        <w:spacing w:after="0" w:line="234" w:lineRule="auto"/>
        <w:rPr>
          <w:sz w:val="20"/>
          <w:szCs w:val="20"/>
          <w:color w:val="auto"/>
        </w:rPr>
      </w:pPr>
      <w:r>
        <w:rPr>
          <w:rFonts w:ascii="Arial" w:cs="Arial" w:eastAsia="Arial" w:hAnsi="Arial"/>
          <w:sz w:val="18"/>
          <w:szCs w:val="18"/>
          <w:color w:val="auto"/>
        </w:rPr>
        <w:t>net tangible book value as of December 31, 2017 would have been £ million ($ million), representing an as adjusted net tangible book value of £ per ordinary share and $ per ADS. This represents an immediate increase in net tangible book value of £ per ordinary share (equal to $ ADS) to existing shareholders and an immediate dilution of £ per ordinary share and $ per</w:t>
      </w:r>
    </w:p>
    <w:p>
      <w:pPr>
        <w:spacing w:after="0" w:line="2" w:lineRule="exact"/>
        <w:rPr>
          <w:sz w:val="20"/>
          <w:szCs w:val="20"/>
          <w:color w:val="auto"/>
        </w:rPr>
      </w:pPr>
    </w:p>
    <w:p>
      <w:pPr>
        <w:jc w:val="both"/>
        <w:ind w:left="200" w:right="280"/>
        <w:spacing w:after="0"/>
        <w:rPr>
          <w:sz w:val="20"/>
          <w:szCs w:val="20"/>
          <w:color w:val="auto"/>
        </w:rPr>
      </w:pPr>
      <w:r>
        <w:rPr>
          <w:rFonts w:ascii="Arial" w:cs="Arial" w:eastAsia="Arial" w:hAnsi="Arial"/>
          <w:sz w:val="18"/>
          <w:szCs w:val="18"/>
          <w:color w:val="auto"/>
        </w:rPr>
        <w:t>ADS to new investors purchasing ordinary shares or ADSs in the global offering. Dilution per ordinary share or ADS to new investors is determined by subtracting the as adjusted net tangible book value per ADS or ordinary share after the global offering from the assumed initial public offering price per ADS or the assumed offering price per ordinary share, as applicable, paid by new investors.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illustrates this dilution to new investors purchasing ADSs or ordinary shares in the global offering.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As of December 31, 2017</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gridSpan w:val="3"/>
          </w:tcPr>
          <w:p>
            <w:pPr>
              <w:jc w:val="right"/>
              <w:ind w:right="79"/>
              <w:spacing w:after="0" w:line="155" w:lineRule="exact"/>
              <w:rPr>
                <w:sz w:val="20"/>
                <w:szCs w:val="20"/>
                <w:color w:val="auto"/>
              </w:rPr>
            </w:pPr>
            <w:r>
              <w:rPr>
                <w:rFonts w:ascii="Arial" w:cs="Arial" w:eastAsia="Arial" w:hAnsi="Arial"/>
                <w:sz w:val="14"/>
                <w:szCs w:val="14"/>
                <w:b w:val="1"/>
                <w:bCs w:val="1"/>
                <w:color w:val="auto"/>
              </w:rPr>
              <w:t>Ordinary Shares</w:t>
            </w:r>
          </w:p>
        </w:tc>
        <w:tc>
          <w:tcPr>
            <w:tcW w:w="2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3"/>
          </w:tcPr>
          <w:p>
            <w:pPr>
              <w:jc w:val="center"/>
              <w:ind w:left="516"/>
              <w:spacing w:after="0" w:line="155" w:lineRule="exact"/>
              <w:rPr>
                <w:sz w:val="20"/>
                <w:szCs w:val="20"/>
                <w:color w:val="auto"/>
              </w:rPr>
            </w:pPr>
            <w:r>
              <w:rPr>
                <w:rFonts w:ascii="Arial" w:cs="Arial" w:eastAsia="Arial" w:hAnsi="Arial"/>
                <w:sz w:val="14"/>
                <w:szCs w:val="14"/>
                <w:b w:val="1"/>
                <w:bCs w:val="1"/>
                <w:color w:val="auto"/>
              </w:rPr>
              <w:t>ADSs</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25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Assumed offering price</w:t>
            </w: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39"/>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80" w:type="dxa"/>
            <w:vAlign w:val="bottom"/>
            <w:gridSpan w:val="5"/>
          </w:tcPr>
          <w:p>
            <w:pPr>
              <w:ind w:left="340"/>
              <w:spacing w:after="0" w:line="202" w:lineRule="exact"/>
              <w:rPr>
                <w:sz w:val="20"/>
                <w:szCs w:val="20"/>
                <w:color w:val="auto"/>
              </w:rPr>
            </w:pPr>
            <w:r>
              <w:rPr>
                <w:rFonts w:ascii="Arial" w:cs="Arial" w:eastAsia="Arial" w:hAnsi="Arial"/>
                <w:sz w:val="18"/>
                <w:szCs w:val="18"/>
                <w:color w:val="auto"/>
              </w:rPr>
              <w:t>Net tangible book value per ordinary share or ADS</w:t>
            </w:r>
          </w:p>
        </w:tc>
        <w:tc>
          <w:tcPr>
            <w:tcW w:w="138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£0.39</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gridSpan w:val="2"/>
          </w:tcPr>
          <w:p>
            <w:pPr>
              <w:jc w:val="right"/>
              <w:ind w:right="556"/>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980" w:type="dxa"/>
            <w:vAlign w:val="bottom"/>
            <w:gridSpan w:val="10"/>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net tangible book value per ordinary share or ADS attributable to the global</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offering</w:t>
            </w:r>
          </w:p>
        </w:tc>
        <w:tc>
          <w:tcPr>
            <w:tcW w:w="1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8280" w:type="dxa"/>
            <w:vAlign w:val="bottom"/>
            <w:gridSpan w:val="10"/>
          </w:tcPr>
          <w:p>
            <w:pPr>
              <w:spacing w:after="0"/>
              <w:rPr>
                <w:sz w:val="20"/>
                <w:szCs w:val="20"/>
                <w:color w:val="auto"/>
              </w:rPr>
            </w:pPr>
            <w:r>
              <w:rPr>
                <w:rFonts w:ascii="Arial" w:cs="Arial" w:eastAsia="Arial" w:hAnsi="Arial"/>
                <w:sz w:val="18"/>
                <w:szCs w:val="18"/>
                <w:color w:val="auto"/>
              </w:rPr>
              <w:t>As adjusted net tangible book value per ordinary share or ADS after the global offering</w:t>
            </w: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6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Dilution per ADS or ordinary share to new investors in the global offering</w:t>
            </w:r>
          </w:p>
        </w:tc>
        <w:tc>
          <w:tcPr>
            <w:tcW w:w="1900" w:type="dxa"/>
            <w:vAlign w:val="bottom"/>
            <w:gridSpan w:val="3"/>
            <w:shd w:val="clear" w:color="auto" w:fill="CCEEFF"/>
          </w:tcPr>
          <w:p>
            <w:pPr>
              <w:spacing w:after="0"/>
              <w:rPr>
                <w:sz w:val="17"/>
                <w:szCs w:val="17"/>
                <w:color w:val="auto"/>
              </w:rPr>
            </w:pPr>
          </w:p>
        </w:tc>
        <w:tc>
          <w:tcPr>
            <w:tcW w:w="720" w:type="dxa"/>
            <w:vAlign w:val="bottom"/>
            <w:shd w:val="clear" w:color="auto" w:fill="CCEEFF"/>
          </w:tcPr>
          <w:p>
            <w:pPr>
              <w:jc w:val="right"/>
              <w:ind w:right="539"/>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360" w:type="dxa"/>
            <w:vAlign w:val="bottom"/>
            <w:gridSpan w:val="6"/>
          </w:tcPr>
          <w:p>
            <w:pPr>
              <w:ind w:left="320"/>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4660" w:type="dxa"/>
            <w:vAlign w:val="bottom"/>
            <w:gridSpan w:val="10"/>
          </w:tcPr>
          <w:p>
            <w:pPr>
              <w:ind w:left="280"/>
              <w:spacing w:after="0"/>
              <w:rPr>
                <w:sz w:val="20"/>
                <w:szCs w:val="20"/>
                <w:color w:val="auto"/>
              </w:rPr>
            </w:pPr>
            <w:r>
              <w:rPr>
                <w:rFonts w:ascii="Arial" w:cs="Arial" w:eastAsia="Arial" w:hAnsi="Arial"/>
                <w:sz w:val="18"/>
                <w:szCs w:val="18"/>
                <w:color w:val="auto"/>
              </w:rPr>
              <w:t>ADSs, our as adjusted net tangible book value after</w:t>
            </w:r>
          </w:p>
        </w:tc>
      </w:tr>
      <w:tr>
        <w:trPr>
          <w:trHeight w:val="203"/>
        </w:trPr>
        <w:tc>
          <w:tcPr>
            <w:tcW w:w="2580" w:type="dxa"/>
            <w:vAlign w:val="bottom"/>
            <w:gridSpan w:val="4"/>
          </w:tcPr>
          <w:p>
            <w:pPr>
              <w:spacing w:after="0" w:line="202" w:lineRule="exact"/>
              <w:rPr>
                <w:sz w:val="20"/>
                <w:szCs w:val="20"/>
                <w:color w:val="auto"/>
              </w:rPr>
            </w:pPr>
            <w:r>
              <w:rPr>
                <w:rFonts w:ascii="Arial" w:cs="Arial" w:eastAsia="Arial" w:hAnsi="Arial"/>
                <w:sz w:val="18"/>
                <w:szCs w:val="18"/>
                <w:color w:val="auto"/>
              </w:rPr>
              <w:t>the global offering would be £</w:t>
            </w:r>
          </w:p>
        </w:tc>
        <w:tc>
          <w:tcPr>
            <w:tcW w:w="24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per ordinary share and $</w:t>
            </w:r>
          </w:p>
        </w:tc>
        <w:tc>
          <w:tcPr>
            <w:tcW w:w="6040" w:type="dxa"/>
            <w:vAlign w:val="bottom"/>
            <w:gridSpan w:val="11"/>
          </w:tcPr>
          <w:p>
            <w:pPr>
              <w:jc w:val="center"/>
              <w:ind w:left="90"/>
              <w:spacing w:after="0" w:line="202" w:lineRule="exact"/>
              <w:rPr>
                <w:sz w:val="20"/>
                <w:szCs w:val="20"/>
                <w:color w:val="auto"/>
              </w:rPr>
            </w:pPr>
            <w:r>
              <w:rPr>
                <w:rFonts w:ascii="Arial" w:cs="Arial" w:eastAsia="Arial" w:hAnsi="Arial"/>
                <w:sz w:val="18"/>
                <w:szCs w:val="18"/>
                <w:color w:val="auto"/>
                <w:w w:val="99"/>
              </w:rPr>
              <w:t>per ADS, representing an immediate increase in as adjusted net tangible</w:t>
            </w:r>
          </w:p>
        </w:tc>
      </w:tr>
      <w:tr>
        <w:trPr>
          <w:trHeight w:val="203"/>
        </w:trPr>
        <w:tc>
          <w:tcPr>
            <w:tcW w:w="1440" w:type="dxa"/>
            <w:vAlign w:val="bottom"/>
            <w:gridSpan w:val="3"/>
          </w:tcPr>
          <w:p>
            <w:pPr>
              <w:spacing w:after="0" w:line="202" w:lineRule="exact"/>
              <w:rPr>
                <w:sz w:val="20"/>
                <w:szCs w:val="20"/>
                <w:color w:val="auto"/>
              </w:rPr>
            </w:pPr>
            <w:r>
              <w:rPr>
                <w:rFonts w:ascii="Arial" w:cs="Arial" w:eastAsia="Arial" w:hAnsi="Arial"/>
                <w:sz w:val="18"/>
                <w:szCs w:val="18"/>
                <w:color w:val="auto"/>
              </w:rPr>
              <w:t>book value of £</w:t>
            </w:r>
          </w:p>
        </w:tc>
        <w:tc>
          <w:tcPr>
            <w:tcW w:w="2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per ordinary share and $</w:t>
            </w:r>
          </w:p>
        </w:tc>
        <w:tc>
          <w:tcPr>
            <w:tcW w:w="51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per ADS to existing shareholders and immediate dilution of £</w:t>
            </w:r>
          </w:p>
        </w:tc>
        <w:tc>
          <w:tcPr>
            <w:tcW w:w="280" w:type="dxa"/>
            <w:vAlign w:val="bottom"/>
          </w:tcPr>
          <w:p>
            <w:pPr>
              <w:spacing w:after="0"/>
              <w:rPr>
                <w:sz w:val="17"/>
                <w:szCs w:val="17"/>
                <w:color w:val="auto"/>
              </w:rPr>
            </w:pPr>
          </w:p>
        </w:tc>
        <w:tc>
          <w:tcPr>
            <w:tcW w:w="176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per ordinary share</w:t>
            </w:r>
          </w:p>
        </w:tc>
      </w:tr>
      <w:tr>
        <w:trPr>
          <w:trHeight w:val="203"/>
        </w:trPr>
        <w:tc>
          <w:tcPr>
            <w:tcW w:w="500" w:type="dxa"/>
            <w:vAlign w:val="bottom"/>
            <w:gridSpan w:val="2"/>
          </w:tcPr>
          <w:p>
            <w:pPr>
              <w:spacing w:after="0" w:line="202" w:lineRule="exact"/>
              <w:rPr>
                <w:sz w:val="20"/>
                <w:szCs w:val="20"/>
                <w:color w:val="auto"/>
              </w:rPr>
            </w:pPr>
            <w:r>
              <w:rPr>
                <w:rFonts w:ascii="Arial" w:cs="Arial" w:eastAsia="Arial" w:hAnsi="Arial"/>
                <w:sz w:val="18"/>
                <w:szCs w:val="18"/>
                <w:color w:val="auto"/>
              </w:rPr>
              <w:t>and $</w:t>
            </w:r>
          </w:p>
        </w:tc>
        <w:tc>
          <w:tcPr>
            <w:tcW w:w="9860" w:type="dxa"/>
            <w:vAlign w:val="bottom"/>
            <w:gridSpan w:val="13"/>
          </w:tcPr>
          <w:p>
            <w:pPr>
              <w:jc w:val="right"/>
              <w:ind w:right="400"/>
              <w:spacing w:after="0" w:line="202" w:lineRule="exact"/>
              <w:rPr>
                <w:sz w:val="20"/>
                <w:szCs w:val="20"/>
                <w:color w:val="auto"/>
              </w:rPr>
            </w:pPr>
            <w:r>
              <w:rPr>
                <w:rFonts w:ascii="Arial" w:cs="Arial" w:eastAsia="Arial" w:hAnsi="Arial"/>
                <w:sz w:val="18"/>
                <w:szCs w:val="18"/>
                <w:color w:val="auto"/>
              </w:rPr>
              <w:t>per ADS to new investors participating in the global offering, based on the assumed initial public offering price of $</w:t>
            </w: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per</w:t>
            </w:r>
          </w:p>
        </w:tc>
      </w:tr>
      <w:tr>
        <w:trPr>
          <w:trHeight w:val="203"/>
        </w:trPr>
        <w:tc>
          <w:tcPr>
            <w:tcW w:w="5000" w:type="dxa"/>
            <w:vAlign w:val="bottom"/>
            <w:gridSpan w:val="6"/>
          </w:tcPr>
          <w:p>
            <w:pPr>
              <w:spacing w:after="0" w:line="202" w:lineRule="exact"/>
              <w:rPr>
                <w:sz w:val="20"/>
                <w:szCs w:val="20"/>
                <w:color w:val="auto"/>
              </w:rPr>
            </w:pPr>
            <w:r>
              <w:rPr>
                <w:rFonts w:ascii="Arial" w:cs="Arial" w:eastAsia="Arial" w:hAnsi="Arial"/>
                <w:sz w:val="18"/>
                <w:szCs w:val="18"/>
                <w:color w:val="auto"/>
              </w:rPr>
              <w:t>ADS in the U.S. offering and the assumed offering price of £</w:t>
            </w:r>
          </w:p>
        </w:tc>
        <w:tc>
          <w:tcPr>
            <w:tcW w:w="6040" w:type="dxa"/>
            <w:vAlign w:val="bottom"/>
            <w:gridSpan w:val="11"/>
          </w:tcPr>
          <w:p>
            <w:pPr>
              <w:jc w:val="center"/>
              <w:ind w:left="90"/>
              <w:spacing w:after="0" w:line="202" w:lineRule="exact"/>
              <w:rPr>
                <w:sz w:val="20"/>
                <w:szCs w:val="20"/>
                <w:color w:val="auto"/>
              </w:rPr>
            </w:pPr>
            <w:r>
              <w:rPr>
                <w:rFonts w:ascii="Arial" w:cs="Arial" w:eastAsia="Arial" w:hAnsi="Arial"/>
                <w:sz w:val="18"/>
                <w:szCs w:val="18"/>
                <w:color w:val="auto"/>
              </w:rPr>
              <w:t>per ordinary share in the European private placement, which reflect the</w:t>
            </w:r>
          </w:p>
        </w:tc>
      </w:tr>
      <w:tr>
        <w:trPr>
          <w:trHeight w:val="217"/>
        </w:trPr>
        <w:tc>
          <w:tcPr>
            <w:tcW w:w="5000" w:type="dxa"/>
            <w:vAlign w:val="bottom"/>
            <w:gridSpan w:val="6"/>
          </w:tcPr>
          <w:p>
            <w:pPr>
              <w:spacing w:after="0"/>
              <w:rPr>
                <w:sz w:val="20"/>
                <w:szCs w:val="20"/>
                <w:color w:val="auto"/>
              </w:rPr>
            </w:pPr>
            <w:r>
              <w:rPr>
                <w:rFonts w:ascii="Arial" w:cs="Arial" w:eastAsia="Arial" w:hAnsi="Arial"/>
                <w:sz w:val="18"/>
                <w:szCs w:val="18"/>
                <w:color w:val="auto"/>
              </w:rPr>
              <w:t>last reported sale price of our ordinary shares on AIM on</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 2018.</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jc w:val="right"/>
              <w:ind w:right="670"/>
              <w:spacing w:after="0"/>
              <w:rPr>
                <w:sz w:val="20"/>
                <w:szCs w:val="20"/>
                <w:color w:val="auto"/>
              </w:rPr>
            </w:pPr>
            <w:r>
              <w:rPr>
                <w:rFonts w:ascii="Arial" w:cs="Arial" w:eastAsia="Arial" w:hAnsi="Arial"/>
                <w:sz w:val="18"/>
                <w:szCs w:val="18"/>
                <w:color w:val="auto"/>
              </w:rPr>
              <w:t>74</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519"/>
        </w:trPr>
        <w:tc>
          <w:tcPr>
            <w:tcW w:w="1460" w:type="dxa"/>
            <w:vAlign w:val="bottom"/>
            <w:gridSpan w:val="2"/>
          </w:tcPr>
          <w:p>
            <w:pPr>
              <w:ind w:left="540"/>
              <w:spacing w:after="0"/>
              <w:rPr>
                <w:sz w:val="20"/>
                <w:szCs w:val="20"/>
                <w:color w:val="auto"/>
              </w:rPr>
            </w:pPr>
            <w:r>
              <w:rPr>
                <w:rFonts w:ascii="Arial" w:cs="Arial" w:eastAsia="Arial" w:hAnsi="Arial"/>
                <w:sz w:val="18"/>
                <w:szCs w:val="18"/>
                <w:color w:val="auto"/>
              </w:rPr>
              <w:t>Each £</w:t>
            </w:r>
          </w:p>
        </w:tc>
        <w:tc>
          <w:tcPr>
            <w:tcW w:w="4700" w:type="dxa"/>
            <w:vAlign w:val="bottom"/>
            <w:gridSpan w:val="2"/>
          </w:tcPr>
          <w:p>
            <w:pPr>
              <w:ind w:left="80"/>
              <w:spacing w:after="0"/>
              <w:rPr>
                <w:sz w:val="20"/>
                <w:szCs w:val="20"/>
                <w:color w:val="auto"/>
              </w:rPr>
            </w:pPr>
            <w:r>
              <w:rPr>
                <w:rFonts w:ascii="Arial" w:cs="Arial" w:eastAsia="Arial" w:hAnsi="Arial"/>
                <w:sz w:val="18"/>
                <w:szCs w:val="18"/>
                <w:color w:val="auto"/>
              </w:rPr>
              <w:t>increase or decrease in the assumed offering price of £</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w w:val="99"/>
              </w:rPr>
              <w:t>per ordinary share, which reflects the last reported sale price</w:t>
            </w:r>
          </w:p>
        </w:tc>
      </w:tr>
      <w:tr>
        <w:trPr>
          <w:trHeight w:val="203"/>
        </w:trPr>
        <w:tc>
          <w:tcPr>
            <w:tcW w:w="3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of our ordinary shares on AIM on</w:t>
            </w:r>
          </w:p>
        </w:tc>
        <w:tc>
          <w:tcPr>
            <w:tcW w:w="74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 2018, would increase or decrease the as adjusted net tangible book value after the global</w:t>
            </w:r>
          </w:p>
        </w:tc>
      </w:tr>
      <w:tr>
        <w:trPr>
          <w:trHeight w:val="203"/>
        </w:trPr>
        <w:tc>
          <w:tcPr>
            <w:tcW w:w="1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offering by £</w:t>
            </w:r>
          </w:p>
        </w:tc>
        <w:tc>
          <w:tcPr>
            <w:tcW w:w="2280" w:type="dxa"/>
            <w:vAlign w:val="bottom"/>
          </w:tcPr>
          <w:p>
            <w:pPr>
              <w:ind w:left="180"/>
              <w:spacing w:after="0" w:line="202" w:lineRule="exact"/>
              <w:rPr>
                <w:sz w:val="20"/>
                <w:szCs w:val="20"/>
                <w:color w:val="auto"/>
              </w:rPr>
            </w:pPr>
            <w:r>
              <w:rPr>
                <w:rFonts w:ascii="Arial" w:cs="Arial" w:eastAsia="Arial" w:hAnsi="Arial"/>
                <w:sz w:val="18"/>
                <w:szCs w:val="18"/>
                <w:color w:val="auto"/>
              </w:rPr>
              <w:t>per ordinary share and $</w:t>
            </w:r>
          </w:p>
        </w:tc>
        <w:tc>
          <w:tcPr>
            <w:tcW w:w="59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per ADS and the dilution to new investors in the global offering by £</w:t>
            </w:r>
          </w:p>
        </w:tc>
        <w:tc>
          <w:tcPr>
            <w:tcW w:w="1560" w:type="dxa"/>
            <w:vAlign w:val="bottom"/>
          </w:tcPr>
          <w:p>
            <w:pPr>
              <w:ind w:left="220"/>
              <w:spacing w:after="0" w:line="202" w:lineRule="exact"/>
              <w:rPr>
                <w:sz w:val="20"/>
                <w:szCs w:val="20"/>
                <w:color w:val="auto"/>
              </w:rPr>
            </w:pPr>
            <w:r>
              <w:rPr>
                <w:rFonts w:ascii="Arial" w:cs="Arial" w:eastAsia="Arial" w:hAnsi="Arial"/>
                <w:sz w:val="18"/>
                <w:szCs w:val="18"/>
                <w:color w:val="auto"/>
              </w:rPr>
              <w:t>per ordinary</w:t>
            </w:r>
          </w:p>
        </w:tc>
      </w:tr>
      <w:tr>
        <w:trPr>
          <w:trHeight w:val="203"/>
        </w:trPr>
        <w:tc>
          <w:tcPr>
            <w:tcW w:w="1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 and $</w:t>
            </w:r>
          </w:p>
        </w:tc>
        <w:tc>
          <w:tcPr>
            <w:tcW w:w="97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per ADS, assuming that the number of ordinary shares (including ordinary shares in the form of ADSs) offered by us in</w:t>
            </w:r>
          </w:p>
        </w:tc>
      </w:tr>
    </w:tbl>
    <w:p>
      <w:pPr>
        <w:ind w:left="200"/>
        <w:spacing w:after="0" w:line="331" w:lineRule="auto"/>
        <w:rPr>
          <w:sz w:val="20"/>
          <w:szCs w:val="20"/>
          <w:color w:val="auto"/>
        </w:rPr>
      </w:pPr>
      <w:r>
        <w:rPr>
          <w:rFonts w:ascii="Arial" w:cs="Arial" w:eastAsia="Arial" w:hAnsi="Arial"/>
          <w:sz w:val="17"/>
          <w:szCs w:val="17"/>
          <w:color w:val="auto"/>
        </w:rPr>
        <w:t>the global offering, as set forth on the cover page of this prospectus, remains the same and after deducting the estimated underwriting discounts and commissions and estimated offering expenses payable by us. An increase of 1,000,000 in the number of ordinary shares (including ordinary shares in the form of ADSs) offered by us in the global offering, as set forth on the cover page of this prospectus,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right="160"/>
        <w:spacing w:after="0" w:line="234" w:lineRule="auto"/>
        <w:rPr>
          <w:sz w:val="20"/>
          <w:szCs w:val="20"/>
          <w:color w:val="auto"/>
        </w:rPr>
      </w:pPr>
      <w:r>
        <w:rPr>
          <w:rFonts w:ascii="Arial" w:cs="Arial" w:eastAsia="Arial" w:hAnsi="Arial"/>
          <w:sz w:val="18"/>
          <w:szCs w:val="18"/>
          <w:color w:val="auto"/>
        </w:rPr>
        <w:t>increase the as adjusted net tangible book value after the global offering by £ per ordinary share and $ per ADS and decrease the dilution to new investors participating in the global offering by £ per ordinary share and $ per ADS, assuming no change in</w:t>
      </w:r>
    </w:p>
    <w:p>
      <w:pPr>
        <w:spacing w:after="0" w:line="2" w:lineRule="exact"/>
        <w:rPr>
          <w:sz w:val="20"/>
          <w:szCs w:val="20"/>
          <w:color w:val="auto"/>
        </w:rPr>
      </w:pPr>
    </w:p>
    <w:p>
      <w:pPr>
        <w:ind w:left="200" w:right="200"/>
        <w:spacing w:after="0" w:line="704" w:lineRule="auto"/>
        <w:rPr>
          <w:sz w:val="20"/>
          <w:szCs w:val="20"/>
          <w:color w:val="auto"/>
        </w:rPr>
      </w:pPr>
      <w:r>
        <w:rPr>
          <w:rFonts w:ascii="Arial" w:cs="Arial" w:eastAsia="Arial" w:hAnsi="Arial"/>
          <w:sz w:val="18"/>
          <w:szCs w:val="18"/>
          <w:color w:val="auto"/>
        </w:rPr>
        <w:t>the assumed initial public offering price per ADS or in the assumed offering price per ordinary share and after deducting the estimated underwriting discounts and commissions and estimated offering expenses payable by us. A decrease of 1,000,000 in the number of ordinary shares (including ordinary shares in the form of ADSs) offered by us in the global offering, as set forth on the cover page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right="180"/>
        <w:spacing w:after="0" w:line="234" w:lineRule="auto"/>
        <w:rPr>
          <w:sz w:val="20"/>
          <w:szCs w:val="20"/>
          <w:color w:val="auto"/>
        </w:rPr>
      </w:pPr>
      <w:r>
        <w:rPr>
          <w:rFonts w:ascii="Arial" w:cs="Arial" w:eastAsia="Arial" w:hAnsi="Arial"/>
          <w:sz w:val="18"/>
          <w:szCs w:val="18"/>
          <w:color w:val="auto"/>
        </w:rPr>
        <w:t>prospectus, would decrease the as adjusted net tangible book value after the global offering by £ per ordinary share and $ per ADS, and increase the dilution to new investors participating in the global offering by £ per ordinary share and $ per ADS,</w:t>
      </w:r>
    </w:p>
    <w:p>
      <w:pPr>
        <w:spacing w:after="0" w:line="2"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197" w:lineRule="exact"/>
        <w:rPr>
          <w:sz w:val="20"/>
          <w:szCs w:val="20"/>
          <w:color w:val="auto"/>
        </w:rPr>
      </w:pPr>
    </w:p>
    <w:p>
      <w:pPr>
        <w:ind w:left="200" w:right="100" w:firstLine="331"/>
        <w:spacing w:after="0" w:line="234" w:lineRule="auto"/>
        <w:rPr>
          <w:sz w:val="20"/>
          <w:szCs w:val="20"/>
          <w:color w:val="auto"/>
        </w:rPr>
      </w:pPr>
      <w:r>
        <w:rPr>
          <w:rFonts w:ascii="Arial" w:cs="Arial" w:eastAsia="Arial" w:hAnsi="Arial"/>
          <w:sz w:val="18"/>
          <w:szCs w:val="18"/>
          <w:color w:val="auto"/>
        </w:rPr>
        <w:t>The following table summarizes, as of December 31, 2017, on the as adjusted basis described above, the number of ordinary shares purchased from us (including ordinary shares in the form of ADSs), the total consideration paid to us and the average price per ordinary share and per ADS paid by existing shareholders and by new investors purchasing ordinary shares or ADSs in the global offering. The</w:t>
      </w:r>
    </w:p>
    <w:p>
      <w:pPr>
        <w:ind w:left="200"/>
        <w:spacing w:after="0" w:line="237" w:lineRule="auto"/>
        <w:tabs>
          <w:tab w:leader="none" w:pos="5960" w:val="left"/>
        </w:tabs>
        <w:rPr>
          <w:sz w:val="20"/>
          <w:szCs w:val="20"/>
          <w:color w:val="auto"/>
        </w:rPr>
      </w:pPr>
      <w:r>
        <w:rPr>
          <w:rFonts w:ascii="Arial" w:cs="Arial" w:eastAsia="Arial" w:hAnsi="Arial"/>
          <w:sz w:val="18"/>
          <w:szCs w:val="18"/>
          <w:color w:val="auto"/>
        </w:rPr>
        <w:t>table below is based on an assumed initial public offering price of $</w:t>
      </w:r>
      <w:r>
        <w:rPr>
          <w:sz w:val="20"/>
          <w:szCs w:val="20"/>
          <w:color w:val="auto"/>
        </w:rPr>
        <w:tab/>
      </w:r>
      <w:r>
        <w:rPr>
          <w:rFonts w:ascii="Arial" w:cs="Arial" w:eastAsia="Arial" w:hAnsi="Arial"/>
          <w:sz w:val="18"/>
          <w:szCs w:val="18"/>
          <w:color w:val="auto"/>
        </w:rPr>
        <w:t>per ADS in the U.S. offering and an assumed offering price of</w:t>
      </w:r>
    </w:p>
    <w:p>
      <w:pPr>
        <w:ind w:left="760" w:hanging="556"/>
        <w:spacing w:after="0" w:line="235"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 ordinary share in the European private placement, which reflect the last reported sale price of our ordinary shares on AIM on</w:t>
      </w:r>
    </w:p>
    <w:p>
      <w:pPr>
        <w:ind w:left="1300" w:hanging="96"/>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2018, before deducting the estimated underwriting discounts and commissions and estimated offering expenses payable by</w:t>
      </w:r>
    </w:p>
    <w:p>
      <w:pPr>
        <w:ind w:left="200"/>
        <w:spacing w:after="0"/>
        <w:rPr>
          <w:rFonts w:ascii="Arial" w:cs="Arial" w:eastAsia="Arial" w:hAnsi="Arial"/>
          <w:sz w:val="18"/>
          <w:szCs w:val="18"/>
          <w:color w:val="auto"/>
        </w:rPr>
      </w:pPr>
      <w:r>
        <w:rPr>
          <w:rFonts w:ascii="Arial" w:cs="Arial" w:eastAsia="Arial" w:hAnsi="Arial"/>
          <w:sz w:val="18"/>
          <w:szCs w:val="18"/>
          <w:color w:val="auto"/>
        </w:rPr>
        <w:t>us: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4"/>
            <w:vMerge w:val="restart"/>
          </w:tcPr>
          <w:p>
            <w:pPr>
              <w:jc w:val="right"/>
              <w:ind w:right="93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Price per</w:t>
            </w:r>
          </w:p>
        </w:tc>
        <w:tc>
          <w:tcPr>
            <w:tcW w:w="20" w:type="dxa"/>
            <w:vAlign w:val="bottom"/>
          </w:tcPr>
          <w:p>
            <w:pPr>
              <w:spacing w:after="0"/>
              <w:rPr>
                <w:sz w:val="8"/>
                <w:szCs w:val="8"/>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40" w:type="dxa"/>
            <w:vAlign w:val="bottom"/>
            <w:gridSpan w:val="4"/>
            <w:vMerge w:val="restart"/>
          </w:tcPr>
          <w:p>
            <w:pPr>
              <w:jc w:val="right"/>
              <w:ind w:right="730"/>
              <w:spacing w:after="0"/>
              <w:rPr>
                <w:sz w:val="20"/>
                <w:szCs w:val="20"/>
                <w:color w:val="auto"/>
              </w:rPr>
            </w:pPr>
            <w:r>
              <w:rPr>
                <w:rFonts w:ascii="Arial" w:cs="Arial" w:eastAsia="Arial" w:hAnsi="Arial"/>
                <w:sz w:val="14"/>
                <w:szCs w:val="14"/>
                <w:b w:val="1"/>
                <w:bCs w:val="1"/>
                <w:color w:val="auto"/>
              </w:rPr>
              <w:t>Purchased(1)</w:t>
            </w:r>
          </w:p>
        </w:tc>
        <w:tc>
          <w:tcPr>
            <w:tcW w:w="280" w:type="dxa"/>
            <w:vAlign w:val="bottom"/>
          </w:tcPr>
          <w:p>
            <w:pPr>
              <w:spacing w:after="0"/>
              <w:rPr>
                <w:sz w:val="5"/>
                <w:szCs w:val="5"/>
                <w:color w:val="auto"/>
              </w:rPr>
            </w:pPr>
          </w:p>
        </w:tc>
        <w:tc>
          <w:tcPr>
            <w:tcW w:w="1760" w:type="dxa"/>
            <w:vAlign w:val="bottom"/>
            <w:gridSpan w:val="5"/>
            <w:vMerge w:val="restart"/>
          </w:tcPr>
          <w:p>
            <w:pPr>
              <w:jc w:val="right"/>
              <w:ind w:right="610"/>
              <w:spacing w:after="0"/>
              <w:rPr>
                <w:sz w:val="20"/>
                <w:szCs w:val="20"/>
                <w:color w:val="auto"/>
              </w:rPr>
            </w:pPr>
            <w:r>
              <w:rPr>
                <w:rFonts w:ascii="Arial" w:cs="Arial" w:eastAsia="Arial" w:hAnsi="Arial"/>
                <w:sz w:val="14"/>
                <w:szCs w:val="14"/>
                <w:b w:val="1"/>
                <w:bCs w:val="1"/>
                <w:color w:val="auto"/>
              </w:rPr>
              <w:t>Consideration</w:t>
            </w: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Ordinary</w:t>
            </w:r>
          </w:p>
        </w:tc>
        <w:tc>
          <w:tcPr>
            <w:tcW w:w="20" w:type="dxa"/>
            <w:vAlign w:val="bottom"/>
          </w:tcPr>
          <w:p>
            <w:pPr>
              <w:spacing w:after="0"/>
              <w:rPr>
                <w:sz w:val="9"/>
                <w:szCs w:val="9"/>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5"/>
                <w:szCs w:val="15"/>
                <w:color w:val="auto"/>
              </w:rPr>
            </w:pPr>
          </w:p>
        </w:tc>
        <w:tc>
          <w:tcPr>
            <w:tcW w:w="10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7"/>
              </w:rPr>
              <w:t>Percent</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10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4"/>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60" w:type="dxa"/>
            <w:vAlign w:val="bottom"/>
            <w:gridSpan w:val="3"/>
          </w:tcPr>
          <w:p>
            <w:pPr>
              <w:spacing w:after="0" w:line="202" w:lineRule="exact"/>
              <w:rPr>
                <w:sz w:val="20"/>
                <w:szCs w:val="20"/>
                <w:color w:val="auto"/>
              </w:rPr>
            </w:pPr>
            <w:r>
              <w:rPr>
                <w:rFonts w:ascii="Arial" w:cs="Arial" w:eastAsia="Arial" w:hAnsi="Arial"/>
                <w:sz w:val="18"/>
                <w:szCs w:val="18"/>
                <w:color w:val="auto"/>
              </w:rPr>
              <w:t>New investors</w:t>
            </w:r>
          </w:p>
        </w:tc>
        <w:tc>
          <w:tcPr>
            <w:tcW w:w="10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3"/>
          </w:tcPr>
          <w:p>
            <w:pPr>
              <w:spacing w:after="0"/>
              <w:rPr>
                <w:sz w:val="11"/>
                <w:szCs w:val="11"/>
                <w:color w:val="auto"/>
              </w:rPr>
            </w:pPr>
          </w:p>
        </w:tc>
        <w:tc>
          <w:tcPr>
            <w:tcW w:w="218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gridSpan w:val="2"/>
          </w:tcPr>
          <w:p>
            <w:pPr>
              <w:spacing w:after="0"/>
              <w:rPr>
                <w:sz w:val="20"/>
                <w:szCs w:val="20"/>
                <w:color w:val="auto"/>
              </w:rPr>
            </w:pPr>
            <w:r>
              <w:rPr>
                <w:rFonts w:ascii="Arial" w:cs="Arial" w:eastAsia="Arial" w:hAnsi="Arial"/>
                <w:sz w:val="18"/>
                <w:szCs w:val="18"/>
                <w:color w:val="auto"/>
              </w:rPr>
              <w:t>(1)</w:t>
            </w:r>
          </w:p>
        </w:tc>
        <w:tc>
          <w:tcPr>
            <w:tcW w:w="4780" w:type="dxa"/>
            <w:vAlign w:val="bottom"/>
            <w:gridSpan w:val="6"/>
          </w:tcPr>
          <w:p>
            <w:pPr>
              <w:ind w:left="40"/>
              <w:spacing w:after="0"/>
              <w:rPr>
                <w:sz w:val="20"/>
                <w:szCs w:val="20"/>
                <w:color w:val="auto"/>
              </w:rPr>
            </w:pPr>
            <w:r>
              <w:rPr>
                <w:rFonts w:ascii="Arial" w:cs="Arial" w:eastAsia="Arial" w:hAnsi="Arial"/>
                <w:sz w:val="18"/>
                <w:szCs w:val="18"/>
                <w:color w:val="auto"/>
              </w:rPr>
              <w:t>Including ordinary shares in the form of ADSs.</w:t>
            </w: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Each $</w:t>
            </w:r>
          </w:p>
        </w:tc>
        <w:tc>
          <w:tcPr>
            <w:tcW w:w="5520" w:type="dxa"/>
            <w:vAlign w:val="bottom"/>
            <w:gridSpan w:val="8"/>
          </w:tcPr>
          <w:p>
            <w:pPr>
              <w:jc w:val="right"/>
              <w:ind w:right="16"/>
              <w:spacing w:after="0"/>
              <w:rPr>
                <w:sz w:val="20"/>
                <w:szCs w:val="20"/>
                <w:color w:val="auto"/>
              </w:rPr>
            </w:pPr>
            <w:r>
              <w:rPr>
                <w:rFonts w:ascii="Arial" w:cs="Arial" w:eastAsia="Arial" w:hAnsi="Arial"/>
                <w:sz w:val="18"/>
                <w:szCs w:val="18"/>
                <w:color w:val="auto"/>
              </w:rPr>
              <w:t>increase or decrease in the assumed initial public offering price of $</w:t>
            </w:r>
          </w:p>
        </w:tc>
        <w:tc>
          <w:tcPr>
            <w:tcW w:w="3940" w:type="dxa"/>
            <w:vAlign w:val="bottom"/>
            <w:gridSpan w:val="11"/>
          </w:tcPr>
          <w:p>
            <w:pPr>
              <w:ind w:left="340"/>
              <w:spacing w:after="0"/>
              <w:rPr>
                <w:sz w:val="20"/>
                <w:szCs w:val="20"/>
                <w:color w:val="auto"/>
              </w:rPr>
            </w:pPr>
            <w:r>
              <w:rPr>
                <w:rFonts w:ascii="Arial" w:cs="Arial" w:eastAsia="Arial" w:hAnsi="Arial"/>
                <w:sz w:val="18"/>
                <w:szCs w:val="18"/>
                <w:color w:val="auto"/>
                <w:w w:val="99"/>
              </w:rPr>
              <w:t>per ADS, which reflects the last reported sale</w:t>
            </w:r>
          </w:p>
        </w:tc>
        <w:tc>
          <w:tcPr>
            <w:tcW w:w="0" w:type="dxa"/>
            <w:vAlign w:val="bottom"/>
          </w:tcPr>
          <w:p>
            <w:pPr>
              <w:spacing w:after="0"/>
              <w:rPr>
                <w:sz w:val="1"/>
                <w:szCs w:val="1"/>
                <w:color w:val="auto"/>
              </w:rPr>
            </w:pPr>
          </w:p>
        </w:tc>
      </w:tr>
      <w:tr>
        <w:trPr>
          <w:trHeight w:val="203"/>
        </w:trPr>
        <w:tc>
          <w:tcPr>
            <w:tcW w:w="3500" w:type="dxa"/>
            <w:vAlign w:val="bottom"/>
            <w:gridSpan w:val="6"/>
          </w:tcPr>
          <w:p>
            <w:pPr>
              <w:spacing w:after="0" w:line="202" w:lineRule="exact"/>
              <w:rPr>
                <w:sz w:val="20"/>
                <w:szCs w:val="20"/>
                <w:color w:val="auto"/>
              </w:rPr>
            </w:pPr>
            <w:r>
              <w:rPr>
                <w:rFonts w:ascii="Arial" w:cs="Arial" w:eastAsia="Arial" w:hAnsi="Arial"/>
                <w:sz w:val="18"/>
                <w:szCs w:val="18"/>
                <w:color w:val="auto"/>
              </w:rPr>
              <w:t>price of our ordinary shares on AIM on</w:t>
            </w:r>
          </w:p>
        </w:tc>
        <w:tc>
          <w:tcPr>
            <w:tcW w:w="7260" w:type="dxa"/>
            <w:vAlign w:val="bottom"/>
            <w:gridSpan w:val="17"/>
          </w:tcPr>
          <w:p>
            <w:pPr>
              <w:ind w:left="420"/>
              <w:spacing w:after="0" w:line="202" w:lineRule="exact"/>
              <w:rPr>
                <w:sz w:val="20"/>
                <w:szCs w:val="20"/>
                <w:color w:val="auto"/>
              </w:rPr>
            </w:pPr>
            <w:r>
              <w:rPr>
                <w:rFonts w:ascii="Arial" w:cs="Arial" w:eastAsia="Arial" w:hAnsi="Arial"/>
                <w:sz w:val="18"/>
                <w:szCs w:val="18"/>
                <w:color w:val="auto"/>
              </w:rPr>
              <w:t>, 2018, would increase or decrease the total consideration paid by new investors by</w:t>
            </w:r>
          </w:p>
        </w:tc>
        <w:tc>
          <w:tcPr>
            <w:tcW w:w="0" w:type="dxa"/>
            <w:vAlign w:val="bottom"/>
          </w:tcPr>
          <w:p>
            <w:pPr>
              <w:spacing w:after="0"/>
              <w:rPr>
                <w:sz w:val="1"/>
                <w:szCs w:val="1"/>
                <w:color w:val="auto"/>
              </w:rPr>
            </w:pPr>
          </w:p>
        </w:tc>
      </w:tr>
      <w:tr>
        <w:trPr>
          <w:trHeight w:val="203"/>
        </w:trPr>
        <w:tc>
          <w:tcPr>
            <w:tcW w:w="2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60" w:type="dxa"/>
            <w:vAlign w:val="bottom"/>
          </w:tcPr>
          <w:p>
            <w:pPr>
              <w:ind w:left="220"/>
              <w:spacing w:after="0" w:line="202" w:lineRule="exact"/>
              <w:rPr>
                <w:sz w:val="20"/>
                <w:szCs w:val="20"/>
                <w:color w:val="auto"/>
              </w:rPr>
            </w:pPr>
            <w:r>
              <w:rPr>
                <w:rFonts w:ascii="Arial" w:cs="Arial" w:eastAsia="Arial" w:hAnsi="Arial"/>
                <w:sz w:val="18"/>
                <w:szCs w:val="18"/>
                <w:color w:val="auto"/>
                <w:w w:val="99"/>
              </w:rPr>
              <w:t>million (£</w:t>
            </w:r>
          </w:p>
        </w:tc>
        <w:tc>
          <w:tcPr>
            <w:tcW w:w="8600" w:type="dxa"/>
            <w:vAlign w:val="bottom"/>
            <w:gridSpan w:val="16"/>
          </w:tcPr>
          <w:p>
            <w:pPr>
              <w:ind w:left="420"/>
              <w:spacing w:after="0" w:line="202" w:lineRule="exact"/>
              <w:rPr>
                <w:sz w:val="20"/>
                <w:szCs w:val="20"/>
                <w:color w:val="auto"/>
              </w:rPr>
            </w:pPr>
            <w:r>
              <w:rPr>
                <w:rFonts w:ascii="Arial" w:cs="Arial" w:eastAsia="Arial" w:hAnsi="Arial"/>
                <w:sz w:val="18"/>
                <w:szCs w:val="18"/>
                <w:color w:val="auto"/>
              </w:rPr>
              <w:t>million) and would increase or decrease the percentage of total consideration paid by new investors by</w:t>
            </w:r>
          </w:p>
        </w:tc>
        <w:tc>
          <w:tcPr>
            <w:tcW w:w="800" w:type="dxa"/>
            <w:vAlign w:val="bottom"/>
            <w:gridSpan w:val="2"/>
          </w:tcPr>
          <w:p>
            <w:pPr>
              <w:jc w:val="right"/>
              <w:ind w:right="284"/>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right="300"/>
        <w:spacing w:after="0" w:line="234" w:lineRule="auto"/>
        <w:rPr>
          <w:sz w:val="20"/>
          <w:szCs w:val="20"/>
          <w:color w:val="auto"/>
        </w:rPr>
      </w:pPr>
      <w:r>
        <w:rPr>
          <w:rFonts w:ascii="Arial" w:cs="Arial" w:eastAsia="Arial" w:hAnsi="Arial"/>
          <w:sz w:val="18"/>
          <w:szCs w:val="18"/>
          <w:color w:val="auto"/>
        </w:rPr>
        <w:t>assuming that the number of ordinary shares (including ordinary shares in the form of ADSs) offered by us in the global offering, as set forth on the cover page of this prospectus, remains the same. An increase or decrease of 1,000,000 in the number of ordinary shares (including ordinary shares in the form of ADSs) offered by us, as set forth on the cover page of this prospectus, would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tabs>
          <w:tab w:leader="none" w:pos="5300" w:val="left"/>
          <w:tab w:leader="none" w:pos="6480" w:val="left"/>
        </w:tabs>
        <w:rPr>
          <w:sz w:val="20"/>
          <w:szCs w:val="20"/>
          <w:color w:val="auto"/>
        </w:rPr>
      </w:pPr>
      <w:r>
        <w:rPr>
          <w:rFonts w:ascii="Arial" w:cs="Arial" w:eastAsia="Arial" w:hAnsi="Arial"/>
          <w:sz w:val="18"/>
          <w:szCs w:val="18"/>
          <w:color w:val="auto"/>
        </w:rPr>
        <w:t>decrease the total consideration paid by new investors by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7"/>
          <w:szCs w:val="17"/>
          <w:color w:val="auto"/>
        </w:rPr>
        <w:t>million) and would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46" w:right="4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2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519"/>
        </w:trPr>
        <w:tc>
          <w:tcPr>
            <w:tcW w:w="6860" w:type="dxa"/>
            <w:vAlign w:val="bottom"/>
            <w:gridSpan w:val="4"/>
          </w:tcPr>
          <w:p>
            <w:pPr>
              <w:ind w:left="200"/>
              <w:spacing w:after="0"/>
              <w:rPr>
                <w:sz w:val="20"/>
                <w:szCs w:val="20"/>
                <w:color w:val="auto"/>
              </w:rPr>
            </w:pPr>
            <w:r>
              <w:rPr>
                <w:rFonts w:ascii="Arial" w:cs="Arial" w:eastAsia="Arial" w:hAnsi="Arial"/>
                <w:sz w:val="18"/>
                <w:szCs w:val="18"/>
                <w:color w:val="auto"/>
                <w:w w:val="99"/>
              </w:rPr>
              <w:t>increase or decrease the percentage of total consideration paid by new investors by</w:t>
            </w:r>
          </w:p>
        </w:tc>
        <w:tc>
          <w:tcPr>
            <w:tcW w:w="3940" w:type="dxa"/>
            <w:vAlign w:val="bottom"/>
          </w:tcPr>
          <w:p>
            <w:pPr>
              <w:ind w:left="260"/>
              <w:spacing w:after="0"/>
              <w:rPr>
                <w:sz w:val="20"/>
                <w:szCs w:val="20"/>
                <w:color w:val="auto"/>
              </w:rPr>
            </w:pPr>
            <w:r>
              <w:rPr>
                <w:rFonts w:ascii="Arial" w:cs="Arial" w:eastAsia="Arial" w:hAnsi="Arial"/>
                <w:sz w:val="18"/>
                <w:szCs w:val="18"/>
                <w:color w:val="auto"/>
              </w:rPr>
              <w:t>%, assuming no change in the assumed initial</w:t>
            </w:r>
          </w:p>
        </w:tc>
      </w:tr>
      <w:tr>
        <w:trPr>
          <w:trHeight w:val="217"/>
        </w:trPr>
        <w:tc>
          <w:tcPr>
            <w:tcW w:w="6860" w:type="dxa"/>
            <w:vAlign w:val="bottom"/>
            <w:gridSpan w:val="4"/>
          </w:tcPr>
          <w:p>
            <w:pPr>
              <w:ind w:left="200"/>
              <w:spacing w:after="0"/>
              <w:rPr>
                <w:sz w:val="20"/>
                <w:szCs w:val="20"/>
                <w:color w:val="auto"/>
              </w:rPr>
            </w:pPr>
            <w:r>
              <w:rPr>
                <w:rFonts w:ascii="Arial" w:cs="Arial" w:eastAsia="Arial" w:hAnsi="Arial"/>
                <w:sz w:val="18"/>
                <w:szCs w:val="18"/>
                <w:color w:val="auto"/>
              </w:rPr>
              <w:t>public offering price per ADS or in the assumed offering price per ordinary share.</w:t>
            </w:r>
          </w:p>
        </w:tc>
        <w:tc>
          <w:tcPr>
            <w:tcW w:w="3940" w:type="dxa"/>
            <w:vAlign w:val="bottom"/>
          </w:tcPr>
          <w:p>
            <w:pPr>
              <w:spacing w:after="0"/>
              <w:rPr>
                <w:sz w:val="18"/>
                <w:szCs w:val="18"/>
                <w:color w:val="auto"/>
              </w:rPr>
            </w:pPr>
          </w:p>
        </w:tc>
      </w:tr>
      <w:tr>
        <w:trPr>
          <w:trHeight w:val="419"/>
        </w:trPr>
        <w:tc>
          <w:tcPr>
            <w:tcW w:w="6860" w:type="dxa"/>
            <w:vAlign w:val="bottom"/>
            <w:gridSpan w:val="4"/>
          </w:tcPr>
          <w:p>
            <w:pPr>
              <w:ind w:left="540"/>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3940" w:type="dxa"/>
            <w:vAlign w:val="bottom"/>
          </w:tcPr>
          <w:p>
            <w:pPr>
              <w:spacing w:after="0"/>
              <w:rPr>
                <w:sz w:val="20"/>
                <w:szCs w:val="20"/>
                <w:color w:val="auto"/>
              </w:rPr>
            </w:pPr>
            <w:r>
              <w:rPr>
                <w:rFonts w:ascii="Arial" w:cs="Arial" w:eastAsia="Arial" w:hAnsi="Arial"/>
                <w:sz w:val="18"/>
                <w:szCs w:val="18"/>
                <w:color w:val="auto"/>
              </w:rPr>
              <w:t>ADSs, the following will occur:</w:t>
            </w:r>
          </w:p>
        </w:tc>
      </w:tr>
      <w:tr>
        <w:trPr>
          <w:trHeight w:val="431"/>
        </w:trPr>
        <w:tc>
          <w:tcPr>
            <w:tcW w:w="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10020" w:type="dxa"/>
            <w:vAlign w:val="bottom"/>
            <w:gridSpan w:val="4"/>
          </w:tcPr>
          <w:p>
            <w:pPr>
              <w:ind w:left="180"/>
              <w:spacing w:after="0"/>
              <w:rPr>
                <w:sz w:val="20"/>
                <w:szCs w:val="20"/>
                <w:color w:val="auto"/>
              </w:rPr>
            </w:pPr>
            <w:r>
              <w:rPr>
                <w:rFonts w:ascii="Arial" w:cs="Arial" w:eastAsia="Arial" w:hAnsi="Arial"/>
                <w:sz w:val="18"/>
                <w:szCs w:val="18"/>
                <w:color w:val="auto"/>
              </w:rPr>
              <w:t>the percentage of our ordinary shares held by existing shareholders will decrease to   % of the total number of our ordinary</w:t>
            </w:r>
          </w:p>
        </w:tc>
      </w:tr>
      <w:tr>
        <w:trPr>
          <w:trHeight w:val="217"/>
        </w:trPr>
        <w:tc>
          <w:tcPr>
            <w:tcW w:w="780" w:type="dxa"/>
            <w:vAlign w:val="bottom"/>
          </w:tcPr>
          <w:p>
            <w:pPr>
              <w:spacing w:after="0"/>
              <w:rPr>
                <w:sz w:val="18"/>
                <w:szCs w:val="18"/>
                <w:color w:val="auto"/>
              </w:rPr>
            </w:pPr>
          </w:p>
        </w:tc>
        <w:tc>
          <w:tcPr>
            <w:tcW w:w="6080" w:type="dxa"/>
            <w:vAlign w:val="bottom"/>
            <w:gridSpan w:val="3"/>
          </w:tcPr>
          <w:p>
            <w:pPr>
              <w:ind w:left="180"/>
              <w:spacing w:after="0"/>
              <w:rPr>
                <w:sz w:val="20"/>
                <w:szCs w:val="20"/>
                <w:color w:val="auto"/>
              </w:rPr>
            </w:pPr>
            <w:r>
              <w:rPr>
                <w:rFonts w:ascii="Arial" w:cs="Arial" w:eastAsia="Arial" w:hAnsi="Arial"/>
                <w:sz w:val="18"/>
                <w:szCs w:val="18"/>
                <w:color w:val="auto"/>
              </w:rPr>
              <w:t>shares outstanding after the global offering; and</w:t>
            </w:r>
          </w:p>
        </w:tc>
        <w:tc>
          <w:tcPr>
            <w:tcW w:w="3940" w:type="dxa"/>
            <w:vAlign w:val="bottom"/>
          </w:tcPr>
          <w:p>
            <w:pPr>
              <w:spacing w:after="0"/>
              <w:rPr>
                <w:sz w:val="18"/>
                <w:szCs w:val="18"/>
                <w:color w:val="auto"/>
              </w:rPr>
            </w:pPr>
          </w:p>
        </w:tc>
      </w:tr>
      <w:tr>
        <w:trPr>
          <w:trHeight w:val="229"/>
        </w:trPr>
        <w:tc>
          <w:tcPr>
            <w:tcW w:w="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10020" w:type="dxa"/>
            <w:vAlign w:val="bottom"/>
            <w:gridSpan w:val="4"/>
          </w:tcPr>
          <w:p>
            <w:pPr>
              <w:ind w:left="180"/>
              <w:spacing w:after="0"/>
              <w:rPr>
                <w:sz w:val="20"/>
                <w:szCs w:val="20"/>
                <w:color w:val="auto"/>
              </w:rPr>
            </w:pPr>
            <w:r>
              <w:rPr>
                <w:rFonts w:ascii="Arial" w:cs="Arial" w:eastAsia="Arial" w:hAnsi="Arial"/>
                <w:sz w:val="18"/>
                <w:szCs w:val="18"/>
                <w:color w:val="auto"/>
              </w:rPr>
              <w:t>the percentage of our ordinary shares held by new investors will increase to approximately   % of the total number of our</w:t>
            </w:r>
          </w:p>
        </w:tc>
      </w:tr>
      <w:tr>
        <w:trPr>
          <w:trHeight w:val="217"/>
        </w:trPr>
        <w:tc>
          <w:tcPr>
            <w:tcW w:w="780" w:type="dxa"/>
            <w:vAlign w:val="bottom"/>
          </w:tcPr>
          <w:p>
            <w:pPr>
              <w:spacing w:after="0"/>
              <w:rPr>
                <w:sz w:val="18"/>
                <w:szCs w:val="18"/>
                <w:color w:val="auto"/>
              </w:rPr>
            </w:pPr>
          </w:p>
        </w:tc>
        <w:tc>
          <w:tcPr>
            <w:tcW w:w="6080" w:type="dxa"/>
            <w:vAlign w:val="bottom"/>
            <w:gridSpan w:val="3"/>
          </w:tcPr>
          <w:p>
            <w:pPr>
              <w:ind w:left="180"/>
              <w:spacing w:after="0"/>
              <w:rPr>
                <w:sz w:val="20"/>
                <w:szCs w:val="20"/>
                <w:color w:val="auto"/>
              </w:rPr>
            </w:pPr>
            <w:r>
              <w:rPr>
                <w:rFonts w:ascii="Arial" w:cs="Arial" w:eastAsia="Arial" w:hAnsi="Arial"/>
                <w:sz w:val="18"/>
                <w:szCs w:val="18"/>
                <w:color w:val="auto"/>
              </w:rPr>
              <w:t>ordinary shares outstanding after the global offering.</w:t>
            </w:r>
          </w:p>
        </w:tc>
        <w:tc>
          <w:tcPr>
            <w:tcW w:w="3940" w:type="dxa"/>
            <w:vAlign w:val="bottom"/>
          </w:tcPr>
          <w:p>
            <w:pPr>
              <w:spacing w:after="0"/>
              <w:rPr>
                <w:sz w:val="18"/>
                <w:szCs w:val="18"/>
                <w:color w:val="auto"/>
              </w:rPr>
            </w:pPr>
          </w:p>
        </w:tc>
      </w:tr>
      <w:tr>
        <w:trPr>
          <w:trHeight w:val="419"/>
        </w:trPr>
        <w:tc>
          <w:tcPr>
            <w:tcW w:w="3560" w:type="dxa"/>
            <w:vAlign w:val="bottom"/>
            <w:gridSpan w:val="3"/>
          </w:tcPr>
          <w:p>
            <w:pPr>
              <w:ind w:left="540"/>
              <w:spacing w:after="0"/>
              <w:rPr>
                <w:sz w:val="20"/>
                <w:szCs w:val="20"/>
                <w:color w:val="auto"/>
              </w:rPr>
            </w:pPr>
            <w:r>
              <w:rPr>
                <w:rFonts w:ascii="Arial" w:cs="Arial" w:eastAsia="Arial" w:hAnsi="Arial"/>
                <w:sz w:val="18"/>
                <w:szCs w:val="18"/>
                <w:color w:val="auto"/>
              </w:rPr>
              <w:t>The tables above are based on</w:t>
            </w:r>
          </w:p>
        </w:tc>
        <w:tc>
          <w:tcPr>
            <w:tcW w:w="7240" w:type="dxa"/>
            <w:vAlign w:val="bottom"/>
            <w:gridSpan w:val="2"/>
          </w:tcPr>
          <w:p>
            <w:pPr>
              <w:ind w:left="560"/>
              <w:spacing w:after="0"/>
              <w:rPr>
                <w:sz w:val="20"/>
                <w:szCs w:val="20"/>
                <w:color w:val="auto"/>
              </w:rPr>
            </w:pPr>
            <w:r>
              <w:rPr>
                <w:rFonts w:ascii="Arial" w:cs="Arial" w:eastAsia="Arial" w:hAnsi="Arial"/>
                <w:sz w:val="18"/>
                <w:szCs w:val="18"/>
                <w:color w:val="auto"/>
              </w:rPr>
              <w:t>ordinary shares outstanding as of December 31, 2017. The tables above exclude:</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60" w:right="34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11,916,424 ordinary shares issuable upon the exercise of share options outstanding as of December 31, 2017 at a weighted average exercise price of £1.42 per ordinary share;</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9,064,506 ordinary shares that may be issued under our existing share incentive plans, as described in “Management—Equity Compensation Arrangements,” as of December 31, 2017;</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1,799,382 ordinary shares that may be issued upon conversion of the Novartis Notes, as of December 31, 2017; and</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696,490 ordinary shares issuable upon the exercise of warrants to purchase ordinary shares outstanding as of December 31, 2017 at a weighted average exercise price of £3.16 per ordinary share.</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To the extent that share options or warrants are exercised, the Novartis Notes convert to ordinary shares, or we issue additional ADSs or ordinary shares in the future, there will be further dilution to investors participating in the global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46"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42"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You should read the following selected consolidated financial data together with the audited consolidated financial statements and the sections titled “Exchange Rate Information” and “Management’s Discussion and Analysis of Financial Condition and Results of Operations.” We have derived the consolidated statement of comprehensive loss data for the years ended December 31, 2016 and 2017 and the consolidated balance sheet data as of December 31, 2017 from our consolidated financial statements included elsewhere in this prospectus. Our historical results are not necessarily indicative of the results that should be expected in any future period.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and for the years ended December 31, 2016 and 2017 into U.S. dollars at the noon buying rate of the Federal Reserve Bank of New York on December 29, 2017, which was £1.00 to $1.3529.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3860" w:type="dxa"/>
            <w:vAlign w:val="bottom"/>
            <w:gridSpan w:val="7"/>
          </w:tcPr>
          <w:p>
            <w:pPr>
              <w:jc w:val="center"/>
              <w:ind w:left="554"/>
              <w:spacing w:after="0"/>
              <w:rPr>
                <w:sz w:val="20"/>
                <w:szCs w:val="20"/>
                <w:color w:val="auto"/>
              </w:rPr>
            </w:pPr>
            <w:r>
              <w:rPr>
                <w:rFonts w:ascii="Arial" w:cs="Arial" w:eastAsia="Arial" w:hAnsi="Arial"/>
                <w:sz w:val="14"/>
                <w:szCs w:val="14"/>
                <w:b w:val="1"/>
                <w:bCs w:val="1"/>
                <w:color w:val="auto"/>
              </w:rPr>
              <w:t>(in thousands, except per ordinary share data)</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Comprehensive Loss Data:</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(24,563)</w:t>
            </w: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(33,231)</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(34,607)</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(11,617)</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(15,716)</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(10,697)</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(14,472)</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(36,179)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(48,947)</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(45,304)</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(243)</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(1,090)</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2,263</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3,061</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Net loss before tax</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(33,722)</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(45,622)</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(46,951)</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5,331</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7,213</w:t>
            </w: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8,152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Loss attributable to equity holders of the Company</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(28,390)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(38,409)</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(38,799)</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the Company</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(28,390)</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(38,409)</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(38,799)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(0.63)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(0.85)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center"/>
              <w:ind w:right="554"/>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50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500" w:type="dxa"/>
            <w:vAlign w:val="bottom"/>
            <w:tcBorders>
              <w:bottom w:val="single" w:sz="8" w:color="auto"/>
            </w:tcBorders>
          </w:tcPr>
          <w:p>
            <w:pPr>
              <w:jc w:val="right"/>
              <w:ind w:right="914"/>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74"/>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Sheets Data:</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150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53,578</w:t>
            </w:r>
          </w:p>
        </w:tc>
        <w:tc>
          <w:tcPr>
            <w:tcW w:w="1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72,486</w:t>
            </w:r>
          </w:p>
        </w:tc>
        <w:tc>
          <w:tcPr>
            <w:tcW w:w="160" w:type="dxa"/>
            <w:vAlign w:val="bottom"/>
          </w:tcPr>
          <w:p>
            <w:pPr>
              <w:spacing w:after="0"/>
              <w:rPr>
                <w:sz w:val="17"/>
                <w:szCs w:val="17"/>
                <w:color w:val="auto"/>
              </w:rPr>
            </w:pPr>
          </w:p>
        </w:tc>
        <w:tc>
          <w:tcPr>
            <w:tcW w:w="1300" w:type="dxa"/>
            <w:vAlign w:val="bottom"/>
          </w:tcPr>
          <w:p>
            <w:pPr>
              <w:jc w:val="right"/>
              <w:ind w:right="554"/>
              <w:spacing w:after="0" w:line="202" w:lineRule="exact"/>
              <w:rPr>
                <w:sz w:val="20"/>
                <w:szCs w:val="20"/>
                <w:color w:val="auto"/>
              </w:rPr>
            </w:pPr>
            <w:r>
              <w:rPr>
                <w:rFonts w:ascii="Arial" w:cs="Arial" w:eastAsia="Arial" w:hAnsi="Arial"/>
                <w:sz w:val="18"/>
                <w:szCs w:val="18"/>
                <w:color w:val="auto"/>
              </w:rPr>
              <w:t>52,545</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50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86,765</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117,384</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rPr>
              <w:t>96,335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130,332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150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193</w:t>
            </w:r>
          </w:p>
        </w:tc>
        <w:tc>
          <w:tcPr>
            <w:tcW w:w="1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261</w:t>
            </w:r>
          </w:p>
        </w:tc>
        <w:tc>
          <w:tcPr>
            <w:tcW w:w="160" w:type="dxa"/>
            <w:vAlign w:val="bottom"/>
          </w:tcPr>
          <w:p>
            <w:pPr>
              <w:spacing w:after="0"/>
              <w:rPr>
                <w:sz w:val="17"/>
                <w:szCs w:val="17"/>
                <w:color w:val="auto"/>
              </w:rPr>
            </w:pPr>
          </w:p>
        </w:tc>
        <w:tc>
          <w:tcPr>
            <w:tcW w:w="1300" w:type="dxa"/>
            <w:vAlign w:val="bottom"/>
          </w:tcPr>
          <w:p>
            <w:pPr>
              <w:jc w:val="right"/>
              <w:ind w:right="554"/>
              <w:spacing w:after="0" w:line="202" w:lineRule="exact"/>
              <w:rPr>
                <w:sz w:val="20"/>
                <w:szCs w:val="20"/>
                <w:color w:val="auto"/>
              </w:rPr>
            </w:pPr>
            <w:r>
              <w:rPr>
                <w:rFonts w:ascii="Arial" w:cs="Arial" w:eastAsia="Arial" w:hAnsi="Arial"/>
                <w:sz w:val="18"/>
                <w:szCs w:val="18"/>
                <w:color w:val="auto"/>
              </w:rPr>
              <w:t>213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150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99,975</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135,256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w w:val="98"/>
              </w:rPr>
              <w:t>118,227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159,949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1500" w:type="dxa"/>
            <w:vAlign w:val="bottom"/>
          </w:tcPr>
          <w:p>
            <w:pPr>
              <w:jc w:val="right"/>
              <w:ind w:right="534"/>
              <w:spacing w:after="0" w:line="202" w:lineRule="exact"/>
              <w:rPr>
                <w:sz w:val="20"/>
                <w:szCs w:val="20"/>
                <w:color w:val="auto"/>
              </w:rPr>
            </w:pPr>
            <w:r>
              <w:rPr>
                <w:rFonts w:ascii="Arial" w:cs="Arial" w:eastAsia="Arial" w:hAnsi="Arial"/>
                <w:sz w:val="18"/>
                <w:szCs w:val="18"/>
                <w:color w:val="auto"/>
              </w:rPr>
              <w:t>(40,579)</w:t>
            </w:r>
          </w:p>
        </w:tc>
        <w:tc>
          <w:tcPr>
            <w:tcW w:w="15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(54,900)</w:t>
            </w:r>
          </w:p>
        </w:tc>
        <w:tc>
          <w:tcPr>
            <w:tcW w:w="160" w:type="dxa"/>
            <w:vAlign w:val="bottom"/>
          </w:tcPr>
          <w:p>
            <w:pPr>
              <w:spacing w:after="0"/>
              <w:rPr>
                <w:sz w:val="17"/>
                <w:szCs w:val="17"/>
                <w:color w:val="auto"/>
              </w:rPr>
            </w:pPr>
          </w:p>
        </w:tc>
        <w:tc>
          <w:tcPr>
            <w:tcW w:w="130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(79,316)</w:t>
            </w: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(107,307)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50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79,257</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107,226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rPr>
              <w:t>62,483</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84,534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liabilities</w:t>
            </w:r>
          </w:p>
        </w:tc>
        <w:tc>
          <w:tcPr>
            <w:tcW w:w="1500" w:type="dxa"/>
            <w:vAlign w:val="bottom"/>
          </w:tcPr>
          <w:p>
            <w:pPr>
              <w:jc w:val="right"/>
              <w:ind w:right="374"/>
              <w:spacing w:after="0"/>
              <w:rPr>
                <w:sz w:val="20"/>
                <w:szCs w:val="20"/>
                <w:color w:val="auto"/>
              </w:rPr>
            </w:pPr>
            <w:r>
              <w:rPr>
                <w:rFonts w:ascii="Arial" w:cs="Arial" w:eastAsia="Arial" w:hAnsi="Arial"/>
                <w:sz w:val="18"/>
                <w:szCs w:val="18"/>
                <w:color w:val="auto"/>
              </w:rPr>
              <w:t>7,508(1)</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10,158(1)</w:t>
            </w:r>
          </w:p>
        </w:tc>
        <w:tc>
          <w:tcPr>
            <w:tcW w:w="160" w:type="dxa"/>
            <w:vAlign w:val="bottom"/>
          </w:tcPr>
          <w:p>
            <w:pPr>
              <w:spacing w:after="0"/>
              <w:rPr>
                <w:sz w:val="18"/>
                <w:szCs w:val="18"/>
                <w:color w:val="auto"/>
              </w:rPr>
            </w:pPr>
          </w:p>
        </w:tc>
        <w:tc>
          <w:tcPr>
            <w:tcW w:w="1300" w:type="dxa"/>
            <w:vAlign w:val="bottom"/>
          </w:tcPr>
          <w:p>
            <w:pPr>
              <w:jc w:val="right"/>
              <w:ind w:right="334"/>
              <w:spacing w:after="0"/>
              <w:rPr>
                <w:sz w:val="20"/>
                <w:szCs w:val="20"/>
                <w:color w:val="auto"/>
              </w:rPr>
            </w:pPr>
            <w:r>
              <w:rPr>
                <w:rFonts w:ascii="Arial" w:cs="Arial" w:eastAsia="Arial" w:hAnsi="Arial"/>
                <w:sz w:val="18"/>
                <w:szCs w:val="18"/>
                <w:color w:val="auto"/>
              </w:rPr>
              <w:t>35,417(2)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47,916(2)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right="320" w:hanging="316"/>
        <w:spacing w:after="0" w:line="23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£3.1 million ($3.9 million) aggregate principal amount of, and accrued interest on, the Novartis Notes. See “Related Party Transactions—Other Transactions with Novartis—Novartis Notes.”</w:t>
      </w:r>
    </w:p>
    <w:p>
      <w:pPr>
        <w:spacing w:after="0" w:line="1" w:lineRule="exact"/>
        <w:rPr>
          <w:rFonts w:ascii="Arial" w:cs="Arial" w:eastAsia="Arial" w:hAnsi="Arial"/>
          <w:sz w:val="18"/>
          <w:szCs w:val="18"/>
          <w:color w:val="auto"/>
        </w:rPr>
      </w:pPr>
    </w:p>
    <w:p>
      <w:pPr>
        <w:ind w:left="520" w:right="320" w:hanging="316"/>
        <w:spacing w:after="0" w:line="246"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£2.0 million ($2.7 million) aggregate principal amount of, and accrued interest on, the Novartis Notes. See “Related Party Transactions—Other Transactions with Novartis—Novartis Notes.”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RESULTS OF OPERATIONS</w:t>
      </w:r>
    </w:p>
    <w:p>
      <w:pPr>
        <w:spacing w:after="0" w:line="30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in “Selected Consolidated Financial Data” and our Consolidated Financial Statements, including the notes thereto.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85" w:lineRule="exact"/>
        <w:rPr>
          <w:sz w:val="20"/>
          <w:szCs w:val="20"/>
          <w:color w:val="auto"/>
        </w:rPr>
      </w:pPr>
    </w:p>
    <w:p>
      <w:pPr>
        <w:ind w:left="200" w:right="280" w:firstLine="331"/>
        <w:spacing w:after="0" w:line="245" w:lineRule="auto"/>
        <w:rPr>
          <w:sz w:val="20"/>
          <w:szCs w:val="20"/>
          <w:color w:val="auto"/>
        </w:rPr>
      </w:pPr>
      <w:r>
        <w:rPr>
          <w:rFonts w:ascii="Arial" w:cs="Arial" w:eastAsia="Arial" w:hAnsi="Arial"/>
          <w:sz w:val="18"/>
          <w:szCs w:val="18"/>
          <w:i w:val="1"/>
          <w:iCs w:val="1"/>
          <w:color w:val="auto"/>
        </w:rPr>
        <w:t>Our financial statements are presented in pounds sterling. For the convenience of the reader, we have translated information in the tables below presented in pounds sterling into U.S. dollars at the noon buying rate of the Federal Reserve Bank of New York on December 31, 2017 which was £1.00 to $1.3529. These translations should not be considered representations that any such amounts have been, could have been, or could be converted into U.S. dollars at that or any other exchange rate as of that or any other date.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OI, AZD-9668 for the treatment of severe AATD, BCT-197 for the treatment of AECOPD and BGS-649 for the treatment of HH in obese men.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and AstraZeneca. We have commenced or completed large, randomized, placebo-controlled Phase 2 clinical trials for three of our product candidates. In December 2017, we reported top-line data from our completed Phase 2 dose-ranging clinical trial for BCT-197. We intend to commence additional late-stage clinical trials in 2018.</w:t>
      </w:r>
    </w:p>
    <w:p>
      <w:pPr>
        <w:spacing w:after="0" w:line="205"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We do not have any approved products and, as a result, have not generated any revenue from product sales. Our ability to generate revenue sufficient to achieve profitability will depend on our successful development and eventual commercialization of our product candidates, if approved. Since our inception, we have incurred significant operating losses. For the years ended December 31, 2016 and 2017, we incurred net losses of £28.4 million and £38.8 million respectively. As of December 31, 2016 and 2017, we had an accumulated loss of £40.6 million and £79.3 million, respectively.</w:t>
      </w:r>
    </w:p>
    <w:p>
      <w:pPr>
        <w:spacing w:after="0" w:line="203"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advance the clinical development of our product candidates and seek regulatory approval. 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53" w:lineRule="auto"/>
        <w:rPr>
          <w:sz w:val="20"/>
          <w:szCs w:val="20"/>
          <w:color w:val="auto"/>
        </w:rPr>
      </w:pPr>
      <w:r>
        <w:rPr>
          <w:rFonts w:ascii="Arial" w:cs="Arial" w:eastAsia="Arial" w:hAnsi="Arial"/>
          <w:sz w:val="17"/>
          <w:szCs w:val="17"/>
          <w:color w:val="auto"/>
        </w:rPr>
        <w:t>addition, if we obtain regulatory approval for any of our product candidates and do not enter into a third-party commercialization relationship, we expect to incur significant commercialization expenses related to product manufacturing, marketing, sales, and distribution. We also expect to incur expenses in connection with the in-license or acquisition of additional product candidates and the potential clinical development of any such product candidates. Furthermore, upon the closing of the global offering, we expect to incur additional costs associated with operating as a U.S. public company listed on the Nasdaq in addition to operating as a U.K. public company listed on AIM, including significant legal, accounting, investor relations, and other expenses that we did not previously incur.</w:t>
      </w:r>
    </w:p>
    <w:p>
      <w:pPr>
        <w:spacing w:after="0" w:line="19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0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We were incorporated in March 2015 and are headquartered in London, United Kingdom. Since June 9, 2016, our shares have traded on AIM under the symbol “MPH.” Since our inception, we have raised a total of £ 102.8 million in gross proceeds from private and public placements of our ordinary shares to institutional investors and £3.5 million from the issuance of the Novartis Notes. In August 2017, we also entered into a credit facility in the amount of £20.0 million which was fully drawn by December 31, 2017. As of December 31, 2017, we had cash and short-term deposits and short-term investments of £52.5 million.</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are organized into a single segment following management’s view of the business as a single portfolio of product candidates. Research and development expenses are monitored at a product candidate level; however, decisions over resource allocation are made at an overall portfolio level. Our financing is managed and monitored on a consolidated basis.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Purchase Agreements with Novartis</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July 2015, three of our wholly owned subsidiaries, Mereo BioPharma 3 Limited, Mereo BioPharma 2 Limited, and Mereo BioPharma 1 Limited, or the Subsidiaries, entered into asset purchase agreements, or the Purchase Agreements, to acquire from Novartis rights to BPS-804, BCT-197, and BGS-649, or the Compounds, respectively, and certain related assets, or, together with the Compounds, the Novartis Assets.</w:t>
      </w:r>
    </w:p>
    <w:p>
      <w:pPr>
        <w:spacing w:after="0" w:line="202" w:lineRule="exact"/>
        <w:rPr>
          <w:sz w:val="20"/>
          <w:szCs w:val="20"/>
          <w:color w:val="auto"/>
        </w:rPr>
      </w:pPr>
    </w:p>
    <w:p>
      <w:pPr>
        <w:ind w:left="200" w:right="60" w:firstLine="331"/>
        <w:spacing w:after="0" w:line="248" w:lineRule="auto"/>
        <w:rPr>
          <w:sz w:val="20"/>
          <w:szCs w:val="20"/>
          <w:color w:val="auto"/>
        </w:rPr>
      </w:pPr>
      <w:r>
        <w:rPr>
          <w:rFonts w:ascii="Arial" w:cs="Arial" w:eastAsia="Arial" w:hAnsi="Arial"/>
          <w:sz w:val="17"/>
          <w:szCs w:val="17"/>
          <w:color w:val="auto"/>
        </w:rPr>
        <w:t>In connection with the acquisition of the Novartis Assets, we issued 3,849,000 of our ordinary shares to Novartis pursuant to a subscription agreement. See “Related Party Transactions—Subscription Agreement.” In addition, we paid Novartis $1.5 million for a payment made by Novartis to a third party in full satisfaction of all monetary obligations of Novartis to such third party with respect to BCT-</w:t>
      </w:r>
    </w:p>
    <w:p>
      <w:pPr>
        <w:spacing w:after="0" w:line="2" w:lineRule="exact"/>
        <w:rPr>
          <w:sz w:val="20"/>
          <w:szCs w:val="20"/>
          <w:color w:val="auto"/>
        </w:rPr>
      </w:pPr>
    </w:p>
    <w:p>
      <w:pPr>
        <w:ind w:left="200" w:firstLine="4"/>
        <w:spacing w:after="0" w:line="237"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Under the Purchase Agreements, we have agreed to make tiered royalty payments to Novartis based on annual worldwide net sales of products that include the Compounds, or the Acquired Novartis Products, at percentages ranging from the high single digits to low double digits. In the event that the parties agree or it is otherwise determined in accordance with the Purchase Agreements that we require third-party intellectual property rights to exploit the Acquired Novartis Products,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2"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We also entered into a sublicense agreement with Novartis, or the Sublicense Agreement, pursuant to which Novartis granted us an exclusive, worldwide, royalty-bearing sublicense for certain therapeutic antibody products directed against sclerostin, or the Antibody Products, including BPS-804. Under the Sublicense Agreement, we have agreed to pay Novartis royalties in the low single digits on worldwide net sales of Antibody Products. We have also agreed to pay Novartis up to $3.25 million in development and regulatory milestones, and to use commercially reasonable efforts to develop and commercialize an Antibody Product.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 with AstraZeneca</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certain products containing a NE inhibitor, including products that contain AZD-9668,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Upon entering into the License Agreement, we made an upfront payment of $3.0 million to AstraZeneca in cash and issued 490,798 new ordinary shares for an aggregate upfront payment equal to $5.0 million. In connection with certain development and regulatory milestones, we have agreed to make payments of up to $ 115.5 million in the aggregate and issue additional ordinary shares to AstraZeneca for licensed products containing AZD-9668. In addition, we have agreed to make payments to AstraZeneca based on specified commercial milestones of the product. In the event that we sub-license AZD-9668,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85"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We do not currently have any approved products. Accordingly, we have not generated any revenue and do not expect to do so unless we obtain regulatory approval and commercialize any of our product candidates or until we receive revenues from collaborations with third parties, neither of which may occur.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Research and development expenses include:</w:t>
      </w:r>
    </w:p>
    <w:p>
      <w:pPr>
        <w:spacing w:after="0" w:line="239" w:lineRule="exact"/>
        <w:rPr>
          <w:sz w:val="20"/>
          <w:szCs w:val="20"/>
          <w:color w:val="auto"/>
        </w:rPr>
      </w:pPr>
    </w:p>
    <w:p>
      <w:pPr>
        <w:ind w:left="960" w:hanging="432"/>
        <w:spacing w:after="0" w:line="218"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employee-related expenses, such as salaries, share-based compensation, and other benefits, for our research and development personnel;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for production of drug substance and drug product and development of our manufacturing processes by CMOs;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fees and other costs paid to CROs, consultants, and other suppliers to conduct our clinical trials and pre-clinical and non-clinical studies; and</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6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of facilities, materials, and equipment related to drug production and our clinical trials and pre-clinical and non-clinical studies.</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97"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We expect that our research and development expense will increase substantially as we continue to advance the clinical development of our product candidates, including through our ongoing and planned Phase 2b clinical trials of BPS-804, our planned Phase 2 proof-of-concept trial for AZD-9668, and our ongoing Phase 2b clinical trial and planned Phase 3 clinical program for BGS-649; hire additional clinical, scientific, and commercial personnel; and acquire or in-license future product candidates and technologies. As a result, we expect our research and development expenses will increase for the foreseeable future.</w:t>
      </w:r>
    </w:p>
    <w:p>
      <w:pPr>
        <w:spacing w:after="0" w:line="203"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203"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Our future expenditure on developing our product candidates is therefore highly uncertain. This is due to numerous risks and uncertainties associated with developing our drugs, including the uncertainty of:</w:t>
      </w:r>
    </w:p>
    <w:p>
      <w:pPr>
        <w:spacing w:after="0" w:line="188" w:lineRule="exact"/>
        <w:rPr>
          <w:sz w:val="20"/>
          <w:szCs w:val="20"/>
          <w:color w:val="auto"/>
        </w:rPr>
      </w:pPr>
    </w:p>
    <w:p>
      <w:pPr>
        <w:ind w:left="960" w:hanging="432"/>
        <w:spacing w:after="0"/>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rate of progress, and expense of our research and development activities;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progress and results of our clinical trials and our pre-clinical and non-clinical studies;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and timing of regulatory approvals, if 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arrangements with our third-party manufacturers to obtain manufacturing supply;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protection of our rights in our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of commercial sales of any of our product candidates, if approved, whether alone or in collaboration with others;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acceptance of any of our product candidates, if approved, by patients, the medical community and payors;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competition with other therapies;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continued acceptable safety profile of any of our product candidates following approval.</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9"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Our general and administrative expenses principally consist of salaries and related benefits, including share-based compensation, for personnel in our executive, finance and other administrative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functions. Other general and administrative costs include facility-related costs and professional services fees for auditing, tax and general legal services, as well as expenses associated with our requirements of being a listed public company on AIM.</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In addition, we expect to continue to grant share-based compensation awards to existing and future key management personnel and other employees. Additionally, we anticipate increased costs associated with being a U.S. public company, including expenses related to services associated with maintaining compliance with Nasdaq rules and SEC requirements, director compensation, insurance, and investor relation costs. If any of our product candidates that we intend to directly commercialize obtains regulatory approval, we expect that we will incur expenses associated with building a sales and marketing team.</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Finance income consists of interest earned on our short-term cash deposits.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Charge</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Finance charge consists of interest on the Novartis Notes, interest on our credit facility and losses on short term deposits. For further information on the terms of the Novartis Notes and our credit facility see “—Indebtedness.”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8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Our functional currency is pound sterling. We initially record transactions in foreign currencies at the rate ruling on the date the transaction first qualifies for recognition. Net foreign exchange gain/(loss) consists of the difference arising on settlement or translation of our foreign currencies, which are primarily held in U.S. dollars.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of December 31, 2016 and 2017, we had cumulative carryforward tax losses of £16.3 million and £36.4 million, respectively. Subject to any relevant restrictions, we expect these to be available to carry forward and offset against future operating profits. As a company that carries out extensive research and development activities, we benefit from the U.K. research and development small or medium-sized enterprise tax credit regime and are able to surrender some of our trading losses that arise from our research and development activities for a cash rebate of up to 33.35% of eligible research and development expenditure. Qualifying expenditures largely comprise employment costs for research staff, subcontracted CRO and CMO costs, consumables and certain internal overhead costs incurred as part of research projects. Certain subcontracted qualifying research expenditures are eligible for a cash rebate of up to 21.67%. Our effective cash rebate on qualifying research and development expenditure in 2017 was £8.2 million and we expect to receive this in 2018. Our cash rebate for 2016 was £5.3 million and we received this in May 2017. The cash rebate due for 2017 has increased by £2.8 million reflecting the higher level of qualifying R&amp;D spend in 2017. We may not be able to continue to claim payable research and development tax credits in the future because we may no longer qualify as a small or medium-sized company.</w:t>
      </w:r>
    </w:p>
    <w:p>
      <w:pPr>
        <w:spacing w:after="0" w:line="20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the event we generate revenues in the future, we may benefit from the U.K. “patent box” regime that allows profits attributable to revenues from patents or patented products to be taxed at an effective rate of 10%. This relief applies to profits earned from April 1, 2013. When taken in combination with the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enhanced relief 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our results of operations for the years ended December 31, 2016 and 2017.</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6400" w:type="dxa"/>
            <w:vAlign w:val="bottom"/>
          </w:tcPr>
          <w:p>
            <w:pPr>
              <w:spacing w:after="0"/>
              <w:rPr>
                <w:sz w:val="13"/>
                <w:szCs w:val="13"/>
                <w:color w:val="auto"/>
              </w:rPr>
            </w:pPr>
          </w:p>
        </w:tc>
        <w:tc>
          <w:tcPr>
            <w:tcW w:w="10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(24,563)</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(33,231)</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(34,607)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(46,819)</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(11,617)</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(15,716)</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(10,697)</w:t>
            </w: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(14,472)</w:t>
            </w: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(36,179)</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(48,947)</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(45,304)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(61,292)</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375</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507</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827</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1,119</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(243)</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(1,475)</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2,263</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3,061</w:t>
            </w:r>
          </w:p>
        </w:tc>
        <w:tc>
          <w:tcPr>
            <w:tcW w:w="32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(1,384)</w:t>
            </w: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(1,873)</w:t>
            </w: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(33,722)</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(45,622)</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(46,951)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(63,520)</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5,331</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7,213</w:t>
            </w:r>
          </w:p>
        </w:tc>
        <w:tc>
          <w:tcPr>
            <w:tcW w:w="32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8,152</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11,029</w:t>
            </w: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the Company</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(28,390)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(38,409)</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(38,799)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(52,491)</w:t>
            </w:r>
          </w:p>
        </w:tc>
      </w:tr>
      <w:tr>
        <w:trPr>
          <w:trHeight w:val="20"/>
        </w:trPr>
        <w:tc>
          <w:tcPr>
            <w:tcW w:w="6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81" w:lineRule="exact"/>
        <w:rPr>
          <w:sz w:val="20"/>
          <w:szCs w:val="20"/>
          <w:color w:val="auto"/>
        </w:rPr>
      </w:pPr>
    </w:p>
    <w:p>
      <w:pPr>
        <w:ind w:left="200" w:right="780" w:firstLine="331"/>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development program for the years ended December 31, 2016 and 2017.</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6820" w:type="dxa"/>
            <w:vAlign w:val="bottom"/>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820" w:type="dxa"/>
            <w:vAlign w:val="bottom"/>
          </w:tcPr>
          <w:p>
            <w:pPr>
              <w:spacing w:after="0"/>
              <w:rPr>
                <w:sz w:val="13"/>
                <w:szCs w:val="13"/>
                <w:color w:val="auto"/>
              </w:rPr>
            </w:pPr>
          </w:p>
        </w:tc>
        <w:tc>
          <w:tcPr>
            <w:tcW w:w="6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156"/>
        </w:trPr>
        <w:tc>
          <w:tcPr>
            <w:tcW w:w="6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4,804</w:t>
            </w:r>
          </w:p>
        </w:tc>
        <w:tc>
          <w:tcPr>
            <w:tcW w:w="32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6,499</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13,380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18,102</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9,733</w:t>
            </w:r>
          </w:p>
        </w:tc>
        <w:tc>
          <w:tcPr>
            <w:tcW w:w="320" w:type="dxa"/>
            <w:vAlign w:val="bottom"/>
          </w:tcPr>
          <w:p>
            <w:pPr>
              <w:spacing w:after="0"/>
              <w:rPr>
                <w:sz w:val="17"/>
                <w:szCs w:val="17"/>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13,168</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10,014</w:t>
            </w: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13,548</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9,431</w:t>
            </w:r>
          </w:p>
        </w:tc>
        <w:tc>
          <w:tcPr>
            <w:tcW w:w="32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12,759</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10,801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14,613</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AZD-9668</w:t>
            </w:r>
          </w:p>
        </w:tc>
        <w:tc>
          <w:tcPr>
            <w:tcW w:w="9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3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555</w:t>
            </w:r>
          </w:p>
        </w:tc>
      </w:tr>
      <w:tr>
        <w:trPr>
          <w:trHeight w:val="20"/>
        </w:trPr>
        <w:tc>
          <w:tcPr>
            <w:tcW w:w="6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24,561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33,229</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34,607</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46,821</w:t>
            </w:r>
          </w:p>
        </w:tc>
      </w:tr>
      <w:tr>
        <w:trPr>
          <w:trHeight w:val="20"/>
        </w:trPr>
        <w:tc>
          <w:tcPr>
            <w:tcW w:w="6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Our total research and development, or R&amp;D, expenses increased by £10.0 million, or 29%, from £ 24.6 million in 2016 to £34.6 million in 2017. This was a result of increased spending on clinical development as we continued the Phase 2 programs for BCT-197 and BGS-649 and commenced the adult Phase 2b program for BPS-804. Total R&amp;D expenses included payments we made to CROs and other suppliers for the ongoing clinical development of each of BPS-804, BCT-197, and BGS-649, which increased from £17.9 million in 2016 to £22.8 million in 2017, reflecting the inclusion of expenses relating to the adult Phase 2b study for BPS-804. Additionally, our R&amp;D employee related costs increased from £3.1 million in 2016 to £4.1 million in 2017, reflecting increased headcount, higher other</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employee-related expenses, including travel, and higher bonus amounts earned in 2017. Our payments to CMOs for the provision of drug substance and drug product and associated manufacturing development to support our clinical trials and the transfer of manufacturing of drug substance and drug product from Novartis to third-party manufacturers increased from £2.9 million in 2016 to £7.6 million in 2017, reflecting ongoing manufacturing activity primarily due to the manufacture of additional clinical trial materials in respect of BPS-804.</w:t>
      </w:r>
    </w:p>
    <w:p>
      <w:pPr>
        <w:spacing w:after="0" w:line="202"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Direct research and development expenses related to BPS-804 increased by £8.6 million, from £4.8 million in 2016 to £13.4 million in 2017, due to the commencement of the adult Phase 2b study for BPS-804 during 2017 and the completion of the manufacture of associated clinical trial materials.</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Direct research and development expenses related to BCT-197 increased by £0.3 million, from £9.7 million in 2016 to £ 10.0 million in 2017, due to the completion of the Phase 2 clinical trial for BCT-197 in the fourth quarter of 2017, which trial commenced in the first half of 2016.</w:t>
      </w:r>
    </w:p>
    <w:p>
      <w:pPr>
        <w:spacing w:after="0" w:line="203" w:lineRule="exact"/>
        <w:rPr>
          <w:sz w:val="20"/>
          <w:szCs w:val="20"/>
          <w:color w:val="auto"/>
        </w:rPr>
      </w:pPr>
    </w:p>
    <w:p>
      <w:pPr>
        <w:jc w:val="both"/>
        <w:ind w:left="200" w:right="60" w:firstLine="331"/>
        <w:spacing w:after="0" w:line="246" w:lineRule="auto"/>
        <w:rPr>
          <w:sz w:val="20"/>
          <w:szCs w:val="20"/>
          <w:color w:val="auto"/>
        </w:rPr>
      </w:pPr>
      <w:r>
        <w:rPr>
          <w:rFonts w:ascii="Arial" w:cs="Arial" w:eastAsia="Arial" w:hAnsi="Arial"/>
          <w:sz w:val="18"/>
          <w:szCs w:val="18"/>
          <w:color w:val="auto"/>
        </w:rPr>
        <w:t>Direct research and development expenses related to BGS-649 increased by £1.4 million, from £9.4 million in 2016 to £10.8 million in 2017, due to the continuation of the Phase 2b study for BGS-649 and the commencement of the Phase 2b extension study.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General and administrative expenses decreased by £ 0.9 million, or 7.8%, from £11.6 million in 2016 to £ 10.7 million in 2017. This decrease was due to a decrease in share-based payment expenses of £2.8 million, reflecting the lower level of share option awards in 2017, partially offset by a rise in other general and administrative costs of £1.9 million, reflecting an increase in payroll-related costs due to a higher headcount and higher bonus amounts earned in 2017, together with additional legal and professional fees in connection with the equity financing in April 2017, the entering into a credit facility in August 2017, and the acquisition of AZD-9668 in October 2017.</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Income</w:t>
      </w:r>
    </w:p>
    <w:p>
      <w:pPr>
        <w:spacing w:after="0" w:line="8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Interest earned on our short-term cash deposits increased from £0.4 million in 2016 to £0.8 million in 2017, reflecting higher cash balances held in deposit in 2017.</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Finance charge increased from £0.2 million in 2016 to £1.1 million in 2017, reflecting interest costs on additional borrowings under our credit facility during 2017 and lower costs related to the Novartis Notes after the exercise of a portion of these notes in April 2017. Finance charge in 2017 also included £0.3 million of losses on short term deposits.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Foreign Exchange Gain/(Loss)</w:t>
      </w:r>
    </w:p>
    <w:p>
      <w:pPr>
        <w:spacing w:after="0" w:line="9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In 2016, the net foreign exchange gain was £2.3 million, primarily as a result of the unrealized gain on translation of cash deposits held primarily in U.S. dollars at year end, reflecting a strengthening of the U.S. dollar against pounds sterling during the year. In 2017, net foreign exchange loss was £1.4 million, reflecting a weakening of the U.S. dollar against pounds sterling during the year which negatively impacted the translation of our foreign deposits and investments at December 31, 2017.</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Benefit</w:t>
      </w:r>
    </w:p>
    <w:p>
      <w:pPr>
        <w:spacing w:after="0" w:line="81"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recorded a tax credit of £5.3 million in 2016 and £8.2 million in 2017. The tax credit represents the cash rebate from the U.K. tax authorities we qualified for in respect of eligible research and development activities during the years. Due to the increase in qualifying R&amp;D expenditure in 2017, the 2017 tax credit increased by £2.9 million from the 2016 tax credit. The 2016 tax credit was received in May 2017. We expect to receive the 2017 tax credit of £8.2 million in 2018.</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Since our inception, we have incurred significant operating losses. We expect to incur significant expenses and operating losses for the foreseeable future as we advance the clinical development of our product candidates. We expect that our research and development and general and administrative costs will increase in connection with conducting clinical trials for our product candidates and any new product candidates we acquire and due to the costs in seeking marketing approval for our product candidates in Europe and the United States as well as other jurisdictions. As a result, we will need additional capital to fund our operations, which we may obtain from additional debt or equity financings, collaborations, licensing arrangements, or other sources.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and convertible debt and our credit facility, which we entered into in August 2017. Since we were incorporated, we have raised a total of £102.8 million in gross proceeds from private and public placements of our ordinary shares to institutional investors and £3.5 million from the issuance of the Novartis Notes. In August 2017, we also entered into a credit facility in the amount of £20.0 million which we have fully drawn down during 2017. As of December 31, 2016 and 2017, we had cash and short term deposits and short term investments of £53.6 million and £52.5 million, respectively.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our cash flows for the period presented.</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6400" w:type="dxa"/>
            <w:vAlign w:val="bottom"/>
          </w:tcPr>
          <w:p>
            <w:pPr>
              <w:spacing w:after="0"/>
              <w:rPr>
                <w:sz w:val="13"/>
                <w:szCs w:val="13"/>
                <w:color w:val="auto"/>
              </w:rPr>
            </w:pPr>
          </w:p>
        </w:tc>
        <w:tc>
          <w:tcPr>
            <w:tcW w:w="10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(29,373)</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(40,130)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(32,148)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(43,493)</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32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504</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(3,744)</w:t>
            </w: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(5,065)</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financing activities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68,357</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92,480</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33,743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45,651</w:t>
            </w:r>
          </w:p>
        </w:tc>
      </w:tr>
      <w:tr>
        <w:trPr>
          <w:trHeight w:val="20"/>
        </w:trPr>
        <w:tc>
          <w:tcPr>
            <w:tcW w:w="6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tcPr>
          <w:p>
            <w:pPr>
              <w:jc w:val="right"/>
              <w:spacing w:after="0"/>
              <w:rPr>
                <w:sz w:val="20"/>
                <w:szCs w:val="20"/>
                <w:color w:val="auto"/>
              </w:rPr>
            </w:pPr>
            <w:r>
              <w:rPr>
                <w:rFonts w:ascii="Arial" w:cs="Arial" w:eastAsia="Arial" w:hAnsi="Arial"/>
                <w:sz w:val="18"/>
                <w:szCs w:val="18"/>
                <w:color w:val="auto"/>
              </w:rPr>
              <w:t>39,067</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52,854</w:t>
            </w:r>
          </w:p>
        </w:tc>
        <w:tc>
          <w:tcPr>
            <w:tcW w:w="3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(2,149)</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(2,907)</w:t>
            </w:r>
          </w:p>
        </w:tc>
      </w:tr>
      <w:tr>
        <w:trPr>
          <w:trHeight w:val="20"/>
        </w:trPr>
        <w:tc>
          <w:tcPr>
            <w:tcW w:w="6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increase in net cash used in operating activities was £2.4 million, from £29.7 million in 2016 to £32.1 million in 2017. This was largely due to the increased loss before taxation due to higher levels of R&amp;D activity in 2017, offset in part by the increase in cash tax credit received from £0.9 million in 2016 to £5.3 million in 2017. In addition there were changes in the add-backs for non-cash expenses as follows: (i) share based payment add-backs were reduced from £6.5 million to £ 3.7 million, reflecting lower share based payments charge in 2017, (ii) foreign exchange add-backs increased by £3.6 million in 2017, reflecting the movement from a foreign exchange gain of £2.3 million in 2016 to a loss of £1.4 million in 2017, (iii) interest earned increased by £0.5 million in 2017 as a result of higher cash held in deposits throughout 2017 and increased interest rates, (iv) £0.3 million on interest expense on the credit facility entered into in August 2017, (v) £0.3 million of loss on short-term deposits in 2017 and (vi) working capital increased by £5.6 million in 2017, reflecting higher creditor and accrual balances at December 31, 2017 compared to 2016.</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Investing Activities</w:t>
      </w:r>
    </w:p>
    <w:p>
      <w:pPr>
        <w:spacing w:after="0" w:line="95" w:lineRule="exact"/>
        <w:rPr>
          <w:sz w:val="20"/>
          <w:szCs w:val="20"/>
          <w:color w:val="auto"/>
        </w:rPr>
      </w:pPr>
    </w:p>
    <w:p>
      <w:pPr>
        <w:jc w:val="both"/>
        <w:ind w:left="200" w:right="100" w:firstLine="331"/>
        <w:spacing w:after="0" w:line="261" w:lineRule="auto"/>
        <w:rPr>
          <w:sz w:val="20"/>
          <w:szCs w:val="20"/>
          <w:color w:val="auto"/>
        </w:rPr>
      </w:pPr>
      <w:r>
        <w:rPr>
          <w:rFonts w:ascii="Arial" w:cs="Arial" w:eastAsia="Arial" w:hAnsi="Arial"/>
          <w:sz w:val="17"/>
          <w:szCs w:val="17"/>
          <w:color w:val="auto"/>
        </w:rPr>
        <w:t>Our net cash from investing activities reduced from £0.4 million in 2016 to net cash used in financing activities of £3.7 million in 2017, largely due to the £2.3 million cash cost of purchasing a license for AZD-9668 from AstraZeneca in October 2017 and £2.5 million of cash transferred into short-term investments held on deposit, partially offset by £1.1 million of interests received on our short-term deposits.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Activities</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net cash from financing activities reduced from £68.4 million in 2016 to £33.7 million in 2017. In June 2016, we raised gross proceeds of £56.5 million in the second tranche of a private placement entered into in 2015. In June 2016, in connection with our ordinary shares being admitted to trading on the AIM market, we raised gross proceeds of £11.4 million in private placements of our ordinary shares with institutional investors. In addition, and as part of that transaction, we raised £ 3.5 million gross proceeds in the form of the Novartis Notes. Our total costs in respect of the foregoing transactions were £3.0 million. In April 2017, we raised gross proceeds of £15.0 million in a placement of ordinary shares with institutional investors, for which the cash cost amounted to £0.8 million. In August 2017, we borrowed the first £10.0 million tranche under our credit facility and in December 2017 we borrowed the second and final tranche under our credit facility for another £10.0 million. In addition, in 2017, we paid an aggregate of £0.3 million of interest on our outstanding borrowings under our credit facility.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8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As of December 31, 2016 and 2017, we had an accumulated loss of £40.6 million and £79.3 million, respectively. We expect to continue to incur significant operating losses in 2018 and for the foreseeable future as we continue our research and development efforts and seek to obtain regulatory approval of our product candidates and any future product candidate we develop.</w:t>
      </w:r>
    </w:p>
    <w:p>
      <w:pPr>
        <w:spacing w:after="0" w:line="203"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our product candidates. In addition, upon the closing of the global offering, we expect to incur additional costs associated with operating as a U.S. public company listed on the Nasdaq Global Market in addition to operating as a U.K. public company listed on AIM.</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We anticipate that our expenses will increase substantially due to the costs associated with our current and planned clinical trials, our outsourced manufacturing activities and other associated costs including the management of our intellectual property portfolio. These costs will increase further if we:</w:t>
      </w:r>
    </w:p>
    <w:p>
      <w:pPr>
        <w:spacing w:after="0" w:line="194" w:lineRule="exact"/>
        <w:rPr>
          <w:sz w:val="20"/>
          <w:szCs w:val="20"/>
          <w:color w:val="auto"/>
        </w:rPr>
      </w:pPr>
    </w:p>
    <w:p>
      <w:pPr>
        <w:ind w:left="960" w:hanging="432"/>
        <w:spacing w:after="0"/>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develop additional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any of our product candidates that successfully completes clinical trials;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 and chose to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intellectual property portfolio;</w:t>
      </w:r>
    </w:p>
    <w:p>
      <w:pPr>
        <w:spacing w:after="0" w:line="26" w:lineRule="exact"/>
        <w:rPr>
          <w:rFonts w:ascii="MS PGothic" w:cs="MS PGothic" w:eastAsia="MS PGothic" w:hAnsi="MS PGothic"/>
          <w:sz w:val="25"/>
          <w:szCs w:val="25"/>
          <w:color w:val="auto"/>
          <w:vertAlign w:val="superscript"/>
        </w:rPr>
      </w:pPr>
    </w:p>
    <w:p>
      <w:pPr>
        <w:jc w:val="both"/>
        <w:ind w:left="960" w:right="480" w:hanging="432"/>
        <w:spacing w:after="0" w:line="223"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further central clinical, scientific, operational, financial and management information systems, and personnel, including personnel to support our development and to support our operations as a U.S. public company listed on the Nasdaq Global Market; and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3"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We expect that our existing cash resources will enable us to fund our currently committed clinical trials and operating expenses and capital expenditure requirements for at least the next 12 months. We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expect that these cash resources, together with anticipated net proceeds from the global offering, will enable us to fund our current and</w:t>
      </w:r>
    </w:p>
    <w:p>
      <w:pPr>
        <w:ind w:left="200" w:right="160"/>
        <w:spacing w:after="0" w:line="237" w:lineRule="auto"/>
        <w:rPr>
          <w:sz w:val="20"/>
          <w:szCs w:val="20"/>
          <w:color w:val="auto"/>
        </w:rPr>
      </w:pPr>
      <w:r>
        <w:rPr>
          <w:rFonts w:ascii="Arial" w:cs="Arial" w:eastAsia="Arial" w:hAnsi="Arial"/>
          <w:sz w:val="18"/>
          <w:szCs w:val="18"/>
          <w:color w:val="auto"/>
        </w:rPr>
        <w:t>planned clinical trials and operating expenses and capital expenditure requirements through .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232" w:lineRule="exact"/>
        <w:rPr>
          <w:sz w:val="20"/>
          <w:szCs w:val="20"/>
          <w:color w:val="auto"/>
        </w:rPr>
      </w:pPr>
    </w:p>
    <w:p>
      <w:pPr>
        <w:ind w:left="960" w:right="6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 for BPS-804, our planned pediatric Phase 2b/3 study for BPS-804 in Europe, and our planned Phase 2 clinical trial for AZD-9668;</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1"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 and</w:t>
      </w: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our license and option agreement with AstraZeneca.</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Our revenues, if any, will be derived from sales of any products that we are able to successfully develop, receive regulatory approval for, and commercialize in future years. In the meantime, we will need to obtain substantial additional funds to achieve our business objective.</w:t>
      </w:r>
    </w:p>
    <w:p>
      <w:pPr>
        <w:spacing w:after="0" w:line="203"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Adequate additional funds may not be available to us on acceptable terms, or at all. To the extent that we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20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40"/>
        <w:spacing w:after="0" w:line="275" w:lineRule="auto"/>
        <w:rPr>
          <w:sz w:val="20"/>
          <w:szCs w:val="20"/>
          <w:color w:val="auto"/>
        </w:rPr>
      </w:pPr>
      <w:r>
        <w:rPr>
          <w:rFonts w:ascii="Arial" w:cs="Arial" w:eastAsia="Arial" w:hAnsi="Arial"/>
          <w:sz w:val="17"/>
          <w:szCs w:val="17"/>
          <w:color w:val="auto"/>
        </w:rPr>
        <w:t>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Indebtedness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On June 3, 2016, as part of the fundraising for our product development programs and for general corporate purposes and in connection with our ordinary shares being admitted to trading on AIM, we issued 3,463,563 unsecured convertible loan notes to Novartis, or the Novartis Notes, for aggregate proceeds of £3,463,563. The Novartis Notes bear interest at 4% per annum payable annually and accruing daily and rank senior to any other unsecured obligations we may have. Novartis may at any time convert all or some of the Novartis Notes, together with accrued interest, into our ordinary shares at a conversion price of £2.21 per ordinary share. In addition, upon conversion, Novartis is entitled to receive an additional number of our ordinary shares equal to the number of shares into which such Novartis Notes and accrued interest are converted multiplied by 0.93, or the Bonus Shares. At December 31, 2016, Novartis was entitled to receive up to 1,453,520 Bonus Shares.</w:t>
      </w:r>
    </w:p>
    <w:p>
      <w:pPr>
        <w:spacing w:after="0" w:line="208"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 At December 31, 2017, Novartis was entitled to receive up to 864,998 Bonus Shares.</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To the extent any of the Novartis Notes remain outstanding on March 2, 2021, we are obligated to pay Novartis the principal amount of such outstanding Novartis Notes together with any accrued interest.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8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which provides for total borrowings of £20.0 million. We borrowed £10.0 million on each of August 21, 2017 and December 29, 2017 for general working capital purposes. We are obligated to make interest-only payments on the loan amount until September 30, 2018, and thereafter we are obligated to pay interest and principal in 30 equal monthly installments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our assets, including intellectual property rights owned or controlled by us.</w:t>
      </w:r>
    </w:p>
    <w:p>
      <w:pPr>
        <w:spacing w:after="0" w:line="208"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connection with the loan agreement, we issued to the lenders warrants to subscribe for 363,156 of our ordinary shares at an exercise price of £3.029 per ordinary share and warrants to subscribe for 333,334 of our ordinary shares at an exercise price of £3.30 per ordinary share.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our contractual obligations at December 31, 2017.</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139"/>
              <w:spacing w:after="0" w:line="143" w:lineRule="exact"/>
              <w:rPr>
                <w:sz w:val="20"/>
                <w:szCs w:val="20"/>
                <w:color w:val="auto"/>
              </w:rPr>
            </w:pPr>
            <w:r>
              <w:rPr>
                <w:rFonts w:ascii="Arial" w:cs="Arial" w:eastAsia="Arial" w:hAnsi="Arial"/>
                <w:sz w:val="14"/>
                <w:szCs w:val="14"/>
                <w:b w:val="1"/>
                <w:bCs w:val="1"/>
                <w:color w:val="auto"/>
              </w:rPr>
              <w:t>3-</w:t>
            </w: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42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Up to 1 year</w:t>
            </w:r>
          </w:p>
        </w:tc>
        <w:tc>
          <w:tcPr>
            <w:tcW w:w="6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1-3 Years</w:t>
            </w:r>
          </w:p>
        </w:tc>
        <w:tc>
          <w:tcPr>
            <w:tcW w:w="5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Over 5 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56"/>
        </w:trPr>
        <w:tc>
          <w:tcPr>
            <w:tcW w:w="4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Notes(1)</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7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£2,079</w:t>
            </w: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2,326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Bank loan(2)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17,794</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2,983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24,351</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lease(3)</w:t>
            </w: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1,279</w:t>
            </w:r>
          </w:p>
        </w:tc>
        <w:tc>
          <w:tcPr>
            <w:tcW w:w="60" w:type="dxa"/>
            <w:vAlign w:val="bottom"/>
            <w:shd w:val="clear" w:color="auto" w:fill="CCEEFF"/>
          </w:tcPr>
          <w:p>
            <w:pPr>
              <w:spacing w:after="0"/>
              <w:rPr>
                <w:sz w:val="17"/>
                <w:szCs w:val="17"/>
                <w:color w:val="auto"/>
              </w:rPr>
            </w:pPr>
          </w:p>
        </w:tc>
      </w:tr>
      <w:tr>
        <w:trPr>
          <w:trHeight w:val="210"/>
        </w:trPr>
        <w:tc>
          <w:tcPr>
            <w:tcW w:w="4240" w:type="dxa"/>
            <w:vAlign w:val="bottom"/>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4,401</w:t>
            </w:r>
          </w:p>
        </w:tc>
        <w:tc>
          <w:tcPr>
            <w:tcW w:w="700" w:type="dxa"/>
            <w:vAlign w:val="bottom"/>
            <w:gridSpan w:val="2"/>
          </w:tcPr>
          <w:p>
            <w:pPr>
              <w:ind w:left="60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18,494</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27,956</w:t>
            </w:r>
          </w:p>
        </w:tc>
      </w:tr>
      <w:tr>
        <w:trPr>
          <w:trHeight w:val="20"/>
        </w:trPr>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interest. See “—Indebtedness—Novartis Notes.”</w:t>
      </w:r>
    </w:p>
    <w:p>
      <w:pPr>
        <w:ind w:left="520" w:hanging="316"/>
        <w:spacing w:after="0" w:line="234"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interest. See “—Indebtedness—Credit Facility.”</w:t>
      </w:r>
    </w:p>
    <w:p>
      <w:pPr>
        <w:ind w:left="520" w:right="60" w:hanging="316"/>
        <w:spacing w:after="0" w:line="246"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payments due for our office lease under a lease agreement that expires in August 2025. We may terminate this agreement in August 2020 and, as such, no amounts due under the agreement after August 2020 are reflected.</w:t>
      </w:r>
    </w:p>
    <w:p>
      <w:pPr>
        <w:spacing w:after="0" w:line="1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As further described above under “—Asset Purchase Agreements with Novartis” and “—License Agreement with AstraZeneca,” under various agreements with Novartis and AstraZeneca, we have agreed to make milestone payments and pay royalties. We have not included any deferred payment obligations, such as milestones or royalties, in the table above, as the amount, timing, and likelihood of such payments are not known and will remain uncertain for the foreseeable future.</w:t>
      </w:r>
    </w:p>
    <w:p>
      <w:pPr>
        <w:spacing w:after="0" w:line="20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In addition, we enter into contracts in the ordinary course of business with CROs, CMOs,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manage interest rate risk by monitoring short and medium-term interest rates and placing cash on deposit for periods that optimize the amount of interest earned while maintaining access to sufficient funds to meet day-to-day cash requirements. We have a committed borrowing facility in an amount of £20.0 million which was fully drawn as of the date of this prospectus. Loans under the credit facility bear interest at a fixed rate of 9.0% per annum. The interest payable on the Novartis Notes is fixed at 4.0% per annum. Consequently, there is no material exposure to interest rate risk in respect of interest payable.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Risk</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major counterparties to be low. We are, however, dependent on a number of third parties for the delivery of our programs and, in addition, where appropriate we pay upfront deposits and fees in advance of the delivery of services where required. We continue to assess credit risk as part of our management of these third-party relationships.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Risk</w:t>
      </w:r>
    </w:p>
    <w:p>
      <w:pPr>
        <w:spacing w:after="0" w:line="99"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We manage our liquidity risk by maintaining adequate cash reserves at banking facilities and invested in short term money market accounts, and by continuously monitoring our cash forecasts, our actual cash flows and by matching the maturity profiles of financial assets and liabilities.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The majority of our operating costs are denominated in pounds sterling, euros, and U.S. dollars. Our financial position, as expressed in pounds sterling, is exposed to movements in foreign exchange rates against the U.S. dollar and the euro. Our main trading currencies are pounds sterling and U.S. dollars. We are exposed to foreign currency risk as a result of operating transactions and the translation of foreign currency bank accounts and short-term deposits. We monitor our exposure to foreign exchange risk. We have not entered into foreign exchange contracts to hedge against foreign exchange fluctuations but maintain cash and investments in U.S. dollars to cover anticipated forward commitments. For the year ended December 31, 2017, we recorded a net foreign exchange loss of £1.4 million, compared to a £2.3 million gain for the year ended December 31, 2016, primarily as a result of the accretion in value of our U.S. dollar cash deposits measured at the balance sheet date compared to the date of conversion. These deposits amounted to $20.0 million and $10.5 million as of December 31, 2016 and 2017, respectively.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Our financial statements have been prepared in accordance with IFRS as issued by the IASB. In the application of our accounting policies, we are required to make judgments, estimates, and assumptions about the value of assets and liabilities for which there is no definitive third-party reference. The estimates and associated assumptions are based on historical experience and other factors that we considered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205" w:lineRule="exact"/>
        <w:rPr>
          <w:sz w:val="20"/>
          <w:szCs w:val="20"/>
          <w:color w:val="auto"/>
        </w:rPr>
      </w:pPr>
    </w:p>
    <w:p>
      <w:pPr>
        <w:ind w:left="200" w:right="20" w:firstLine="331"/>
        <w:spacing w:after="0" w:line="275" w:lineRule="auto"/>
        <w:rPr>
          <w:sz w:val="20"/>
          <w:szCs w:val="20"/>
          <w:color w:val="auto"/>
        </w:rPr>
      </w:pPr>
      <w:r>
        <w:rPr>
          <w:rFonts w:ascii="Arial" w:cs="Arial" w:eastAsia="Arial" w:hAnsi="Arial"/>
          <w:sz w:val="17"/>
          <w:szCs w:val="17"/>
          <w:color w:val="auto"/>
        </w:rPr>
        <w:t>The following are our critical judgments and estimates that we have made in the process of applying our accounting policies and that have the most significant effect on the amounts recognized in our consolidated financial statements included elsewhere in this prospectus.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99"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have granted share options and awards under the following four equity award plans: (i) the Mereo BioPharma Group Limited Share Option Scheme, or the 2015 Plan; (ii) the Mereo BioPharma Group plc Share Option Scheme, or the Share Option Plan; (iii) the Mereo BioPharma Group plc Long Term Incentive Plan, or LTIP; and (iv) the Mereo BioPharma Group plc Deferred Bonus Share Plan, or DBSP.</w:t>
      </w:r>
    </w:p>
    <w:p>
      <w:pPr>
        <w:spacing w:after="0" w:line="202"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measure share options at fair value at their grant date in accordance with IFRS 2, “Share-based Payment.” We calculate the fair value of the share options using either the Black-Scholes model, or for options with performance conditions, a simulation model. We charge the fair value to the statement of comprehensive income over the expected vesting period.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2015 Plan</w:t>
      </w:r>
    </w:p>
    <w:p>
      <w:pPr>
        <w:spacing w:after="0" w:line="81"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Under the 2015 Plan, we have granted share options to our employees, including our senior executives, and our non-executive directors. For all employees, share options vest over four years with</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80"/>
        <w:spacing w:after="0" w:line="239" w:lineRule="auto"/>
        <w:rPr>
          <w:sz w:val="20"/>
          <w:szCs w:val="20"/>
          <w:color w:val="auto"/>
        </w:rPr>
      </w:pPr>
      <w:r>
        <w:rPr>
          <w:rFonts w:ascii="Arial" w:cs="Arial" w:eastAsia="Arial" w:hAnsi="Arial"/>
          <w:sz w:val="18"/>
          <w:szCs w:val="18"/>
          <w:color w:val="auto"/>
        </w:rPr>
        <w:t>25% vesting 12 months after the vesting start date and the balance vesting equally over the next 36 months. For non-executive directors, share options vest over three years in three equal annual installments. There have been no performance conditions attached to the share options granted under the 2015 Plan. Certain rules apply for accelerated vesting and exercise of share options in the event of an offer for the company.</w:t>
      </w:r>
    </w:p>
    <w:p>
      <w:pPr>
        <w:spacing w:after="0" w:line="202" w:lineRule="exact"/>
        <w:rPr>
          <w:sz w:val="20"/>
          <w:szCs w:val="20"/>
          <w:color w:val="auto"/>
        </w:rPr>
      </w:pPr>
    </w:p>
    <w:p>
      <w:pPr>
        <w:ind w:left="200" w:right="720" w:firstLine="331"/>
        <w:spacing w:after="0" w:line="248" w:lineRule="auto"/>
        <w:rPr>
          <w:sz w:val="20"/>
          <w:szCs w:val="20"/>
          <w:color w:val="auto"/>
        </w:rPr>
      </w:pPr>
      <w:r>
        <w:rPr>
          <w:rFonts w:ascii="Arial" w:cs="Arial" w:eastAsia="Arial" w:hAnsi="Arial"/>
          <w:sz w:val="17"/>
          <w:szCs w:val="17"/>
          <w:color w:val="auto"/>
        </w:rPr>
        <w:t>We measure the share options under the 2015 Plan at fair value at their grant date in accordance with IFRS 2, “Share-based Payment,” using the Black-Scholes model. The exercise price of the share options under the 2015 Plan is in the range of £1.29 to</w:t>
      </w:r>
    </w:p>
    <w:p>
      <w:pPr>
        <w:spacing w:after="0" w:line="1"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£2.21 per ordinary share and the share options were granted between September 2015 and May 2016 with an exercise period of 10 years from the date of grant.</w:t>
      </w:r>
    </w:p>
    <w:p>
      <w:pPr>
        <w:spacing w:after="0" w:line="197"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6540" w:type="dxa"/>
            <w:vAlign w:val="bottom"/>
          </w:tcPr>
          <w:p>
            <w:pPr>
              <w:spacing w:after="0"/>
              <w:rPr>
                <w:sz w:val="20"/>
                <w:szCs w:val="20"/>
                <w:color w:val="auto"/>
              </w:rPr>
            </w:pPr>
            <w:r>
              <w:rPr>
                <w:rFonts w:ascii="Arial" w:cs="Arial" w:eastAsia="Arial" w:hAnsi="Arial"/>
                <w:sz w:val="18"/>
                <w:szCs w:val="18"/>
                <w:color w:val="auto"/>
              </w:rPr>
              <w:t>Other inputs to determine the fair value included:</w:t>
            </w:r>
          </w:p>
        </w:tc>
        <w:tc>
          <w:tcPr>
            <w:tcW w:w="3820" w:type="dxa"/>
            <w:vAlign w:val="bottom"/>
          </w:tcPr>
          <w:p>
            <w:pPr>
              <w:spacing w:after="0"/>
              <w:rPr>
                <w:sz w:val="18"/>
                <w:szCs w:val="18"/>
                <w:color w:val="auto"/>
              </w:rPr>
            </w:pPr>
          </w:p>
        </w:tc>
      </w:tr>
      <w:tr>
        <w:trPr>
          <w:trHeight w:val="230"/>
        </w:trPr>
        <w:tc>
          <w:tcPr>
            <w:tcW w:w="654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Volatility(1)</w:t>
            </w:r>
          </w:p>
        </w:tc>
        <w:tc>
          <w:tcPr>
            <w:tcW w:w="3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3820" w:type="dxa"/>
            <w:vAlign w:val="bottom"/>
          </w:tcPr>
          <w:p>
            <w:pPr>
              <w:jc w:val="right"/>
              <w:spacing w:after="0" w:line="202" w:lineRule="exact"/>
              <w:rPr>
                <w:sz w:val="20"/>
                <w:szCs w:val="20"/>
                <w:color w:val="auto"/>
              </w:rPr>
            </w:pPr>
            <w:r>
              <w:rPr>
                <w:rFonts w:ascii="Arial" w:cs="Arial" w:eastAsia="Arial" w:hAnsi="Arial"/>
                <w:sz w:val="18"/>
                <w:szCs w:val="18"/>
                <w:color w:val="auto"/>
              </w:rPr>
              <w:t>1.48 to 2.07%</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3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Measured by reference to a basket of similar companies trading on AIM.</w:t>
      </w:r>
    </w:p>
    <w:p>
      <w:pPr>
        <w:spacing w:after="0" w:line="21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2015 Plan was £6.2 million in 2016.</w:t>
      </w:r>
    </w:p>
    <w:p>
      <w:pPr>
        <w:spacing w:after="0" w:line="19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Option Plan</w:t>
      </w:r>
    </w:p>
    <w:p>
      <w:pPr>
        <w:spacing w:after="0" w:line="8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Under the Share Option Plan, we granted 1,293,188 share options to executive officers and other employees and 15,000 options lapsed. The weighted-average remaining contractual life for the share options outstanding as of December 31, 2017 was 9.4 years. The weighted-average fair value of options granted during the year was £1.85 per share. Share options outstanding at the end of the year had an exercise price of between £3.03 and £3.23 per share.</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weighted-average inputs to the models used for the fair value of share options granted during the year ended December 31, 2017 were as follows: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440" w:type="dxa"/>
            <w:vAlign w:val="bottom"/>
          </w:tcPr>
          <w:p>
            <w:pPr>
              <w:spacing w:after="0"/>
              <w:rPr>
                <w:sz w:val="14"/>
                <w:szCs w:val="1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7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1.06-1.33</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78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7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3.03-3.23</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78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 Term Incentive Plan</w:t>
      </w:r>
    </w:p>
    <w:p>
      <w:pPr>
        <w:spacing w:after="0" w:line="9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Under the LTIP, share options were granted to executive officers on June 9, 2016 and April 4, 2017. 75% of these share options have specific performance conditions and vest up to 33.3% on June 9, 2019 (Tranche 1), 33.3% on June 9, 2020 (Tranche 2) and 33.3% on June 9, 2021 (Tranche 3) depending on achieving share price increases relative to the share price at January 1 2019, January 1, 2020 and January 1, 2021 relative to the share price at admission to AIM. The share options were granted at a weighted-average fair value of £1.34 per ordinary share and have an exercise price of £nil.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inputs used to determine the fair value of the strategic element of the LTIP share options were:</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Tranche 1</w:t>
            </w: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6"/>
              </w:rPr>
              <w:t>Tranche 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Tranche 3</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48.9%</w:t>
            </w:r>
          </w:p>
        </w:tc>
        <w:tc>
          <w:tcPr>
            <w:tcW w:w="156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48.9%</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0.48%</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0.61%</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58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£nil</w:t>
            </w:r>
          </w:p>
        </w:tc>
        <w:tc>
          <w:tcPr>
            <w:tcW w:w="15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£nil</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We measure the fair value of the share price element of the LTIP share options at their grant date in accordance with IFRS 2, “Share-based Payment,” using a Monte Carlo simulation model. Share options have an exercise period of one year from vesting date.</w:t>
      </w:r>
    </w:p>
    <w:p>
      <w:pPr>
        <w:spacing w:after="0" w:line="19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25% of the LTIP share options are subject to strategic targets and share options vest three years from the date of grant. LTIP share options were granted at a weighted-average fair value of £1.34 per ordinary share and have an exercise price of £nil. We measure the fair value of the strategic element of the LTIP share options using the Black-Scholes model.</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7780" w:type="dxa"/>
            <w:vAlign w:val="bottom"/>
          </w:tcPr>
          <w:p>
            <w:pPr>
              <w:spacing w:after="0"/>
              <w:rPr>
                <w:sz w:val="20"/>
                <w:szCs w:val="20"/>
                <w:color w:val="auto"/>
              </w:rPr>
            </w:pPr>
            <w:r>
              <w:rPr>
                <w:rFonts w:ascii="Arial" w:cs="Arial" w:eastAsia="Arial" w:hAnsi="Arial"/>
                <w:sz w:val="18"/>
                <w:szCs w:val="18"/>
                <w:color w:val="auto"/>
              </w:rPr>
              <w:t>Other inputs used to determine the fair value of LTIP share options were:</w:t>
            </w:r>
          </w:p>
        </w:tc>
        <w:tc>
          <w:tcPr>
            <w:tcW w:w="2580" w:type="dxa"/>
            <w:vAlign w:val="bottom"/>
          </w:tcPr>
          <w:p>
            <w:pPr>
              <w:spacing w:after="0"/>
              <w:rPr>
                <w:sz w:val="18"/>
                <w:szCs w:val="18"/>
                <w:color w:val="auto"/>
              </w:rPr>
            </w:pPr>
          </w:p>
        </w:tc>
      </w:tr>
      <w:tr>
        <w:trPr>
          <w:trHeight w:val="230"/>
        </w:trPr>
        <w:tc>
          <w:tcPr>
            <w:tcW w:w="77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2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15"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The fair value of the total share-based compensation is recognized as an expense over the respective vesting period. Share-based compensation expense under the LTIP was £0.3 million in 2017 and £0.1 million in 2016.</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Bonus Share Plan</w:t>
      </w:r>
    </w:p>
    <w:p>
      <w:pPr>
        <w:spacing w:after="0" w:line="81"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Under the DBSP, share options were granted to executive officers on April 4, 2017 in respect of the year ended December 31, 2016. Share options have no performance conditions, an exercise price of £nil, a normal vesting date of 3 years from grant and are exercisable within one year of vesting.</w:t>
      </w:r>
    </w:p>
    <w:p>
      <w:pPr>
        <w:spacing w:after="0" w:line="203"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Since the DBSP awards are equity-settled, they are valued using the grant date model based on the fair value at the date of issue. Given there are no market conditions nor any non-vesting conditions, the value of the awards will be the monetary value of the shares issued at the date of issue.</w:t>
      </w:r>
    </w:p>
    <w:p>
      <w:pPr>
        <w:spacing w:after="0" w:line="203"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DBSP was £0.3 million in 2017 and £0.2 million in 2016.</w:t>
      </w:r>
    </w:p>
    <w:p>
      <w:pPr>
        <w:spacing w:after="0" w:line="197"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account for related social security contributions on all share options as cash-settled share-based payment transactions. We recognize a liability over the vesting period in respect of share options to be exercised. The total charge in respect of social security was £1.1 million in 2017 and £1.0 million in 2016.</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60"/>
          </w:cols>
          <w:pgMar w:left="24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to grant additional share options that will result in additional share-based compensation expense.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Measuring the Fair Value of Our Intangible Assets</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At each reporting date, we review the carrying value of our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20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We consider the future development costs, the probability of successfully progressing each program to product approval and likely commercial returns after product approval, among other factors, when reviewing for indicators of impairment. The results of this testing did not indicate any impairment of the acquired products’ rights in the years ended December 31, 2016 and December 31, 2017.</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acquired development programs are assets which are not used in launched products. These assets have not yet begun to be amortized but have been tested for impairment by assessing their value in use. Value-in-use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no cash flows are included after this date. Approved products are assumed to be out-licensed such that we receive upfront fees, milestone payments, and royalties on sales; therefore, we do not incur any costs of commercialization after out-licensing.</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assumptions we have used for the value-in-use calculations are described as follows:</w:t>
      </w:r>
    </w:p>
    <w:p>
      <w:pPr>
        <w:spacing w:after="0" w:line="239" w:lineRule="exact"/>
        <w:rPr>
          <w:sz w:val="20"/>
          <w:szCs w:val="20"/>
          <w:color w:val="auto"/>
        </w:rPr>
      </w:pPr>
    </w:p>
    <w:p>
      <w:pPr>
        <w:ind w:left="960" w:right="500" w:hanging="432"/>
        <w:spacing w:after="0" w:line="223"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 costs to obtain regulatory approval—costs are estimated net of any contributions expected from collaborative arrangements with future partners. Our directors have developed cost estimates based on our previous experience and in conjunction with the expertise of our clinical development partners;</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dates of products—these reflect our expected date of launch for products based on the timeline of development programs required to obtain regulatory approval. The assumptions are based on our directors’ prior experience together with the outcome of discussions with regulators;</w:t>
      </w:r>
    </w:p>
    <w:p>
      <w:pPr>
        <w:spacing w:after="0" w:line="28"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probability of successful development—we estimate probabilities of success for each phase of development based on industry averages and knowledge of specific programs;</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29" w:lineRule="auto"/>
        <w:tabs>
          <w:tab w:leader="none" w:pos="960" w:val="left"/>
        </w:tabs>
        <w:numPr>
          <w:ilvl w:val="0"/>
          <w:numId w:val="56"/>
        </w:numPr>
        <w:rPr>
          <w:rFonts w:ascii="MS PGothic" w:cs="MS PGothic" w:eastAsia="MS PGothic" w:hAnsi="MS PGothic"/>
          <w:sz w:val="24"/>
          <w:szCs w:val="24"/>
          <w:color w:val="auto"/>
          <w:vertAlign w:val="superscript"/>
        </w:rPr>
      </w:pPr>
      <w:r>
        <w:rPr>
          <w:rFonts w:ascii="Arial" w:cs="Arial" w:eastAsia="Arial" w:hAnsi="Arial"/>
          <w:sz w:val="17"/>
          <w:szCs w:val="17"/>
          <w:color w:val="auto"/>
        </w:rPr>
        <w:t>out-licensing upfront fees, milestones, and royalty rates on sales—we estimate these amounts based on prior experience and access to values from similar transactions in the industry, which are collated and accessible from specialist third-party sources;</w:t>
      </w:r>
    </w:p>
    <w:p>
      <w:pPr>
        <w:spacing w:after="0" w:line="27" w:lineRule="exact"/>
        <w:rPr>
          <w:rFonts w:ascii="MS PGothic" w:cs="MS PGothic" w:eastAsia="MS PGothic" w:hAnsi="MS PGothic"/>
          <w:sz w:val="24"/>
          <w:szCs w:val="24"/>
          <w:color w:val="auto"/>
          <w:vertAlign w:val="superscript"/>
        </w:rPr>
      </w:pPr>
    </w:p>
    <w:p>
      <w:pPr>
        <w:ind w:left="960" w:hanging="432"/>
        <w:spacing w:after="0" w:line="218"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projections—these are based on our internal projections using external market data and market research commissioned by us;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profit margins and other operational expenses—these are based on our internal projections of current product manufacturing costings, with input from manufacturing partners where applicable, and estimates of operating costs based on our prior industry experience;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BCT-197—18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BGS-649—17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192" w:lineRule="auto"/>
        <w:tabs>
          <w:tab w:leader="none" w:pos="1400" w:val="left"/>
        </w:tabs>
        <w:numPr>
          <w:ilvl w:val="1"/>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BPS-804—14 years; and</w:t>
      </w:r>
    </w:p>
    <w:p>
      <w:pPr>
        <w:ind w:left="1400" w:hanging="426"/>
        <w:spacing w:after="0" w:line="205" w:lineRule="auto"/>
        <w:tabs>
          <w:tab w:leader="none" w:pos="1400" w:val="left"/>
        </w:tabs>
        <w:numPr>
          <w:ilvl w:val="1"/>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AZD-9668—16 years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4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 rates—the discount rate is estimated on a pre-tax basis reflecting our estimated cost of capital and is applied consistently across each of the operating segments. The cost of capital in 2017 was reviewed in 2017 and was 15.3%. In 2016, the cost of capital was 11.2%.</w:t>
      </w:r>
    </w:p>
    <w:p>
      <w:pPr>
        <w:spacing w:after="0" w:line="204"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At this stage of product development, we believe the key sensitivity for all three development programs is the probability of successful completion of clinical trials in order to obtain regulatory approval for sale. Therefore, full impairment of a development program is expected should such related trials be unsuccessful and development halted.</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Warrants</w:t>
      </w:r>
    </w:p>
    <w:p>
      <w:pPr>
        <w:spacing w:after="0" w:line="99"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In connection with the borrowings under the credit facility in 2017, we issued to the lenders warrants to subscribe for an aggregate of 363,156 of our ordinary shares at an exercise price of £3.029 per ordinary share and warrants to subscribe for an aggregate of 333,334 of our ordinary shares at an exercise price of £3.30 per ordinary share.</w:t>
      </w:r>
    </w:p>
    <w:p>
      <w:pPr>
        <w:spacing w:after="0" w:line="203"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fair value of the warrants is measured using the Black-Scholes model taking into account and appropriate amendments to inputs in respect of volatility and remaining expected life of the warrants.</w:t>
      </w:r>
    </w:p>
    <w:p>
      <w:pPr>
        <w:spacing w:after="0" w:line="197"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The weighted-average inputs to the models used for the fair value of warrants granted during the period ended December 31, 2017 were as follows:</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50-51</w:t>
            </w:r>
          </w:p>
        </w:tc>
        <w:tc>
          <w:tcPr>
            <w:tcW w:w="8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1.10-1.25</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9.6-10</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3.00-3.25</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fair value of the warrants at December 31, 2017 was £1.3 million. The carrying value of the loan at December 31, 2017 was £18.8 million.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Provision for Deferred Cash Consideration</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Provision for deferred cash consideration represents the potential future cash payments in respect of the AZD-9668 acquisition. As this is in respect of a product which is not yet approved, this provision for deferred cash consideration includes all contingent payments up to the point of exercise of the right to acquire the intellectual property and excludes potential downstream milestones, royalties or other payments because they are unquantifiable. The provision is recognized as a liability at each balance sheet date with the amounts calculated as the risk adjusted net present value of certain future payments we may make. The payments are dependent on reaching specific milestones based on the commencement and outcome of clinical trials.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total amount of provision for deferred cash consideration at December 31, 2017 was £2.1 million.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inputs used to determine the value of the provision for deferred consideration include:</w:t>
      </w:r>
    </w:p>
    <w:p>
      <w:pPr>
        <w:sectPr>
          <w:pgSz w:w="11900" w:h="16838" w:orient="portrait"/>
          <w:cols w:equalWidth="0" w:num="1">
            <w:col w:w="11200"/>
          </w:cols>
          <w:pgMar w:left="240" w:top="459" w:right="459" w:bottom="1440" w:gutter="0" w:footer="0" w:header="0"/>
        </w:sect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Discount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15.3%</w:t>
      </w:r>
    </w:p>
    <w:p>
      <w:pPr>
        <w:spacing w:after="0" w:line="115" w:lineRule="exact"/>
        <w:rPr>
          <w:sz w:val="20"/>
          <w:szCs w:val="20"/>
          <w:color w:val="auto"/>
        </w:rPr>
      </w:pPr>
    </w:p>
    <w:p>
      <w:pPr>
        <w:sectPr>
          <w:pgSz w:w="11900" w:h="16838" w:orient="portrait"/>
          <w:cols w:equalWidth="0" w:num="2">
            <w:col w:w="2100" w:space="720"/>
            <w:col w:w="8380"/>
          </w:cols>
          <w:pgMar w:left="240" w:top="459" w:right="45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Likely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Based on the expected timing of the planned Phase 2 study for AZD-9668</w:t>
      </w:r>
    </w:p>
    <w:p>
      <w:pPr>
        <w:spacing w:after="0" w:line="115" w:lineRule="exact"/>
        <w:rPr>
          <w:sz w:val="20"/>
          <w:szCs w:val="20"/>
          <w:color w:val="auto"/>
        </w:rPr>
      </w:pPr>
    </w:p>
    <w:p>
      <w:pPr>
        <w:sectPr>
          <w:pgSz w:w="11900" w:h="16838" w:orient="portrait"/>
          <w:cols w:equalWidth="0" w:num="2">
            <w:col w:w="2180" w:space="640"/>
            <w:col w:w="8380"/>
          </w:cols>
          <w:pgMar w:left="240" w:top="459" w:right="45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Risk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Standard risk adjustments for orphan asset development programs</w:t>
      </w:r>
    </w:p>
    <w:p>
      <w:pPr>
        <w:spacing w:after="0" w:line="156" w:lineRule="exact"/>
        <w:rPr>
          <w:sz w:val="20"/>
          <w:szCs w:val="20"/>
          <w:color w:val="auto"/>
        </w:rPr>
      </w:pPr>
    </w:p>
    <w:p>
      <w:pPr>
        <w:sectPr>
          <w:pgSz w:w="11900" w:h="16838" w:orient="portrait"/>
          <w:cols w:equalWidth="0" w:num="2">
            <w:col w:w="2100" w:space="720"/>
            <w:col w:w="8380"/>
          </w:cols>
          <w:pgMar w:left="240" w:top="459" w:right="459" w:bottom="1440" w:gutter="0" w:footer="0" w:header="0"/>
          <w:type w:val="continuous"/>
        </w:sectPr>
      </w:pPr>
    </w:p>
    <w:p>
      <w:pPr>
        <w:jc w:val="center"/>
        <w:ind w:right="-23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00"/>
          </w:cols>
          <w:pgMar w:left="240" w:top="459" w:right="4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Deferred Equity Consideration</w:t>
      </w:r>
    </w:p>
    <w:p>
      <w:pPr>
        <w:spacing w:after="0" w:line="99"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Deferred equity consideration is accounted for as equity-settled share-based payment transactions in accordance with IFRS 2. Fair value is determined by the share price at the date of purchase.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Tax and Current Tax Credits</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Tax on the profit or loss for the year comprises current and deferred tax. Tax is recognized in the statement of operations, except to the extent that it relates to items recognized directly in equity, in which case it is recognized in equity. Current tax is the expected tax payable on the taxable income or loss for the year, using tax rates enacted or substantively enacted at the balance sheet date, and any adjustment to tax payable in respect of previous years. Tax credits are accrued for the year based on calculations that conform to the U.K. research and development tax credit regime applicable to small and medium-sized companies.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may not be able to continue to claim research and development tax credits in the future under the current research and development tax credit scheme, when we become a U.S. public company because we may no longer qualify as a small or medium-sized company. However, we may be able to file under a large-company scheme. Deferred tax is recognized on temporary differences between the carrying amounts of assets and liabilities for financial reporting purposes and the amounts used for taxation purposes. The amount of deferred tax is based on the expected manner of realization or settlement of the carrying amount of assets and liabilities, using tax rates enacted or substantively enacted at the balance sheet date. A deferred tax asset is recognized only to the extent that it is probable that future taxable profits will be available against which the asset can be utilized. No deferred tax assets are recognized on our losses carried forward because there is currently no indication that we will make sufficient profits to utilize these tax losses.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85"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We refer to Note 27 to our consolidated financial statements for the year ended December 31, 2017 included elsewhere in this prospectus for a discussion of new standards and interpretations not yet adopted by 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99"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In April 2012, the U.S. Jumpstart Our Business Startups Act of 2012, or the JOBS Act, was enacted. Section 107(b) of the JOBS Act provides that an “emerging growth company,” or EGC, can take advantage of an extended transition period for complying with new or revised accounting standards. Thus, an EGC can delay the adoption of certain accounting standards until those standards would otherwise apply to private companies.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osteogenesis imperfecta, or OI, AZD-9668 for the treatment of severe alpha-1 antitrypsin deficiency, or AATD, BCT-197 for the treatment of acute exacerbations of chronic obstructive pulmonary disease, or AECOPD, and BGS-649 for the treatment of hypogonadotropic hypogonadism, or HH, in obese men.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Pharma AG, or Novartis, and AstraZeneca AB, or AstraZeneca. We have commenced or completed large, randomized, placebo-controlled Phase 2 clinical trials for three of these product candidates. In December 2017, we reported top-line data from our completed Phase 2 dose-ranging clinical trial for BCT-197. We intend to commence additional late-stage clinical trials in 2018.</w:t>
      </w:r>
    </w:p>
    <w:p>
      <w:pPr>
        <w:spacing w:after="0" w:line="205"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our pipeline. We have global commercial rights to all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152400</wp:posOffset>
            </wp:positionV>
            <wp:extent cx="5213985" cy="21012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60"/>
          </w:cols>
          <w:pgMar w:left="24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portfolio consists of the following product candidates:</w:t>
      </w:r>
    </w:p>
    <w:p>
      <w:pPr>
        <w:spacing w:after="0" w:line="95" w:lineRule="exact"/>
        <w:rPr>
          <w:sz w:val="20"/>
          <w:szCs w:val="20"/>
          <w:color w:val="auto"/>
        </w:rPr>
      </w:pPr>
    </w:p>
    <w:p>
      <w:pPr>
        <w:ind w:left="960" w:right="180" w:hanging="432"/>
        <w:spacing w:after="0" w:line="23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BPS-804: </w:t>
      </w:r>
      <w:r>
        <w:rPr>
          <w:rFonts w:ascii="Arial" w:cs="Arial" w:eastAsia="Arial" w:hAnsi="Arial"/>
          <w:sz w:val="18"/>
          <w:szCs w:val="18"/>
          <w:color w:val="auto"/>
        </w:rPr>
        <w:t>BPS-804, or setrusumab, is a novel antibody we are developing as a treatment for OI, a rare genetic disease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in bones that can break easily and is commonly known as brittle bone disease. OI is a debilitating orphan disease for which there are no treatments approved by the U.S. Food and Drug Administration, or FDA, or European Medicines Agency, or EMA. It is estimated that OI affects a minimum of 20,000 people in the United States and approximately 32,000 people in Germany, Spain, France, Italy, and the United Kingdom. BPS-804 is designed to inhibit sclerostin, a protein that inhibits the activity of bone-forming cells. We believe BPS-804’s mechanism of action is well suited for the treatment of OI and has the potential to become a novel treatment option for patients that could reduce fractures and improve patient quality of life.</w:t>
      </w:r>
    </w:p>
    <w:p>
      <w:pPr>
        <w:spacing w:after="0" w:line="96" w:lineRule="exact"/>
        <w:rPr>
          <w:rFonts w:ascii="MS PGothic" w:cs="MS PGothic" w:eastAsia="MS PGothic" w:hAnsi="MS PGothic"/>
          <w:sz w:val="25"/>
          <w:szCs w:val="25"/>
          <w:color w:val="auto"/>
          <w:vertAlign w:val="superscript"/>
        </w:rPr>
      </w:pPr>
    </w:p>
    <w:p>
      <w:pPr>
        <w:ind w:left="980" w:right="2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2016, we obtained orphan drug designation in OI for BPS-804 in the United States and the European Union, or EU, and in February 2017, BPS-804 was accepted into the adaptive pathways program in the EU. In addition, in November 2017, BPS-804 was admitted to the PRIME scheme of the EMA. Prior to our acquisition of BPS-804, Novartis conducted four clinical trials in 106 patients and healthy volunteers. A Phase 2 clinical trial of BPS-804 showed statistically significant improvements in bone formation biomarkers and bone mineral density. In May 2017, we initiated a randomized, double-blind, placebo-controlled Phase 2b clinical trial for BPS-804 in adults in the United States and Europe. We expect the results from this trial, if favorable, along with validation of our use of high resolution peripheral quantitative computerized tomography, or HRPqCT, as a biomarker for fracture, may be sufficient to support the submission of a Conditional Marketing Authorisation, or CMA, to the EMA for BPS-804 for the treatment of adults with OI in the EU. We also intend to commence a Phase 2b/3 clinical trial of BPS-804 in children with OI in 2018 in Europe, with fracture rate as the primary endpoint. We expect the results from this trial, if favorable, may be sufficient to validate our use of HRPqCT and support the submission of a CMA to the EMA for BPS-804 for the treatment of children with severe OI in the EU.</w:t>
      </w:r>
    </w:p>
    <w:p>
      <w:pPr>
        <w:spacing w:after="0" w:line="96"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However, because of this uncertainty, the FDA has informed us that a risk/benefit assessment for sclerostin inhibitors cannot be completed at this time and has recommended that we do not submit our proposed pediatric protocol until the cardiovascular safety issue has been adequately addressed and favorably resolved. Given the undetermined risk/benefit assessment in adults, the FDA believes it is premature to conduct a study of sclerostin inhibitors in children. If this safety issue is resolved, we plan on submitting our proposed European Phase 2b/3 study for BPS-804 in children with severe OI to the FDA to expand the proposed trial into the United States. We believe the FDA’s position does not impact our ability to conduct our clinical development activities of BPS-804 in Europe for children with severe OI and our clinical development activities of BPS-804 in Europe and the United States for adults with OI.</w:t>
      </w:r>
    </w:p>
    <w:p>
      <w:pPr>
        <w:spacing w:after="0" w:line="89" w:lineRule="exact"/>
        <w:rPr>
          <w:rFonts w:ascii="MS PGothic" w:cs="MS PGothic" w:eastAsia="MS PGothic" w:hAnsi="MS PGothic"/>
          <w:sz w:val="25"/>
          <w:szCs w:val="25"/>
          <w:color w:val="auto"/>
          <w:vertAlign w:val="superscript"/>
        </w:rPr>
      </w:pPr>
    </w:p>
    <w:p>
      <w:pPr>
        <w:ind w:left="960" w:right="20" w:hanging="432"/>
        <w:spacing w:after="0" w:line="23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AZD-9668: </w:t>
      </w:r>
      <w:r>
        <w:rPr>
          <w:rFonts w:ascii="Arial" w:cs="Arial" w:eastAsia="Arial" w:hAnsi="Arial"/>
          <w:sz w:val="18"/>
          <w:szCs w:val="18"/>
          <w:color w:val="auto"/>
        </w:rPr>
        <w:t>AZD-9668, or alvelestat, is a novel, oral small molecule we are developing for the treatment of severe AATD,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potentially life-threatening rare, genetic condition caused by a lack of alpha-1 antitrypsin, or AAT, a protein that protects the lungs from enzymatic degradation. This degradation leads to severe debilitating diseases, including early-onset pulmonary emphysema, a disease that irreversibly destroys the tissues that support lung function. There are an estimated 50,000 patients in North America and 60,000 patients in Europe with severe AATD. AZD-9668 is designed to inhibit neutrophil elastase, or NE, a neutrophil protease, which is a key enzyme involved in the destruction of lung tissue. We believe the inhibition of NE has the potential to protect AATD patients from further lung damage.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0"/>
        <w:spacing w:after="0" w:line="239" w:lineRule="auto"/>
        <w:rPr>
          <w:sz w:val="20"/>
          <w:szCs w:val="20"/>
          <w:color w:val="auto"/>
        </w:rPr>
      </w:pPr>
      <w:r>
        <w:rPr>
          <w:rFonts w:ascii="Arial" w:cs="Arial" w:eastAsia="Arial" w:hAnsi="Arial"/>
          <w:sz w:val="18"/>
          <w:szCs w:val="18"/>
          <w:color w:val="auto"/>
        </w:rPr>
        <w:t>Prior to our license of AZD-9668, AstraZeneca conducted 12 clinical trials involving 1,776 subjects, including trials in bronchiectasis and cystic fibrosis, or CF. Although these trials were conducted in diseases other than AATD, we believe the data demonstrated potential clinical benefit and biomarker evidence of treatment effect for AATD patients. We intend to initiate a Phase 2 proof-of-concept clinical trial in patients with severe AATD in 2018.</w:t>
      </w:r>
    </w:p>
    <w:p>
      <w:pPr>
        <w:spacing w:after="0" w:line="85" w:lineRule="exact"/>
        <w:rPr>
          <w:sz w:val="20"/>
          <w:szCs w:val="20"/>
          <w:color w:val="auto"/>
        </w:rPr>
      </w:pPr>
    </w:p>
    <w:p>
      <w:pPr>
        <w:ind w:left="960" w:right="140" w:hanging="432"/>
        <w:spacing w:after="0" w:line="233"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BCT-197: </w:t>
      </w:r>
      <w:r>
        <w:rPr>
          <w:rFonts w:ascii="Arial" w:cs="Arial" w:eastAsia="Arial" w:hAnsi="Arial"/>
          <w:sz w:val="18"/>
          <w:szCs w:val="18"/>
          <w:color w:val="auto"/>
        </w:rPr>
        <w:t>BCT-197, or acumapimod, is a p38 MAP kinase inhibitor we are developing as an oral first-line acute therapy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AECOPD. Chronic obstructive pulmonary disease, or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We believe BCT-197 offers a potential new treatment for controlling inflammation by targeting pathways that drive the pathological mechanism behind AECOPD.</w:t>
      </w:r>
    </w:p>
    <w:p>
      <w:pPr>
        <w:spacing w:after="0" w:line="95" w:lineRule="exact"/>
        <w:rPr>
          <w:rFonts w:ascii="MS PGothic" w:cs="MS PGothic" w:eastAsia="MS PGothic" w:hAnsi="MS PGothic"/>
          <w:sz w:val="25"/>
          <w:szCs w:val="25"/>
          <w:color w:val="auto"/>
          <w:vertAlign w:val="superscript"/>
        </w:rPr>
      </w:pPr>
    </w:p>
    <w:p>
      <w:pPr>
        <w:ind w:left="980" w:right="60"/>
        <w:spacing w:after="0" w:line="239"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Since there are currently no approved therapies in the United States or the EU to treat AECOPD, we believe that there is significant medical need for a drug which is disease-modifying . We believe BCT-197 could potentially prevent AECOPD instead of just treating the symptoms and has the potential to improve quality of life, slow the progression of the disease, and significantly reduce direct healthcare costs.</w:t>
      </w:r>
    </w:p>
    <w:p>
      <w:pPr>
        <w:spacing w:after="0" w:line="93"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BCT-197,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 In December 2017, we reported top-line data from our completed placebo-controlled Phase 2 dose-ranging clinical trial for BCT-197. The trial was conducted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Treatment with BCT-197 also showed a statistically significant reduction in the number of COPD exacerbations that required hospitalization. In addition, BCT-197 was reported to be safe and well tolerated. Based on these results, we plan to enter into one or more strategic relationships with third parties for further clinical development and, if approved, commercialization, of BCT-197.</w:t>
      </w:r>
    </w:p>
    <w:p>
      <w:pPr>
        <w:spacing w:after="0" w:line="89"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BGS-649: </w:t>
      </w:r>
      <w:r>
        <w:rPr>
          <w:rFonts w:ascii="Arial" w:cs="Arial" w:eastAsia="Arial" w:hAnsi="Arial"/>
          <w:sz w:val="18"/>
          <w:szCs w:val="18"/>
          <w:color w:val="auto"/>
        </w:rPr>
        <w:t>BGS-649, or leflutrozole, is a once-weekly oral therapy we are developing for the treatment of HH in obese men. HH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clinical syndrome that results from inadequate levels of testosterone. Based on World Health Organization, or WHO, estimates and scientific data, we estimate there are approximately seven million cases of HH in obese men in the United States and approximately five million cases of HH in obese men in Europe. In these men, a decline in testosterone is exacerbated by high levels of the aromatase enzyme, which is present in fat tissue and leads to a reduction in testosterone. BGS-649 is designed to inhibit the aromatase enzyme and is being developed to restore normal levels of testosterone without causing excessively high testosterone levels or reducing the levels of luteinizing hormone, or LH, or follicular stimulating hormone, or FSH. Both LH and FSH play key roles in sperm formation and LH plays a key role in endogenous testosterone formation. In contrast to current therapies for HH, which involve the exogenous administration of testosterone and lead to further down regulation of LH and FSH, we believe that BGS-649, by preserving sperm formation through LH and FSH production, may present a benefit to patients.</w:t>
      </w:r>
    </w:p>
    <w:p>
      <w:pPr>
        <w:spacing w:after="0" w:line="103" w:lineRule="exact"/>
        <w:rPr>
          <w:rFonts w:ascii="MS PGothic" w:cs="MS PGothic" w:eastAsia="MS PGothic" w:hAnsi="MS PGothic"/>
          <w:sz w:val="25"/>
          <w:szCs w:val="25"/>
          <w:color w:val="auto"/>
          <w:vertAlign w:val="superscript"/>
        </w:rPr>
      </w:pPr>
    </w:p>
    <w:p>
      <w:pPr>
        <w:ind w:left="980" w:right="20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BGS-649, Novartis conducted seven clinical trials in 131 patients and healthy volunteers, including a Phase 2 proof-of-concept trial for HH in obese men in which BGS-649 normalized testosterone levels in all patients and demonstrated an increase in LH and FSH levels. In 2016, we commenced a randomized, placebo-controlled Phase 2b clinical</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trial of BGS-649 for the treatment of HH in obese men. We completed enrollment in this trial with 271 patients, and we expect to report top-line data in the first quarter of 2018. If the results from the Phase 2b clinical trial are favorable, we intend to commence a Phase 3 clinical program of BGS-649 for the treatment of HH in obese men.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We intend to become a leading biopharmaceutical company focused on the acquisition, development and commercialization of innovative therapeutics that aim to improve outcomes for patients with rare and specialty diseases. The key elements of our strategy to achieve this goal include:</w:t>
      </w:r>
    </w:p>
    <w:p>
      <w:pPr>
        <w:spacing w:after="0" w:line="208" w:lineRule="exact"/>
        <w:rPr>
          <w:sz w:val="20"/>
          <w:szCs w:val="20"/>
          <w:color w:val="auto"/>
        </w:rPr>
      </w:pPr>
    </w:p>
    <w:p>
      <w:pPr>
        <w:ind w:left="960" w:hanging="432"/>
        <w:spacing w:after="0" w:line="233"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commenced a Phase 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 of BPS-804 for the treatment of OI in adults in the United States and Europe. If the results from this trial are favorable and our use of HRPqCT as a biomarker for fracture is validated, we intend to submit a CMA to the EMA for the treatment of adults with OI in the EU. We also intend to commence a Phase 2b/3 clinical trial of BPS-804 for the treatment of OI in children in 2018 in Europe. We expect that the results from this trial, if favorable, will be sufficient to validate our use of HRPqCT and support the submission of a CMA to the EMA for BPS-804 for the treatment of children with severe OI in the EU. We intend to initiate a Phase 2 clinical trial of AZD-9668 for the treatment of severe AATD in 2018 and, if the results are favorable and pending regulatory feedback, continue to develop AZD-9668 toward approval and commercialization. We plan to establish our own sales and marketing organization in the United States and Europe for BPS-804 and AZD-9668 and any future rare disease product candidates.</w:t>
      </w:r>
    </w:p>
    <w:p>
      <w:pPr>
        <w:spacing w:after="0" w:line="93" w:lineRule="exact"/>
        <w:rPr>
          <w:rFonts w:ascii="MS PGothic" w:cs="MS PGothic" w:eastAsia="MS PGothic" w:hAnsi="MS PGothic"/>
          <w:sz w:val="25"/>
          <w:szCs w:val="25"/>
          <w:color w:val="auto"/>
          <w:vertAlign w:val="superscript"/>
        </w:rPr>
      </w:pPr>
    </w:p>
    <w:p>
      <w:pPr>
        <w:ind w:left="960" w:right="80" w:hanging="432"/>
        <w:spacing w:after="0" w:line="233"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specialty disease product candidates and explore strategic relationships with third parties for further clinical development and/or commercialization. </w:t>
      </w:r>
      <w:r>
        <w:rPr>
          <w:rFonts w:ascii="Arial" w:cs="Arial" w:eastAsia="Arial" w:hAnsi="Arial"/>
          <w:sz w:val="18"/>
          <w:szCs w:val="18"/>
          <w:color w:val="auto"/>
        </w:rPr>
        <w:t>Based on the top-line results from our Phase 2 clinical trial of BCT-197, we plan to enter into one or more strategic relationships with third parties for BCT-197 to undertake the next phase of clinical development and, if approved, commercialization. We also expect to report top-line Phase 2b data for BGS-649 for the treatment of HH in the first quarter of 2018. If these results are favorable, we intend to commence a Phase 3 clinical program for BGS-649 and plan to enter into strategic relationships with third parties for commercialization. We may also enter into strategic relationships with third parties to complete the clinical development of BGS-649.</w:t>
      </w:r>
    </w:p>
    <w:p>
      <w:pPr>
        <w:spacing w:after="0" w:line="88"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has extensive relationships with large pharmaceutical and biotechnology companies, as evidenced by the acquisition of our four clinical-stage product candidates. We intend to leverage these relationships to grow our pipeline with a focus on rare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disease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91" w:lineRule="exact"/>
        <w:rPr>
          <w:rFonts w:ascii="MS PGothic" w:cs="MS PGothic" w:eastAsia="MS PGothic" w:hAnsi="MS PGothic"/>
          <w:sz w:val="25"/>
          <w:szCs w:val="25"/>
          <w:color w:val="auto"/>
          <w:vertAlign w:val="superscript"/>
        </w:rPr>
      </w:pPr>
    </w:p>
    <w:p>
      <w:pPr>
        <w:ind w:left="960" w:right="260" w:hanging="432"/>
        <w:spacing w:after="0" w:line="232"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spacing w:after="0"/>
        <w:rPr>
          <w:sz w:val="20"/>
          <w:szCs w:val="20"/>
          <w:color w:val="auto"/>
        </w:rPr>
      </w:pPr>
      <w:r>
        <w:rPr>
          <w:rFonts w:ascii="Arial" w:cs="Arial" w:eastAsia="Arial" w:hAnsi="Arial"/>
          <w:sz w:val="18"/>
          <w:szCs w:val="18"/>
          <w:color w:val="auto"/>
        </w:rPr>
        <w:t>AstraZeneca, and a track record of structuring transactions that enable us to leverage our core development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BPS-804 (setrusumab) for the Treatment of Osteogenesis Imperfecta</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We are developing BPS-804 (setrusumab) for the treatment of OI. BPS-804 is a novel, intravenously administered antibody that is designed to inhibit sclerostin, a protein that inhibits the activity of bone-forming cells, known as osteoblasts. We believe that by blocking sclerostin, BPS-804 has the potential to induce or increase osteoblast function and maturation of these cells, increasing bone formation and reducing bone resorption, thereby reducing fractures in OI patients.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20,000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There are eight recognized forms of OI, designated type I through type VIII. Type I is the least severe form, while type II is the most severe and frequently causes death at or shortly after birth. The most prevalent form of OI is type I, which is estimated to occur in approximately 50% to 60% of OI patients. The less severe forms of OI, such as type I and type IV, are characterized by broken bones, often as a result of minor trauma. Patients typically have a blue or gray tint to the sclera, the part of the eye that is usually white, and are at risk of hearing loss in adulthood. Individuals affected by less severe types of OI are usually of normal height and have normal life spans.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to the features of less severe forms of OI, type III patients are characterized by frequent bone fractures starting even before birth, respiratory problems, short stature, a disorder of tooth development, and reduced life expectancy as a result of respiratory failure and cardiac failure. Type III OI is characterized by extreme growth deficiency and typically scoliosis, and patients may require wheelchairs for mobility. 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85"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There are no approved therapies for the treatment of OI in the United States or the EU. The only treatments available to OI patients are the acute management of fractures as they occur and bisphosphonate drugs, which are not approved for this indication but are commonly used off-label in children.</w:t>
      </w:r>
    </w:p>
    <w:p>
      <w:pPr>
        <w:spacing w:after="0" w:line="203" w:lineRule="exact"/>
        <w:rPr>
          <w:sz w:val="20"/>
          <w:szCs w:val="20"/>
          <w:color w:val="auto"/>
        </w:rPr>
      </w:pPr>
    </w:p>
    <w:p>
      <w:pPr>
        <w:ind w:left="200" w:right="380" w:firstLine="331"/>
        <w:spacing w:after="0" w:line="261" w:lineRule="auto"/>
        <w:rPr>
          <w:sz w:val="20"/>
          <w:szCs w:val="20"/>
          <w:color w:val="auto"/>
        </w:rPr>
      </w:pPr>
      <w:r>
        <w:rPr>
          <w:rFonts w:ascii="Arial" w:cs="Arial" w:eastAsia="Arial" w:hAnsi="Arial"/>
          <w:sz w:val="17"/>
          <w:szCs w:val="17"/>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weak limbs and decrease pain, physical therapy, and muscle strengthening and aerobic conditioning to improve bone mass and strength.</w:t>
      </w:r>
    </w:p>
    <w:p>
      <w:pPr>
        <w:spacing w:after="0" w:line="212"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Many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 Despite not being approved, bisphosphonates are effectively the standard of care in children, especially those with more severe disease.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Our product candidate for treating OI is BPS-804,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BPS-804 has the potential to induce or increase osteoblast activity and maturation of these cells, increasing bone formation and reducing bone resorption, thereby reducing fractures in OI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BPS-804</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current and planned clinical trials of BPS-804:</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tcPr>
          <w:p>
            <w:pPr>
              <w:ind w:left="1040"/>
              <w:spacing w:after="0"/>
              <w:rPr>
                <w:sz w:val="20"/>
                <w:szCs w:val="20"/>
                <w:color w:val="auto"/>
              </w:rPr>
            </w:pPr>
            <w:r>
              <w:rPr>
                <w:rFonts w:ascii="Arial" w:cs="Arial" w:eastAsia="Arial" w:hAnsi="Arial"/>
                <w:sz w:val="14"/>
                <w:szCs w:val="14"/>
                <w:b w:val="1"/>
                <w:bCs w:val="1"/>
                <w:color w:val="auto"/>
              </w:rPr>
              <w:t>Historical Trials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b w:val="1"/>
                <w:bCs w:val="1"/>
                <w:color w:val="auto"/>
              </w:rPr>
              <w:t>Current Trials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Planned Trials</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left="108"/>
              <w:spacing w:after="0" w:line="143" w:lineRule="exact"/>
              <w:rPr>
                <w:sz w:val="20"/>
                <w:szCs w:val="20"/>
                <w:color w:val="auto"/>
              </w:rPr>
            </w:pPr>
            <w:r>
              <w:rPr>
                <w:rFonts w:ascii="Arial" w:cs="Arial" w:eastAsia="Arial" w:hAnsi="Arial"/>
                <w:sz w:val="14"/>
                <w:szCs w:val="14"/>
                <w:b w:val="1"/>
                <w:bCs w:val="1"/>
                <w:color w:val="auto"/>
              </w:rPr>
              <w:t>Subjects</w:t>
            </w: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Treated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with</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Planned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Planned</w:t>
            </w:r>
          </w:p>
        </w:tc>
        <w:tc>
          <w:tcPr>
            <w:tcW w:w="72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75"/>
        </w:trPr>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3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BPS-804</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Population</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Enrollment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Population</w:t>
            </w:r>
          </w:p>
        </w:tc>
        <w:tc>
          <w:tcPr>
            <w:tcW w:w="9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Enrollment</w:t>
            </w:r>
          </w:p>
        </w:tc>
        <w:tc>
          <w:tcPr>
            <w:tcW w:w="240" w:type="dxa"/>
            <w:vAlign w:val="bottom"/>
          </w:tcPr>
          <w:p>
            <w:pPr>
              <w:spacing w:after="0"/>
              <w:rPr>
                <w:sz w:val="15"/>
                <w:szCs w:val="15"/>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0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1</w:t>
            </w:r>
          </w:p>
        </w:tc>
        <w:tc>
          <w:tcPr>
            <w:tcW w:w="30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Phase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120</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Phase 2b/3</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~150</w:t>
            </w:r>
          </w:p>
        </w:tc>
        <w:tc>
          <w:tcPr>
            <w:tcW w:w="68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Healthy Volunteers (postmenopausal women)</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2b</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(adult)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(pediatrics)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72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3080" w:type="dxa"/>
            <w:vAlign w:val="bottom"/>
          </w:tcPr>
          <w:p>
            <w:pPr>
              <w:jc w:val="center"/>
              <w:spacing w:after="0"/>
              <w:rPr>
                <w:sz w:val="20"/>
                <w:szCs w:val="20"/>
                <w:color w:val="auto"/>
              </w:rPr>
            </w:pPr>
            <w:r>
              <w:rPr>
                <w:rFonts w:ascii="Arial" w:cs="Arial" w:eastAsia="Arial" w:hAnsi="Arial"/>
                <w:sz w:val="14"/>
                <w:szCs w:val="14"/>
                <w:color w:val="auto"/>
              </w:rPr>
              <w:t>Hypophosphatasia</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4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3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Women with Low Bone Mineral Density</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72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3080" w:type="dxa"/>
            <w:vAlign w:val="bottom"/>
          </w:tcPr>
          <w:p>
            <w:pPr>
              <w:jc w:val="center"/>
              <w:spacing w:after="0"/>
              <w:rPr>
                <w:sz w:val="20"/>
                <w:szCs w:val="20"/>
                <w:color w:val="auto"/>
              </w:rPr>
            </w:pPr>
            <w:r>
              <w:rPr>
                <w:rFonts w:ascii="Arial" w:cs="Arial" w:eastAsia="Arial" w:hAnsi="Arial"/>
                <w:sz w:val="14"/>
                <w:szCs w:val="14"/>
                <w:color w:val="auto"/>
                <w:w w:val="94"/>
              </w:rPr>
              <w:t>OI</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 and Phase 2 Clinical Trials in Other Indications</w:t>
      </w:r>
    </w:p>
    <w:p>
      <w:pPr>
        <w:spacing w:after="0" w:line="81" w:lineRule="exact"/>
        <w:rPr>
          <w:sz w:val="20"/>
          <w:szCs w:val="20"/>
          <w:color w:val="auto"/>
        </w:rPr>
      </w:pPr>
    </w:p>
    <w:p>
      <w:pPr>
        <w:ind w:left="200" w:right="500" w:firstLine="331"/>
        <w:spacing w:after="0" w:line="239" w:lineRule="auto"/>
        <w:rPr>
          <w:sz w:val="20"/>
          <w:szCs w:val="20"/>
          <w:color w:val="auto"/>
        </w:rPr>
      </w:pPr>
      <w:r>
        <w:rPr>
          <w:rFonts w:ascii="Arial" w:cs="Arial" w:eastAsia="Arial" w:hAnsi="Arial"/>
          <w:sz w:val="18"/>
          <w:szCs w:val="18"/>
          <w:color w:val="auto"/>
        </w:rPr>
        <w:t>Novartis performed a Phase 1 single ascending dose trial in 30 healthy female volunteers. A range of doses of BPS-804 were administered and were shown to be well tolerated. A Phase 2 ascending dose trial was also performed in eight adult patients with hypophosphatasia, a rare disorder characterized by abnormal development of bones and teeth. Three different BPS-804 doses were administered and a positive effect on bone formation biomarkers was observed.</w:t>
      </w:r>
    </w:p>
    <w:p>
      <w:pPr>
        <w:spacing w:after="0" w:line="20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Additionally, Novartis performed a Phase 2 clinical trial in a total of 44 postmenopausal women with low bone mineral density, in which 36 subjects were treated with BPS-804. The trial had four arms, with patients dosed weekly for three weeks (4 doses), monthly for three months (4 doses) and quarterly for one quarter (2 doses), and a placebo group. In this trial, BPS-804 increased bone mineral density up to 7.8%, 7.3% and 4.3% in the weekly, monthly and quarterly groups, respectively.</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 in Osteogenesis Imperfecta</w:t>
      </w:r>
    </w:p>
    <w:p>
      <w:pPr>
        <w:spacing w:after="0" w:line="95"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Novartis conducted a Phase 2 randomized, open-label, intra-patient dose-escalating proof-of-concept trial in the United States, Canada and Europe in adults with OI. The objectives were:</w:t>
      </w:r>
    </w:p>
    <w:p>
      <w:pPr>
        <w:spacing w:after="0" w:line="188" w:lineRule="exact"/>
        <w:rPr>
          <w:sz w:val="20"/>
          <w:szCs w:val="20"/>
          <w:color w:val="auto"/>
        </w:rPr>
      </w:pPr>
    </w:p>
    <w:p>
      <w:pPr>
        <w:ind w:left="960" w:hanging="432"/>
        <w:spacing w:after="0"/>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of BPS-804;</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the effect of BPS-804 on lumbar spine bone mineral density measured by dual-energy X-ray absorptiometry, or DEXA, scan;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determine the pharmacodynamic effect of BPS-804 when administered as multiple dose escalating intravenous infusions on:</w:t>
      </w:r>
    </w:p>
    <w:p>
      <w:pPr>
        <w:spacing w:after="0" w:line="26" w:lineRule="exact"/>
        <w:rPr>
          <w:rFonts w:ascii="MS PGothic" w:cs="MS PGothic" w:eastAsia="MS PGothic" w:hAnsi="MS PGothic"/>
          <w:sz w:val="25"/>
          <w:szCs w:val="25"/>
          <w:color w:val="auto"/>
          <w:vertAlign w:val="superscript"/>
        </w:rPr>
      </w:pPr>
    </w:p>
    <w:p>
      <w:pPr>
        <w:ind w:left="1400" w:right="860" w:hanging="426"/>
        <w:spacing w:after="0" w:line="218" w:lineRule="auto"/>
        <w:tabs>
          <w:tab w:leader="none" w:pos="1400" w:val="left"/>
        </w:tabs>
        <w:numPr>
          <w:ilvl w:val="1"/>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formation markers, including procollagen 1 N-terminal propeptide, or P1NP, procollagen 1 C terminal propeptide, or P1CP, osteocalcin, or OC, and bone-specific alkaline phosphatase, or BSAP; and</w:t>
      </w:r>
    </w:p>
    <w:p>
      <w:pPr>
        <w:spacing w:after="0" w:line="27" w:lineRule="exact"/>
        <w:rPr>
          <w:rFonts w:ascii="MS PGothic" w:cs="MS PGothic" w:eastAsia="MS PGothic" w:hAnsi="MS PGothic"/>
          <w:sz w:val="25"/>
          <w:szCs w:val="25"/>
          <w:color w:val="auto"/>
          <w:vertAlign w:val="superscript"/>
        </w:rPr>
      </w:pPr>
    </w:p>
    <w:p>
      <w:pPr>
        <w:ind w:left="1400" w:right="360" w:hanging="426"/>
        <w:spacing w:after="0" w:line="218" w:lineRule="auto"/>
        <w:tabs>
          <w:tab w:leader="none" w:pos="1400" w:val="left"/>
        </w:tabs>
        <w:numPr>
          <w:ilvl w:val="1"/>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resorption markers, including C-telopeptides of type I collagen cross-links, or CTX-1, and N-telopeptides of type I collagen cross-links.</w:t>
      </w:r>
    </w:p>
    <w:p>
      <w:pPr>
        <w:spacing w:after="0" w:line="203" w:lineRule="exact"/>
        <w:rPr>
          <w:sz w:val="20"/>
          <w:szCs w:val="20"/>
          <w:color w:val="auto"/>
        </w:rPr>
      </w:pPr>
    </w:p>
    <w:p>
      <w:pPr>
        <w:jc w:val="both"/>
        <w:ind w:left="200" w:right="340" w:firstLine="331"/>
        <w:spacing w:after="0" w:line="234" w:lineRule="auto"/>
        <w:rPr>
          <w:sz w:val="20"/>
          <w:szCs w:val="20"/>
          <w:color w:val="auto"/>
        </w:rPr>
      </w:pPr>
      <w:r>
        <w:rPr>
          <w:rFonts w:ascii="Arial" w:cs="Arial" w:eastAsia="Arial" w:hAnsi="Arial"/>
          <w:sz w:val="18"/>
          <w:szCs w:val="18"/>
          <w:color w:val="auto"/>
        </w:rPr>
        <w:t>The trial included 14 patients with types I, III and IV OI, nine of which were treated and five of which were observed as a reference group in parallel during the trial to provide comparative data. The reference patients did not receive drug or placebo. The patients were treated with three doses of BPS-804 two weeks apart, over four weeks, and were followed for a total of 21 weeks after the last dose.</w:t>
      </w:r>
    </w:p>
    <w:p>
      <w:pPr>
        <w:spacing w:after="0" w:line="2" w:lineRule="exact"/>
        <w:rPr>
          <w:sz w:val="20"/>
          <w:szCs w:val="20"/>
          <w:color w:val="auto"/>
        </w:rPr>
      </w:pPr>
    </w:p>
    <w:p>
      <w:pPr>
        <w:jc w:val="both"/>
        <w:ind w:left="200" w:right="360"/>
        <w:spacing w:after="0" w:line="246" w:lineRule="auto"/>
        <w:rPr>
          <w:sz w:val="20"/>
          <w:szCs w:val="20"/>
          <w:color w:val="auto"/>
        </w:rPr>
      </w:pPr>
      <w:r>
        <w:rPr>
          <w:rFonts w:ascii="Arial" w:cs="Arial" w:eastAsia="Arial" w:hAnsi="Arial"/>
          <w:sz w:val="18"/>
          <w:szCs w:val="18"/>
          <w:color w:val="auto"/>
        </w:rPr>
        <w:t>DEXA studies were performed at day 141 and bone biomarkers were measured on days eight, 15, 29, 36, 43, 57, 85, 113 and 141, for both groups.</w:t>
      </w:r>
    </w:p>
    <w:p>
      <w:pPr>
        <w:spacing w:after="0" w:line="197"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Treatment with BPS-804 showed a statistically significant increase in lumbar spine bone mineral density from baseline, which was sustained at day 141 of the trial, 16 weeks after the last dose of BPS-804, with a mean increase in lumbar spine bone mineral density in treated patients of 4%, as shown in the table below:</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4"/>
                <w:szCs w:val="14"/>
                <w:b w:val="1"/>
                <w:bCs w:val="1"/>
                <w:color w:val="auto"/>
              </w:rPr>
              <w:t>BPS-804</w:t>
            </w: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Reference</w:t>
            </w: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Ratio of</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Ratio of</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Parameter</w:t>
            </w:r>
          </w:p>
        </w:tc>
        <w:tc>
          <w:tcPr>
            <w:tcW w:w="1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patients</w:t>
            </w:r>
          </w:p>
        </w:tc>
        <w:tc>
          <w:tcPr>
            <w:tcW w:w="4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baseline</w:t>
            </w: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rPr>
              <w:t>p-value</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patients</w:t>
            </w:r>
          </w:p>
        </w:tc>
        <w:tc>
          <w:tcPr>
            <w:tcW w:w="2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baseline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6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Bone Mineral Density</w:t>
            </w:r>
          </w:p>
        </w:tc>
        <w:tc>
          <w:tcPr>
            <w:tcW w:w="162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4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4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0.038*</w:t>
            </w:r>
          </w:p>
        </w:tc>
        <w:tc>
          <w:tcPr>
            <w:tcW w:w="2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w:t>
            </w:r>
          </w:p>
        </w:tc>
        <w:tc>
          <w:tcPr>
            <w:tcW w:w="2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420" w:type="dxa"/>
            <w:vAlign w:val="bottom"/>
            <w:vMerge w:val="continue"/>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520" w:right="520" w:hanging="316"/>
        <w:spacing w:after="0" w:line="246"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Statistically significant, meaning a less than 5% chance (or p-value less than 0.05) that the observed results occurred by chance alone.</w:t>
      </w:r>
    </w:p>
    <w:p>
      <w:pPr>
        <w:spacing w:after="0" w:line="21" w:lineRule="exact"/>
        <w:rPr>
          <w:sz w:val="20"/>
          <w:szCs w:val="20"/>
          <w:color w:val="auto"/>
        </w:rPr>
      </w:pPr>
    </w:p>
    <w:p>
      <w:pPr>
        <w:ind w:left="520" w:hanging="316"/>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 patient in the reference group did not complete the study and is not included in the results.</w:t>
      </w:r>
    </w:p>
    <w:p>
      <w:pPr>
        <w:spacing w:after="0" w:line="212"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Bone turnover comprises two processes: the removal of bone and the laying down of new bone. Markers in blood can be used to assess the formation and resorption of bone. P1NP and CTX-1 are the markers of bone formation and resorption, respectively, that are recommended for clinical use and are considered the two reference markers by the International Osteoporosis Foundation and International Federation of Clinical Chemistry.</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Treatment with BPS-804 also showed a statistically significant improvement in all measured bone formation biomarkers at day 43 of the trial, as shown in the table below, as well as a trend of reduction in the CTX-1 biomarker of bone resorption:</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60" w:type="dxa"/>
            <w:vAlign w:val="bottom"/>
            <w:gridSpan w:val="4"/>
          </w:tcPr>
          <w:p>
            <w:pPr>
              <w:ind w:left="620"/>
              <w:spacing w:after="0"/>
              <w:rPr>
                <w:sz w:val="20"/>
                <w:szCs w:val="20"/>
                <w:color w:val="auto"/>
              </w:rPr>
            </w:pPr>
            <w:r>
              <w:rPr>
                <w:rFonts w:ascii="Arial" w:cs="Arial" w:eastAsia="Arial" w:hAnsi="Arial"/>
                <w:sz w:val="14"/>
                <w:szCs w:val="14"/>
                <w:b w:val="1"/>
                <w:bCs w:val="1"/>
                <w:color w:val="auto"/>
              </w:rPr>
              <w:t>BPS-804</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3"/>
          </w:tcPr>
          <w:p>
            <w:pPr>
              <w:jc w:val="right"/>
              <w:ind w:right="504"/>
              <w:spacing w:after="0"/>
              <w:rPr>
                <w:sz w:val="20"/>
                <w:szCs w:val="20"/>
                <w:color w:val="auto"/>
              </w:rPr>
            </w:pPr>
            <w:r>
              <w:rPr>
                <w:rFonts w:ascii="Arial" w:cs="Arial" w:eastAsia="Arial" w:hAnsi="Arial"/>
                <w:sz w:val="14"/>
                <w:szCs w:val="14"/>
                <w:b w:val="1"/>
                <w:bCs w:val="1"/>
                <w:color w:val="auto"/>
              </w:rPr>
              <w:t>Reference</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Ratio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Ratio of</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geometric</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geometric means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mean to</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90% confidence</w:t>
            </w:r>
          </w:p>
        </w:tc>
        <w:tc>
          <w:tcPr>
            <w:tcW w:w="0" w:type="dxa"/>
            <w:vAlign w:val="bottom"/>
          </w:tcPr>
          <w:p>
            <w:pPr>
              <w:spacing w:after="0"/>
              <w:rPr>
                <w:sz w:val="1"/>
                <w:szCs w:val="1"/>
                <w:color w:val="auto"/>
              </w:rPr>
            </w:pPr>
          </w:p>
        </w:tc>
      </w:tr>
      <w:tr>
        <w:trPr>
          <w:trHeight w:val="195"/>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Bone formation biomarker</w:t>
            </w:r>
          </w:p>
        </w:tc>
        <w:tc>
          <w:tcPr>
            <w:tcW w:w="142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auto"/>
              </w:rPr>
              <w:t>patients</w:t>
            </w:r>
          </w:p>
        </w:tc>
        <w:tc>
          <w:tcPr>
            <w:tcW w:w="4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baseline</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p-value</w:t>
            </w:r>
          </w:p>
        </w:tc>
        <w:tc>
          <w:tcPr>
            <w:tcW w:w="220" w:type="dxa"/>
            <w:vAlign w:val="bottom"/>
          </w:tcPr>
          <w:p>
            <w:pPr>
              <w:spacing w:after="0"/>
              <w:rPr>
                <w:sz w:val="16"/>
                <w:szCs w:val="16"/>
                <w:color w:val="auto"/>
              </w:rPr>
            </w:pPr>
          </w:p>
        </w:tc>
        <w:tc>
          <w:tcPr>
            <w:tcW w:w="720" w:type="dxa"/>
            <w:vAlign w:val="bottom"/>
          </w:tcPr>
          <w:p>
            <w:pPr>
              <w:jc w:val="right"/>
              <w:ind w:right="22"/>
              <w:spacing w:after="0"/>
              <w:rPr>
                <w:sz w:val="20"/>
                <w:szCs w:val="20"/>
                <w:color w:val="auto"/>
              </w:rPr>
            </w:pPr>
            <w:r>
              <w:rPr>
                <w:rFonts w:ascii="Arial" w:cs="Arial" w:eastAsia="Arial" w:hAnsi="Arial"/>
                <w:sz w:val="14"/>
                <w:szCs w:val="14"/>
                <w:b w:val="1"/>
                <w:bCs w:val="1"/>
                <w:color w:val="auto"/>
              </w:rPr>
              <w:t>patients</w:t>
            </w:r>
          </w:p>
        </w:tc>
        <w:tc>
          <w:tcPr>
            <w:tcW w:w="4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baseline</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42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interval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P1NP</w:t>
            </w:r>
          </w:p>
        </w:tc>
        <w:tc>
          <w:tcPr>
            <w:tcW w:w="1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4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1.84</w:t>
            </w:r>
          </w:p>
        </w:tc>
        <w:tc>
          <w:tcPr>
            <w:tcW w:w="4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&lt;0.001*</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4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1.06</w:t>
            </w:r>
          </w:p>
        </w:tc>
        <w:tc>
          <w:tcPr>
            <w:tcW w:w="4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0.651</w:t>
            </w:r>
          </w:p>
        </w:tc>
        <w:tc>
          <w:tcPr>
            <w:tcW w:w="4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1.75</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line="202" w:lineRule="exact"/>
              <w:rPr>
                <w:sz w:val="20"/>
                <w:szCs w:val="20"/>
                <w:color w:val="auto"/>
              </w:rPr>
            </w:pPr>
            <w:r>
              <w:rPr>
                <w:rFonts w:ascii="Arial" w:cs="Arial" w:eastAsia="Arial" w:hAnsi="Arial"/>
                <w:sz w:val="18"/>
                <w:szCs w:val="18"/>
                <w:color w:val="auto"/>
              </w:rPr>
              <w:t>P1CP</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w:t>
            </w:r>
          </w:p>
        </w:tc>
        <w:tc>
          <w:tcPr>
            <w:tcW w:w="42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0.003*</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BSAP</w:t>
            </w:r>
          </w:p>
        </w:tc>
        <w:tc>
          <w:tcPr>
            <w:tcW w:w="2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&lt;0.001*</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0.582</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OC</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0.012*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0.436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hanging="316"/>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Statistically significant.</w:t>
      </w:r>
    </w:p>
    <w:p>
      <w:pPr>
        <w:spacing w:after="0" w:line="21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These results showed a statistically significant upregulation in the activity of P1NP, P1CP, BSAP, and increased OC levels, while the corresponding biomarkers remained unchanged or declined moderately in the reference group.</w:t>
      </w:r>
    </w:p>
    <w:p>
      <w:pPr>
        <w:spacing w:after="0" w:line="197"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We believe that the observed increase in lumbar spine bone mineral density in patients treated with BPS-804, along with the bone biomarker data, support the bone anabolic effects of BPS-804 in adult patients with moderate OI and support the potential for BPS-804 to stimulate bone formation and reduce bone resorption after three doses.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In the trials conducted by Novartis, BPS-804 was generally well tolerated. In the Phase 2 OI clinical trial, there was one non-drug related significant adverse event in the reference group. The most common adverse events were headaches, influenza, arthralgia and fatigue both in patients who received BPS-804 and in the reference group.</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Current and Planned Phase 2b Clinical Trials in Osteogenesis Imperfecta</w:t>
      </w:r>
    </w:p>
    <w:p>
      <w:pPr>
        <w:spacing w:after="0" w:line="95"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In May 2017, we commenced a Phase 2b clinical trial of BPS-804 in the United States and Europe. The Phase 2b clinical trial is a multi-center, randomized double-blind, placebo-controlled trial of BPS-804 in which we intend to enroll approximately 120 adult OI patients. Similar to the Phase 2 clinical trial conducted by Novartis, we plan to enroll patients with types I, III and IV OI.</w:t>
      </w:r>
    </w:p>
    <w:p>
      <w:pPr>
        <w:spacing w:after="0" w:line="203"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primary endpoint of this trial is the change in trabecular volumetric bone mineral density measured by HRpQCT and change in bone strength using finite element analysis, or FEA. HRpQCT enables the measurement of relevant parameters of bone density, microstructure, and strength. FEA uses data from HRpQCT measurements to provide a predictive measure of the whole bone strength and biomechanical risk of fracture. Additional endpoints include further measures of bone parameters measured by HRpQCT, bone turnover markers and quality of life scores. Based on our interactions with the EMA, we believe that the results from this trial, if favorable, and validation of our use of HRpQCT as a biomarker for fracture, from our planned Phase 2b/3 trial in children with OI, will be sufficient to support the submission of a CMA for BPS-804 for the treatment of adults with OI in the EU.</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addition, in 2018, we intend to commence a Phase 2b/3 clinical trial of BPS-804 for the treatment of OI in children aged 12 to 18 in Europe. We intend to enroll approximately 150 patients in this trial, with fracture rate as the primary endpoint. Based on our interactions with the EMA, we expect the results from this trial, if favorable, will be sufficient to validate our use of HRPqCT and support the submission of a CMA for BPS-804 for the treatment of children with severe OI in the EU.</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However, because of this uncertainty, the FDA has informed us that a risk/benefit assessment for sclerostin inhibitors cannot be completed at this time and has recommended that we do not submit our proposed pediatric protocol until the cardiovascular safety issue has been adequately addressed and favorably resolved. Given the undetermined risk/benefit assessment in adults, the FDA believes it is premature to conduct a study of sclerostin inhibitors in children. If this safety issue is resolved, we plan on submitting our proposed European Phase 2b/3 study for BPS-804 in children with severe OI to the FDA to expand the proposed trial into the United States. We believe the FDA’s position does not impact our ability to conduct our clinical development activities of BPS-804 in Europe for children with severe OI and our clinical development activities of BPS-804 in Europe and the United States for adults with OI.</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AZD-9668 (alvelestat) for the Treatment of Severe Alpha-1-Antitrypsin Deficiency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are developing AZD-9668 (alvelestat) for the treatment of severe AATD, a potentially life-threatening rare, genetic condition that results in severe debilitating diseases, including early-onset pulmonary emphysema. AZD-9668 is a novel, oral small molecule designed to inhibit NE. Scientific data indicate that the increased risk of lung tissue injury in AATD patients may be due to inadequately controlled NE caused by insufficient AAT. We believe that by inhibiting NE, AZD-9668 has the potential to reduce the destruction of lung tissue and stabilize clinical deterioration in severe AATD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8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AATD is a genetic disease. There are estimated to be 50,000 people in North America and 60,000 in Europe with severe AATD, which we define as AATD in patients with either a PiZZ genotype or NullNull genotype. The major function of AAT in the lungs is to protect the connective tissue from NE released from triggered neutrophils. In the majority of people, the lungs are defended from NE attack by AAT, which is a highly effective inhibitor of NE. Severe AATD patients, however, produce minimal or no AAT and are, therefore, unable to defend against NE attack. As a result, severe AATD patients commonly experience degeneration of lung function, such as early-onset pulmonary emphysema, which significantly affects quality of life and life expectancy.</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AATD is the result of a mutation of the SERPINA1 gene. Most people with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the amount of air that can be forcibly exhaled in one second, or FEV1, a standard measure of exhalation. The annual mortality rate in this genotype estimated to be 4%. Given that individuals with the NullNull genotype do not produce any AAT, we believe that they are likely to experience an even greater annual decline in FEV1.</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approved by the FDA based on its biochemical efficacy, or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205"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In addition, AAT augmentation therapy requires potentially inconvenient weekly intravenous infusions.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Our product candidate for treating severe AATD is AZD-9668, a potent, specific oral small molecule that is designed to inhibit NE. We believe that by inhibiting NE, AZD-9668 has the potential to reduce the enzymatic destruction of lung tissue. Furthermore, we believe that convenient oral dosing of AZD-9668 could provide a significant advantage compared to the current treatments for AATD of surgery or weekly intravenous AAT augmentation therapy.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AZD-9668</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and planned clinical trials of AZD-9668: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Historical Trials</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Planned Trials</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w:t>
            </w:r>
          </w:p>
        </w:tc>
        <w:tc>
          <w:tcPr>
            <w:tcW w:w="3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2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Treated with</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Planned</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5"/>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1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Studies</w:t>
            </w:r>
          </w:p>
        </w:tc>
        <w:tc>
          <w:tcPr>
            <w:tcW w:w="3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AZD-9668</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Phase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Population</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Enrollment</w:t>
            </w: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5"/>
              </w:rPr>
              <w:t>Phase</w:t>
            </w:r>
          </w:p>
        </w:tc>
        <w:tc>
          <w:tcPr>
            <w:tcW w:w="32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3"/>
                <w:szCs w:val="13"/>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Healthy Volunteers / COPD</w:t>
            </w:r>
          </w:p>
        </w:tc>
        <w:tc>
          <w:tcPr>
            <w:tcW w:w="36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940" w:type="dxa"/>
            <w:vAlign w:val="bottom"/>
          </w:tcPr>
          <w:p>
            <w:pPr>
              <w:spacing w:after="0"/>
              <w:rPr>
                <w:sz w:val="13"/>
                <w:szCs w:val="13"/>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Phase 2</w:t>
            </w:r>
          </w:p>
        </w:tc>
        <w:tc>
          <w:tcPr>
            <w:tcW w:w="38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AATD</w:t>
            </w:r>
          </w:p>
        </w:tc>
        <w:tc>
          <w:tcPr>
            <w:tcW w:w="4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40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6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rPr>
              <w:t>COPD</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958</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w w:val="96"/>
              </w:rPr>
              <w:t>CF</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rPr>
              <w:t>Bronchiectasis</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Trials</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Although prior clinical trials of AZD-9668 were in indications other than AATD, we believe that the clinical benefit observed in these trials and the biomarker evidence of treatment effect make AZD -9668 a promising potential product candidate for treating severe AATD. In particular, we believe the results from the Phase 2 clinical trials in bronchiectasis and CF are most relevant in assessing AZD-9668’s potential to treat severe AATD.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Bronchiectasis</w:t>
      </w:r>
    </w:p>
    <w:p>
      <w:pPr>
        <w:spacing w:after="0" w:line="212"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bronchiectasis in a total of 38 patients, 22 of whom were treated with AZD-9668, using a 60 mg dose of AZD-9668 administered twice daily for four weeks. Bronchiectasis is a disease characterized by localized, irreversible dilatation of parts of the bronchial tree, caused by destruction of the structural components of the bronchial wall that result from a vicious cycle of transmural infection and inflammation. Neutrophils play a key role in inflammation in bronchiectasis with airway neutrophilia resulting in high concentrations of neutrophil proteases, such as NE, which may be inadequately neutralized by anti-proteases.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results of this four-week trial showed a statistically significant improvement at day 28 in FEV1 of 100 ml (p=0.006) and a clinically meaningful improvement of 130 ml (p=0.079) in slow vital capacity, which measures the volume of air on a slow full expiration of air in the patient’s lungs. The effect on the St. George’s Respiratory Questionnaire, a questionnaire that measures quality of life in patients with diseases of airways obstruction, favored AZD-9668 overall and in each measured domain, with a more than four-unit difference in the overall score, demonstrating clinical relevance. In addition, although the data did not show statistical significance in desmosine levels in urine, the treatment group showed a reduction in desmosine levels while the placebo group showed an increase in desmosine levels.</w:t>
      </w:r>
    </w:p>
    <w:p>
      <w:pPr>
        <w:spacing w:after="0" w:line="20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believe that bronchiectasis and AATD share common pathological features such as damage to structural parts of the bronchial tree caused by neutrophil proteases that support the potential for AZD-9668 to treat severe AATD, a disease driven primarily by insufficient inhibition of 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Cystic Fibrosis</w:t>
      </w:r>
    </w:p>
    <w:p>
      <w:pPr>
        <w:spacing w:after="0" w:line="21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CF in a total of 56 patients, 26 of whom were treated with AZD-9668, using a 60 mg dose of AZD-9668 administered twice daily for four weeks. CF is a disease that results in thickened secretions and endobronchial infections. These chronic infections are associated with an exaggerated inflammatory response in the airways and neutrophil infiltration of the lungs. The presence of neutrophils in the airways, and the resulting high concentrations of neutrophil proteases, such as NE, suggest that neutrophils are contributors in the pathogenesis of the proteolytic lung destruction associated with CF.</w:t>
      </w:r>
    </w:p>
    <w:p>
      <w:pPr>
        <w:spacing w:after="0" w:line="20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The trial was designed to examine the safety and efficacy of AZD-9668 and its effect on the biomarkers of lung damage. The trial did not demonstrate a statistically significant benefit in lung function, which we believe was due to the anti-proteolytic mechanism of action of AZD-9668 only addressing one component of the pathology of CF. However, there was a statistically significant reduction in free desmosine in urine corrected for creatinine (p=0.002), and a reduction in plasma desmosine of 16%. Desmosine and isodesmosine are unique cross linking amino acids in elastin. Elastin is a protein that makes up the structure of the alveoli in the lungs and provides the pressure that allows for easy breathing, but is vulnerable to breakdown by NE. The reduction in desmosine in this trial indicates a reduction in the breakdown of elastin, which we believe suggests the utility of desmosine as a clinical biomarker with direct relevance to the proposed mechanism of action in severe AATD.</w:t>
      </w:r>
    </w:p>
    <w:p>
      <w:pPr>
        <w:spacing w:after="0" w:line="208"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We believe that the data from this trial provide proof of concept for mechanistic effect and the use of desmosine as a biomarker of lung degradation in diseases of high or unopposed NE, such as severe AATD.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the clinical trials conducted by AstraZeneca, no treatment-related serious adverse events were identified. A dose of up to 120 mg twice daily was well tolerated in Phase 1 clinical trials and a dose of 60 mg twice daily was well tolerated in the CF, bronchiectasis and COPD Phase 2 trials. Across the 1,149 patients and healthy volunteers treated with AZD-9668, 16 patients had an elevation of liver enzymes with alanine transaminase or aspartate transaminase enzyme concentrations elevated to greater than three times the upper limit of normal, but no patient met the criteria of Hy’s law of drug-induced liver injury and no dose dependency was observed. Independent safety review committees evaluated this data and recommended that the trials continue.</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Planned Phase 2 Clinical Trial in Severe AATD</w:t>
      </w:r>
    </w:p>
    <w:p>
      <w:pPr>
        <w:spacing w:after="0" w:line="81"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We intend to commence a Phase 2 proof-of-concept clinical trial of AZD-9668 for severe AATD in 2018. We anticipate this trial will be a 12-week, double-blind, placebo-controlled clinical trial examining</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two doses of AZD-9668 compared to placebo with primary endpoints of elastin breakdown and binding to NE or NE inhibition as determined using biomarkers. We anticipate desmosine will be the elastin breakdown product that is the biomarker endpoint. We believe that by inhibiting NE, AZD-9668 will reduce the breakdown of elastin and therefore the amount of desmosine. Planned secondary endpoints are plasma Aa-Val(360), a biomarker of NE activity, NE activity in sputum, and lung function tests, including FEV1.</w:t>
      </w:r>
    </w:p>
    <w:p>
      <w:pPr>
        <w:spacing w:after="0" w:line="215"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plan to enroll only patients with PiZZ or NullNull genotypes with confirmed emphysema and declining FEV1, who have not received AAT augmentation therapy or have undergone a wash-out period following AAT augmentation therapy. We estimate that we will need to recruit approximately 150 patients for this trial.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results from this trial are favorable, we intend to seek regulatory advice on the design of, and commence, a pivotal trial.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BCT-197 (acumapimod) for the Treatment of AECOPD</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We are developing BCT-197 (acumapimod) as a first-line acute therapy in patients with AECOPD. BCT-197 is a novel, orally active p38 MAP kinase inhibitor designed to inhibit the pathological mechanism behind inflammation, which is a key feature of AECOPD. Currently available treatments only manage the symptoms of AECOPD and are comprised primarily of oxygen therapy, corticosteroids, antibiotics, and bronchodilators. We believe BCT-197 offers a potential new treatment by targeting the underlying disease and delivering tangible benefits for patients and payors by potentially preventing AECOPD, or reducing the frequency of exacerbations and reducing readmissions.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 with the disease and the same number likely suffer from the disease without being aware of it. The European COPD Coalition estimates that 13 million people in Europe have been diagnosed with COPD. In 2015, according to the WHO, there were over three million deaths from the disease worldwide.</w:t>
      </w:r>
    </w:p>
    <w:p>
      <w:pPr>
        <w:spacing w:after="0" w:line="20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An AECOPD is defined as an acute event characterized by a worsening of the patient’s symptoms beyond normal day-to-day variations that requires a change in medication.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Moderate to severe cases of AECOPD can also result in greatly diminished quality of life, disability, and serious co-morbidities, including heart disease. After an AECOPD many patients do not return to their pre-AECOPD baseline respiratory function. Furthermore, a patient who has several AECOPDs a year is typically exposed to large quantities of systemic corticosteroids, which can lead to osteoporosis and diabetes.</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 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99"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We are not aware of any approved therapies for the treatment of AECOPD in the United States or the EU. The management of AECOPD is directed at relieving symptoms and restoring functional capacity of the airways. In its milder forms, an AECOPD can be controlled with inhaled steroids, 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The current recommended management for AECOPD includes beta2 agonists, the addition of anticholinergics or an increase in their dosage, the systemic administration of corticosteroids and antibiotics,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believe there is a significant medical need for a drug which is disease-modifying and could potentially prevent AECOPD instead of just treating the symptoms. In addition, we believe that a drug that could prevent or reduce AECOPD and also has anti-inflammatory effects would significantly improve the quality of life of AECOPD patients due to improved lung function, fewer infections and possibly reduced risk of rehospitalization and mortality.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Our product candidate for treating AECOPD is BCT-197, an orally administered small molecule that inhibits p38 MAP kinase. p38 MAP kinase is an enzyme that plays a key role in the cellular response to external stress signals. p38 MAP kinase is activated in COPD and AECOPD and is inversely correlated with measures of lung function, in particular, FEV1 and forced vital capacity, which is the amount of air that can be forcibly exhaled from the lungs after maximal inspiration. The higher the p38 MAP kinase activation, the lower we would expect lung function to be.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24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necrosis factor alpha, or TNFa, and interleukin-8, which are released in the blood stream, and interleukin-6, which is released from bronchial epithelial cells, all of which are blocked by inhibiting p38 MAP kinase.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believe that BCT-197 has the following key advantages over current therapies:</w:t>
      </w:r>
    </w:p>
    <w:p>
      <w:pPr>
        <w:spacing w:after="0" w:line="203" w:lineRule="exact"/>
        <w:rPr>
          <w:sz w:val="20"/>
          <w:szCs w:val="20"/>
          <w:color w:val="auto"/>
        </w:rPr>
      </w:pPr>
    </w:p>
    <w:p>
      <w:pPr>
        <w:ind w:left="960" w:hanging="432"/>
        <w:spacing w:after="0"/>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to be a rapid-onset treatment targeting inflammatory drivers of AECOPD;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anti-inflammatory response systemically and locally with easier oral administration than inhaled treatments;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simple oral regimen of three doses over five days that can be conveniently administered in an outpatient setting;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pathophysiology of acute exacerbations without generalized immune suppression;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for efficacy in steroid-resistant population.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BCT-197</w:t>
      </w:r>
    </w:p>
    <w:p>
      <w:pPr>
        <w:spacing w:after="0" w:line="99"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following table summarizes the historical clinical trials of BCT-197. We plan to enter into one or more strategic relationships with third parties for BCT-197 to undertake the next phase of clinical development and, if approved, for commercialization.</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Historical Trials</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2720" w:type="dxa"/>
            <w:vAlign w:val="bottom"/>
            <w:tcBorders>
              <w:top w:val="single" w:sz="8" w:color="auto"/>
            </w:tcBorders>
            <w:gridSpan w:val="2"/>
          </w:tcPr>
          <w:p>
            <w:pPr>
              <w:jc w:val="center"/>
              <w:ind w:left="1448"/>
              <w:spacing w:after="0" w:line="143" w:lineRule="exact"/>
              <w:rPr>
                <w:sz w:val="20"/>
                <w:szCs w:val="20"/>
                <w:color w:val="auto"/>
              </w:rPr>
            </w:pPr>
            <w:r>
              <w:rPr>
                <w:rFonts w:ascii="Arial" w:cs="Arial" w:eastAsia="Arial" w:hAnsi="Arial"/>
                <w:sz w:val="14"/>
                <w:szCs w:val="14"/>
                <w:b w:val="1"/>
                <w:bCs w:val="1"/>
                <w:color w:val="auto"/>
              </w:rPr>
              <w:t>Subjects Treated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3440" w:type="dxa"/>
            <w:vAlign w:val="bottom"/>
            <w:gridSpan w:val="3"/>
          </w:tcPr>
          <w:p>
            <w:pPr>
              <w:jc w:val="right"/>
              <w:ind w:right="1644"/>
              <w:spacing w:after="0"/>
              <w:rPr>
                <w:sz w:val="20"/>
                <w:szCs w:val="20"/>
                <w:color w:val="auto"/>
              </w:rPr>
            </w:pPr>
            <w:r>
              <w:rPr>
                <w:rFonts w:ascii="Arial" w:cs="Arial" w:eastAsia="Arial" w:hAnsi="Arial"/>
                <w:sz w:val="14"/>
                <w:szCs w:val="14"/>
                <w:b w:val="1"/>
                <w:bCs w:val="1"/>
                <w:color w:val="auto"/>
              </w:rPr>
              <w:t># of Studies</w:t>
            </w:r>
          </w:p>
        </w:tc>
        <w:tc>
          <w:tcPr>
            <w:tcW w:w="30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with BCT-197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5"/>
              </w:rPr>
              <w:t>Phase</w:t>
            </w:r>
          </w:p>
        </w:tc>
        <w:tc>
          <w:tcPr>
            <w:tcW w:w="1380" w:type="dxa"/>
            <w:vAlign w:val="bottom"/>
            <w:tcBorders>
              <w:top w:val="single" w:sz="8" w:color="CCEEFF"/>
            </w:tcBorders>
            <w:shd w:val="clear" w:color="auto" w:fill="CCEEFF"/>
          </w:tcPr>
          <w:p>
            <w:pPr>
              <w:jc w:val="right"/>
              <w:ind w:right="1188"/>
              <w:spacing w:after="0" w:line="155" w:lineRule="exact"/>
              <w:rPr>
                <w:sz w:val="20"/>
                <w:szCs w:val="20"/>
                <w:color w:val="auto"/>
              </w:rPr>
            </w:pPr>
            <w:r>
              <w:rPr>
                <w:rFonts w:ascii="Arial" w:cs="Arial" w:eastAsia="Arial" w:hAnsi="Arial"/>
                <w:sz w:val="14"/>
                <w:szCs w:val="14"/>
                <w:color w:val="auto"/>
              </w:rPr>
              <w:t>1</w:t>
            </w:r>
          </w:p>
        </w:tc>
        <w:tc>
          <w:tcPr>
            <w:tcW w:w="9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w:t>
            </w:r>
          </w:p>
        </w:tc>
        <w:tc>
          <w:tcPr>
            <w:tcW w:w="1660" w:type="dxa"/>
            <w:vAlign w:val="bottom"/>
            <w:tcBorders>
              <w:top w:val="single" w:sz="8" w:color="CCEEFF"/>
            </w:tcBorders>
            <w:shd w:val="clear" w:color="auto" w:fill="CCEEFF"/>
          </w:tcPr>
          <w:p>
            <w:pPr>
              <w:jc w:val="right"/>
              <w:ind w:right="1584"/>
              <w:spacing w:after="0"/>
              <w:rPr>
                <w:sz w:val="20"/>
                <w:szCs w:val="20"/>
                <w:color w:val="auto"/>
              </w:rPr>
            </w:pPr>
            <w:r>
              <w:rPr>
                <w:rFonts w:ascii="Arial" w:cs="Arial" w:eastAsia="Arial" w:hAnsi="Arial"/>
                <w:sz w:val="7"/>
                <w:szCs w:val="7"/>
                <w:color w:val="auto"/>
                <w:w w:val="71"/>
              </w:rPr>
              <w:t>*</w:t>
            </w:r>
          </w:p>
        </w:tc>
        <w:tc>
          <w:tcPr>
            <w:tcW w:w="304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Healthy Volunteers</w:t>
            </w:r>
          </w:p>
        </w:tc>
        <w:tc>
          <w:tcPr>
            <w:tcW w:w="15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66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AECOPD</w:t>
            </w:r>
          </w:p>
        </w:tc>
        <w:tc>
          <w:tcPr>
            <w:tcW w:w="272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60" w:type="dxa"/>
            <w:vAlign w:val="bottom"/>
            <w:shd w:val="clear" w:color="auto" w:fill="CCEEFF"/>
          </w:tcPr>
          <w:p>
            <w:pPr>
              <w:spacing w:after="0"/>
              <w:rPr>
                <w:sz w:val="14"/>
                <w:szCs w:val="14"/>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Acute Kidney Injury</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color w:val="auto"/>
              </w:rPr>
              <w:t>Phase 2</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66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AECOPD</w:t>
            </w:r>
          </w:p>
        </w:tc>
        <w:tc>
          <w:tcPr>
            <w:tcW w:w="272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18180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540" w:right="6660" w:hanging="336"/>
        <w:spacing w:after="0" w:line="407" w:lineRule="auto"/>
        <w:tabs>
          <w:tab w:leader="none" w:pos="5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Includes our 16-patient drug-drug interaction study. </w:t>
      </w:r>
      <w:r>
        <w:rPr>
          <w:rFonts w:ascii="Arial" w:cs="Arial" w:eastAsia="Arial" w:hAnsi="Arial"/>
          <w:sz w:val="18"/>
          <w:szCs w:val="18"/>
          <w:i w:val="1"/>
          <w:iCs w:val="1"/>
          <w:color w:val="auto"/>
        </w:rPr>
        <w:t>Phase 1 Clinical Trials</w:t>
      </w:r>
    </w:p>
    <w:p>
      <w:pPr>
        <w:ind w:left="200" w:right="280" w:firstLine="331"/>
        <w:spacing w:after="0" w:line="243" w:lineRule="auto"/>
        <w:rPr>
          <w:sz w:val="20"/>
          <w:szCs w:val="20"/>
          <w:color w:val="auto"/>
        </w:rPr>
      </w:pPr>
      <w:r>
        <w:rPr>
          <w:rFonts w:ascii="Arial" w:cs="Arial" w:eastAsia="Arial" w:hAnsi="Arial"/>
          <w:sz w:val="18"/>
          <w:szCs w:val="18"/>
          <w:color w:val="auto"/>
        </w:rPr>
        <w:t xml:space="preserve">Prior to our acquisition of BCT-197, Novartis performed three Phase 1 clinical trials. One of these trials was a three-part Phase 1 clinical trial in a total of 141 healthy volunteers designed to evaluate the safety and anti-inflammatory properties of BCT-197 following lipopolysaccharide, or LPS, challenge, a method of inducing an inflammatory response. Parts 1 and 2 of this trial assessed the ability of BCT-197 to inhibit TNFa, a pro-inflammatory cytokine,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following LPS challenge and Part 3 assessed the same </w:t>
      </w:r>
      <w:r>
        <w:rPr>
          <w:rFonts w:ascii="Arial" w:cs="Arial" w:eastAsia="Arial" w:hAnsi="Arial"/>
          <w:sz w:val="18"/>
          <w:szCs w:val="18"/>
          <w:i w:val="1"/>
          <w:iCs w:val="1"/>
          <w:color w:val="auto"/>
        </w:rPr>
        <w:t>in vivo</w:t>
      </w:r>
      <w:r>
        <w:rPr>
          <w:rFonts w:ascii="Arial" w:cs="Arial" w:eastAsia="Arial" w:hAnsi="Arial"/>
          <w:sz w:val="18"/>
          <w:szCs w:val="18"/>
          <w:color w:val="auto"/>
        </w:rPr>
        <w:t>. In Part 1, which was a single ascending dose trial, TNFa was inhibited by a mean of 50% by doses of at least 30 mg, and in Part 2, which was a multi-ascending dose trial, TNFa was inhibited by a mean of 70%.</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49" w:lineRule="auto"/>
        <w:rPr>
          <w:sz w:val="20"/>
          <w:szCs w:val="20"/>
          <w:color w:val="auto"/>
        </w:rPr>
      </w:pPr>
      <w:r>
        <w:rPr>
          <w:rFonts w:ascii="Arial" w:cs="Arial" w:eastAsia="Arial" w:hAnsi="Arial"/>
          <w:sz w:val="18"/>
          <w:szCs w:val="18"/>
          <w:color w:val="auto"/>
        </w:rPr>
        <w:t>In Part 3, a three-arm trial, 24 subjects were randomized to receive placebo, 20 mg of BCT-197, or 75 mg of BCT-197. Subjects were exposed to LPS three hours following dosing of BCT-197 or placebo and the concentration of TNFa was measured. In this trial, BCT-197 produced a statistically significant reduction in the levels of TNFa in the treated subjects versus placebo. The following graph shows that the TNFa response was seen in both doses of BCT-197.</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TNF</w:t>
      </w:r>
      <w:r>
        <w:rPr>
          <w:rFonts w:ascii="Arial" w:cs="Arial" w:eastAsia="Arial" w:hAnsi="Arial"/>
          <w:sz w:val="18"/>
          <w:szCs w:val="18"/>
          <w:color w:val="auto"/>
        </w:rPr>
        <w:t>a</w:t>
      </w:r>
      <w:r>
        <w:rPr>
          <w:rFonts w:ascii="Arial" w:cs="Arial" w:eastAsia="Arial" w:hAnsi="Arial"/>
          <w:sz w:val="18"/>
          <w:szCs w:val="18"/>
          <w:b w:val="1"/>
          <w:bCs w:val="1"/>
          <w:color w:val="auto"/>
        </w:rPr>
        <w:t xml:space="preserve"> Concentration over Time following LPS Challenge</w:t>
      </w:r>
    </w:p>
    <w:p>
      <w:pPr>
        <w:spacing w:after="0" w:line="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229235</wp:posOffset>
            </wp:positionV>
            <wp:extent cx="4845050" cy="2684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4505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In addition, a radiolabeled pharmacology trial was performed in four healthy volunteers. We believe the results of this trial suggest that BCT-197 has pharmacology appropriate for an oral drug.</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 in AECOPD</w:t>
      </w:r>
    </w:p>
    <w:p>
      <w:pPr>
        <w:spacing w:after="0" w:line="9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Novartis conducted a double-blind, Phase 2 clinical trial in Europe comparing BCT-197 to the steroid prednisolone and a placebo control. The trial was designed to assess the effect of single and repeated dose of BCT-197 in AECOPD patients. The primary endpoint was to demonstrate an improvement in FEV1 relative to placebo. Secondary and exploratory endpoints included the assessment of safety and tolerability, measurement of the time to recovery, and the determination of the pharmacokinetic properties of BCT-197.</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trial was split into four parts and included a total of 183 patients:</w:t>
      </w:r>
    </w:p>
    <w:p>
      <w:pPr>
        <w:spacing w:after="0" w:line="239" w:lineRule="exact"/>
        <w:rPr>
          <w:sz w:val="20"/>
          <w:szCs w:val="20"/>
          <w:color w:val="auto"/>
        </w:rPr>
      </w:pPr>
    </w:p>
    <w:p>
      <w:pPr>
        <w:ind w:left="960" w:hanging="432"/>
        <w:spacing w:after="0" w:line="218"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1: 91 patients were randomized to receive either: 75 mg of BCT-197 on day one plus placebo daily for 10 days, prednisolone on day one plus placebo daily for 10 days, or placebo on day one and for 10 days daily;</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2: 30 patients were randomized to receive 20 mg of BCT-197 or placebo on day one of the trial. The ratio of patients receiving BCT-197 to patients receiving placebo was five to one;</w:t>
      </w:r>
    </w:p>
    <w:p>
      <w:pPr>
        <w:spacing w:after="0" w:line="27"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3: 32 patients were randomized to receive 20 mg of BCT-197 or placebo on days one and six of the trial. The ratio of patients receiving BCT-197 to patients receiving placebo was five to one;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520" w:hanging="432"/>
        <w:spacing w:after="0" w:line="218"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4: 30 patients were randomized to receive 75 mg of BCT-197 or placebo on days one and six of the trial. The ratio of patients receiving BCT-197 to patients receiving placebo was five to one.</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data on FEV1 were recorded on days three, five, eight, 10, 14 and 30 and showed a clinically meaningful increase in FEV1 (of greater than 100 milliliters) on measuring dates in patients receiving two doses of BCT-197, during a 14-day period, consistent with the duration of most AECOPDs. The following graph summarizes the mean change from baseline in FEV1 values for each dose arm. The change was greatest in the group that received two doses of 75 mg of BCT-197, reaching statistical significance in this group at day 8 (p=0.022). On analysis of the area under the curve to Day 14, two doses of 75 mg of BCT-197 demonstrated a statistically significant improvement in FEV1 versus placebo and prednisolone (p=0.0198 and 0.0102 respectively).</w:t>
      </w: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Mean Change from Baseline in FEV1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243205</wp:posOffset>
            </wp:positionV>
            <wp:extent cx="4519295" cy="2830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1929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12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trials conducted by Novartis, BCT-197 was well tolerated in the target patient population. In the Phase 2a clinical trial, 54% of patients out of 183 experienced one or more adverse events. There were six deaths, none of which were deemed to be attributable to BCT197. Over the six-month follow-up period, 13 patients experienced 15 significant adverse events, excluding deaths: 10 cases of COPD worsening or re-exacerbation, three of pneumonia, one of sinusitis and one of bladder cancer. Six of the COPD adverse events were in the placebo and prednisolone arms, two in the 20 mg repeat dose and two in the 75 mg repeat dose. None of these adverse events were considered by the investigators to be related to BCT-197. There were also two cases of rash in the 75 mg repeat dose arm. Two cases of mild and transient transaminase elevations were reported as adverse events, one in the 20 mg dose group and the other in the 75 mg repeat dose group. Other events were mild to moderate.</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Dose-Ranging Clinical Trial in AECOPD</w:t>
      </w:r>
    </w:p>
    <w:p>
      <w:pPr>
        <w:spacing w:after="0" w:line="12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In December 2017, we reported top-line data from our completed dose-ranging Phase 2 clinical trial in the United States and Europe to identify the most effective dosing regimen for AECOPD</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240" w:top="459" w:right="5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patients. The primary endpoint of the trial was to demonstrate a change in FEV1 from baseline to Day 7. A total of 282 patients enrolled in the trial.</w:t>
      </w:r>
    </w:p>
    <w:p>
      <w:pPr>
        <w:spacing w:after="0" w:line="19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This dose-ranging trial assessed two dosing regimens of BCT-197 and placebo in combination with standard of care, which included steroids, antibiotics, and bronchodilators. Patients were followed for 26 weeks to explore recurrence rates of AECOPD and number of re-hospitalizations. Secondary and exploratory endpoints included clinical failure rate, number of moderate/severe AECOPDs during the trial, the area under the curve of FEV1 over time and time to normalization of FEV1.</w:t>
      </w:r>
    </w:p>
    <w:p>
      <w:pPr>
        <w:spacing w:after="0" w:line="202"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The reduction in clinical failure rate was also observed. Clinical treatment failure is defined as a composite endpoint in which any patient fulfils one of more of the following criteria:</w:t>
      </w:r>
    </w:p>
    <w:p>
      <w:pPr>
        <w:spacing w:after="0" w:line="188" w:lineRule="exact"/>
        <w:rPr>
          <w:sz w:val="20"/>
          <w:szCs w:val="20"/>
          <w:color w:val="auto"/>
        </w:rPr>
      </w:pPr>
    </w:p>
    <w:p>
      <w:pPr>
        <w:ind w:left="960" w:hanging="432"/>
        <w:spacing w:after="0"/>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hospitalization or re-hospitalization due to worsening respiratory symptoms;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the addition of another antibiotic or substitution of a new antibiotic;</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increase in dose of oral corticosteroids or initiation of new corticosteroids;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additional treatment regimen of systemic corticosteroids and/or antibiotics, after completion of the first regimen;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COPD-related death;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new moderate or severe exacerbation after a period of seven days of resolution from the index AECOPD.</w:t>
      </w:r>
    </w:p>
    <w:p>
      <w:pPr>
        <w:spacing w:after="0" w:line="189" w:lineRule="exact"/>
        <w:rPr>
          <w:sz w:val="20"/>
          <w:szCs w:val="20"/>
          <w:color w:val="auto"/>
        </w:rPr>
      </w:pPr>
    </w:p>
    <w:p>
      <w:pPr>
        <w:ind w:left="200" w:right="80" w:firstLine="331"/>
        <w:spacing w:after="0" w:line="245" w:lineRule="auto"/>
        <w:rPr>
          <w:sz w:val="20"/>
          <w:szCs w:val="20"/>
          <w:color w:val="auto"/>
        </w:rPr>
      </w:pPr>
      <w:r>
        <w:rPr>
          <w:rFonts w:ascii="Arial" w:cs="Arial" w:eastAsia="Arial" w:hAnsi="Arial"/>
          <w:sz w:val="18"/>
          <w:szCs w:val="18"/>
          <w:color w:val="auto"/>
        </w:rPr>
        <w:t>Both dosing regimens of BCT-197 showed a statistically significant change in FEV1 from baseline to Day 7 (p=0.012 and p £ 0.001), meeting the trial’s primary endpoint on an intent-to-treat patient population basis. The standard of care plus placebo group did not show a significant change from baseline (p=0.102). The high- and low-dosage BCT-197 groups showed a mean improvement in FEV1 of 84 ml and 115 ml, respectively, compared to 57 ml for the standard of care plus placebo group. While the BCT-197 groups showed greater improvement when compared to the standard of care plus placebo group, the difference in improvement was not statistically significant.</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color w:val="auto"/>
        </w:rPr>
        <w:t>As shown in the chart below, the high-dose BCT-197 group showed a statistically significant reduction in clinical treatment failure of more than 50% (p £ 0.027 to 0.05) compared to the standard of care plus placebo group, measured by the number of rehospitalizations for the treatment of COPD at Days 90 through 150, with a trend observed as early as Day 30. A trend showing reduced composite clinical treatment failures of 56% to 28% from Day 30 through Day 150 was also observed in the high-dose BCT-197 group. We are currently conducting analysis of the data for the secondary and exploratory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146685</wp:posOffset>
            </wp:positionV>
            <wp:extent cx="4613910" cy="2847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1391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a prespecified subgroup analysis of patients with low blood eosinophils of less than 2%, which comprised 68% of the patients in this trial, BCT-197 showed a trend toward improvement of FEV1 from baseline at Day 7, compared to standard of care plus placebo, which showed almost no improvement. Approximately 50% of COPD patients have low blood eosinophils and are considered to be resistant to treatment with steroids.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trial, BCT-197 was observed to be well tolerated. Adverse events included two cases of acneiform rash, which were resolved.</w:t>
      </w:r>
    </w:p>
    <w:p>
      <w:pPr>
        <w:ind w:left="200"/>
        <w:spacing w:after="0"/>
        <w:rPr>
          <w:sz w:val="20"/>
          <w:szCs w:val="20"/>
          <w:color w:val="auto"/>
        </w:rPr>
      </w:pPr>
      <w:r>
        <w:rPr>
          <w:rFonts w:ascii="Arial" w:cs="Arial" w:eastAsia="Arial" w:hAnsi="Arial"/>
          <w:sz w:val="18"/>
          <w:szCs w:val="18"/>
          <w:color w:val="auto"/>
        </w:rPr>
        <w:t>No induced liver injuries were observed.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BGS-649 (leflutrozole) for the Treatment of Hypogonadotropic Hypogonadism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We are developing BGS-649 (leflutrozole) for the treatment of HH in obese men. In obese men, a decline in testosterone is exacerbated by high levels of the aromatase enzyme in the fat tissue. The aromatase enzyme converts testosterone to estradiol, thereby reducing testosterone levels. BGS-649 is a novel once-weekly oral aromatase inhibitor designed to normalize testosterone levels and improve HH without causing the excessively high testosterone levels and impaired fertility that may result from exogenous hormone replacement therapy, or TRT, the primary treatment for HH.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85" w:lineRule="exact"/>
        <w:rPr>
          <w:sz w:val="20"/>
          <w:szCs w:val="20"/>
          <w:color w:val="auto"/>
        </w:rPr>
      </w:pPr>
    </w:p>
    <w:p>
      <w:pPr>
        <w:ind w:left="200" w:right="320" w:firstLine="334"/>
        <w:spacing w:after="0" w:line="246" w:lineRule="auto"/>
        <w:tabs>
          <w:tab w:leader="none" w:pos="84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 a clinical syndrome that results from the failure of the testes to produce adequate levels of testosterone. Low testosterone or male hypogonadism is classified in two different types: primary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hypogonadism and HH. Primary hypogonadism generally results from the failure of the testes to produce sufficient levels of testosterone, due to testicular trauma, disease (such as mumps), or genetic defects. HH also results from the failure of the testes to produce sufficient levels of testosterone, in this case due to the disruption of the hypothalamic-pituitary-testicular, or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208"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largest group affected by HH is comprised of men over the age of 40 who suffer from chronic diseases, such as obesity or type 2 diabetes. Based on World Health Organization, or WHO, estimates and scientific data, we believe there are approximately seven million cases of HH in obese men, generally defined as men with a body mass index, or BMI, of 30 kilograms per meter squared or more, in the United States and approximately five million cases of HH in obese men in Europe. Over 85% of 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99"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 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208"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leading testosterone replacement products on the market are Abbvie’s AndroGel and Eli Lilly’s Axiron, both of which carry a black box warning. Both products are administered transdermally by applying a gel formulation. Allergan’s Androderm is the leading transdermal patch on the market. The most frequently prescribed intramuscular injections are Bayer’s Nebido and Endo’s Aveed. The leading implant on the market is Endo’s Testopel.</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Our product candidate for treating HH in obese men is BGS-649,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BGS-649 is intended to restore normal levels of testosterone without causing the excessively high testosterone levels that may result from TRT. In addition, we believe that the long half-life of BGS-649 of 22 days may allow for convenient weekly dosing.</w:t>
      </w:r>
    </w:p>
    <w:p>
      <w:pPr>
        <w:spacing w:after="0" w:line="20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Testosterone is a hormone that is regulated by three organs in the body, the hypothalamus, anterior pituitary glands and testes, which comprise the HPT axis. The initial stimulus for hormone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formation begins in the hypothalamus with the formation of hormones, such as gonadotropin-releasing hormone, or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20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The administration of exogenous testosterone, such as with TRT, which is not controlled by the HPT feedback loop, rapidly leads to suppression of LH and FSH. Furthermore, as exogenous testosterone is not controlled by the HPT feedback loop, supraphysiological, or excessively high, levels of testosterone can be reached, which have been associated with cardiovascular disease. In contrast to exogenous TRT, BGS-649 is designed to inhibit aromatase and restore testosterone without disturbing the physiological feedback in the HPT axis, thereby maintaining or increasing LH and FSH with minimal risk of reaching supraphysiological levels of testosterone.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152400</wp:posOffset>
            </wp:positionV>
            <wp:extent cx="3944620" cy="32931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4462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BGS-649</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table of the historical, current and planned clinical trials of BGS-649:</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Historical Trials</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Current Trials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Subjects</w:t>
            </w:r>
          </w:p>
        </w:tc>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Treated</w:t>
            </w: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Phase</w:t>
            </w:r>
          </w:p>
        </w:tc>
        <w:tc>
          <w:tcPr>
            <w:tcW w:w="32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9"/>
              </w:rPr>
              <w:t>with</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Phase</w:t>
            </w:r>
          </w:p>
        </w:tc>
        <w:tc>
          <w:tcPr>
            <w:tcW w:w="32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320" w:type="dxa"/>
            <w:vAlign w:val="bottom"/>
          </w:tcPr>
          <w:p>
            <w:pPr>
              <w:spacing w:after="0"/>
              <w:rPr>
                <w:sz w:val="14"/>
                <w:szCs w:val="14"/>
                <w:color w:val="auto"/>
              </w:rPr>
            </w:pPr>
          </w:p>
        </w:tc>
        <w:tc>
          <w:tcPr>
            <w:tcW w:w="1060" w:type="dxa"/>
            <w:vAlign w:val="bottom"/>
            <w:gridSpan w:val="2"/>
          </w:tcPr>
          <w:p>
            <w:pPr>
              <w:jc w:val="center"/>
              <w:ind w:right="28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 w:type="dxa"/>
            <w:vAlign w:val="bottom"/>
            <w:gridSpan w:val="2"/>
            <w:vMerge w:val="continue"/>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Studies</w:t>
            </w:r>
          </w:p>
        </w:tc>
        <w:tc>
          <w:tcPr>
            <w:tcW w:w="3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BGS-649</w:t>
            </w:r>
          </w:p>
        </w:tc>
        <w:tc>
          <w:tcPr>
            <w:tcW w:w="15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Enrollment</w:t>
            </w: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Phase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224"/>
              <w:spacing w:after="0"/>
              <w:rPr>
                <w:sz w:val="20"/>
                <w:szCs w:val="20"/>
                <w:color w:val="auto"/>
              </w:rPr>
            </w:pPr>
            <w:r>
              <w:rPr>
                <w:rFonts w:ascii="Arial" w:cs="Arial" w:eastAsia="Arial" w:hAnsi="Arial"/>
                <w:sz w:val="7"/>
                <w:szCs w:val="7"/>
                <w:color w:val="auto"/>
                <w:w w:val="71"/>
              </w:rPr>
              <w:t>*</w:t>
            </w: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 w:type="dxa"/>
            <w:vAlign w:val="bottom"/>
            <w:gridSpan w:val="2"/>
          </w:tcPr>
          <w:p>
            <w:pPr>
              <w:spacing w:after="0"/>
              <w:rPr>
                <w:sz w:val="20"/>
                <w:szCs w:val="20"/>
                <w:color w:val="auto"/>
              </w:rPr>
            </w:pPr>
            <w:r>
              <w:rPr>
                <w:rFonts w:ascii="Arial" w:cs="Arial" w:eastAsia="Arial" w:hAnsi="Arial"/>
                <w:sz w:val="14"/>
                <w:szCs w:val="14"/>
                <w:color w:val="auto"/>
              </w:rPr>
              <w:t>Phase 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480" w:type="dxa"/>
            <w:vAlign w:val="bottom"/>
            <w:gridSpan w:val="2"/>
          </w:tcPr>
          <w:p>
            <w:pPr>
              <w:jc w:val="center"/>
              <w:ind w:left="308"/>
              <w:spacing w:after="0"/>
              <w:rPr>
                <w:sz w:val="20"/>
                <w:szCs w:val="20"/>
                <w:color w:val="auto"/>
              </w:rPr>
            </w:pPr>
            <w:r>
              <w:rPr>
                <w:rFonts w:ascii="Arial" w:cs="Arial" w:eastAsia="Arial" w:hAnsi="Arial"/>
                <w:sz w:val="14"/>
                <w:szCs w:val="14"/>
                <w:color w:val="auto"/>
              </w:rPr>
              <w:t>Healthy Women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95</w:t>
            </w:r>
          </w:p>
        </w:tc>
        <w:tc>
          <w:tcPr>
            <w:tcW w:w="5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Phase 2b</w:t>
            </w:r>
          </w:p>
        </w:tc>
        <w:tc>
          <w:tcPr>
            <w:tcW w:w="3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320" w:type="dxa"/>
            <w:vAlign w:val="bottom"/>
            <w:vMerge w:val="continue"/>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w:t>
            </w:r>
          </w:p>
        </w:tc>
        <w:tc>
          <w:tcPr>
            <w:tcW w:w="300" w:type="dxa"/>
            <w:vAlign w:val="bottom"/>
            <w:vMerge w:val="continue"/>
          </w:tcPr>
          <w:p>
            <w:pPr>
              <w:spacing w:after="0"/>
              <w:rPr>
                <w:sz w:val="13"/>
                <w:szCs w:val="13"/>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color w:val="auto"/>
              </w:rPr>
              <w:t>Phase 3</w:t>
            </w:r>
          </w:p>
        </w:tc>
        <w:tc>
          <w:tcPr>
            <w:tcW w:w="10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Endometriosis</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Endometriosis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5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Phase 2b (extension</w:t>
            </w:r>
          </w:p>
        </w:tc>
        <w:tc>
          <w:tcPr>
            <w:tcW w:w="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0" w:type="dxa"/>
            <w:vAlign w:val="bottom"/>
            <w:gridSpan w:val="2"/>
            <w:vMerge w:val="restart"/>
          </w:tcPr>
          <w:p>
            <w:pPr>
              <w:spacing w:after="0"/>
              <w:rPr>
                <w:sz w:val="20"/>
                <w:szCs w:val="20"/>
                <w:color w:val="auto"/>
              </w:rPr>
            </w:pPr>
            <w:r>
              <w:rPr>
                <w:rFonts w:ascii="Arial" w:cs="Arial" w:eastAsia="Arial" w:hAnsi="Arial"/>
                <w:sz w:val="14"/>
                <w:szCs w:val="14"/>
                <w:color w:val="auto"/>
              </w:rPr>
              <w:t>Phase 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HH obese men</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w:t>
            </w:r>
          </w:p>
        </w:tc>
        <w:tc>
          <w:tcPr>
            <w:tcW w:w="5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study)</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18180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Trial fully enrolled.</w:t>
      </w:r>
    </w:p>
    <w:p>
      <w:pPr>
        <w:spacing w:after="0" w:line="19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i w:val="1"/>
          <w:iCs w:val="1"/>
          <w:color w:val="auto"/>
        </w:rPr>
        <w:t>Phase 2 Proof-of-Concept Clinical Trial in Hypogonadotropic Hypogonadism</w:t>
      </w:r>
    </w:p>
    <w:p>
      <w:pPr>
        <w:spacing w:after="0" w:line="9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Novartis conducted a two-part Phase 2 proof-of-concept trial for HH in obese men in North America.</w:t>
      </w:r>
    </w:p>
    <w:p>
      <w:pPr>
        <w:spacing w:after="0" w:line="212"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Part 1 was an open-label trial to evaluate the pharmacokinetics and pharmacodynamics of BGS-649 in obese men. Fourteen patients were enrolled in this 12-week trial with a three-month follow-up phase. Patients received a first dose of BGS-649, and testosterone was measured on days five through seven to allow the physicians to choose subsequent doses with the goal of achieving and maintaining normal testosterone levels. Following the first dose, a range of doses were administered. The average BMI of participants was 34 kilograms per meter squared.</w:t>
      </w:r>
    </w:p>
    <w:p>
      <w:pPr>
        <w:spacing w:after="0" w:line="203"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Consistent with the goal of the trial, BGS-649 treatment increased testosterone into the normal range of 300 to 1,000 nanograms per deciliter, or ng/dl, in all patients exposed in Part 1. Mean baseline testosterone was 239 ng/dl, and rose to a mean of 514 ng/dl at week 12 of the trial. Both FSH and LH levels also increased in the BGS-649 group.</w:t>
      </w:r>
    </w:p>
    <w:p>
      <w:pPr>
        <w:spacing w:after="0" w:line="203" w:lineRule="exact"/>
        <w:rPr>
          <w:sz w:val="20"/>
          <w:szCs w:val="20"/>
          <w:color w:val="auto"/>
        </w:rPr>
      </w:pPr>
    </w:p>
    <w:p>
      <w:pPr>
        <w:jc w:val="both"/>
        <w:ind w:left="200" w:right="480" w:firstLine="331"/>
        <w:spacing w:after="0"/>
        <w:rPr>
          <w:sz w:val="20"/>
          <w:szCs w:val="20"/>
          <w:color w:val="auto"/>
        </w:rPr>
      </w:pPr>
      <w:r>
        <w:rPr>
          <w:rFonts w:ascii="Arial" w:cs="Arial" w:eastAsia="Arial" w:hAnsi="Arial"/>
          <w:sz w:val="18"/>
          <w:szCs w:val="18"/>
          <w:color w:val="auto"/>
        </w:rPr>
        <w:t>Part 2 was a two-arm, randomized, placebo-controlled, double-blind 12-week trial, with a three-month follow-up trial. The primary objectives were to evaluate the ability of BGS-649 to normalize testosterone and examine if normalized testosterone benefits insulin sensitivity. The secondary endpoints were safety, tolerability, pharmacodynamic effects on glucose, insulin and lipid metabolism.</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Fifteen patients were enrolled in Part 2 of the trial, eight in the placebo group and seven in the treatment arm. Originally, 30 patients were to be enrolled. Enrollment was terminated early due to a dosing error at a trial site, which resulted in three placebo patients receiving an active dose of BGS-649. The error was identified after testosterone levels in these three patients normalized, and was confirmed by the presence of BGS-649 in these patients’ plasma. The patients who were inadvertently given an initial dose of BGS-649 continued to the end of the trial on placebo. Their results were included in the safety database, but were not included in the efficacy analysis. Therefore, there were five placebo patients. Due to the early termination of the trial, among the placebo patients, one completed the full 12-week protocol, two completed week 10, one completed week seven and one completed week six.</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Of the seven patients treated with BGS-649, five completed all 11 doses, one completed week eight and one completed week six prior to termination of the trial. Their subsequent testosterone levels were recorded and included in efficacy analyses, though one patient missed the end-of-trial blood test as he withdrew consent. Despite the early termination, BGS-649 normalized testosterone levels in all patients treated.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firstLine="331"/>
        <w:spacing w:after="0" w:line="234" w:lineRule="auto"/>
        <w:rPr>
          <w:sz w:val="20"/>
          <w:szCs w:val="20"/>
          <w:color w:val="auto"/>
        </w:rPr>
      </w:pPr>
      <w:r>
        <w:rPr>
          <w:rFonts w:ascii="Arial" w:cs="Arial" w:eastAsia="Arial" w:hAnsi="Arial"/>
          <w:sz w:val="18"/>
          <w:szCs w:val="18"/>
          <w:color w:val="auto"/>
        </w:rPr>
        <w:t>The treated patients received a loading dose of BGS-649 on day one, followed by a lower weekly dose of BGS-649. The testosterone levels of all patients treated with BGS-649 normalized after one dose and remained in the normal range throughout the treatment period, with the exception of one patient on day 21, whose level dropped to 279 ng/dl but recovered to a level of 480 ng/dl on day 27.</w:t>
      </w:r>
    </w:p>
    <w:p>
      <w:pPr>
        <w:spacing w:after="0" w:line="2"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Testosterone levels in the placebo patients occasionally reached the normal range, but this effect was not consistent or sustained. In the BGS-649 arm, the mean testosterone level increased from 273 ng/dl at baseline to 423 ng/dl at week 12. Both FSH and LH levels also increased in the BGS-649 group.</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following graph illustrates the percentage increase in testosterone level relative to baseline in patients receiving a weekly dose of BGS-649 or placebo. The testosterone increase was statistically significant in the BGS-649 group from day 4 (p=0.012), with a trend towards return to baseline by the end of the trial, with no evidence of increased total testosterone levels beyond the upper limit of the normal range in any patient exposed to BGS-649.</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Percentage Change in Testosterone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243205</wp:posOffset>
            </wp:positionV>
            <wp:extent cx="5188585" cy="25044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858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hanging="316"/>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520" w:right="180" w:hanging="316"/>
        <w:spacing w:after="0" w:line="234"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2" w:lineRule="exact"/>
        <w:rPr>
          <w:rFonts w:ascii="Arial" w:cs="Arial" w:eastAsia="Arial" w:hAnsi="Arial"/>
          <w:sz w:val="18"/>
          <w:szCs w:val="18"/>
          <w:color w:val="auto"/>
        </w:rPr>
      </w:pPr>
    </w:p>
    <w:p>
      <w:pPr>
        <w:ind w:left="520" w:right="620" w:hanging="316"/>
        <w:spacing w:after="0" w:line="234"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w:t>
      </w:r>
    </w:p>
    <w:p>
      <w:pPr>
        <w:spacing w:after="0" w:line="1" w:lineRule="exact"/>
        <w:rPr>
          <w:rFonts w:ascii="Arial" w:cs="Arial" w:eastAsia="Arial" w:hAnsi="Arial"/>
          <w:sz w:val="18"/>
          <w:szCs w:val="18"/>
          <w:color w:val="auto"/>
        </w:rPr>
      </w:pPr>
    </w:p>
    <w:p>
      <w:pPr>
        <w:ind w:left="520" w:right="200" w:hanging="316"/>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w:t>
      </w:r>
    </w:p>
    <w:p>
      <w:pPr>
        <w:spacing w:after="0" w:line="203" w:lineRule="exact"/>
        <w:rPr>
          <w:sz w:val="20"/>
          <w:szCs w:val="20"/>
          <w:color w:val="auto"/>
        </w:rPr>
      </w:pPr>
    </w:p>
    <w:p>
      <w:pPr>
        <w:ind w:left="200" w:right="260" w:firstLine="331"/>
        <w:spacing w:after="0"/>
        <w:rPr>
          <w:sz w:val="20"/>
          <w:szCs w:val="20"/>
          <w:color w:val="auto"/>
        </w:rPr>
      </w:pPr>
      <w:r>
        <w:rPr>
          <w:rFonts w:ascii="Arial" w:cs="Arial" w:eastAsia="Arial" w:hAnsi="Arial"/>
          <w:sz w:val="18"/>
          <w:szCs w:val="18"/>
          <w:color w:val="auto"/>
        </w:rPr>
        <w:t>The following graph illustrates the percentage change in LH levels in patients receiving a weekly dose of BGS-649 or placebo, showing a trend towards an increase in LH levels in the treated group with a return to baseline by end of trial. These results, combined with observed upregulated FSH levels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24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in the treated group (described below), suggest that the negative feedback loop controlling the gonadotropin levels in the HPT axis was not disrupted.</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Percentage Change in LH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243205</wp:posOffset>
            </wp:positionV>
            <wp:extent cx="5188585" cy="2332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858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hanging="316"/>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520" w:right="180" w:hanging="316"/>
        <w:spacing w:after="0" w:line="234"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2"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 Results at week 10 reflect only three patients, as LH was not measured at this data point in all patients.</w:t>
      </w:r>
    </w:p>
    <w:p>
      <w:pPr>
        <w:spacing w:after="0" w:line="2" w:lineRule="exact"/>
        <w:rPr>
          <w:rFonts w:ascii="Arial" w:cs="Arial" w:eastAsia="Arial" w:hAnsi="Arial"/>
          <w:sz w:val="18"/>
          <w:szCs w:val="18"/>
          <w:color w:val="auto"/>
        </w:rPr>
      </w:pPr>
    </w:p>
    <w:p>
      <w:pPr>
        <w:ind w:left="520" w:right="200" w:hanging="316"/>
        <w:spacing w:after="0" w:line="239"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 Results at week 10 reflect only two patients, as LH was not measured at this data point in all patients.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24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The following graph illustrates the percentage change in FSH levels in patients receiving a weekly dose of BGS-649 or placebo. The trend towards an increase in FSH as compared to placebo indicates that the production of FSH increased in the treatment group and that production was sustained during the trial period, in contrast to placebo.</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Percentage Change in FSH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243205</wp:posOffset>
            </wp:positionV>
            <wp:extent cx="5205730" cy="2693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0573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 w:hanging="316"/>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520" w:right="260" w:hanging="316"/>
        <w:spacing w:after="0" w:line="234"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2" w:lineRule="exact"/>
        <w:rPr>
          <w:rFonts w:ascii="Arial" w:cs="Arial" w:eastAsia="Arial" w:hAnsi="Arial"/>
          <w:sz w:val="18"/>
          <w:szCs w:val="18"/>
          <w:color w:val="auto"/>
        </w:rPr>
      </w:pPr>
    </w:p>
    <w:p>
      <w:pPr>
        <w:ind w:left="520" w:right="180" w:hanging="316"/>
        <w:spacing w:after="0" w:line="234"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 Results at week 10 reflect only three patients, as FSH was not measured at this data point in all patients.</w:t>
      </w:r>
    </w:p>
    <w:p>
      <w:pPr>
        <w:spacing w:after="0" w:line="2" w:lineRule="exact"/>
        <w:rPr>
          <w:rFonts w:ascii="Arial" w:cs="Arial" w:eastAsia="Arial" w:hAnsi="Arial"/>
          <w:sz w:val="18"/>
          <w:szCs w:val="18"/>
          <w:color w:val="auto"/>
        </w:rPr>
      </w:pPr>
    </w:p>
    <w:p>
      <w:pPr>
        <w:ind w:left="520" w:right="280" w:hanging="316"/>
        <w:spacing w:after="0" w:line="239"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 Results at week 10 reflect only two patients, as FSH was not measured at this data point in all patients.</w:t>
      </w:r>
    </w:p>
    <w:p>
      <w:pPr>
        <w:spacing w:after="0" w:line="18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i w:val="1"/>
          <w:iCs w:val="1"/>
          <w:color w:val="auto"/>
        </w:rPr>
        <w:t>Summary of Safety Results</w:t>
      </w:r>
    </w:p>
    <w:p>
      <w:pPr>
        <w:spacing w:after="0" w:line="54"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clinical trials conducted by Novartis, BGS-649 was well tolerated in the 131 treated patients, with no treatment related serious adverse events. In the Phase 2 proof-of-concept trial in HH, there were 41 adverse events, 16 in the BGS-649 group and 25 in the placebo group. In the BGS-649 group, six of the adverse events were moderate and 10 were mild.</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Part 1 of the trial there were 59 adverse events, 16 of which were moderate and 43 of which were mild. These adverse events were transient and resolved spontaneously. Four patients reported spontaneous penile erection, three patients reported an episode of a headache and two patients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reported abnormal hair growth, which were suspected of being related to BGS-649. Other common adverse events were oropharyngeal pain, nasal congestion, diarrhea, arthralgia, cough, dizziness and frequent bowel movements. There were no drug-related significant adverse events.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Part 2 of the trial, the most common adverse events were lack of energy, headache, nasal congestion, somnolence, and spontaneous penile erection, which were distributed broadly across the BGS-649 and placebo groups. None of these adverse events occurred in more than three patients. Special safety parameters, including prostate specific antigen, haematocrit, hemoglobin, high-density lipoprotein, and bone turnover markers, showed no significant effect of BGS-649. We are monitoring these parameters in the current trial.</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A reproductive toxicology trial was also performed in rats to evaluate the risk of potential transference of BGS-649 in the semen, and no reproductive toxicology risk was identified. The maximum dosage would equate to a maximum of 4,700 times the human exposure, which should provide a significant safety margin.</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Current Phase 2b Clinical Trial in Hypogonadotropic Hypogonadism</w:t>
      </w:r>
    </w:p>
    <w:p>
      <w:pPr>
        <w:spacing w:after="0" w:line="54"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We have fully enrolled 271 patients in a Phase 2b clinical trial of BGS-649 in the United States and Europe. This is a multi-center, randomized double-blind, dose-ranging, placebo-controlled trial of BGS-649 in obese males with HH with a BMI of over 30.</w:t>
      </w:r>
    </w:p>
    <w:p>
      <w:pPr>
        <w:spacing w:after="0" w:line="197"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primary endpoint of this trial is to measure the percentage of patients whose testosterone levels normalize. The trial is designed to detect when at least 75% of patients have normalized testosterone levels.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secondary endpoints are:</w:t>
      </w:r>
    </w:p>
    <w:p>
      <w:pPr>
        <w:spacing w:after="0" w:line="203" w:lineRule="exact"/>
        <w:rPr>
          <w:sz w:val="20"/>
          <w:szCs w:val="20"/>
          <w:color w:val="auto"/>
        </w:rPr>
      </w:pPr>
    </w:p>
    <w:p>
      <w:pPr>
        <w:ind w:left="960" w:hanging="432"/>
        <w:spacing w:after="0"/>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BGS-649 to normalize testosterone in at least 90% of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have normalization of testosterone at week 24;</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effects of BGS-649 on LH and FSH;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overshoot testosterone levels at 24 weeks.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the trial is designed:</w:t>
      </w:r>
    </w:p>
    <w:p>
      <w:pPr>
        <w:spacing w:after="0" w:line="239" w:lineRule="exact"/>
        <w:rPr>
          <w:sz w:val="20"/>
          <w:szCs w:val="20"/>
          <w:color w:val="auto"/>
        </w:rPr>
      </w:pPr>
    </w:p>
    <w:p>
      <w:pPr>
        <w:ind w:left="960" w:right="20" w:hanging="432"/>
        <w:spacing w:after="0" w:line="223"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investigate the benefit on patient-reported outcomes, including the International Index of Erectile Function, PROMIS SexFS, and the Brief Fatigue Inventory, which examine the most common complaints HH patients present to a doctor, sexual dysfunction and fatigue;</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assess the effects of BGS-649 on semen analysis (sperm count and motility), in a subset of patients; and</w:t>
      </w:r>
    </w:p>
    <w:p>
      <w:pPr>
        <w:spacing w:after="0" w:line="26" w:lineRule="exact"/>
        <w:rPr>
          <w:rFonts w:ascii="MS PGothic" w:cs="MS PGothic" w:eastAsia="MS PGothic" w:hAnsi="MS PGothic"/>
          <w:sz w:val="25"/>
          <w:szCs w:val="25"/>
          <w:color w:val="auto"/>
          <w:vertAlign w:val="superscript"/>
        </w:rPr>
      </w:pPr>
    </w:p>
    <w:p>
      <w:pPr>
        <w:ind w:left="960" w:right="520" w:hanging="432"/>
        <w:spacing w:after="0" w:line="218"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which will include analysis of lipid profiles, haematocrit bone turnover markers, and bone mineral density measured by DEXA score.</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Patients have been split into a placebo arm and three BGS-649 arms. The trial involves a four-week screening phase followed by a 24-week treatment phase and a 12-week follow-up period. A subset of patients are entering into a six-month extension study, to gain long-term data on both efficacy and safety. An interim analysis was completed in early 2017 that recommended the continuation of all three dosing arms following a review of efficacy and safety data.</w:t>
      </w:r>
    </w:p>
    <w:p>
      <w:pPr>
        <w:spacing w:after="0" w:line="202"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We expect to report top-line data from this trial in the first quarter of 2018. If the results from the Phase 2b clinical trial are favorable, and subject to an End of Phase 2 meeting to be conducted with the FDA, we intend to commence a Phase 3 clinical program for BGS-649.</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Agreements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99"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In July 2015, our wholly owned subsidiaries, Mereo BioPharma 3 Limited, Mereo BioPharma 2 Limited, and Mereo BioPharma 1 Limited, or the Subsidiaries, entered into asset purchase agreements, or the Purchase Agreements, to acquire from Novartis rights to, respectively, BPS-804, BCT-197, and BGS-649, or the Compounds, and certain related assets, which, together with the Compounds, we refer to as the Novartis Assets. In connection with the acquisition of the Novartis Assets, we issued 3,849,000 ordinary shares to Novartis pursuant to a subscription agreement. See “Related Party Transactions—Subscription Agreement” for more information. In addition, we paid Novartis $ 1.5 million for a payment made by Novartis to a third party in full satisfaction of all monetary obligations of Novartis to such third party with respect to BCT-197. Under the Purchase Agreements, we have agreed to make tiered royalty payments to Novartis based on annual worldwide net sales of products that include the Compounds, or the Acquired Novartis Products, at percentages ranging from the high single digits to low double digits. In the event that the parties agree or it is otherwise determined in accordance with the Purchase Agreements that we require third-party intellectual property rights to exploit the Acquired Novartis Products,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1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granted Novartis an irrevocable, transferable, royalty-free, worldwide and non-exclusive license to use know-how included within the Novartis Assets for Novartis’ activities unrelated to any Acquired Novartis Products. We have agreed to use commercially reasonable efforts to develop at least one Acquired Novartis Product. In addition, Novartis agreed to a three-year non-competition restriction in relation to clinical trial activities for the therapeutic treatment of HH in obese men in respect of the BGS-649 Compound and sclerostin in respect of the BGS-804 Compound, subject to exceptions, including where Novartis does not have the ability to control such clinical trial activity and for any of Novartis’ existing contracts or relationships.</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also entered into a sublicense agreement with Novartis, or the Sublicense Agreement, pursuant to which Novartis granted us an exclusive, worldwide, royalty-bearing sublicense for certain therapeutic antibody products directed against sclerostin, or the Antibody Products, including BPS-804. Under the Sublicense Agreement, we have agreed to pay Novartis royalties in the low single digits on worldwide net sales of Antibody Products. Royalties will be payable on a country-by-country basis until the later of expiration of the last valid claim of the licensed patents covering the Antibody Products in a country and ten years after the first commercial sale of the Antibody Products in such country, with a maximum royalty term of 12 years after the first commercial sale of the Antibody Products in such 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or the Original License Agreement, and, on a product-by-product and country-by-country basis, the expiration of the royalty term with respect to such Antibody Product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certain products containing a NE inhibitor, including products that contain AZD-9668,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entering into the License Agreement, we made a payment of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to AstraZeneca for licensed products containing AZD-9668. In addition, we have agreed to make payments to AstraZeneca based on specified commercial milestones of the product. In the event that we sub-license AZD-9668,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w:t>
      </w:r>
    </w:p>
    <w:p>
      <w:pPr>
        <w:spacing w:after="0" w:line="20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BPS-804, BCT-197, and BGS-649, and we intend to enter into additional manufacturing agreements as necessary. Following our license of AZD-9668, we acquired certain clinical trial materials and we plan to outsource production of further clinical supplies to our own manufacturing suppliers. We also intend to outsource certain product formulation trials. We expect that drug product pre-validation and validation batches will be manufactured to satisfy regulatory requirements where we progress products to late stage trials.</w:t>
      </w:r>
    </w:p>
    <w:p>
      <w:pPr>
        <w:spacing w:after="0" w:line="203"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We do not yet have any contractual relationships for the manufacture of commercial supplies of BPS-804, AZD-9668, BCT-197, or BGS-649, and we intend to enter into contractual relationships for commercial supplies prior to commercialization of any product candidates.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We plan to establish our own sales and marketing organization in the United States and Europe for BPS-804 and AZD-9668, and may seek to directly commercialize our future rare disease product candidates. In markets for which commercialization may be less capital efficient for us, we may selectively pursue arrangements with third parties in order to maximize the commercial potential of BPS-804, AZD-9668, and our future rare disease product candidates. We intend to seek to enter into one or more strategic relationships with third parties for BCT-197 to undertake the next phase of clinical development and, if approved, for commercialization, and to seek to enter into strategic relationships with third parties for further clinical development and/or commercialization of BGS-649.</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We compete directly with other biopharmaceutical and pharmaceutical companies that focus on the treatment of OI, AATD, AECOPD or HH. We may also face competition from academic research institutions, governmental agencies and other various public and private research institutions. We expect to face increasingly intense competition as new technologies become available. Any product candidates, including BPS-804, AZD-9668, BCT-197, and BGS-649 that we successfully develop and commercialize will compete with existing therapies and new therapies that may become available in the future.</w:t>
      </w:r>
    </w:p>
    <w:p>
      <w:pPr>
        <w:spacing w:after="0" w:line="203"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We consider BPS-804’s current closest potential competitors in development for the treatment of OI to be Amgen’s denosumab (Prolia) an anti-resorptive agent, and Amgen and UCB’s anti-sclerostin antibody, romosozumab. Blosozumab, an anti-sclerostin antibody, was in Phase 1 development for osteoporosis by Eli Lilly; however, we are not aware of any ongoing clinical trials for this product candidate and we do not believe this product candidate remains under active development. Additionally, Bone Therapeutics is developing osteoblastic cell therapy products.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consider AZD-9668’s current closest potential competitors for the treatment of severe AATD to be alpha1-proteinase inhibitors that are administered intravenously in AAT augmentation therapy. Currently, there are four inhibitors on the market in the United States: Grifols’s Prolastin-C, Shire’s Aralast, CSL’s Zemaira and Kamada’s Glassia. Kamada is also investigating an inhaled version of augmentation therapy and Apic Bio and Adverum are in the early stages of developing gene-therapy approaches for AATD. Santhera has inlicensed an inhaled neutrophil elastase inhibitor and is planning a multiple ascending dose study, with the initial indication targeted being cystic fibrosis.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current standard of care for AECOPD involves steroids, antibiotics and bronchodilators; however, we are not aware of any drugs specifically approved for the treatment of AECOPD. There are a number of products currently in development, with Verona Pharma, GlaxoSmithKline, and AstraZeneca each conducting Phase 2 clinical trials of drugs for the treatment of COPD. We consider BCT-197’s current closest potential competitor in development for the treatment of AECOPD to be Verona Pharma’s RPL554, a PDE3 / PDE4 dual inhibitor that is currently being developed as a bronchodilator and anti-inflammatory agent for COPD and asthma patients. GlaxoSmithKline is developing GSK-2269557, a PI3Kd inhibitor, for the treatment of acute and long term use in COPD and asthma, which we believe to be an anti-inflammatory. GSK-2269557 is currently being studied in a Phase 2 clinical trial.</w:t>
      </w:r>
    </w:p>
    <w:p>
      <w:pPr>
        <w:spacing w:after="0" w:line="20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consider BGS-649’s current closest potential competitors for the treatment of HH to be TRT therapies. These include Abbvie’s Androgel and Eli Lilly’s Axiron, both administered transdermally by applying a gel formulation, which are approved in the United States and Europe, and Merck’s Andriol, an oral testosterone therapy, which is approved in Europe but not in the United States. There are also</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20"/>
        <w:spacing w:after="0" w:line="238" w:lineRule="auto"/>
        <w:rPr>
          <w:sz w:val="20"/>
          <w:szCs w:val="20"/>
          <w:color w:val="auto"/>
        </w:rPr>
      </w:pPr>
      <w:r>
        <w:rPr>
          <w:rFonts w:ascii="Arial" w:cs="Arial" w:eastAsia="Arial" w:hAnsi="Arial"/>
          <w:sz w:val="18"/>
          <w:szCs w:val="18"/>
          <w:color w:val="auto"/>
        </w:rPr>
        <w:t>other approved TRT products that are administered via injection and other oral TRTs that are still in the development or registration stages, such as JATENZO from Clarus and TLANDO from Lipocine. The FDA held Advisory Committee meetings in January 2018 for JATENZO and TLANDO. Lipocine has a PDUFA date of May 8, 2018. In addition, Repros is developing a selective estrogen receptor modulator and CHMP/EMA adopted a negative opinion recommending the refusal of its marketing authorization. In December 2017, Allergen announced the acquisition of Repros.</w:t>
      </w:r>
    </w:p>
    <w:p>
      <w:pPr>
        <w:spacing w:after="0" w:line="20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may face increasing competition for additional new product acquisitions from pharmaceutical companies as new companies emerge with a similar business model and other more established companies focus on acquiring products to develop their pipeline. Many of our competitors have significantly greater financial, manufacturing, marketing, drug development, technical and human resources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w:t>
      </w:r>
    </w:p>
    <w:p>
      <w:pPr>
        <w:spacing w:after="0" w:line="208"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key competitive factors affecting the success of BPS-804, AZD-9668, BCT-197 and BGS-649,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less expensive, more convenient or easier to administer, or have fewer or less severe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BPS-804, AZD-9668, BCT-197 or BGS-649 achieve marketing approval, they may be priced at a significant premium over competitive products if any have been approved by then.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We have acquired or exclusively licensed a comprehensive intellectual property portfolio from Novartis and AstraZeneca, respectively.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20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 BioPharma Group plc is the parent company of four wholly-owned subsidiaries: Mereo BioPharma 1 Limited, Mereo BioPharma 2 Limited, Mereo BioPharma 3 Limited and Mereo BioPharma 4 Limited, each of which holds the intellectual property for our product candidates BCT-197, BGS-649, BPS-804 and AZD-9668, respectively. As of January 31, 2018, our patent portfolio comprises approximately 275 issued patents and approximately 39 pending patent applications on a global basis.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BPS-804 (setrusumab)</w:t>
      </w:r>
    </w:p>
    <w:p>
      <w:pPr>
        <w:spacing w:after="0" w:line="85"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As of January 31, 2018, our patent portfolio relating to our product candidate BPS-804 consisted of three issued U.S. patents, one pending U.S. patent application, 84 issued foreign patents, five pending</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foreign patent applications and two pending international patent applications filed under the Patent Cooperation Treaty, or PCT. These patents and patent applications include claims directed to the BPS-804 antibody as well as nucleic acids encoding the antibody and the antibody’s use as a medicament; the use of anti-sclerostin antibodies in the treatment of OI; the use of the BPS-804 antibody in the treatment of OI with a specific dosing regimen; and the use of a specific anti-sclerostin antibody in the treatment of OI, with expected expiry dates not earlier than between 2028 and 2037.</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BPS-804 includes two patent families:</w:t>
      </w:r>
    </w:p>
    <w:p>
      <w:pPr>
        <w:spacing w:after="0" w:line="239" w:lineRule="exact"/>
        <w:rPr>
          <w:sz w:val="20"/>
          <w:szCs w:val="20"/>
          <w:color w:val="auto"/>
        </w:rPr>
      </w:pPr>
    </w:p>
    <w:p>
      <w:pPr>
        <w:ind w:left="960" w:hanging="432"/>
        <w:spacing w:after="0" w:line="229"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BPS-804 antibody as well as nucleic acids encoding the antibody and the antibody’s use as a medicament. As of January 31, 2018, this patent family included granted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Gulf Cooperation Council countries, Hong Kong, Indonesia, Israel, Japan, Macau, Mexico, New Zealand, Russia, Singapore, South Africa, South Korea and the United States. We expect patents in this family to expire in 2028.</w:t>
      </w:r>
    </w:p>
    <w:p>
      <w:pPr>
        <w:spacing w:after="0" w:line="72"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anti-sclerostin antibodies in the treatment of OI and the use of the BPS-804 antibody in the treatment of OI at a specific dosing regimen. As of January 31, 2018, this patent family included one U.S. non-provisional application and two pending international patent applications filed under the PCT. We expect patents emanating from this family to expire in 2036/2037.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AZD-9668 (alvelestat)</w:t>
      </w:r>
    </w:p>
    <w:p>
      <w:pPr>
        <w:spacing w:after="0" w:line="99" w:lineRule="exact"/>
        <w:rPr>
          <w:sz w:val="20"/>
          <w:szCs w:val="20"/>
          <w:color w:val="auto"/>
        </w:rPr>
      </w:pPr>
    </w:p>
    <w:p>
      <w:pPr>
        <w:ind w:left="200" w:right="280" w:firstLine="331"/>
        <w:spacing w:after="0" w:line="238" w:lineRule="auto"/>
        <w:rPr>
          <w:sz w:val="20"/>
          <w:szCs w:val="20"/>
          <w:color w:val="auto"/>
        </w:rPr>
      </w:pPr>
      <w:r>
        <w:rPr>
          <w:rFonts w:ascii="Arial" w:cs="Arial" w:eastAsia="Arial" w:hAnsi="Arial"/>
          <w:sz w:val="18"/>
          <w:szCs w:val="18"/>
          <w:color w:val="auto"/>
        </w:rPr>
        <w:t>As of January 31, 2018, our patent portfolio relating to our product candidate AZD-9668 consisted of three issued U.S. patents, no pending U.S. patent applications, 34 issued foreign patents and four pending foreign patent applications. These patents have all been licensed under our agreement with AstraZeneca. See “—Material Agreements—AstraZeneca Agreement.” These patents and patent applications include claims directed to 2-pyridone derivatives as NE inhibitors and their uses as well as claims to polymorphs of the tosylate salt of a 5-pyrazolyl-2-pyridone derivative, with expected expiry dates not earlier than between 2024 and 2030.</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AZD-9668 includes two patent families:</w:t>
      </w:r>
    </w:p>
    <w:p>
      <w:pPr>
        <w:spacing w:after="0" w:line="239" w:lineRule="exact"/>
        <w:rPr>
          <w:sz w:val="20"/>
          <w:szCs w:val="20"/>
          <w:color w:val="auto"/>
        </w:rPr>
      </w:pPr>
    </w:p>
    <w:p>
      <w:pPr>
        <w:ind w:left="960" w:right="320" w:hanging="432"/>
        <w:spacing w:after="0" w:line="226"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2-pyridone derivatives as NE inhibitors and their use. As of January 31, 2018, this patent family included granted patents in Australia, Canada, China, Europe (France, Germany, Italy, Netherlands, Spain, Sweden, Switzerland, Turkey and United Kingdom), Hong Kong, India, Japan, Mexico, Russia, South Korea and the United States. We expect patents in this family to expire in 2024.</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26"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polymorphs of the tosylate salt of a 5-pyrazolyl-2-pyridone derivative. As of January 31, 2018, this patent family included granted patents in Australia, Canada, China, Europe (France, Germany, Italy, Netherlands, Spain, Sweden, Switzerland, Turkey and United Kingdom ), Hong Kong, Japan, Mexico, Russia and the United States. We expect patents in this family to expire in 2030.</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BCT-197 (acumapimod)</w:t>
      </w:r>
    </w:p>
    <w:p>
      <w:pPr>
        <w:spacing w:after="0" w:line="85" w:lineRule="exact"/>
        <w:rPr>
          <w:sz w:val="20"/>
          <w:szCs w:val="20"/>
          <w:color w:val="auto"/>
        </w:rPr>
      </w:pPr>
    </w:p>
    <w:p>
      <w:pPr>
        <w:jc w:val="both"/>
        <w:ind w:left="200" w:right="520" w:firstLine="331"/>
        <w:spacing w:after="0"/>
        <w:rPr>
          <w:sz w:val="20"/>
          <w:szCs w:val="20"/>
          <w:color w:val="auto"/>
        </w:rPr>
      </w:pPr>
      <w:r>
        <w:rPr>
          <w:rFonts w:ascii="Arial" w:cs="Arial" w:eastAsia="Arial" w:hAnsi="Arial"/>
          <w:sz w:val="18"/>
          <w:szCs w:val="18"/>
          <w:color w:val="auto"/>
        </w:rPr>
        <w:t>As of January 31, 2018, our patent portfolio relating to our product candidate BCT-197 consisted of five issued U.S. patents, no pending U.S. patent applications, 129 issued foreign patents, 11 pending foreign applications, and four pending international patent applications filed under the PCT. These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24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patents and patent applications include claims directed to 5-membered heterocycle-based p38 kinase inhibitors, the use of a pyrazole derivative in the treatment of AECOPD, dosage regimens of BCT-197, the use of BCT-197 in the treatment of specific patient subpopulations, and methods of producing specific polymorphs of BCT-197, with expected expiry dates not earlier than between 2024 and 2038.</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BCT-197 includes five patent families:</w:t>
      </w:r>
    </w:p>
    <w:p>
      <w:pPr>
        <w:spacing w:after="0" w:line="239" w:lineRule="exact"/>
        <w:rPr>
          <w:sz w:val="20"/>
          <w:szCs w:val="20"/>
          <w:color w:val="auto"/>
        </w:rPr>
      </w:pPr>
    </w:p>
    <w:p>
      <w:pPr>
        <w:ind w:left="960" w:right="180" w:hanging="432"/>
        <w:spacing w:after="0" w:line="229"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key composition per se and other 5-membered heterocycle-based p38 kinase inhibitors. As of January 31, 2018, this patent family included granted patents in Algeria, Australia,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We expect patents in this family to expire in 2024.</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9"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pyrazole derivatives in the treatment of AECOPD. As of January 31, 2018, this patent family included granted patents in Algeria, Australia, Canada, China, Europe (Austria, Belgium, Bulgaria, Croatia, Cyprus, Czech Republic, Denmark, Estonia, Germany, Finland, France, Greece, Hungary, Iceland, Ireland, Italy, Latvia, Liechtenstein, Lithuania, Luxembourg, Malta, Monaco, Netherlands, Poland, Portugal, Romania, Slovakia, Slovenia, Spain, Sweden, Switzerland, Turkey, Norway and United Kingdom,), Hong Kong, Israel, Japan, Mexico, New Zealand, Russia, Singapore, South Africa, South Korea, Taiwan and the United States. We expect patents in this family to expire in 2033.</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regimens of BCT-197. As of January 31, 2018, this patent family included two PCT patent applications. We expect patents emanating from this family to expire in 2036.</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specific polymorphs of BCT-197. As of January 31, 2018, this patent family included two PCT patent applications. We expect patents emanating from this family to expire in 2037.</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23"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fifth of these patent families relates to novel regimes for the prevention of AECOPD and the use of BCT-197 in a specific patient subpopulation. As of January 31, 2018, this patent family included two U.K. national patent applications. We expect patents emanating from this family to expire in 2038.</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BGS-649 (leflutrozole)</w:t>
      </w:r>
    </w:p>
    <w:p>
      <w:pPr>
        <w:spacing w:after="0" w:line="99" w:lineRule="exact"/>
        <w:rPr>
          <w:sz w:val="20"/>
          <w:szCs w:val="20"/>
          <w:color w:val="auto"/>
        </w:rPr>
      </w:pPr>
    </w:p>
    <w:p>
      <w:pPr>
        <w:jc w:val="both"/>
        <w:ind w:left="200" w:right="60" w:firstLine="331"/>
        <w:spacing w:after="0" w:line="237" w:lineRule="auto"/>
        <w:rPr>
          <w:sz w:val="20"/>
          <w:szCs w:val="20"/>
          <w:color w:val="auto"/>
        </w:rPr>
      </w:pPr>
      <w:r>
        <w:rPr>
          <w:rFonts w:ascii="Arial" w:cs="Arial" w:eastAsia="Arial" w:hAnsi="Arial"/>
          <w:sz w:val="18"/>
          <w:szCs w:val="18"/>
          <w:color w:val="auto"/>
        </w:rPr>
        <w:t>As of January 31, 2018, our patent portfolio relating to our product candidate BGS-649 consisted of three issued U.S. patents, one pending U.S. patent application, 82 issued foreign patents, 15 pending foreign patent applications, and one pending international patent application filed under the PCT. These patents and patent applications include claims directed to BGS-649 formulations and to the use of BGS-649 in treating hypogonadism according to a specific dosing regimen, with expected expiry dates not earlier than 2032. The pending PCT application includes claims directed to the use of BGS-649 in treating endometriosis according to a specific dosing regimen, with an expected expiry date not earlier than 2037.</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BGS-649 includes two patent families:</w:t>
      </w:r>
    </w:p>
    <w:p>
      <w:pPr>
        <w:spacing w:after="0" w:line="239" w:lineRule="exact"/>
        <w:rPr>
          <w:sz w:val="20"/>
          <w:szCs w:val="20"/>
          <w:color w:val="auto"/>
        </w:rPr>
      </w:pPr>
    </w:p>
    <w:p>
      <w:pPr>
        <w:ind w:left="960" w:hanging="432"/>
        <w:spacing w:after="0" w:line="223"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BGS-649 formulations and to the use of BGS-649 in treating hypogonadism according to a specific dosing regimen. As of January 31, 2018, this patent family included granted patents in Algeria, Australia, China, Europe (Austria, Belgium,</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20"/>
        <w:spacing w:after="0" w:line="239" w:lineRule="auto"/>
        <w:rPr>
          <w:sz w:val="20"/>
          <w:szCs w:val="20"/>
          <w:color w:val="auto"/>
        </w:rPr>
      </w:pPr>
      <w:r>
        <w:rPr>
          <w:rFonts w:ascii="Arial" w:cs="Arial" w:eastAsia="Arial" w:hAnsi="Arial"/>
          <w:sz w:val="18"/>
          <w:szCs w:val="18"/>
          <w:color w:val="auto"/>
        </w:rPr>
        <w:t>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Hong Kong, Indonesia, Israel, Japan, Mexico, New Zealand, Russia, South Africa and the United States. We expect patents in this family to expire in 2032.</w:t>
      </w:r>
    </w:p>
    <w:p>
      <w:pPr>
        <w:spacing w:after="0" w:line="26" w:lineRule="exact"/>
        <w:rPr>
          <w:sz w:val="20"/>
          <w:szCs w:val="20"/>
          <w:color w:val="auto"/>
        </w:rPr>
      </w:pPr>
    </w:p>
    <w:p>
      <w:pPr>
        <w:ind w:left="960" w:right="60" w:hanging="432"/>
        <w:spacing w:after="0" w:line="223"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BGS-649 in treating endometriosis according to a specific dosing regimen. As of January 31, 2018, this patent family included a single PCT patent application. We expect patents emanating from this family to expire in 2037.</w:t>
      </w:r>
    </w:p>
    <w:p>
      <w:pPr>
        <w:spacing w:after="0" w:line="204"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20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 and Data Protection.”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the Centers for Medicare and Medicaid Services, or CMS, and comparable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99"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and biological products, or biologics, under both the FDCA and the Public Health Service Act, or PHSA, and its implementing regulations.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203" w:lineRule="exact"/>
        <w:rPr>
          <w:sz w:val="20"/>
          <w:szCs w:val="20"/>
          <w:color w:val="auto"/>
        </w:rPr>
      </w:pPr>
    </w:p>
    <w:p>
      <w:pPr>
        <w:ind w:left="960" w:hanging="432"/>
        <w:spacing w:after="0"/>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approval by an independent institutional review board, or IRB, at each clinical site before each trial may be initiated;</w:t>
      </w:r>
    </w:p>
    <w:p>
      <w:pPr>
        <w:spacing w:after="0" w:line="26" w:lineRule="exact"/>
        <w:rPr>
          <w:rFonts w:ascii="MS PGothic" w:cs="MS PGothic" w:eastAsia="MS PGothic" w:hAnsi="MS PGothic"/>
          <w:sz w:val="25"/>
          <w:szCs w:val="25"/>
          <w:color w:val="auto"/>
          <w:vertAlign w:val="superscript"/>
        </w:rPr>
      </w:pPr>
    </w:p>
    <w:p>
      <w:pPr>
        <w:ind w:left="960" w:right="106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NDA or BLA;</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advisory committee review, if applicable;</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payment of user fees and FDA review and approval of the NDA or BLA; and</w:t>
      </w:r>
    </w:p>
    <w:p>
      <w:pPr>
        <w:spacing w:after="0" w:line="26"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85"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The conduct of the pre-clinical tests must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institutional review board, or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www.clinicaltrials.gov website.</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39" w:lineRule="exact"/>
        <w:rPr>
          <w:sz w:val="20"/>
          <w:szCs w:val="20"/>
          <w:color w:val="auto"/>
        </w:rPr>
      </w:pPr>
    </w:p>
    <w:p>
      <w:pPr>
        <w:jc w:val="both"/>
        <w:ind w:left="960" w:hanging="432"/>
        <w:spacing w:after="0" w:line="223"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520"/>
        <w:spacing w:after="0"/>
        <w:rPr>
          <w:sz w:val="20"/>
          <w:szCs w:val="20"/>
          <w:color w:val="auto"/>
        </w:rPr>
      </w:pPr>
      <w:r>
        <w:rPr>
          <w:rFonts w:ascii="Arial" w:cs="Arial" w:eastAsia="Arial" w:hAnsi="Arial"/>
          <w:sz w:val="18"/>
          <w:szCs w:val="18"/>
          <w:color w:val="auto"/>
        </w:rPr>
        <w:t>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addition, under the provisions of the Food and Drug Administration Safety and Innovation Act passed in July 2012,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20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products that are eligible for fast-track or breakthrough therapy designation are also likely to be considered appropriate to receive a priority review.</w:t>
      </w:r>
    </w:p>
    <w:p>
      <w:pPr>
        <w:spacing w:after="0" w:line="202"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99"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Under the Orphan Drug Act, the FDA may grant orphan designation to a drug or biologic product candidate if it is intended to treat a rare disease or condition (generally meaning that it affects fewer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We have been granted Orphan Product Designation by the FDA for our product candidate BPS-804 for the treatment of OI. Orphan product designation does not convey any advantage in or shorten the duration of the regulatory review and approval process.</w:t>
      </w:r>
    </w:p>
    <w:p>
      <w:pPr>
        <w:spacing w:after="0" w:line="20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candidate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or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 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3" w:lineRule="exact"/>
        <w:rPr>
          <w:sz w:val="20"/>
          <w:szCs w:val="20"/>
          <w:color w:val="auto"/>
        </w:rPr>
      </w:pPr>
    </w:p>
    <w:p>
      <w:pPr>
        <w:ind w:left="200" w:right="360" w:firstLine="331"/>
        <w:spacing w:after="0"/>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insert, physician communication plans, assessment plans, and/or elements to assure safe use, such as restricted distribution methods, patient registries, or other risk minimization tools.</w:t>
      </w:r>
    </w:p>
    <w:p>
      <w:pPr>
        <w:spacing w:after="0" w:line="19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9"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202"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32" w:lineRule="exact"/>
        <w:rPr>
          <w:sz w:val="20"/>
          <w:szCs w:val="20"/>
          <w:color w:val="auto"/>
        </w:rPr>
      </w:pPr>
    </w:p>
    <w:p>
      <w:pPr>
        <w:ind w:left="960" w:right="400" w:hanging="432"/>
        <w:spacing w:after="0" w:line="218"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fines, warning letters or holds on post-approval clinical trials;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 seizure or detention, or refusal to permit the import or export of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injunctions or the imposition of civil or criminal penalties;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consent decrees, corporate integrity agreements, debarment, or exclusion from federal healthcare programs;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mandated modification of promotional materials and labeling and the issuance of corrective information; or</w:t>
      </w:r>
    </w:p>
    <w:p>
      <w:pPr>
        <w:spacing w:after="0" w:line="26" w:lineRule="exact"/>
        <w:rPr>
          <w:rFonts w:ascii="MS PGothic" w:cs="MS PGothic" w:eastAsia="MS PGothic" w:hAnsi="MS PGothic"/>
          <w:sz w:val="25"/>
          <w:szCs w:val="25"/>
          <w:color w:val="auto"/>
          <w:vertAlign w:val="superscript"/>
        </w:rPr>
      </w:pPr>
    </w:p>
    <w:p>
      <w:pPr>
        <w:ind w:left="960" w:right="700" w:hanging="432"/>
        <w:spacing w:after="0" w:line="218"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99"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2" w:lineRule="exact"/>
        <w:rPr>
          <w:sz w:val="20"/>
          <w:szCs w:val="20"/>
          <w:color w:val="auto"/>
        </w:rPr>
      </w:pPr>
    </w:p>
    <w:p>
      <w:pPr>
        <w:jc w:val="both"/>
        <w:ind w:left="200" w:right="260" w:firstLine="331"/>
        <w:spacing w:after="0" w:line="239" w:lineRule="auto"/>
        <w:rPr>
          <w:sz w:val="20"/>
          <w:szCs w:val="20"/>
          <w:color w:val="auto"/>
        </w:rPr>
      </w:pPr>
      <w:r>
        <w:rPr>
          <w:rFonts w:ascii="Arial" w:cs="Arial" w:eastAsia="Arial" w:hAnsi="Arial"/>
          <w:sz w:val="18"/>
          <w:szCs w:val="18"/>
          <w:color w:val="auto"/>
        </w:rPr>
        <w:t>In order to market our future products in the European Economic Area (which is comprised of the 28 Member States of the EU plus Norway, Iceland and Liechtenstein), or EEA,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229" w:lineRule="exact"/>
        <w:rPr>
          <w:sz w:val="20"/>
          <w:szCs w:val="20"/>
          <w:color w:val="auto"/>
        </w:rPr>
      </w:pPr>
    </w:p>
    <w:p>
      <w:pPr>
        <w:ind w:left="960" w:right="220" w:hanging="432"/>
        <w:spacing w:after="0" w:line="229"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Data and marketing exclusivity</w:t>
      </w:r>
      <w:r>
        <w:rPr>
          <w:rFonts w:ascii="Arial" w:cs="Arial" w:eastAsia="Arial" w:hAnsi="Arial"/>
          <w:sz w:val="18"/>
          <w:szCs w:val="18"/>
          <w:color w:val="auto"/>
        </w:rPr>
        <w:t>. In the EEA, new products authorized for marketing, or reference products, qualify for eight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4" w:lineRule="exact"/>
        <w:rPr>
          <w:sz w:val="20"/>
          <w:szCs w:val="20"/>
          <w:color w:val="auto"/>
        </w:rPr>
      </w:pPr>
    </w:p>
    <w:p>
      <w:pPr>
        <w:ind w:left="200" w:right="240" w:firstLine="331"/>
        <w:spacing w:after="0" w:line="251" w:lineRule="auto"/>
        <w:rPr>
          <w:sz w:val="20"/>
          <w:szCs w:val="20"/>
          <w:color w:val="auto"/>
        </w:rPr>
      </w:pPr>
      <w:r>
        <w:rPr>
          <w:rFonts w:ascii="Arial" w:cs="Arial" w:eastAsia="Arial" w:hAnsi="Arial"/>
          <w:sz w:val="18"/>
          <w:szCs w:val="18"/>
          <w:i w:val="1"/>
          <w:iCs w:val="1"/>
          <w:color w:val="auto"/>
        </w:rPr>
        <w:t>Pediatric investigation plan</w:t>
      </w:r>
      <w:r>
        <w:rPr>
          <w:rFonts w:ascii="Arial" w:cs="Arial" w:eastAsia="Arial" w:hAnsi="Arial"/>
          <w:sz w:val="18"/>
          <w:szCs w:val="18"/>
          <w:color w:val="auto"/>
        </w:rPr>
        <w:t>. In the EEA, marketing authorization applications for new medicinal products not authorized have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results of studies conducted in the pediatric population, in compliance with a pediatric investigation plan, or PIP, agreed with the EMA’s Pediatric Committee, or</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six-months supplementary protection certificate extension.</w:t>
      </w:r>
    </w:p>
    <w:p>
      <w:pPr>
        <w:spacing w:after="0" w:line="190"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i w:val="1"/>
          <w:iCs w:val="1"/>
          <w:color w:val="auto"/>
        </w:rPr>
        <w:t>Orphan drug designation</w:t>
      </w:r>
      <w:r>
        <w:rPr>
          <w:rFonts w:ascii="Arial" w:cs="Arial" w:eastAsia="Arial" w:hAnsi="Arial"/>
          <w:sz w:val="18"/>
          <w:szCs w:val="18"/>
          <w:color w:val="auto"/>
        </w:rPr>
        <w:t>. In the EEA, a medicinal product can be designated as an orphan drug if its sponsor can establish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20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member state competent authorities, cannot accept another application for a marketing authorization, or grant a marketing authorization, for a similar medicinal product for the same indication. The period of market exclusivity is extended by two years for medicines that have also complied with an agreed PIP.</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are eligible for incentives made available by the EU and its Member States to support research into, and the development and availability of, orphan drugs. In March 2016, we obtained orphan drug designation for BPS-804 for the treatment of OI in the EU.</w:t>
      </w:r>
    </w:p>
    <w:p>
      <w:pPr>
        <w:spacing w:after="0" w:line="190"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i w:val="1"/>
          <w:iCs w:val="1"/>
          <w:color w:val="auto"/>
        </w:rPr>
        <w:t xml:space="preserve">Adaptive pathways. </w:t>
      </w:r>
      <w:r>
        <w:rPr>
          <w:rFonts w:ascii="Arial" w:cs="Arial" w:eastAsia="Arial" w:hAnsi="Arial"/>
          <w:sz w:val="18"/>
          <w:szCs w:val="18"/>
          <w:color w:val="auto"/>
        </w:rPr>
        <w:t>The EMA has an adaptive pathways program which allows for early and progressive patient access to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80"/>
        <w:spacing w:after="0"/>
        <w:rPr>
          <w:sz w:val="20"/>
          <w:szCs w:val="20"/>
          <w:color w:val="auto"/>
        </w:rPr>
      </w:pPr>
      <w:r>
        <w:rPr>
          <w:rFonts w:ascii="Arial" w:cs="Arial" w:eastAsia="Arial" w:hAnsi="Arial"/>
          <w:sz w:val="18"/>
          <w:szCs w:val="18"/>
          <w:color w:val="auto"/>
        </w:rPr>
        <w:t>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203"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 adaptive pathways program does not change the standards for the evaluation of benefits and risks or the requirement to demonstrate a positive benefit-risk balance to obtain marketing authorization. In February 2017, BPS-804 was accepted into the adaptive pathways program.</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PRIME scheme. </w:t>
      </w:r>
      <w:r>
        <w:rPr>
          <w:rFonts w:ascii="Arial" w:cs="Arial" w:eastAsia="Arial" w:hAnsi="Arial"/>
          <w:sz w:val="18"/>
          <w:szCs w:val="18"/>
          <w:color w:val="auto"/>
        </w:rPr>
        <w:t>In July 2016, the EMA launched its Priority Medicines scheme, or PRIME. PRIME is a voluntary scheme aimed at</w:t>
      </w:r>
      <w:r>
        <w:rPr>
          <w:rFonts w:ascii="Arial" w:cs="Arial" w:eastAsia="Arial" w:hAnsi="Arial"/>
          <w:sz w:val="18"/>
          <w:szCs w:val="18"/>
          <w:i w:val="1"/>
          <w:iCs w:val="1"/>
          <w:color w:val="auto"/>
        </w:rPr>
        <w:t xml:space="preserve"> </w:t>
      </w:r>
      <w:r>
        <w:rPr>
          <w:rFonts w:ascii="Arial" w:cs="Arial" w:eastAsia="Arial" w:hAnsi="Arial"/>
          <w:sz w:val="18"/>
          <w:szCs w:val="18"/>
          <w:color w:val="auto"/>
        </w:rPr>
        <w:t>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Products for Human Use before submission of an MAA, early dialogue and scientific advice at key development milestones, and the potential to qualify products for accelerated review earlier in the application process. In November 2017, the EMA granted PRIME designation for BPS-804 for the treatment of OI.</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99"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In addition to FDA restrictions on marketing of pharmaceutical and biologic products,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03" w:lineRule="exact"/>
        <w:rPr>
          <w:sz w:val="20"/>
          <w:szCs w:val="20"/>
          <w:color w:val="auto"/>
        </w:rPr>
      </w:pPr>
    </w:p>
    <w:p>
      <w:pPr>
        <w:jc w:val="both"/>
        <w:ind w:left="200" w:right="220" w:firstLine="331"/>
        <w:spacing w:after="0" w:line="261" w:lineRule="auto"/>
        <w:rPr>
          <w:sz w:val="20"/>
          <w:szCs w:val="20"/>
          <w:color w:val="auto"/>
        </w:rPr>
      </w:pPr>
      <w:r>
        <w:rPr>
          <w:rFonts w:ascii="Arial" w:cs="Arial" w:eastAsia="Arial" w:hAnsi="Arial"/>
          <w:sz w:val="17"/>
          <w:szCs w:val="17"/>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 or to self-pay patients.</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0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rPr>
          <w:sz w:val="20"/>
          <w:szCs w:val="20"/>
          <w:color w:val="auto"/>
        </w:rPr>
      </w:pPr>
      <w:r>
        <w:rPr>
          <w:rFonts w:ascii="Arial" w:cs="Arial" w:eastAsia="Arial" w:hAnsi="Arial"/>
          <w:sz w:val="18"/>
          <w:szCs w:val="18"/>
          <w:color w:val="auto"/>
        </w:rPr>
        <w:t>also provide coverage for the medical product or service, or will provide coverage at an adequate reimbursement rate. As a result, the coverage-determination process will require us to provide scientific and clinical support for the use of our products to each payor separately and will be a time-consuming process.</w:t>
      </w:r>
    </w:p>
    <w:p>
      <w:pPr>
        <w:spacing w:after="0" w:line="203"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08"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 effective compared to other available therapies, they may not cover our products after approval, if any, or, if they do, the level of payment may not be sufficient to allow us to sell our products at a profit.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 among other things, increased the minimum Medicaid rebates owed by most manufacturers under the Medicaid Drug Rebate Program; introduced a new methodology by which rebates owed by manufacturers under the Medicaid Drug Rebate Program are calculated for products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202"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product candidates.</w:t>
      </w:r>
    </w:p>
    <w:p>
      <w:pPr>
        <w:spacing w:after="0" w:line="203"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207"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200" w:right="780" w:firstLine="331"/>
        <w:spacing w:after="0" w:line="246" w:lineRule="auto"/>
        <w:rPr>
          <w:sz w:val="20"/>
          <w:szCs w:val="20"/>
          <w:color w:val="auto"/>
        </w:rPr>
      </w:pPr>
      <w:r>
        <w:rPr>
          <w:rFonts w:ascii="Arial" w:cs="Arial" w:eastAsia="Arial" w:hAnsi="Arial"/>
          <w:sz w:val="18"/>
          <w:szCs w:val="18"/>
          <w:color w:val="auto"/>
        </w:rPr>
        <w:t>As of December 31, 2017, we had 31 employees. None of our employees is subject to a collective bargaining agreement or represented by a trade or labor union. We consider our relationship with our employees to be good.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8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Our principal office is located at Fourth Floor, One Cavendish Place, London W1G 0QF, United Kingdom, where we lease approximately 4,000 square feet of office space. We lease this office space under a lease that terminates on August 16, 2025. We intend to add new facilities as we add employees, and we believe that suitable additional or substitute space will be available as needed to accommodate any such expansion of our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are not subject to any material legal proceedings.</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240" w:top="460" w:right="5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The following table presents information about our executive officers and directors, including their ages, as of the date of this prospectus: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6"/>
                <w:szCs w:val="16"/>
                <w:color w:val="auto"/>
              </w:rPr>
            </w:pPr>
          </w:p>
        </w:tc>
        <w:tc>
          <w:tcPr>
            <w:tcW w:w="5820" w:type="dxa"/>
            <w:vAlign w:val="bottom"/>
          </w:tcPr>
          <w:p>
            <w:pPr>
              <w:ind w:left="26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22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Executive Officers</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Denise Scots-Knight,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Richard Jones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Financial Officer and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Alastair MacKinnon, MBBS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John Richard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Head of Corporate Development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Charles Sermon</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296"/>
        </w:trPr>
        <w:tc>
          <w:tcPr>
            <w:tcW w:w="4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Peter Fellner,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Frank Armstrong, MBChB</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Peter Bains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Paul Blackburn</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Anders Ekblom, M.D.,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Kunal Kashyap</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740" w:firstLine="331"/>
        <w:spacing w:after="0" w:line="246" w:lineRule="auto"/>
        <w:rPr>
          <w:sz w:val="20"/>
          <w:szCs w:val="20"/>
          <w:color w:val="auto"/>
        </w:rPr>
      </w:pPr>
      <w:r>
        <w:rPr>
          <w:rFonts w:ascii="Arial" w:cs="Arial" w:eastAsia="Arial" w:hAnsi="Arial"/>
          <w:sz w:val="18"/>
          <w:szCs w:val="18"/>
          <w:color w:val="auto"/>
        </w:rPr>
        <w:t>The current business addresses for our executive officers and directors is c/o Mereo BioPharma Group plc, Fourth Floor, One Cavendish Place, London, W1G 0QF, United Kingdom.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190" w:lineRule="exact"/>
        <w:rPr>
          <w:sz w:val="20"/>
          <w:szCs w:val="20"/>
          <w:color w:val="auto"/>
        </w:rPr>
      </w:pPr>
    </w:p>
    <w:p>
      <w:pPr>
        <w:ind w:left="200" w:right="60" w:firstLine="331"/>
        <w:spacing w:after="0" w:line="247"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our Chief Executive Officer since July 2015 and as a member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since our inception. From 2010 until joining Mereo, Dr. Scots-Knight was the Managing Partner of Phase4 Partners Ltd., or Phase4, a global life science venture capital firm. Dr. Scots-Knight is currently a board member of OncoMed Pharmaceuticals, Inc. and Phase4. Dr. Scots-Knight holds a B.Sc. (Hons.) and a Ph.D. from Birmingham University.</w:t>
      </w:r>
    </w:p>
    <w:p>
      <w:pPr>
        <w:spacing w:after="0" w:line="174" w:lineRule="exact"/>
        <w:rPr>
          <w:sz w:val="20"/>
          <w:szCs w:val="20"/>
          <w:color w:val="auto"/>
        </w:rPr>
      </w:pPr>
    </w:p>
    <w:p>
      <w:pPr>
        <w:ind w:left="200" w:right="220" w:firstLine="331"/>
        <w:spacing w:after="0" w:line="266" w:lineRule="auto"/>
        <w:rPr>
          <w:sz w:val="20"/>
          <w:szCs w:val="20"/>
          <w:color w:val="auto"/>
        </w:rPr>
      </w:pPr>
      <w:r>
        <w:rPr>
          <w:rFonts w:ascii="Arial" w:cs="Arial" w:eastAsia="Arial" w:hAnsi="Arial"/>
          <w:sz w:val="17"/>
          <w:szCs w:val="17"/>
          <w:b w:val="1"/>
          <w:bCs w:val="1"/>
          <w:i w:val="1"/>
          <w:iCs w:val="1"/>
          <w:color w:val="auto"/>
        </w:rPr>
        <w:t xml:space="preserve">Richard Jones. </w:t>
      </w:r>
      <w:r>
        <w:rPr>
          <w:rFonts w:ascii="Arial" w:cs="Arial" w:eastAsia="Arial" w:hAnsi="Arial"/>
          <w:sz w:val="17"/>
          <w:szCs w:val="17"/>
          <w:color w:val="auto"/>
        </w:rPr>
        <w:t>Mr. Jones has served as our Chief Financial Officer and as a member of our board of directors since January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2011 until joining Mereo, Mr. Jones was the Chief Financial Officer and Company Secretary of Shield Therapeutics plc, where he also served as a Non-Executive Director from 2010 to 2011. Mr. Jones is a qualified chartered accountant (ACA) with the Institute of Chartered Accountants in England and Wales (ICAEW) and holds a B.Eng. (Hons.) from the University of Newcastle upon Tyne.</w:t>
      </w:r>
    </w:p>
    <w:p>
      <w:pPr>
        <w:spacing w:after="0" w:line="160" w:lineRule="exact"/>
        <w:rPr>
          <w:sz w:val="20"/>
          <w:szCs w:val="20"/>
          <w:color w:val="auto"/>
        </w:rPr>
      </w:pPr>
    </w:p>
    <w:p>
      <w:pPr>
        <w:jc w:val="both"/>
        <w:ind w:left="200" w:right="100" w:firstLine="331"/>
        <w:spacing w:after="0" w:line="253" w:lineRule="auto"/>
        <w:rPr>
          <w:sz w:val="20"/>
          <w:szCs w:val="20"/>
          <w:color w:val="auto"/>
        </w:rPr>
      </w:pPr>
      <w:r>
        <w:rPr>
          <w:rFonts w:ascii="Arial" w:cs="Arial" w:eastAsia="Arial" w:hAnsi="Arial"/>
          <w:sz w:val="18"/>
          <w:szCs w:val="18"/>
          <w:b w:val="1"/>
          <w:bCs w:val="1"/>
          <w:i w:val="1"/>
          <w:iCs w:val="1"/>
          <w:color w:val="auto"/>
        </w:rPr>
        <w:t xml:space="preserve">Alastair MacKinnon, MBBS. </w:t>
      </w:r>
      <w:r>
        <w:rPr>
          <w:rFonts w:ascii="Arial" w:cs="Arial" w:eastAsia="Arial" w:hAnsi="Arial"/>
          <w:sz w:val="18"/>
          <w:szCs w:val="18"/>
          <w:color w:val="auto"/>
        </w:rPr>
        <w:t>Dr. MacKinnon has served as our Chief Medical Officer since July 2015. From 2010 until joining Mereo,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MacKinnon was a Partner of Phase4, where he currently serves as a member of the Board of Directors. Dr. MacKinnon holds a B.Sc. and a MBBS from King’s College London and is a Member of the Royal College of Surgeons in Edinburgh.</w:t>
      </w:r>
    </w:p>
    <w:p>
      <w:pPr>
        <w:spacing w:after="0" w:line="169" w:lineRule="exact"/>
        <w:rPr>
          <w:sz w:val="20"/>
          <w:szCs w:val="20"/>
          <w:color w:val="auto"/>
        </w:rPr>
      </w:pPr>
    </w:p>
    <w:p>
      <w:pPr>
        <w:jc w:val="both"/>
        <w:ind w:left="200" w:right="400" w:firstLine="331"/>
        <w:spacing w:after="0" w:line="275" w:lineRule="auto"/>
        <w:rPr>
          <w:sz w:val="20"/>
          <w:szCs w:val="20"/>
          <w:color w:val="auto"/>
        </w:rPr>
      </w:pPr>
      <w:r>
        <w:rPr>
          <w:rFonts w:ascii="Arial" w:cs="Arial" w:eastAsia="Arial" w:hAnsi="Arial"/>
          <w:sz w:val="17"/>
          <w:szCs w:val="17"/>
          <w:b w:val="1"/>
          <w:bCs w:val="1"/>
          <w:i w:val="1"/>
          <w:iCs w:val="1"/>
          <w:color w:val="auto"/>
        </w:rPr>
        <w:t xml:space="preserve">John Richard. </w:t>
      </w:r>
      <w:r>
        <w:rPr>
          <w:rFonts w:ascii="Arial" w:cs="Arial" w:eastAsia="Arial" w:hAnsi="Arial"/>
          <w:sz w:val="17"/>
          <w:szCs w:val="17"/>
          <w:color w:val="auto"/>
        </w:rPr>
        <w:t>Mr. Richard has served as our Head of Corporate Development since July 2015. Prior to joining Mereo, he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 for Nomura, a global investment bank, and Phase4. Mr. Richard serves on the boards of Vaxart, Inc., Catalyst Biosciences, QUE Oncology, and Phase4. Mr. Richard holds a B.S. from Stanford University and an MBA from Harvard Business School.</w:t>
      </w:r>
    </w:p>
    <w:p>
      <w:pPr>
        <w:spacing w:after="0" w:line="152" w:lineRule="exact"/>
        <w:rPr>
          <w:sz w:val="20"/>
          <w:szCs w:val="20"/>
          <w:color w:val="auto"/>
        </w:rPr>
      </w:pPr>
    </w:p>
    <w:p>
      <w:pPr>
        <w:ind w:left="200" w:right="220" w:firstLine="331"/>
        <w:spacing w:after="0" w:line="271" w:lineRule="auto"/>
        <w:rPr>
          <w:sz w:val="20"/>
          <w:szCs w:val="20"/>
          <w:color w:val="auto"/>
        </w:rPr>
      </w:pPr>
      <w:r>
        <w:rPr>
          <w:rFonts w:ascii="Arial" w:cs="Arial" w:eastAsia="Arial" w:hAnsi="Arial"/>
          <w:sz w:val="18"/>
          <w:szCs w:val="18"/>
          <w:b w:val="1"/>
          <w:bCs w:val="1"/>
          <w:i w:val="1"/>
          <w:iCs w:val="1"/>
          <w:color w:val="auto"/>
        </w:rPr>
        <w:t xml:space="preserve">Charles Sermon. </w:t>
      </w:r>
      <w:r>
        <w:rPr>
          <w:rFonts w:ascii="Arial" w:cs="Arial" w:eastAsia="Arial" w:hAnsi="Arial"/>
          <w:sz w:val="18"/>
          <w:szCs w:val="18"/>
          <w:color w:val="auto"/>
        </w:rPr>
        <w:t>Mr. Sermon has served as our General Counsel and Company Secretary since July 2015. From 2010 until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Mereo, Mr. Sermon was a Partner of Phase4, where he currently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240" w:top="459" w:right="4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serves as a member of the Board of Directors. Mr. Sermon trained and qualified as a lawyer with Freshfields after completing the Law Society’s Final Examination. Mr. Sermon holds an LL.B. (Hons.) from Hull University.</w:t>
      </w:r>
    </w:p>
    <w:p>
      <w:pPr>
        <w:spacing w:after="0" w:line="175" w:lineRule="exact"/>
        <w:rPr>
          <w:sz w:val="20"/>
          <w:szCs w:val="20"/>
          <w:color w:val="auto"/>
        </w:rPr>
      </w:pPr>
    </w:p>
    <w:p>
      <w:pPr>
        <w:ind w:left="200" w:right="180" w:firstLine="331"/>
        <w:spacing w:after="0" w:line="242" w:lineRule="auto"/>
        <w:rPr>
          <w:sz w:val="20"/>
          <w:szCs w:val="20"/>
          <w:color w:val="auto"/>
        </w:rPr>
      </w:pPr>
      <w:r>
        <w:rPr>
          <w:rFonts w:ascii="Arial" w:cs="Arial" w:eastAsia="Arial" w:hAnsi="Arial"/>
          <w:sz w:val="18"/>
          <w:szCs w:val="18"/>
          <w:b w:val="1"/>
          <w:bCs w:val="1"/>
          <w:i w:val="1"/>
          <w:iCs w:val="1"/>
          <w:color w:val="auto"/>
        </w:rPr>
        <w:t>Peter Fellner, Ph.D</w:t>
      </w:r>
      <w:r>
        <w:rPr>
          <w:rFonts w:ascii="Arial" w:cs="Arial" w:eastAsia="Arial" w:hAnsi="Arial"/>
          <w:sz w:val="18"/>
          <w:szCs w:val="18"/>
          <w:color w:val="auto"/>
        </w:rPr>
        <w:t>. Dr. Fellner has been Chairman of our board of directors since July 2015. He also serves as 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of Consort Medical plc and Vernalis plc, and was Chairman of the board of directors of Ablynx nv until January 2018. Dr. Fellner was previously Chairman of the board of directors of Acambis plc until its acquisition by Sanofi Pasteur and Optos plc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79" w:lineRule="exact"/>
        <w:rPr>
          <w:sz w:val="20"/>
          <w:szCs w:val="20"/>
          <w:color w:val="auto"/>
        </w:rPr>
      </w:pPr>
    </w:p>
    <w:p>
      <w:pPr>
        <w:ind w:left="200" w:right="60" w:firstLine="331"/>
        <w:spacing w:after="0" w:line="242" w:lineRule="auto"/>
        <w:rPr>
          <w:sz w:val="20"/>
          <w:szCs w:val="20"/>
          <w:color w:val="auto"/>
        </w:rPr>
      </w:pPr>
      <w:r>
        <w:rPr>
          <w:rFonts w:ascii="Arial" w:cs="Arial" w:eastAsia="Arial" w:hAnsi="Arial"/>
          <w:sz w:val="18"/>
          <w:szCs w:val="18"/>
          <w:b w:val="1"/>
          <w:bCs w:val="1"/>
          <w:i w:val="1"/>
          <w:iCs w:val="1"/>
          <w:color w:val="auto"/>
        </w:rPr>
        <w:t xml:space="preserve">Frank Armstrong, MBChB. </w:t>
      </w:r>
      <w:r>
        <w:rPr>
          <w:rFonts w:ascii="Arial" w:cs="Arial" w:eastAsia="Arial" w:hAnsi="Arial"/>
          <w:sz w:val="18"/>
          <w:szCs w:val="18"/>
          <w:color w:val="auto"/>
        </w:rPr>
        <w:t>Dr. Armstrong has served on our board of directors since July 2015. Dr. Armstrong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CuraGen Corporation and Fulcrum Pharmaceuticals. Prior to that, Dr. Armstrong served as Senior Vice President at Merck Serono, Executive Vice President Product Development at Bayer AG, and Senior Vice President Medical Research at Zeneca Pharmaceuticals (now AstraZeneca). Dr. Armstrong currently serves as Non-Executive Chairman of Caldan Therapeutics Ltd., Summit Therapeutics plc, and Faron Pharmaceuticals. Dr. Armstrong holds a B.Sc. (Hons.) and MBChB from the University of Edinburgh, and is a Fellow of the Royal College of Physicians.</w:t>
      </w:r>
    </w:p>
    <w:p>
      <w:pPr>
        <w:spacing w:after="0" w:line="179" w:lineRule="exact"/>
        <w:rPr>
          <w:sz w:val="20"/>
          <w:szCs w:val="20"/>
          <w:color w:val="auto"/>
        </w:rPr>
      </w:pPr>
    </w:p>
    <w:p>
      <w:pPr>
        <w:ind w:left="200" w:right="80" w:firstLine="331"/>
        <w:spacing w:after="0" w:line="244" w:lineRule="auto"/>
        <w:rPr>
          <w:sz w:val="20"/>
          <w:szCs w:val="20"/>
          <w:color w:val="auto"/>
        </w:rPr>
      </w:pPr>
      <w:r>
        <w:rPr>
          <w:rFonts w:ascii="Arial" w:cs="Arial" w:eastAsia="Arial" w:hAnsi="Arial"/>
          <w:sz w:val="18"/>
          <w:szCs w:val="18"/>
          <w:b w:val="1"/>
          <w:bCs w:val="1"/>
          <w:i w:val="1"/>
          <w:iCs w:val="1"/>
          <w:color w:val="auto"/>
        </w:rPr>
        <w:t xml:space="preserve">Peter Bains. </w:t>
      </w:r>
      <w:r>
        <w:rPr>
          <w:rFonts w:ascii="Arial" w:cs="Arial" w:eastAsia="Arial" w:hAnsi="Arial"/>
          <w:sz w:val="18"/>
          <w:szCs w:val="18"/>
          <w:color w:val="auto"/>
        </w:rPr>
        <w:t>Mr. Bains has served on our board of directors since July 2015. Mr. Bains is Representative Executive Officer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Sosei Group Corporation, a biotechnology company. Previously, he was Chief Executive Officer of Syngene International Ltd., or Syngene, where he continues to serve as a Non-Executive Director. Mr. Bains currently serves as Non -Executive Director for Phase4 and MiNA Therapeutics Ltd. and as Non-Executive Chairman of Fermenta Biotech Ltd. Mr. Bains holds a B.Sc. (Hons.) from Sheffield University.</w:t>
      </w:r>
    </w:p>
    <w:p>
      <w:pPr>
        <w:spacing w:after="0" w:line="177" w:lineRule="exact"/>
        <w:rPr>
          <w:sz w:val="20"/>
          <w:szCs w:val="20"/>
          <w:color w:val="auto"/>
        </w:rPr>
      </w:pPr>
    </w:p>
    <w:p>
      <w:pPr>
        <w:ind w:left="200" w:right="260" w:firstLine="331"/>
        <w:spacing w:after="0" w:line="253" w:lineRule="auto"/>
        <w:rPr>
          <w:sz w:val="20"/>
          <w:szCs w:val="20"/>
          <w:color w:val="auto"/>
        </w:rPr>
      </w:pPr>
      <w:r>
        <w:rPr>
          <w:rFonts w:ascii="Arial" w:cs="Arial" w:eastAsia="Arial" w:hAnsi="Arial"/>
          <w:sz w:val="18"/>
          <w:szCs w:val="18"/>
          <w:b w:val="1"/>
          <w:bCs w:val="1"/>
          <w:i w:val="1"/>
          <w:iCs w:val="1"/>
          <w:color w:val="auto"/>
        </w:rPr>
        <w:t xml:space="preserve">Paul Blackburn. </w:t>
      </w:r>
      <w:r>
        <w:rPr>
          <w:rFonts w:ascii="Arial" w:cs="Arial" w:eastAsia="Arial" w:hAnsi="Arial"/>
          <w:sz w:val="18"/>
          <w:szCs w:val="18"/>
          <w:color w:val="auto"/>
        </w:rPr>
        <w:t>Mr. Blackburn has served on our board of directors since October 2015. Mr. Blackburn was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Finance Projects and Financial Controller at GlaxoSmithKline. Mr. Blackburn currently serves on the Board of Directors of Syngene. Mr. Blackburn holds a B.Sc. from Warwick University.</w:t>
      </w:r>
    </w:p>
    <w:p>
      <w:pPr>
        <w:spacing w:after="0" w:line="169" w:lineRule="exact"/>
        <w:rPr>
          <w:sz w:val="20"/>
          <w:szCs w:val="20"/>
          <w:color w:val="auto"/>
        </w:rPr>
      </w:pPr>
    </w:p>
    <w:p>
      <w:pPr>
        <w:ind w:left="200" w:right="120" w:firstLine="331"/>
        <w:spacing w:after="0" w:line="241" w:lineRule="auto"/>
        <w:rPr>
          <w:sz w:val="20"/>
          <w:szCs w:val="20"/>
          <w:color w:val="auto"/>
        </w:rPr>
      </w:pPr>
      <w:r>
        <w:rPr>
          <w:rFonts w:ascii="Arial" w:cs="Arial" w:eastAsia="Arial" w:hAnsi="Arial"/>
          <w:sz w:val="18"/>
          <w:szCs w:val="18"/>
          <w:b w:val="1"/>
          <w:bCs w:val="1"/>
          <w:i w:val="1"/>
          <w:iCs w:val="1"/>
          <w:color w:val="auto"/>
        </w:rPr>
        <w:t xml:space="preserve">Anders Ekblom, M.D., Ph.D. </w:t>
      </w:r>
      <w:r>
        <w:rPr>
          <w:rFonts w:ascii="Arial" w:cs="Arial" w:eastAsia="Arial" w:hAnsi="Arial"/>
          <w:sz w:val="18"/>
          <w:szCs w:val="18"/>
          <w:color w:val="auto"/>
        </w:rPr>
        <w:t>Dr. Ekblom has served on our board of directors since July 2015. Dr. Ekblom has held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positions at AstraZeneca, including Executive Vice President Global Drug Development, Executive Vice President Global Medicines Development, Global Head Clinical Development, Global Therapy Area Head, Global Head Science &amp; Technology Integration, and Chief Executive Officer of AstraZeneca AB Sweden. He currently serves as Chairman of the Board at the Karolinska University Hospital and on the Boards of Directors of Alligator Bioscience AB, Infant Bacterial AB, and Medivir AB. Dr. Ekblom is a board-certified medical doctor and an Associate Professor at the Karolinska Institute. Dr. Ekblom holds a D.D.S., M.D. and Ph.D. from Karolinska Institutet.</w:t>
      </w:r>
    </w:p>
    <w:p>
      <w:pPr>
        <w:spacing w:after="0" w:line="179" w:lineRule="exact"/>
        <w:rPr>
          <w:sz w:val="20"/>
          <w:szCs w:val="20"/>
          <w:color w:val="auto"/>
        </w:rPr>
      </w:pPr>
    </w:p>
    <w:p>
      <w:pPr>
        <w:ind w:left="200" w:firstLine="331"/>
        <w:spacing w:after="0" w:line="247" w:lineRule="auto"/>
        <w:rPr>
          <w:sz w:val="20"/>
          <w:szCs w:val="20"/>
          <w:color w:val="auto"/>
        </w:rPr>
      </w:pPr>
      <w:r>
        <w:rPr>
          <w:rFonts w:ascii="Arial" w:cs="Arial" w:eastAsia="Arial" w:hAnsi="Arial"/>
          <w:sz w:val="18"/>
          <w:szCs w:val="18"/>
          <w:b w:val="1"/>
          <w:bCs w:val="1"/>
          <w:i w:val="1"/>
          <w:iCs w:val="1"/>
          <w:color w:val="auto"/>
        </w:rPr>
        <w:t xml:space="preserve">Kunal Kashyap. </w:t>
      </w:r>
      <w:r>
        <w:rPr>
          <w:rFonts w:ascii="Arial" w:cs="Arial" w:eastAsia="Arial" w:hAnsi="Arial"/>
          <w:sz w:val="18"/>
          <w:szCs w:val="18"/>
          <w:color w:val="auto"/>
        </w:rPr>
        <w:t>Mr. Kashyap has served on our board of directors since July 2015. Mr. Kashyap is Chairman and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Allegro Capital Advisors and also serves as an Independent Director of GlaxoSmithKline Consumer Healthcare Ltd and a Non-Executive Director of Phase4. Mr. Kashyap is also the Founder and was the Executive Director of Celstream Technologies Private Limited. Mr. Kashyap holds a Bachelor of Commerce from Bombay University.</w:t>
      </w:r>
    </w:p>
    <w:p>
      <w:pPr>
        <w:sectPr>
          <w:pgSz w:w="11900" w:h="16838" w:orient="portrait"/>
          <w:cols w:equalWidth="0" w:num="1">
            <w:col w:w="11200"/>
          </w:cols>
          <w:pgMar w:left="240" w:top="459" w:right="459" w:bottom="1440" w:gutter="0" w:footer="0" w:header="0"/>
        </w:sect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our Articles of Association, our directors serve for three-year terms. In</w:t>
      </w:r>
    </w:p>
    <w:p>
      <w:pPr>
        <w:spacing w:after="0" w:line="7" w:lineRule="exact"/>
        <w:rPr>
          <w:sz w:val="20"/>
          <w:szCs w:val="20"/>
          <w:color w:val="auto"/>
        </w:rPr>
      </w:pPr>
    </w:p>
    <w:p>
      <w:pPr>
        <w:ind w:left="780"/>
        <w:spacing w:after="0"/>
        <w:tabs>
          <w:tab w:leader="none" w:pos="1900" w:val="left"/>
          <w:tab w:leader="none" w:pos="38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expire. In</w:t>
      </w:r>
      <w:r>
        <w:rPr>
          <w:sz w:val="20"/>
          <w:szCs w:val="20"/>
          <w:color w:val="auto"/>
        </w:rPr>
        <w:tab/>
      </w:r>
      <w:r>
        <w:rPr>
          <w:rFonts w:ascii="Arial" w:cs="Arial" w:eastAsia="Arial" w:hAnsi="Arial"/>
          <w:sz w:val="17"/>
          <w:szCs w:val="17"/>
          <w:color w:val="auto"/>
        </w:rPr>
        <w:t>, the term for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the term</w:t>
      </w:r>
    </w:p>
    <w:p>
      <w:pPr>
        <w:spacing w:after="0" w:line="358" w:lineRule="exact"/>
        <w:rPr>
          <w:sz w:val="20"/>
          <w:szCs w:val="20"/>
          <w:color w:val="auto"/>
        </w:rPr>
      </w:pPr>
    </w:p>
    <w:p>
      <w:pPr>
        <w:sectPr>
          <w:pgSz w:w="11900" w:h="16838" w:orient="portrait"/>
          <w:cols w:equalWidth="0" w:num="3">
            <w:col w:w="420" w:space="120"/>
            <w:col w:w="7220" w:space="720"/>
            <w:col w:w="2720"/>
          </w:cols>
          <w:pgMar w:left="240" w:top="459" w:right="459" w:bottom="1440" w:gutter="0" w:footer="0" w:header="0"/>
          <w:type w:val="continuous"/>
        </w:sectPr>
      </w:pPr>
    </w:p>
    <w:p>
      <w:pPr>
        <w:jc w:val="center"/>
        <w:ind w:right="-21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00"/>
          </w:cols>
          <w:pgMar w:left="240" w:top="459" w:right="45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tabs>
          <w:tab w:leader="none" w:pos="1340" w:val="left"/>
          <w:tab w:leader="none" w:pos="3220" w:val="left"/>
          <w:tab w:leader="none" w:pos="5140" w:val="left"/>
          <w:tab w:leader="none" w:pos="63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expire. In</w:t>
      </w:r>
      <w:r>
        <w:rPr>
          <w:sz w:val="20"/>
          <w:szCs w:val="20"/>
          <w:color w:val="auto"/>
        </w:rPr>
        <w:tab/>
      </w:r>
      <w:r>
        <w:rPr>
          <w:rFonts w:ascii="Arial" w:cs="Arial" w:eastAsia="Arial" w:hAnsi="Arial"/>
          <w:sz w:val="18"/>
          <w:szCs w:val="18"/>
          <w:color w:val="auto"/>
        </w:rPr>
        <w:t>, the term for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will expire. Our shareholders elect directors in accordance</w:t>
      </w:r>
    </w:p>
    <w:p>
      <w:pPr>
        <w:ind w:left="200"/>
        <w:spacing w:after="0" w:line="275" w:lineRule="auto"/>
        <w:rPr>
          <w:sz w:val="20"/>
          <w:szCs w:val="20"/>
          <w:color w:val="auto"/>
        </w:rPr>
      </w:pPr>
      <w:r>
        <w:rPr>
          <w:rFonts w:ascii="Arial" w:cs="Arial" w:eastAsia="Arial" w:hAnsi="Arial"/>
          <w:sz w:val="17"/>
          <w:szCs w:val="17"/>
          <w:color w:val="auto"/>
        </w:rPr>
        <w:t>with our Articles of Association. If our shareholders do not elect a new director, then the retiring director may, if willing to serve, continue as a director. See “Description of Share Capital and Articles of Association—Articles of Association—Directors—Appointment of Directors.”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Private Issuer Exemption</w:t>
      </w:r>
    </w:p>
    <w:p>
      <w:pPr>
        <w:spacing w:after="0" w:line="99" w:lineRule="exact"/>
        <w:rPr>
          <w:sz w:val="20"/>
          <w:szCs w:val="20"/>
          <w:color w:val="auto"/>
        </w:rPr>
      </w:pPr>
    </w:p>
    <w:p>
      <w:pPr>
        <w:jc w:val="both"/>
        <w:ind w:left="200" w:right="40" w:firstLine="331"/>
        <w:spacing w:after="0" w:line="261" w:lineRule="auto"/>
        <w:rPr>
          <w:sz w:val="20"/>
          <w:szCs w:val="20"/>
          <w:color w:val="auto"/>
        </w:rPr>
      </w:pPr>
      <w:r>
        <w:rPr>
          <w:rFonts w:ascii="Arial" w:cs="Arial" w:eastAsia="Arial" w:hAnsi="Arial"/>
          <w:sz w:val="17"/>
          <w:szCs w:val="17"/>
          <w:color w:val="auto"/>
        </w:rPr>
        <w:t>As a “foreign private issuer,” as defined by the SEC, we are permitted to follow home country corporate governance practices, instead of certain corporate governance practices required by Nasdaq for U.S. domestic issuers. While we intend to follow most Nasdaq corporate governance rules, we intend to follow U.K. corporate governance practices in lieu of Nasdaq corporate governance rules as follows:</w:t>
      </w:r>
    </w:p>
    <w:p>
      <w:pPr>
        <w:spacing w:after="0" w:line="213" w:lineRule="exact"/>
        <w:rPr>
          <w:sz w:val="20"/>
          <w:szCs w:val="20"/>
          <w:color w:val="auto"/>
        </w:rPr>
      </w:pPr>
    </w:p>
    <w:p>
      <w:pPr>
        <w:jc w:val="both"/>
        <w:ind w:left="960" w:right="160" w:hanging="432"/>
        <w:spacing w:after="0" w:line="223"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5620(c) regarding quorum requirements applicable to meetings of shareholders. Such quorum requirements are not required under English law. In accordance with generally accepted business practice, our Articles of Association provide alternative quorum requirements that are generally applicable to meetings of shareholders.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5605(b)(2), which requires that independent directors regularly meet in executive session, where only independent directors are present. Our independent directors may choose to meet in executive session at their discretion.</w:t>
      </w:r>
    </w:p>
    <w:p>
      <w:pPr>
        <w:spacing w:after="0" w:line="204"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Although we may rely on certain home country corporate governance practices, we must comply with Nasdaq Rule 5640 Notification of Noncompliance and Rule 5640 Voting Rights. Further, we must have an audit committee that satisfies Rule 5605(c)(3), which addresses audit committee responsibilities and authority, and that consists of committee members that meet the independence requirements of Rule 5605(c)(2)(A)(ii).</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of 2002, the rules adopted by the SEC and the Nasdaq corporate governance rules and listing standards.</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81" w:lineRule="exact"/>
        <w:rPr>
          <w:sz w:val="20"/>
          <w:szCs w:val="20"/>
          <w:color w:val="auto"/>
        </w:rPr>
      </w:pPr>
    </w:p>
    <w:p>
      <w:pPr>
        <w:ind w:left="540"/>
        <w:spacing w:after="0"/>
        <w:tabs>
          <w:tab w:leader="none" w:pos="9340" w:val="left"/>
        </w:tabs>
        <w:rPr>
          <w:sz w:val="20"/>
          <w:szCs w:val="20"/>
          <w:color w:val="auto"/>
        </w:rPr>
      </w:pPr>
      <w:r>
        <w:rPr>
          <w:rFonts w:ascii="Arial" w:cs="Arial" w:eastAsia="Arial" w:hAnsi="Arial"/>
          <w:sz w:val="18"/>
          <w:szCs w:val="18"/>
          <w:color w:val="auto"/>
        </w:rPr>
        <w:t>Our board of directors currently consists of eight members. Our board of directors has determined that</w:t>
      </w:r>
      <w:r>
        <w:rPr>
          <w:sz w:val="20"/>
          <w:szCs w:val="20"/>
          <w:color w:val="auto"/>
        </w:rPr>
        <w:tab/>
      </w:r>
      <w:r>
        <w:rPr>
          <w:rFonts w:ascii="Arial" w:cs="Arial" w:eastAsia="Arial" w:hAnsi="Arial"/>
          <w:sz w:val="17"/>
          <w:szCs w:val="17"/>
          <w:color w:val="auto"/>
        </w:rPr>
        <w:t>of our eight</w:t>
      </w:r>
    </w:p>
    <w:p>
      <w:pPr>
        <w:ind w:left="200"/>
        <w:spacing w:after="0"/>
        <w:tabs>
          <w:tab w:leader="none" w:pos="1780" w:val="left"/>
          <w:tab w:leader="none" w:pos="2680" w:val="left"/>
          <w:tab w:leader="none" w:pos="392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do not have a relationship that would interfere with the exercise of independent judgment</w:t>
      </w:r>
    </w:p>
    <w:p>
      <w:pPr>
        <w:spacing w:after="0" w:line="1"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in carrying out the responsibilities of director and that each of these directors is “independent” as that term is defined under the rules of Nasdaq. There are no family relationships among any of our directors or senior management.</w:t>
      </w:r>
    </w:p>
    <w:p>
      <w:pPr>
        <w:spacing w:after="0" w:line="197"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In accordance with our Articles of Association, each of our directors serves for a term of three years, and, as a result, effectively one-third of our directors retire from office at every annual general meeting of shareholders. Retiring directors are eligible for re-election and, if no other director is elected to fill his or her position and the director is willing, shall be re-elected by default. See “Description of Share Capital and Articles of Association—Articles of Association—Directors—Appointment of Directors.”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85" w:lineRule="exact"/>
        <w:rPr>
          <w:sz w:val="20"/>
          <w:szCs w:val="20"/>
          <w:color w:val="auto"/>
        </w:rPr>
      </w:pPr>
    </w:p>
    <w:p>
      <w:pPr>
        <w:ind w:left="200" w:right="920" w:firstLine="331"/>
        <w:spacing w:after="0" w:line="246" w:lineRule="auto"/>
        <w:rPr>
          <w:sz w:val="20"/>
          <w:szCs w:val="20"/>
          <w:color w:val="auto"/>
        </w:rPr>
      </w:pPr>
      <w:r>
        <w:rPr>
          <w:rFonts w:ascii="Arial" w:cs="Arial" w:eastAsia="Arial" w:hAnsi="Arial"/>
          <w:sz w:val="18"/>
          <w:szCs w:val="18"/>
          <w:color w:val="auto"/>
        </w:rPr>
        <w:t>Our board of directors has four standing committees: an audit and risk committee, a remuneration committee, a nomination committee, and a research and development committee.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34"/>
        </w:trPr>
        <w:tc>
          <w:tcPr>
            <w:tcW w:w="474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Audit and Risk Committee</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69"/>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The audit and risk committee, which consists of</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ind w:left="420"/>
              <w:spacing w:after="0"/>
              <w:rPr>
                <w:sz w:val="20"/>
                <w:szCs w:val="20"/>
                <w:color w:val="auto"/>
              </w:rPr>
            </w:pPr>
            <w:r>
              <w:rPr>
                <w:rFonts w:ascii="Arial" w:cs="Arial" w:eastAsia="Arial" w:hAnsi="Arial"/>
                <w:sz w:val="18"/>
                <w:szCs w:val="18"/>
                <w:color w:val="auto"/>
              </w:rPr>
              <w:t>, and</w:t>
            </w:r>
          </w:p>
        </w:tc>
        <w:tc>
          <w:tcPr>
            <w:tcW w:w="4420" w:type="dxa"/>
            <w:vAlign w:val="bottom"/>
            <w:gridSpan w:val="2"/>
          </w:tcPr>
          <w:p>
            <w:pPr>
              <w:ind w:left="600"/>
              <w:spacing w:after="0"/>
              <w:rPr>
                <w:sz w:val="20"/>
                <w:szCs w:val="20"/>
                <w:color w:val="auto"/>
              </w:rPr>
            </w:pPr>
            <w:r>
              <w:rPr>
                <w:rFonts w:ascii="Arial" w:cs="Arial" w:eastAsia="Arial" w:hAnsi="Arial"/>
                <w:sz w:val="18"/>
                <w:szCs w:val="18"/>
                <w:color w:val="auto"/>
                <w:w w:val="99"/>
              </w:rPr>
              <w:t>, assists the board in overseeing our accounting</w:t>
            </w:r>
          </w:p>
        </w:tc>
      </w:tr>
      <w:tr>
        <w:trPr>
          <w:trHeight w:val="203"/>
        </w:trPr>
        <w:tc>
          <w:tcPr>
            <w:tcW w:w="670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and financial reporting processes and the audits of our financial statements.</w:t>
            </w:r>
          </w:p>
        </w:tc>
        <w:tc>
          <w:tcPr>
            <w:tcW w:w="44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serves as Chairman of the committee. The audit and</w:t>
            </w:r>
          </w:p>
        </w:tc>
      </w:tr>
      <w:tr>
        <w:trPr>
          <w:trHeight w:val="203"/>
        </w:trPr>
        <w:tc>
          <w:tcPr>
            <w:tcW w:w="7960" w:type="dxa"/>
            <w:vAlign w:val="bottom"/>
            <w:gridSpan w:val="5"/>
          </w:tcPr>
          <w:p>
            <w:pPr>
              <w:ind w:left="200"/>
              <w:spacing w:after="0" w:line="202" w:lineRule="exact"/>
              <w:rPr>
                <w:sz w:val="20"/>
                <w:szCs w:val="20"/>
                <w:color w:val="auto"/>
              </w:rPr>
            </w:pPr>
            <w:r>
              <w:rPr>
                <w:rFonts w:ascii="Arial" w:cs="Arial" w:eastAsia="Arial" w:hAnsi="Arial"/>
                <w:sz w:val="18"/>
                <w:szCs w:val="18"/>
                <w:color w:val="auto"/>
              </w:rPr>
              <w:t>risk committee consists exclusively of members of our board who are financially literate, and</w:t>
            </w:r>
          </w:p>
        </w:tc>
        <w:tc>
          <w:tcPr>
            <w:tcW w:w="3160" w:type="dxa"/>
            <w:vAlign w:val="bottom"/>
          </w:tcPr>
          <w:p>
            <w:pPr>
              <w:ind w:left="420"/>
              <w:spacing w:after="0" w:line="202" w:lineRule="exact"/>
              <w:rPr>
                <w:sz w:val="20"/>
                <w:szCs w:val="20"/>
                <w:color w:val="auto"/>
              </w:rPr>
            </w:pPr>
            <w:r>
              <w:rPr>
                <w:rFonts w:ascii="Arial" w:cs="Arial" w:eastAsia="Arial" w:hAnsi="Arial"/>
                <w:sz w:val="18"/>
                <w:szCs w:val="18"/>
                <w:color w:val="auto"/>
              </w:rPr>
              <w:t>is considered an “audit committee</w:t>
            </w:r>
          </w:p>
        </w:tc>
      </w:tr>
    </w:tbl>
    <w:p>
      <w:pPr>
        <w:ind w:left="200" w:right="1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will be governed by a charter that complies with Nasdaq rules.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audit and risk committee’s responsibilities include:</w:t>
      </w:r>
    </w:p>
    <w:p>
      <w:pPr>
        <w:spacing w:after="0" w:line="203" w:lineRule="exact"/>
        <w:rPr>
          <w:sz w:val="20"/>
          <w:szCs w:val="20"/>
          <w:color w:val="auto"/>
        </w:rPr>
      </w:pPr>
    </w:p>
    <w:p>
      <w:pPr>
        <w:ind w:left="960" w:hanging="432"/>
        <w:spacing w:after="0"/>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20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85" w:lineRule="exact"/>
        <w:rPr>
          <w:sz w:val="20"/>
          <w:szCs w:val="20"/>
          <w:color w:val="auto"/>
        </w:rPr>
      </w:pPr>
    </w:p>
    <w:p>
      <w:pPr>
        <w:ind w:left="200" w:right="740" w:firstLine="331"/>
        <w:spacing w:after="0" w:line="234" w:lineRule="auto"/>
        <w:rPr>
          <w:sz w:val="20"/>
          <w:szCs w:val="20"/>
          <w:color w:val="auto"/>
        </w:rPr>
      </w:pPr>
      <w:r>
        <w:rPr>
          <w:rFonts w:ascii="Arial" w:cs="Arial" w:eastAsia="Arial" w:hAnsi="Arial"/>
          <w:sz w:val="18"/>
          <w:szCs w:val="18"/>
          <w:color w:val="auto"/>
        </w:rPr>
        <w:t>The remuneration committee, which consists of , , and , assists the board in determining senior management compensation. serves as Chairman of the committee. Under SEC and Nasdaq rules, there are heightened</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independence standards for members of the remuneration committee, including a prohibition against the receipt of any compensation from us other than standard board member fees. Although foreign private issuers are not required to meet this heightened standard, as of the date of this prospectus, all of our remuneration committee members meet this heightened standard.</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remuneration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identifying, reviewing, and proposing policies relevant to senior management compensation;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each member of senior management’s performance in light of such policies and reporting to the board;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any equity long-term incentive component of each member of senior management’s compensation in line with any compensation policy and reviewing our senior management compensation and benefits policies generally;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assessing risks arising from our compensation policies and practices.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46"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94" w:lineRule="exact"/>
        <w:rPr>
          <w:sz w:val="20"/>
          <w:szCs w:val="20"/>
          <w:color w:val="auto"/>
        </w:rPr>
      </w:pPr>
    </w:p>
    <w:p>
      <w:pPr>
        <w:ind w:left="540"/>
        <w:spacing w:after="0"/>
        <w:tabs>
          <w:tab w:leader="none" w:pos="4940" w:val="left"/>
          <w:tab w:leader="none" w:pos="5840" w:val="left"/>
          <w:tab w:leader="none" w:pos="7100" w:val="left"/>
        </w:tabs>
        <w:rPr>
          <w:sz w:val="20"/>
          <w:szCs w:val="20"/>
          <w:color w:val="auto"/>
        </w:rPr>
      </w:pPr>
      <w:r>
        <w:rPr>
          <w:rFonts w:ascii="Arial" w:cs="Arial" w:eastAsia="Arial" w:hAnsi="Arial"/>
          <w:sz w:val="18"/>
          <w:szCs w:val="18"/>
          <w:color w:val="auto"/>
        </w:rPr>
        <w:t>The nomination committee, which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assists our board in identifying individuals</w:t>
      </w:r>
    </w:p>
    <w:p>
      <w:pPr>
        <w:ind w:left="200"/>
        <w:spacing w:after="0" w:line="234" w:lineRule="auto"/>
        <w:rPr>
          <w:sz w:val="20"/>
          <w:szCs w:val="20"/>
          <w:color w:val="auto"/>
        </w:rPr>
      </w:pPr>
      <w:r>
        <w:rPr>
          <w:rFonts w:ascii="Arial" w:cs="Arial" w:eastAsia="Arial" w:hAnsi="Arial"/>
          <w:sz w:val="18"/>
          <w:szCs w:val="18"/>
          <w:color w:val="auto"/>
        </w:rPr>
        <w:t>qualified to become members of our board and senior management consistent with criteria established by our board and in developing our</w:t>
      </w:r>
    </w:p>
    <w:p>
      <w:pPr>
        <w:spacing w:after="0" w:line="1" w:lineRule="exact"/>
        <w:rPr>
          <w:sz w:val="20"/>
          <w:szCs w:val="20"/>
          <w:color w:val="auto"/>
        </w:rPr>
      </w:pPr>
    </w:p>
    <w:p>
      <w:pPr>
        <w:ind w:left="200"/>
        <w:spacing w:after="0"/>
        <w:tabs>
          <w:tab w:leader="none" w:pos="3500" w:val="left"/>
        </w:tabs>
        <w:rPr>
          <w:sz w:val="20"/>
          <w:szCs w:val="20"/>
          <w:color w:val="auto"/>
        </w:rPr>
      </w:pPr>
      <w:r>
        <w:rPr>
          <w:rFonts w:ascii="Arial" w:cs="Arial" w:eastAsia="Arial" w:hAnsi="Arial"/>
          <w:sz w:val="18"/>
          <w:szCs w:val="18"/>
          <w:color w:val="auto"/>
        </w:rPr>
        <w:t>corporate governance principles.</w:t>
      </w:r>
      <w:r>
        <w:rPr>
          <w:sz w:val="20"/>
          <w:szCs w:val="20"/>
          <w:color w:val="auto"/>
        </w:rPr>
        <w:tab/>
      </w:r>
      <w:r>
        <w:rPr>
          <w:rFonts w:ascii="Arial" w:cs="Arial" w:eastAsia="Arial" w:hAnsi="Arial"/>
          <w:sz w:val="17"/>
          <w:szCs w:val="17"/>
          <w:color w:val="auto"/>
        </w:rPr>
        <w:t>serves as Chairman of the nomination committee.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nomination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drawing up selection criteria and appointment procedures for board members;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nominees for election to our board and its corresponding committees;</w:t>
      </w:r>
    </w:p>
    <w:p>
      <w:pPr>
        <w:spacing w:after="0" w:line="26" w:lineRule="exact"/>
        <w:rPr>
          <w:rFonts w:ascii="MS PGothic" w:cs="MS PGothic" w:eastAsia="MS PGothic" w:hAnsi="MS PGothic"/>
          <w:sz w:val="25"/>
          <w:szCs w:val="25"/>
          <w:color w:val="auto"/>
          <w:vertAlign w:val="superscript"/>
        </w:rPr>
      </w:pPr>
    </w:p>
    <w:p>
      <w:pPr>
        <w:ind w:left="960" w:right="800" w:hanging="432"/>
        <w:spacing w:after="0" w:line="218" w:lineRule="auto"/>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81" w:lineRule="exact"/>
        <w:rPr>
          <w:sz w:val="20"/>
          <w:szCs w:val="20"/>
          <w:color w:val="auto"/>
        </w:rPr>
      </w:pPr>
    </w:p>
    <w:p>
      <w:pPr>
        <w:ind w:left="540"/>
        <w:spacing w:after="0"/>
        <w:tabs>
          <w:tab w:leader="none" w:pos="6200" w:val="left"/>
          <w:tab w:leader="none" w:pos="7100" w:val="left"/>
          <w:tab w:leader="none" w:pos="8340" w:val="left"/>
        </w:tabs>
        <w:rPr>
          <w:sz w:val="20"/>
          <w:szCs w:val="20"/>
          <w:color w:val="auto"/>
        </w:rPr>
      </w:pPr>
      <w:r>
        <w:rPr>
          <w:rFonts w:ascii="Arial" w:cs="Arial" w:eastAsia="Arial" w:hAnsi="Arial"/>
          <w:sz w:val="18"/>
          <w:szCs w:val="18"/>
          <w:color w:val="auto"/>
        </w:rPr>
        <w:t>The research and development committee, which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assists our senior management</w:t>
      </w:r>
    </w:p>
    <w:p>
      <w:pPr>
        <w:ind w:left="200"/>
        <w:spacing w:after="0" w:line="234" w:lineRule="auto"/>
        <w:rPr>
          <w:sz w:val="20"/>
          <w:szCs w:val="20"/>
          <w:color w:val="auto"/>
        </w:rPr>
      </w:pPr>
      <w:r>
        <w:rPr>
          <w:rFonts w:ascii="Arial" w:cs="Arial" w:eastAsia="Arial" w:hAnsi="Arial"/>
          <w:sz w:val="18"/>
          <w:szCs w:val="18"/>
          <w:color w:val="auto"/>
        </w:rPr>
        <w:t>with oversight and guidance related to research and development matters and provides guidance and makes recommendations to our</w:t>
      </w:r>
    </w:p>
    <w:p>
      <w:pPr>
        <w:spacing w:after="0" w:line="1" w:lineRule="exact"/>
        <w:rPr>
          <w:sz w:val="20"/>
          <w:szCs w:val="20"/>
          <w:color w:val="auto"/>
        </w:rPr>
      </w:pPr>
    </w:p>
    <w:p>
      <w:pPr>
        <w:ind w:left="200"/>
        <w:spacing w:after="0"/>
        <w:tabs>
          <w:tab w:leader="none" w:pos="5040" w:val="left"/>
        </w:tabs>
        <w:rPr>
          <w:sz w:val="20"/>
          <w:szCs w:val="20"/>
          <w:color w:val="auto"/>
        </w:rPr>
      </w:pPr>
      <w:r>
        <w:rPr>
          <w:rFonts w:ascii="Arial" w:cs="Arial" w:eastAsia="Arial" w:hAnsi="Arial"/>
          <w:sz w:val="18"/>
          <w:szCs w:val="18"/>
          <w:color w:val="auto"/>
        </w:rPr>
        <w:t>board regarding research and development matters.</w:t>
      </w:r>
      <w:r>
        <w:rPr>
          <w:sz w:val="20"/>
          <w:szCs w:val="20"/>
          <w:color w:val="auto"/>
        </w:rPr>
        <w:tab/>
      </w:r>
      <w:r>
        <w:rPr>
          <w:rFonts w:ascii="Arial" w:cs="Arial" w:eastAsia="Arial" w:hAnsi="Arial"/>
          <w:sz w:val="17"/>
          <w:szCs w:val="17"/>
          <w:color w:val="auto"/>
        </w:rPr>
        <w:t>serves as Chairman of the research and development committee.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203" w:lineRule="exact"/>
        <w:rPr>
          <w:sz w:val="20"/>
          <w:szCs w:val="20"/>
          <w:color w:val="auto"/>
        </w:rPr>
      </w:pPr>
    </w:p>
    <w:p>
      <w:pPr>
        <w:ind w:left="960" w:hanging="432"/>
        <w:spacing w:after="0"/>
        <w:tabs>
          <w:tab w:leader="none" w:pos="96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strategic development plans for products, taking into account any regulatory feedback; and</w:t>
      </w:r>
    </w:p>
    <w:p>
      <w:pPr>
        <w:spacing w:after="0" w:line="6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acquisition of new products.</w:t>
      </w:r>
    </w:p>
    <w:p>
      <w:pPr>
        <w:spacing w:after="0" w:line="203"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In addition, the research and development committee is tasked with keeping informed of strategic issues and commercial changes affecting our development programs and potential product acquisitions.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connection with the global offering, we intend to adopt a Code of Business Conduct and Ethics that covers a broad range of matters including the handling of conflicts of interest, compliance issues, and other corporate policies such as equal opportunity and non-discrimination standards.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following table sets forth the approximate remuneration paid during the years ended December 31, 2017 and 2016 to our current executive officers.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Bonus(1)</w:t>
            </w:r>
          </w:p>
        </w:tc>
        <w:tc>
          <w:tcPr>
            <w:tcW w:w="1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Compensation(2)</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Total(3)</w:t>
            </w:r>
          </w:p>
        </w:tc>
      </w:tr>
      <w:tr>
        <w:trPr>
          <w:trHeight w:val="175"/>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7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w:t>
            </w:r>
          </w:p>
        </w:tc>
        <w:tc>
          <w:tcPr>
            <w:tcW w:w="4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96"/>
        </w:trPr>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Denise Scots-Knight, Ph.D.</w:t>
            </w:r>
          </w:p>
        </w:tc>
        <w:tc>
          <w:tcPr>
            <w:tcW w:w="4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4"/>
              </w:rPr>
              <w:t>2017</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365,000</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242,725</w:t>
            </w: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64,196</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671,921</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Executive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340,000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166,600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56,863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563,463</w:t>
            </w:r>
          </w:p>
        </w:tc>
        <w:tc>
          <w:tcPr>
            <w:tcW w:w="6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Jones (4)</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231,090</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166,250</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29,224</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426,564</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Financial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Alastair MacKinnon, MBBS</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256,000</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170,240</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27,916</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454,156</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Medical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230,000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112,700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25,071</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367,771</w:t>
            </w:r>
          </w:p>
        </w:tc>
        <w:tc>
          <w:tcPr>
            <w:tcW w:w="6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Charles Sermon</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271,625</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180,631</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33,164</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485,420</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Counsel</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265,000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129,850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31,847</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426,697</w:t>
            </w:r>
          </w:p>
        </w:tc>
        <w:tc>
          <w:tcPr>
            <w:tcW w:w="6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Richard (5)</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275,338</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218,727</w:t>
            </w:r>
          </w:p>
        </w:tc>
        <w:tc>
          <w:tcPr>
            <w:tcW w:w="164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494,065</w:t>
            </w:r>
          </w:p>
        </w:tc>
        <w:tc>
          <w:tcPr>
            <w:tcW w:w="60" w:type="dxa"/>
            <w:vAlign w:val="bottom"/>
            <w:shd w:val="clear" w:color="auto" w:fill="CCEEFF"/>
          </w:tcPr>
          <w:p>
            <w:pPr>
              <w:spacing w:after="0"/>
              <w:rPr>
                <w:sz w:val="17"/>
                <w:szCs w:val="17"/>
                <w:color w:val="auto"/>
              </w:rPr>
            </w:pPr>
          </w:p>
        </w:tc>
      </w:tr>
      <w:tr>
        <w:trPr>
          <w:trHeight w:val="217"/>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Head of Corporate Development</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2016</w:t>
            </w:r>
          </w:p>
        </w:tc>
        <w:tc>
          <w:tcPr>
            <w:tcW w:w="720" w:type="dxa"/>
            <w:vAlign w:val="bottom"/>
          </w:tcPr>
          <w:p>
            <w:pPr>
              <w:jc w:val="right"/>
              <w:spacing w:after="0"/>
              <w:rPr>
                <w:sz w:val="20"/>
                <w:szCs w:val="20"/>
                <w:color w:val="auto"/>
              </w:rPr>
            </w:pPr>
            <w:r>
              <w:rPr>
                <w:rFonts w:ascii="Arial" w:cs="Arial" w:eastAsia="Arial" w:hAnsi="Arial"/>
                <w:sz w:val="18"/>
                <w:szCs w:val="18"/>
                <w:color w:val="auto"/>
              </w:rPr>
              <w:t>259,745</w:t>
            </w:r>
          </w:p>
        </w:tc>
        <w:tc>
          <w:tcPr>
            <w:tcW w:w="4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158,589</w:t>
            </w:r>
          </w:p>
        </w:tc>
        <w:tc>
          <w:tcPr>
            <w:tcW w:w="16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418,334</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 in 2016 and 2017, as applicable.</w:t>
      </w:r>
    </w:p>
    <w:p>
      <w:pPr>
        <w:ind w:left="520" w:hanging="316"/>
        <w:spacing w:after="0" w:line="234" w:lineRule="auto"/>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ind w:left="520" w:hanging="316"/>
        <w:spacing w:after="0" w:line="234" w:lineRule="auto"/>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Total compensation set out in this table does not include any amounts for awards under our Deferred Bonus Share Plan or the value of options to acquire our ordinary shares or awards granted to or held by current senior management, which is described in “—Equity Compensation Arrangements.”</w:t>
      </w:r>
    </w:p>
    <w:p>
      <w:pPr>
        <w:spacing w:after="0" w:line="2"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Jones commenced employment with us in January 2017.</w:t>
      </w:r>
    </w:p>
    <w:p>
      <w:pPr>
        <w:ind w:left="520" w:right="40" w:hanging="316"/>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Richard provided services to us in 2017 under a consultancy agreement and currently provides services to us under a consultancy agreement and an employment agreement. These agreements are described in “—Executive Officer Employment and Consultancy Agreements—John Richard.”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Employment and Consultancy Agreements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Denise Scots-Knight, Ph.D.</w:t>
      </w:r>
    </w:p>
    <w:p>
      <w:pPr>
        <w:spacing w:after="0" w:line="41" w:lineRule="exact"/>
        <w:rPr>
          <w:sz w:val="20"/>
          <w:szCs w:val="20"/>
          <w:color w:val="auto"/>
        </w:rPr>
      </w:pPr>
    </w:p>
    <w:p>
      <w:pPr>
        <w:ind w:left="200" w:firstLine="331"/>
        <w:spacing w:after="0" w:line="248" w:lineRule="auto"/>
        <w:rPr>
          <w:sz w:val="20"/>
          <w:szCs w:val="20"/>
          <w:color w:val="auto"/>
        </w:rPr>
      </w:pPr>
      <w:r>
        <w:rPr>
          <w:rFonts w:ascii="Arial" w:cs="Arial" w:eastAsia="Arial" w:hAnsi="Arial"/>
          <w:sz w:val="17"/>
          <w:szCs w:val="17"/>
          <w:color w:val="auto"/>
        </w:rPr>
        <w:t>We entered into an employment agreement with Dr. Scots-Knight on July 29, 2015. This agreement entitles Dr. Scots-Knight to receive an initial annual base salary of £275,000 (which was subsequently increased to £ 365,000 for the year ended December 31, 2017) and an opportunity to earn an annual discretionary performance-based bonus, subject to the achievement of performance goals determined in accordance with our annual bonus plan. We currently contribute to Dr. Scots-Knight’s Self-Invested Personal Pension Scheme an amount equal to 15%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w:t>
      </w:r>
    </w:p>
    <w:p>
      <w:pPr>
        <w:spacing w:after="0" w:line="5"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Richard Jones</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entered into an employment agreement with Mr. Jones on November 7, 2016 pursuant to which he commenced employment with us on January 28, 2017. This agreement entitles Mr. Jones to receive an initial annual base salary of £250,000 and an opportunity to earn an annual discretionary performance-based bonus, subject to the achievement of performance goals determined in accordance with our annual bonus plan. Mr. Jones is also eligible to participate in our group personal pension scheme and we have agreed to contribute to the pension scheme an amount equal to 10% of Mr. Jones’s annual salary provided that he contributes 4% or more of his annual salary to that scheme. In lieu of a pension contribution, we may, at Mr. Jones’s request, pay a pro-rata amount equal to 10% of his base salary as additional compensation. Either party may terminate the employment agreement by giving the other party not less than six months’ written notice, provided that we may terminate Mr. Jones at any time with immediate effect for cause or by giving written notice to Mr. Jones that we will instead pay his basic salary for any remaining notice period. Mr. Jones’s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Alastair MacKinnon</w:t>
      </w:r>
    </w:p>
    <w:p>
      <w:pPr>
        <w:spacing w:after="0" w:line="8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We entered into an employment agreement with Dr. MacKinnon on July 29, 2015, and subsequently amended the agreement on November 24, 2017. This agreement entitles Dr. MacKinnon to receive an initial annual base salary of £210,000 (which was subsequently increased to £256,000 for the year ended December 31, 2017) and an opportunity to earn an annual discretionary performance-based bonus, subject to the achievement of performance goals determined in accordance with our annual bonus plan. Dr. MacKinnon is also eligible to participate in our group personal pension scheme and we have agreed to contribute to the pension scheme an amount equal to 10% of Dr. MacKinnon’s annual salary provided that he contributes 4% or more of his annual salary to that scheme. In lieu of a pension contribution, we may, at Dr. MacKinnon’s request, pay a pro-rata amount equal to 10% of his base salary as additional compensation. Either party may terminate the employment agreement by giving the other party not less than six months’ written notice, provided that we may terminate Dr. MacKinnon at any time with immediate effect for cause or by giving written notice to Dr. MacKinnon that we instead pay his basic salary for any remaining notice period. Dr. MacKinnon’s employment agreement also contains restrictive covenants pursuant to which he has agreed to refrain from competing with us for a period of three months following his termination of employment, soliciting our key employees for a period of six months following his termination of employment, or soliciting our customers for a period of nine months following his termination of employment.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Charles Sermon</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entered into an employment agreement with Mr. Sermon on July 29, 2015. This agreement entitles Mr. Sermon to receive an initial annual base salary of £245,000 (which was subsequently increased to £271,625 for the year ended December 31, 2017) and an opportunity to earn an annual discretionary performance-based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40"/>
        <w:spacing w:after="0" w:line="246" w:lineRule="auto"/>
        <w:rPr>
          <w:sz w:val="20"/>
          <w:szCs w:val="20"/>
          <w:color w:val="auto"/>
        </w:rPr>
      </w:pPr>
      <w:r>
        <w:rPr>
          <w:rFonts w:ascii="Arial" w:cs="Arial" w:eastAsia="Arial" w:hAnsi="Arial"/>
          <w:sz w:val="18"/>
          <w:szCs w:val="18"/>
          <w:color w:val="auto"/>
        </w:rPr>
        <w:t>employees for a period of six months following his termination of employment or soliciting our customers for a period of nine months following his termination of employment.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John Richard</w:t>
      </w:r>
    </w:p>
    <w:p>
      <w:pPr>
        <w:spacing w:after="0" w:line="9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We entered into a consultancy agreement with Mr. Richard on February 1, 2017, pursuant to which he provided services to us during 2017 and which has subsequently expired. Mr. Richard currently provides services to us pursuant to an employment agreement dated February 26, 2018, or the Richard Employment Agreement, and a consultancy agreement dated February 1, 2018, or the Richard Consulting Agreement.</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Richard Employment Agreement entitles Mr. Richard to receive an initial base salary of £3,900 per month and an opportunity to earn an annual discretionary performance-based bonus, subject to the achievement of performance goals determined in accordance with our annual bonus plan. Mr. Richard is also eligible to participate in our group personal pension scheme and we have agreed to contribute to the pension scheme an amount equal to 10% of Mr. Richard’s annual salary provided that he contributes 4% or more of his annual salary to that scheme. In lieu of a pension contribution, we may, at Mr. Richard’s request, pay a pro-rata amount equal to 10% of his base salary as additional compensation. Either party may terminate the employment agreement by giving the other party not less than six months’ written notice, provided that we may terminate Mr. Richard at any time with immediate effect for cause or by giving written notice to Mr. Richard that we will instead pay his basic salary for any remaining notice period. Mr. Richard’s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Pursuant to the Richard Consulting Agreement, Mr. Richard also provides services to us. The Richard Consulting Agreement is</w:t>
      </w:r>
    </w:p>
    <w:p>
      <w:pPr>
        <w:ind w:left="200"/>
        <w:spacing w:after="0" w:line="234" w:lineRule="auto"/>
        <w:rPr>
          <w:sz w:val="20"/>
          <w:szCs w:val="20"/>
          <w:color w:val="auto"/>
        </w:rPr>
      </w:pPr>
      <w:r>
        <w:rPr>
          <w:rFonts w:ascii="Arial" w:cs="Arial" w:eastAsia="Arial" w:hAnsi="Arial"/>
          <w:sz w:val="18"/>
          <w:szCs w:val="18"/>
          <w:color w:val="auto"/>
        </w:rPr>
        <w:t>expected to remain in effect until January 31, 2019. The Richard Consulting Agreement entitles Mr. Richard to receive a retainer of</w:t>
      </w:r>
    </w:p>
    <w:p>
      <w:pPr>
        <w:ind w:left="200"/>
        <w:spacing w:after="0" w:line="235" w:lineRule="auto"/>
        <w:rPr>
          <w:sz w:val="20"/>
          <w:szCs w:val="20"/>
          <w:color w:val="auto"/>
        </w:rPr>
      </w:pPr>
      <w:r>
        <w:rPr>
          <w:rFonts w:ascii="Arial" w:cs="Arial" w:eastAsia="Arial" w:hAnsi="Arial"/>
          <w:sz w:val="18"/>
          <w:szCs w:val="18"/>
          <w:color w:val="auto"/>
        </w:rPr>
        <w:t>$25,550 per month and an opportunity to earn a one-time discretionary payment from us based upon the achievement of agreed-upon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performance goals with regard to the preceding 12-month period.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Arrangements</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We have granted share options and awards under the following four equity award plans, or the Share Plans: (i) the 2015 Plan; (ii) the Share Option Plan; (iii) the LTIP; and (iv) the DBSP.</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2015 Plan</w:t>
      </w:r>
    </w:p>
    <w:p>
      <w:pPr>
        <w:spacing w:after="0" w:line="85"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Prior to the admission of our ordinary shares to trading on AIM, or Admission, we granted options under the 2015 Plan. No further grants have been made under the 2015 Plan since Admission.</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1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203"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97"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Options have been granted under the 2015 Plan with an exercise price ranging from £1.29 per ordinary share to £2.21 per ordinary share.</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Leavers</w:t>
      </w:r>
    </w:p>
    <w:p>
      <w:pPr>
        <w:spacing w:after="0" w:line="9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our board of directors determines and communicates to the option holder at that time (except upon death, in which case, options may be exercised for a period of one year), after which time they will lapse.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Adjustments</w:t>
      </w:r>
    </w:p>
    <w:p>
      <w:pPr>
        <w:spacing w:after="0" w:line="8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In the event of any capitalization, rights issue, consolidation, subdivision, reduction or any other variation of our share capital, the number of ordinary shares subject to an option and the exercise price applying to an option may be varied in such manner as our board of directors may determine.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Our board of directors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our board of directors without the consent of option holders.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adopted the Share Option Plan on March 4, 2016, and amended it on April 4, 2017.</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The Share Option Plan provides for the grant of options to acquire our ordinary shares to employees and executive directors. Options may be granted to all eligible employees on commencement of employment and may be granted on a periodic basis after that. The Share Option</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Plan is administered by our board of directors who also set the terms and conditions of all options granted under the Share Option Plan, including any vesting and vesting acceleration conditions. Options are granted under the Share Option Plan at the discretion of our board of directors.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 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options be settled in cash or by net exercise of the option.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8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Share Option Plan is subject to an overall limit, such that our board of directors may not grant an option that would cause the number of ordinary shares allocated under the Share Option Plan and any other employee share plan adopted by us to exceed 10% of our ordinary share capital in issue at that time. No eligible employee may be granted options that, at the time they are granted, would cause the market value of shares subject to the options granted to the employee in respect of a financial year to exceed 200% of the employee’s salary.</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Leavers</w:t>
      </w:r>
    </w:p>
    <w:p>
      <w:pPr>
        <w:spacing w:after="0" w:line="81"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Options held by participants who cease to hold office or employment with us for any reason prior to the first anniversary of the date of grant will lapse immediately, unless otherwise determined by our board of directors.</w:t>
      </w:r>
    </w:p>
    <w:p>
      <w:pPr>
        <w:spacing w:after="0" w:line="197"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If a participant ceases to hold office or employment with us as a result of dismissal for gross misconduct, any option the participant holds, whether vested or unvested, will lapse.</w:t>
      </w:r>
    </w:p>
    <w:p>
      <w:pPr>
        <w:spacing w:after="0" w:line="197"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If a participant ceases to hold office or employment with us on or after the first anniversary of the date of grant of any option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our board of directors determines that the option will vest as soon as reasonably practicable following the date of cessation of services.</w:t>
      </w:r>
    </w:p>
    <w:p>
      <w:pPr>
        <w:spacing w:after="0" w:line="205"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Options may not be transferred in any way and will lapse immediately on any attempt to do so, except that options may be transferred to a participant’s personal representative upon death.</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Under the Share Option Plan, if certain changes are made in, or events occur with respect to our ordinary shares (including any variation of share capital, demerger, delisting, special dividend, rights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issue or any other event, which may, in the opinion of our board of directors affect the current or future value of our ordinary shares), the number of shares subject to an option or the exercise price of an option may be adjusted as determined by our board of directors. In addition, upon such an event, our board of directors will determine: (i) whether and to what extent options which have not yet vested will vest; and (ii) the period of time during which any vested option may be exercised.</w:t>
      </w:r>
    </w:p>
    <w:p>
      <w:pPr>
        <w:spacing w:after="0" w:line="202"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our board of directors, after which they will be exercisable for one month (or such longer period as determined by our board of directors, but not exceeding six months), following which they will lapse. However, if there is an internal reorganization, unless our board of directors determines otherwise, an option will generally be exchanged in consideration of the grant of a new option which, as determined by our board of directors, is equivalent to the option but relates to shares in a different company (whether the acquiring company or a different company). Any option that does not vest or is not exchanged will lapse immediately.</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board of directors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Companies Act 2006. No options may be granted pursuant to the Share Option Plan after the tenth anniversary of the date of our Admission.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Long Term Incentive Plan</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In order to further incentivize our executive directors and senior management and align their interests with shareholders, our board of directors adopted the LTIP on June 9, 2016.</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LTIP provides for the grant of nil-cost options, conditional awards, cash conditional awards or cash options, or, the LTIP Awards, to our key executive directors and senior management employees. The shares used to satisfy the LTIP Awards are currently delivered through the Mereo BioPharma Group plc Employee Benefit Trust, which is based in Jersey.</w:t>
      </w:r>
    </w:p>
    <w:p>
      <w:pPr>
        <w:spacing w:after="0" w:line="203"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The LTIP Awards generally vest over a five year period and the vesting of the LTIP Awards is subject to: (i) a share price performance condition; and (ii) the achievement of strategic operational targets. Our board of directors may determine that the LTIP Awards are settled in cash.</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If on the date a LTIP Award is due to vest or be exercisable a restriction on share dealing (as may be imposed by our share dealing code or the AIM rules) applies to the award, then the award will vest on the date on which such dealing restriction lifts.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81" w:lineRule="exact"/>
        <w:rPr>
          <w:sz w:val="20"/>
          <w:szCs w:val="20"/>
          <w:color w:val="auto"/>
        </w:rPr>
      </w:pPr>
    </w:p>
    <w:p>
      <w:pPr>
        <w:jc w:val="both"/>
        <w:ind w:left="200" w:right="100" w:firstLine="331"/>
        <w:spacing w:after="0" w:line="239" w:lineRule="auto"/>
        <w:rPr>
          <w:sz w:val="20"/>
          <w:szCs w:val="20"/>
          <w:color w:val="auto"/>
        </w:rPr>
      </w:pPr>
      <w:r>
        <w:rPr>
          <w:rFonts w:ascii="Arial" w:cs="Arial" w:eastAsia="Arial" w:hAnsi="Arial"/>
          <w:sz w:val="18"/>
          <w:szCs w:val="18"/>
          <w:color w:val="auto"/>
        </w:rPr>
        <w:t>The LTIP is subject to an overall limit, such that the number of ordinary shares which may be issued under it and any other employee share plan we adopted may not exceed the limit of 10% of our ordinary share capital. 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57" w:lineRule="auto"/>
        <w:rPr>
          <w:sz w:val="20"/>
          <w:szCs w:val="20"/>
          <w:color w:val="auto"/>
        </w:rPr>
      </w:pPr>
      <w:r>
        <w:rPr>
          <w:rFonts w:ascii="Arial" w:cs="Arial" w:eastAsia="Arial" w:hAnsi="Arial"/>
          <w:sz w:val="17"/>
          <w:szCs w:val="17"/>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our accounts, an error in assessing a performance condition such that the LTIP Award vests to a greater extent than it would have vested, or fraudulent or material misconduct on the part of the participant.</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Scheme Leavers</w:t>
      </w:r>
    </w:p>
    <w:p>
      <w:pPr>
        <w:spacing w:after="0" w:line="9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us, or for any other reason at our board of directors’ discretion, except where the participant is summarily dismissed, in which case any unvested LTIP Awards will usually continue until the normal vesting date, unless our board of directors determines otherwise.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Under the LTIP, if certain changes are made in or events occur with respect to our ordinary shares (including any variation of share capital, any demerger, delisting, special dividend, rights issue or other event which may in the opinion of our board of directors, affect the current or future value of our ordinary shares), the number of shares subject to a LTIP Award, or any performance condition, may be adjusted as determined by our board of directors. In addition, upon such an event, our board of directors will determine: (i) whether and to what extent Awards which have not yet vested will vest; and (ii) the period of time during which any vested option may be exercised.</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 by our board of directors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our board of directors), following which they will lapse. However, if there is an internal reorganization, a LTIP Award will be exchanged in consideration of the grant of a new award which, as determined by our board of directors, is equivalent to the LTIP Award but relates to shares in a different company (whether the acquiring company or a different company). Any LTIP Award that does not vest or is not exchanged will lapse immediately.</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Our board of directors may, at any time, amend the rules of the LTIP or the terms of any LTIP Award,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Companies Act 2006. No LTIP Awards may be granted pursuant to the LTIP after the tenth anniversary of the date of Admission.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Deferred Bonus Share Plan</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adopted the DBSP on June 9, 2016.</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The DBSP provides for the deferral of a percentage (currently 30%) of the annual bonuses awarded to our executive directors and senior management team into the right to acquire shares equal in value to the amount deferred, free of charge.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Under the DBSP, conditional awards or nil-cost options, or the DBSP Awards, may only be granted to participants who have earned a bonus, pursuant to our annual bonus plan, for the financial year immediately preceding the financial year in which the grant date occurs. A DBSP Award will be granted over such number of shares as have at the grant date a market value, as determined by our board of directors, equal to the deferred bonus (the amount of bonus which is to be delivered in the form of a conditional award or a nil-cost option).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DBSP Awards will generally vest three years after the date of grant and have no performance conditions or service condition. The DBSP Awards may be settled in cash if determined by our board of directors. The shares used to satisfy the DBSP Awards are currently delivered through the Mereo BioPharma Group plc Employee Benefit Trust, which is based in Jersey.</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If on the date a DBSP Award is due to vest or be exercisable a restriction on share dealing (as may be imposed by our share dealing code or the AIM rules) applies to the award, then the award will vest on the date on which such dealing restriction lifts.</w:t>
      </w:r>
    </w:p>
    <w:p>
      <w:pPr>
        <w:spacing w:after="0" w:line="197"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our board of directors determines, after which time it will lapse.</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8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DBSP is subject to an overall limit, such that the number of ordinary shares which may be issued under it and any other employee share plan adopted by us may not exceed 10% of our ordinary share capital in issue at that time. No eligible employee may be granted DBSP Awards that, at the time they are granted, would cause the market value of shares subject to the DBSP Awards granted to the employee in respect of a financial year to exceed 100% of the employee’s salary.</w:t>
      </w:r>
    </w:p>
    <w:p>
      <w:pPr>
        <w:spacing w:after="0" w:line="20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The DBSP Awards may be: (i) reduced; or (ii) where the underlying shares or cash have already been transferred to prior to the third anniversary of the grant date the participant following vesting or exercise of the DBSP Award (as applicable), clawed back, where there has been a material misstatement of our accounts, an error in assessing the information on which the bonus was determined such that the bonus was overpaid, or fraudulent or material misconduct on the part of the participant.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Under the DBSP, if certain changes are made in or events occur with respect to our ordinary shares (including any variation of share capital, any demerger, delisting, special dividend, rights issue or other event which may in the opinion of our board of directors, affect the current or future value of our ordinary shares), the number of shares subject to a DBSP Award may be adjusted as determined by our board of directors. In addition, upon such an event, our board of directors will determine: (i) whether and to what extent DBSP Awards which have not yet vested will vest; and (ii) the period of time during which any vested option may be exercised.</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DBSP Awards will accelerate to the extent determined by our board of directors, after which, the DBSP Awards will be exercisable for one month (or such other period as or determined by our board of directors), following which they will lapse. However, if there is an internal reorganization, a DBSP Award will be exchanged in consideration of the grant of a new award which, as determined by our board of directors, is equivalent to the DBSP Award but relates to shares in a different company (whether the acquiring company or a different company).</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Scheme Leavers</w:t>
      </w:r>
    </w:p>
    <w:p>
      <w:pPr>
        <w:spacing w:after="0" w:line="95" w:lineRule="exact"/>
        <w:rPr>
          <w:sz w:val="20"/>
          <w:szCs w:val="20"/>
          <w:color w:val="auto"/>
        </w:rPr>
      </w:pPr>
    </w:p>
    <w:p>
      <w:pPr>
        <w:jc w:val="both"/>
        <w:ind w:left="200" w:right="540" w:firstLine="331"/>
        <w:spacing w:after="0"/>
        <w:rPr>
          <w:sz w:val="20"/>
          <w:szCs w:val="20"/>
          <w:color w:val="auto"/>
        </w:rPr>
      </w:pPr>
      <w:r>
        <w:rPr>
          <w:rFonts w:ascii="Arial" w:cs="Arial" w:eastAsia="Arial" w:hAnsi="Arial"/>
          <w:sz w:val="18"/>
          <w:szCs w:val="18"/>
          <w:color w:val="auto"/>
        </w:rPr>
        <w:t>Except for where a participant is summarily dismissed (in which case the awards will be forfeited), the DBSP Awards usually will continue upon cessation of office or employment with us and vest in full on the normal vesting date as described above. Options will remain exercisable for a period of 12 months from the date of vesting.</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Our board of directors may, at any time, amend the rules of the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DBSP from being an employees’ share scheme in accordance with the Companies Act 2006.</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DBSP Awards may be granted pursuant to the DBSP after the tenth anniversary of the date of Admission.</w:t>
      </w:r>
    </w:p>
    <w:p>
      <w:pPr>
        <w:spacing w:after="0" w:line="21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following table summarizes: (i) the outstanding number of options and awards under the Share Plans; and (ii) the number of shares granted to directors, executive officers, and non-executive directors, as of February 15,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Per Ordinary</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 (£)</w:t>
            </w:r>
          </w:p>
        </w:tc>
        <w:tc>
          <w:tcPr>
            <w:tcW w:w="200" w:type="dxa"/>
            <w:vAlign w:val="bottom"/>
          </w:tcPr>
          <w:p>
            <w:pPr>
              <w:spacing w:after="0"/>
              <w:rPr>
                <w:sz w:val="15"/>
                <w:szCs w:val="15"/>
                <w:color w:val="auto"/>
              </w:rPr>
            </w:pP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Scots-Knight, Ph.D.</w:t>
            </w:r>
          </w:p>
        </w:tc>
        <w:tc>
          <w:tcPr>
            <w:tcW w:w="1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w w:val="72"/>
              </w:rPr>
              <w:t>Denise</w:t>
            </w:r>
          </w:p>
        </w:tc>
        <w:tc>
          <w:tcPr>
            <w:tcW w:w="2720" w:type="dxa"/>
            <w:vAlign w:val="bottom"/>
            <w:vMerge w:val="continue"/>
            <w:shd w:val="clear" w:color="auto" w:fill="CCEEFF"/>
          </w:tcPr>
          <w:p>
            <w:pPr>
              <w:spacing w:after="0"/>
              <w:rPr>
                <w:sz w:val="16"/>
                <w:szCs w:val="16"/>
                <w:color w:val="auto"/>
              </w:rPr>
            </w:pP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844,199</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1,544,745</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461,538</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25,319</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Richard Jones</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650,000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3.02</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April 4, 2027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185,950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Alastair MacKinnon</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425,974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234,162</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17,127</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John Richard</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249,658</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50,000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2.21</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June 1, 2016</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June 1, 2026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Charles Sermon</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524,504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269,796</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19,734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Peter Fellner</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10,000</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1,692,673</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Frank Armstrong</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256,444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Peter Bains</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107,906</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710,583</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Blackburn</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22,624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236,974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1.84</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May 11,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May 11, 2026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Anders Ekblom</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93,002</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Kunal Kashyap</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1,497,735</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 Remuneration</w:t>
      </w:r>
    </w:p>
    <w:p>
      <w:pPr>
        <w:spacing w:after="0" w:line="99"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The following table sets forth the remuneration paid during 2017 to the current non-employee directors, all of which was in the form of annual fees: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Annual</w:t>
            </w:r>
          </w:p>
        </w:tc>
      </w:tr>
      <w:tr>
        <w:trPr>
          <w:trHeight w:val="175"/>
        </w:trPr>
        <w:tc>
          <w:tcPr>
            <w:tcW w:w="10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Fees (£)</w:t>
            </w:r>
          </w:p>
        </w:tc>
      </w:tr>
      <w:tr>
        <w:trPr>
          <w:trHeight w:val="196"/>
        </w:trPr>
        <w:tc>
          <w:tcPr>
            <w:tcW w:w="20" w:type="dxa"/>
            <w:vAlign w:val="bottom"/>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8"/>
              </w:rPr>
              <w:t>Frank</w:t>
            </w:r>
          </w:p>
        </w:tc>
        <w:tc>
          <w:tcPr>
            <w:tcW w:w="984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Armstrong</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Peter Bains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Paul Blackburn</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Anders Ekblom</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Fellner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r>
    </w:tbl>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remuneration of the non-executive directors is determined by our board as a whole, based on a review of current practices in other companies. We have entered into service contracts with our directors for their services, which are subject to a three-month termination period. There are no arrangements under which any non-executive director is entitled to receive compensation upon the early termination of his appointment.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8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operate a defined contribution pension scheme which is available to all employees. We make payments of up to 10% of basic salary for executives (up to 15% for our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us to provide pension, retirement or similar benefits to our current directors and our senior management with respect to 2017 was £145,293, which represents contributions made by us in 2017 in respect of a defined contribution scheme.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As of December 31, 2017 and 2016, we had 31 and 24 employees, respectively. All of our employees were based in the United Kingdom. All of our employees were engaged in either general and administrative or research and development functions. None of our employees are covered by a collective bargaining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 and Indemnification</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maintain directors’ and officers’ insurance to ensure such persons against certain liabilities. We have entered into a deed of indemnity with each of our directors and we expect to enter into a new deed of indemnity with each of our directors and executive officers in connection with the global offering.</w:t>
      </w:r>
    </w:p>
    <w:p>
      <w:pPr>
        <w:spacing w:after="0" w:line="202"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forgoing provisions, we have been informed that, in the opinion of the SEC, such indemnification is against public policy as expressed in the Securities Act and is therefore unenforceable.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SHAREHOLDERS</w:t>
      </w:r>
    </w:p>
    <w:p>
      <w:pPr>
        <w:spacing w:after="0" w:line="342"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w:t>
            </w:r>
          </w:p>
        </w:tc>
        <w:tc>
          <w:tcPr>
            <w:tcW w:w="1300" w:type="dxa"/>
            <w:vAlign w:val="bottom"/>
          </w:tcPr>
          <w:p>
            <w:pPr>
              <w:ind w:left="520"/>
              <w:spacing w:after="0"/>
              <w:rPr>
                <w:sz w:val="20"/>
                <w:szCs w:val="20"/>
                <w:color w:val="auto"/>
              </w:rPr>
            </w:pPr>
            <w:r>
              <w:rPr>
                <w:rFonts w:ascii="Arial" w:cs="Arial" w:eastAsia="Arial" w:hAnsi="Arial"/>
                <w:sz w:val="18"/>
                <w:szCs w:val="18"/>
                <w:color w:val="auto"/>
                <w:w w:val="96"/>
              </w:rPr>
              <w:t>, 2018 by:</w:t>
            </w:r>
          </w:p>
        </w:tc>
      </w:tr>
    </w:tbl>
    <w:p>
      <w:pPr>
        <w:spacing w:after="0" w:line="193" w:lineRule="exact"/>
        <w:rPr>
          <w:sz w:val="20"/>
          <w:szCs w:val="20"/>
          <w:color w:val="auto"/>
        </w:rPr>
      </w:pPr>
    </w:p>
    <w:p>
      <w:pPr>
        <w:ind w:left="960" w:hanging="432"/>
        <w:spacing w:after="0"/>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own beneficially 3% or more of our outstanding ordinary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member of our board of directors and each of our other executive officers.</w:t>
      </w:r>
    </w:p>
    <w:p>
      <w:pPr>
        <w:spacing w:after="0" w:line="203"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w:t>
      </w:r>
    </w:p>
    <w:p>
      <w:pPr>
        <w:spacing w:after="0" w:line="2" w:lineRule="exact"/>
        <w:rPr>
          <w:sz w:val="20"/>
          <w:szCs w:val="20"/>
          <w:color w:val="auto"/>
        </w:rPr>
      </w:pPr>
    </w:p>
    <w:p>
      <w:pPr>
        <w:jc w:val="both"/>
        <w:ind w:left="200" w:right="180"/>
        <w:spacing w:after="0"/>
        <w:rPr>
          <w:sz w:val="20"/>
          <w:szCs w:val="20"/>
          <w:color w:val="auto"/>
        </w:rPr>
      </w:pPr>
      <w:r>
        <w:rPr>
          <w:rFonts w:ascii="Arial" w:cs="Arial" w:eastAsia="Arial" w:hAnsi="Arial"/>
          <w:sz w:val="18"/>
          <w:szCs w:val="18"/>
          <w:color w:val="auto"/>
        </w:rPr>
        <w:t>as well as any shares that the individual has the right to acquire within 60 days of , 2018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98" w:lineRule="exact"/>
        <w:rPr>
          <w:sz w:val="20"/>
          <w:szCs w:val="20"/>
          <w:color w:val="auto"/>
        </w:rPr>
      </w:pPr>
    </w:p>
    <w:p>
      <w:pPr>
        <w:ind w:left="540"/>
        <w:spacing w:after="0"/>
        <w:tabs>
          <w:tab w:leader="none" w:pos="9240" w:val="left"/>
        </w:tabs>
        <w:rPr>
          <w:sz w:val="20"/>
          <w:szCs w:val="20"/>
          <w:color w:val="auto"/>
        </w:rPr>
      </w:pPr>
      <w:r>
        <w:rPr>
          <w:rFonts w:ascii="Arial" w:cs="Arial" w:eastAsia="Arial" w:hAnsi="Arial"/>
          <w:sz w:val="18"/>
          <w:szCs w:val="18"/>
          <w:color w:val="auto"/>
        </w:rPr>
        <w:t>The percentage of ordinary shares beneficially owned before the offering is computed on the basis of</w:t>
      </w:r>
      <w:r>
        <w:rPr>
          <w:sz w:val="20"/>
          <w:szCs w:val="20"/>
          <w:color w:val="auto"/>
        </w:rPr>
        <w:tab/>
      </w:r>
      <w:r>
        <w:rPr>
          <w:rFonts w:ascii="Arial" w:cs="Arial" w:eastAsia="Arial" w:hAnsi="Arial"/>
          <w:sz w:val="17"/>
          <w:szCs w:val="17"/>
          <w:color w:val="auto"/>
        </w:rPr>
        <w:t>ordinary shares</w:t>
      </w:r>
    </w:p>
    <w:p>
      <w:pPr>
        <w:ind w:left="200"/>
        <w:spacing w:after="0" w:line="234" w:lineRule="auto"/>
        <w:tabs>
          <w:tab w:leader="none" w:pos="2600" w:val="left"/>
          <w:tab w:leader="none" w:pos="990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8"/>
          <w:szCs w:val="18"/>
          <w:color w:val="auto"/>
        </w:rPr>
        <w:t>, 2018. Ordinary shares that a person has the right to acquire within 60 days of</w:t>
      </w:r>
      <w:r>
        <w:rPr>
          <w:sz w:val="20"/>
          <w:szCs w:val="20"/>
          <w:color w:val="auto"/>
        </w:rPr>
        <w:tab/>
      </w:r>
      <w:r>
        <w:rPr>
          <w:rFonts w:ascii="Arial" w:cs="Arial" w:eastAsia="Arial" w:hAnsi="Arial"/>
          <w:sz w:val="18"/>
          <w:szCs w:val="18"/>
          <w:color w:val="auto"/>
        </w:rPr>
        <w:t>, 2018 are</w:t>
      </w:r>
    </w:p>
    <w:p>
      <w:pPr>
        <w:spacing w:after="0" w:line="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Fourth Floor, One Cavendish Place, London W1G 0QF, United Kingdom.</w:t>
      </w:r>
    </w:p>
    <w:p>
      <w:pPr>
        <w:sectPr>
          <w:pgSz w:w="11900" w:h="16838" w:orient="portrait"/>
          <w:cols w:equalWidth="0" w:num="1">
            <w:col w:w="11220"/>
          </w:cols>
          <w:pgMar w:left="240" w:top="460" w:right="439" w:bottom="1440" w:gutter="0" w:footer="0" w:header="0"/>
        </w:sectPr>
      </w:pP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r>
      <w:tr>
        <w:trPr>
          <w:trHeight w:val="182"/>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7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Before Offering</w:t>
            </w:r>
          </w:p>
        </w:tc>
      </w:tr>
    </w:tbl>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 or Greater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-116205</wp:posOffset>
            </wp:positionV>
            <wp:extent cx="657796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Novartis Pharma AG(1)</w:t>
      </w:r>
    </w:p>
    <w:p>
      <w:pPr>
        <w:ind w:left="540"/>
        <w:spacing w:after="0" w:line="234" w:lineRule="auto"/>
        <w:rPr>
          <w:sz w:val="20"/>
          <w:szCs w:val="20"/>
          <w:color w:val="auto"/>
        </w:rPr>
      </w:pPr>
      <w:r>
        <w:rPr>
          <w:rFonts w:ascii="Arial" w:cs="Arial" w:eastAsia="Arial" w:hAnsi="Arial"/>
          <w:sz w:val="18"/>
          <w:szCs w:val="18"/>
          <w:color w:val="auto"/>
        </w:rPr>
        <w:t>Woodford Investment Management(2)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Invesco Asset Management(3)</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Hargreave Hale(4)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Executive Officers and Directors:</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Denise Scots-Knight, Ph.D.(5)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-127635</wp:posOffset>
            </wp:positionV>
            <wp:extent cx="657796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Richard Jones</w:t>
      </w:r>
    </w:p>
    <w:p>
      <w:pPr>
        <w:ind w:left="540"/>
        <w:spacing w:after="0" w:line="235" w:lineRule="auto"/>
        <w:rPr>
          <w:sz w:val="20"/>
          <w:szCs w:val="20"/>
          <w:color w:val="auto"/>
        </w:rPr>
      </w:pPr>
      <w:r>
        <w:rPr>
          <w:rFonts w:ascii="Arial" w:cs="Arial" w:eastAsia="Arial" w:hAnsi="Arial"/>
          <w:sz w:val="18"/>
          <w:szCs w:val="18"/>
          <w:color w:val="auto"/>
        </w:rPr>
        <w:t>Alastair MacKinnon, MBBS(6)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John Richard(7)</w:t>
      </w:r>
    </w:p>
    <w:p>
      <w:pPr>
        <w:ind w:left="540"/>
        <w:spacing w:after="0" w:line="235" w:lineRule="auto"/>
        <w:rPr>
          <w:sz w:val="20"/>
          <w:szCs w:val="20"/>
          <w:color w:val="auto"/>
        </w:rPr>
      </w:pPr>
      <w:r>
        <w:rPr>
          <w:rFonts w:ascii="Arial" w:cs="Arial" w:eastAsia="Arial" w:hAnsi="Arial"/>
          <w:sz w:val="18"/>
          <w:szCs w:val="18"/>
          <w:color w:val="auto"/>
        </w:rPr>
        <w:t>Charles Sermon(8)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Peter Fellner, Ph.D.(9)</w:t>
      </w:r>
    </w:p>
    <w:p>
      <w:pPr>
        <w:ind w:left="540"/>
        <w:spacing w:after="0" w:line="235" w:lineRule="auto"/>
        <w:rPr>
          <w:sz w:val="20"/>
          <w:szCs w:val="20"/>
          <w:color w:val="auto"/>
        </w:rPr>
      </w:pPr>
      <w:r>
        <w:rPr>
          <w:rFonts w:ascii="Arial" w:cs="Arial" w:eastAsia="Arial" w:hAnsi="Arial"/>
          <w:sz w:val="18"/>
          <w:szCs w:val="18"/>
          <w:color w:val="auto"/>
        </w:rPr>
        <w:t>Frank Armstrong, MBChB(10)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Peter Bains(11)</w:t>
      </w:r>
    </w:p>
    <w:p>
      <w:pPr>
        <w:ind w:left="540"/>
        <w:spacing w:after="0" w:line="235" w:lineRule="auto"/>
        <w:rPr>
          <w:sz w:val="20"/>
          <w:szCs w:val="20"/>
          <w:color w:val="auto"/>
        </w:rPr>
      </w:pPr>
      <w:r>
        <w:rPr>
          <w:rFonts w:ascii="Arial" w:cs="Arial" w:eastAsia="Arial" w:hAnsi="Arial"/>
          <w:sz w:val="18"/>
          <w:szCs w:val="18"/>
          <w:color w:val="auto"/>
        </w:rPr>
        <w:t>Paul Blackburn(12)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-127635</wp:posOffset>
            </wp:positionV>
            <wp:extent cx="657796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Anders Ekblom, M.D., Ph.D.(13)</w:t>
      </w:r>
    </w:p>
    <w:p>
      <w:pPr>
        <w:ind w:left="540"/>
        <w:spacing w:after="0"/>
        <w:rPr>
          <w:sz w:val="20"/>
          <w:szCs w:val="20"/>
          <w:color w:val="auto"/>
        </w:rPr>
      </w:pPr>
      <w:r>
        <w:rPr>
          <w:rFonts w:ascii="Arial" w:cs="Arial" w:eastAsia="Arial" w:hAnsi="Arial"/>
          <w:sz w:val="18"/>
          <w:szCs w:val="18"/>
          <w:color w:val="auto"/>
        </w:rPr>
        <w:t>Kunal Kashyap(14)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77965" cy="1289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83820</wp:posOffset>
            </wp:positionV>
            <wp:extent cx="18180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5" w:lineRule="exact"/>
        <w:rPr>
          <w:sz w:val="20"/>
          <w:szCs w:val="20"/>
          <w:color w:val="auto"/>
        </w:rPr>
      </w:pPr>
    </w:p>
    <w:p>
      <w:pPr>
        <w:ind w:left="5560" w:hanging="5356"/>
        <w:spacing w:after="0" w:line="418" w:lineRule="auto"/>
        <w:tabs>
          <w:tab w:leader="none" w:pos="5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 156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Percentage of Ordinary Shares</w:t>
      </w:r>
    </w:p>
    <w:p>
      <w:pPr>
        <w:spacing w:after="0" w:line="19"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18351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52" w:lineRule="exact"/>
        <w:rPr>
          <w:sz w:val="20"/>
          <w:szCs w:val="20"/>
          <w:color w:val="auto"/>
        </w:rPr>
      </w:pPr>
    </w:p>
    <w:p>
      <w:pPr>
        <w:spacing w:after="0"/>
        <w:tabs>
          <w:tab w:leader="none" w:pos="1920" w:val="left"/>
        </w:tabs>
        <w:rPr>
          <w:sz w:val="20"/>
          <w:szCs w:val="20"/>
          <w:color w:val="auto"/>
        </w:rPr>
      </w:pPr>
      <w:r>
        <w:rPr>
          <w:rFonts w:ascii="Arial" w:cs="Arial" w:eastAsia="Arial" w:hAnsi="Arial"/>
          <w:sz w:val="14"/>
          <w:szCs w:val="14"/>
          <w:b w:val="1"/>
          <w:bCs w:val="1"/>
          <w:u w:val="single" w:color="auto"/>
          <w:color w:val="auto"/>
        </w:rPr>
        <w:t>Before Offering</w:t>
      </w:r>
      <w:r>
        <w:rPr>
          <w:sz w:val="20"/>
          <w:szCs w:val="20"/>
          <w:color w:val="auto"/>
        </w:rPr>
        <w:tab/>
      </w:r>
      <w:r>
        <w:rPr>
          <w:rFonts w:ascii="Arial" w:cs="Arial" w:eastAsia="Arial" w:hAnsi="Arial"/>
          <w:sz w:val="14"/>
          <w:szCs w:val="14"/>
          <w:b w:val="1"/>
          <w:bCs w:val="1"/>
          <w:u w:val="single" w:color="auto"/>
          <w:color w:val="auto"/>
        </w:rPr>
        <w:t>After Offering</w:t>
      </w:r>
    </w:p>
    <w:p>
      <w:pPr>
        <w:spacing w:after="0" w:line="392" w:lineRule="exact"/>
        <w:rPr>
          <w:sz w:val="20"/>
          <w:szCs w:val="20"/>
          <w:color w:val="auto"/>
        </w:rPr>
      </w:pPr>
    </w:p>
    <w:p>
      <w:pPr>
        <w:jc w:val="both"/>
        <w:ind w:left="1060"/>
        <w:spacing w:after="0"/>
        <w:tabs>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2">
            <w:col w:w="7420" w:space="380"/>
            <w:col w:w="3420"/>
          </w:cols>
          <w:pgMar w:left="240" w:top="460" w:right="439" w:bottom="144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519"/>
        </w:trPr>
        <w:tc>
          <w:tcPr>
            <w:tcW w:w="580" w:type="dxa"/>
            <w:vAlign w:val="bottom"/>
          </w:tcPr>
          <w:p>
            <w:pPr>
              <w:ind w:lef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5360" w:type="dxa"/>
            <w:vAlign w:val="bottom"/>
            <w:gridSpan w:val="4"/>
          </w:tcPr>
          <w:p>
            <w:pPr>
              <w:ind w:left="400"/>
              <w:spacing w:after="0"/>
              <w:rPr>
                <w:sz w:val="20"/>
                <w:szCs w:val="20"/>
                <w:color w:val="auto"/>
              </w:rPr>
            </w:pPr>
            <w:r>
              <w:rPr>
                <w:rFonts w:ascii="Arial" w:cs="Arial" w:eastAsia="Arial" w:hAnsi="Arial"/>
                <w:sz w:val="18"/>
                <w:szCs w:val="18"/>
                <w:color w:val="auto"/>
              </w:rPr>
              <w:t>ordinary shares held directly by Novartis Pharma AG and (b)</w:t>
            </w:r>
          </w:p>
        </w:tc>
        <w:tc>
          <w:tcPr>
            <w:tcW w:w="3620" w:type="dxa"/>
            <w:vAlign w:val="bottom"/>
          </w:tcPr>
          <w:p>
            <w:pPr>
              <w:ind w:left="700"/>
              <w:spacing w:after="0"/>
              <w:rPr>
                <w:sz w:val="20"/>
                <w:szCs w:val="20"/>
                <w:color w:val="auto"/>
              </w:rPr>
            </w:pPr>
            <w:r>
              <w:rPr>
                <w:rFonts w:ascii="Arial" w:cs="Arial" w:eastAsia="Arial" w:hAnsi="Arial"/>
                <w:sz w:val="18"/>
                <w:szCs w:val="18"/>
                <w:color w:val="auto"/>
              </w:rPr>
              <w:t>ordinary shares issuable within 60</w:t>
            </w:r>
          </w:p>
        </w:tc>
      </w:tr>
      <w:tr>
        <w:trPr>
          <w:trHeight w:val="217"/>
        </w:trPr>
        <w:tc>
          <w:tcPr>
            <w:tcW w:w="5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days of</w:t>
            </w:r>
          </w:p>
        </w:tc>
        <w:tc>
          <w:tcPr>
            <w:tcW w:w="4400" w:type="dxa"/>
            <w:vAlign w:val="bottom"/>
            <w:gridSpan w:val="4"/>
          </w:tcPr>
          <w:p>
            <w:pPr>
              <w:ind w:left="120"/>
              <w:spacing w:after="0"/>
              <w:rPr>
                <w:sz w:val="20"/>
                <w:szCs w:val="20"/>
                <w:color w:val="auto"/>
              </w:rPr>
            </w:pPr>
            <w:r>
              <w:rPr>
                <w:rFonts w:ascii="Arial" w:cs="Arial" w:eastAsia="Arial" w:hAnsi="Arial"/>
                <w:sz w:val="18"/>
                <w:szCs w:val="18"/>
                <w:color w:val="auto"/>
              </w:rPr>
              <w:t>, 2018 upon conversion of the Novartis Notes.</w:t>
            </w: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w:t>
            </w:r>
          </w:p>
        </w:tc>
        <w:tc>
          <w:tcPr>
            <w:tcW w:w="3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shares held by</w:t>
            </w:r>
          </w:p>
        </w:tc>
        <w:tc>
          <w:tcPr>
            <w:tcW w:w="7580" w:type="dxa"/>
            <w:vAlign w:val="bottom"/>
            <w:gridSpan w:val="4"/>
          </w:tcPr>
          <w:p>
            <w:pPr>
              <w:ind w:left="700"/>
              <w:spacing w:after="0"/>
              <w:rPr>
                <w:sz w:val="20"/>
                <w:szCs w:val="20"/>
                <w:color w:val="auto"/>
              </w:rPr>
            </w:pPr>
            <w:r>
              <w:rPr>
                <w:rFonts w:ascii="Arial" w:cs="Arial" w:eastAsia="Arial" w:hAnsi="Arial"/>
                <w:sz w:val="18"/>
                <w:szCs w:val="18"/>
                <w:color w:val="auto"/>
                <w:w w:val="99"/>
              </w:rPr>
              <w:t>. Beneficial ownership information is based on information known to us and a Form TR</w:t>
            </w:r>
          </w:p>
        </w:tc>
      </w:tr>
      <w:tr>
        <w:trPr>
          <w:trHeight w:val="217"/>
        </w:trPr>
        <w:tc>
          <w:tcPr>
            <w:tcW w:w="58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1 provided to us on</w:t>
            </w:r>
          </w:p>
        </w:tc>
        <w:tc>
          <w:tcPr>
            <w:tcW w:w="5360" w:type="dxa"/>
            <w:vAlign w:val="bottom"/>
            <w:gridSpan w:val="4"/>
          </w:tcPr>
          <w:p>
            <w:pPr>
              <w:ind w:left="720"/>
              <w:spacing w:after="0"/>
              <w:rPr>
                <w:sz w:val="20"/>
                <w:szCs w:val="20"/>
                <w:color w:val="auto"/>
              </w:rPr>
            </w:pPr>
            <w:r>
              <w:rPr>
                <w:rFonts w:ascii="Arial" w:cs="Arial" w:eastAsia="Arial" w:hAnsi="Arial"/>
                <w:sz w:val="18"/>
                <w:szCs w:val="18"/>
                <w:color w:val="auto"/>
              </w:rPr>
              <w:t>. Woodford Investment Management’s mailing address is</w:t>
            </w:r>
          </w:p>
        </w:tc>
        <w:tc>
          <w:tcPr>
            <w:tcW w:w="362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w:t>
            </w:r>
          </w:p>
        </w:tc>
        <w:tc>
          <w:tcPr>
            <w:tcW w:w="3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shares held by</w:t>
            </w:r>
          </w:p>
        </w:tc>
        <w:tc>
          <w:tcPr>
            <w:tcW w:w="7580" w:type="dxa"/>
            <w:vAlign w:val="bottom"/>
            <w:gridSpan w:val="4"/>
          </w:tcPr>
          <w:p>
            <w:pPr>
              <w:ind w:left="700"/>
              <w:spacing w:after="0"/>
              <w:rPr>
                <w:sz w:val="20"/>
                <w:szCs w:val="20"/>
                <w:color w:val="auto"/>
              </w:rPr>
            </w:pPr>
            <w:r>
              <w:rPr>
                <w:rFonts w:ascii="Arial" w:cs="Arial" w:eastAsia="Arial" w:hAnsi="Arial"/>
                <w:sz w:val="18"/>
                <w:szCs w:val="18"/>
                <w:color w:val="auto"/>
                <w:w w:val="99"/>
              </w:rPr>
              <w:t>. Beneficial ownership information is based on information known to us and a Form TR</w:t>
            </w:r>
          </w:p>
        </w:tc>
      </w:tr>
      <w:tr>
        <w:trPr>
          <w:trHeight w:val="217"/>
        </w:trPr>
        <w:tc>
          <w:tcPr>
            <w:tcW w:w="58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1 provided to us on</w:t>
            </w:r>
          </w:p>
        </w:tc>
        <w:tc>
          <w:tcPr>
            <w:tcW w:w="5360" w:type="dxa"/>
            <w:vAlign w:val="bottom"/>
            <w:gridSpan w:val="4"/>
          </w:tcPr>
          <w:p>
            <w:pPr>
              <w:ind w:left="720"/>
              <w:spacing w:after="0"/>
              <w:rPr>
                <w:sz w:val="20"/>
                <w:szCs w:val="20"/>
                <w:color w:val="auto"/>
              </w:rPr>
            </w:pPr>
            <w:r>
              <w:rPr>
                <w:rFonts w:ascii="Arial" w:cs="Arial" w:eastAsia="Arial" w:hAnsi="Arial"/>
                <w:sz w:val="18"/>
                <w:szCs w:val="18"/>
                <w:color w:val="auto"/>
              </w:rPr>
              <w:t>. Invesco Asset Management’s mailing address is</w:t>
            </w:r>
          </w:p>
        </w:tc>
        <w:tc>
          <w:tcPr>
            <w:tcW w:w="3620" w:type="dxa"/>
            <w:vAlign w:val="bottom"/>
          </w:tcPr>
          <w:p>
            <w:pPr>
              <w:jc w:val="right"/>
              <w:ind w:right="3370"/>
              <w:spacing w:after="0"/>
              <w:rPr>
                <w:sz w:val="20"/>
                <w:szCs w:val="20"/>
                <w:color w:val="auto"/>
              </w:rPr>
            </w:pPr>
            <w:r>
              <w:rPr>
                <w:rFonts w:ascii="Arial" w:cs="Arial" w:eastAsia="Arial" w:hAnsi="Arial"/>
                <w:sz w:val="18"/>
                <w:szCs w:val="18"/>
                <w:color w:val="auto"/>
              </w:rPr>
              <w:t>.</w:t>
            </w: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w:t>
            </w:r>
          </w:p>
        </w:tc>
        <w:tc>
          <w:tcPr>
            <w:tcW w:w="3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shares held by</w:t>
            </w:r>
          </w:p>
        </w:tc>
        <w:tc>
          <w:tcPr>
            <w:tcW w:w="7580" w:type="dxa"/>
            <w:vAlign w:val="bottom"/>
            <w:gridSpan w:val="4"/>
          </w:tcPr>
          <w:p>
            <w:pPr>
              <w:ind w:left="700"/>
              <w:spacing w:after="0"/>
              <w:rPr>
                <w:sz w:val="20"/>
                <w:szCs w:val="20"/>
                <w:color w:val="auto"/>
              </w:rPr>
            </w:pPr>
            <w:r>
              <w:rPr>
                <w:rFonts w:ascii="Arial" w:cs="Arial" w:eastAsia="Arial" w:hAnsi="Arial"/>
                <w:sz w:val="18"/>
                <w:szCs w:val="18"/>
                <w:color w:val="auto"/>
                <w:w w:val="99"/>
              </w:rPr>
              <w:t>. Beneficial ownership information is based on information known to us and a Form TR</w:t>
            </w:r>
          </w:p>
        </w:tc>
      </w:tr>
      <w:tr>
        <w:trPr>
          <w:trHeight w:val="217"/>
        </w:trPr>
        <w:tc>
          <w:tcPr>
            <w:tcW w:w="58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1 provided to us on</w:t>
            </w:r>
          </w:p>
        </w:tc>
        <w:tc>
          <w:tcPr>
            <w:tcW w:w="4100" w:type="dxa"/>
            <w:vAlign w:val="bottom"/>
            <w:gridSpan w:val="3"/>
          </w:tcPr>
          <w:p>
            <w:pPr>
              <w:ind w:left="720"/>
              <w:spacing w:after="0"/>
              <w:rPr>
                <w:sz w:val="20"/>
                <w:szCs w:val="20"/>
                <w:color w:val="auto"/>
              </w:rPr>
            </w:pPr>
            <w:r>
              <w:rPr>
                <w:rFonts w:ascii="Arial" w:cs="Arial" w:eastAsia="Arial" w:hAnsi="Arial"/>
                <w:sz w:val="18"/>
                <w:szCs w:val="18"/>
                <w:color w:val="auto"/>
              </w:rPr>
              <w:t>. Hargreave Hale’s mailing address is</w:t>
            </w:r>
          </w:p>
        </w:tc>
        <w:tc>
          <w:tcPr>
            <w:tcW w:w="12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200" w:firstLine="331"/>
        <w:spacing w:after="0"/>
        <w:rPr>
          <w:sz w:val="20"/>
          <w:szCs w:val="20"/>
          <w:color w:val="auto"/>
        </w:rPr>
      </w:pPr>
      <w:r>
        <w:rPr>
          <w:rFonts w:ascii="Arial" w:cs="Arial" w:eastAsia="Arial" w:hAnsi="Arial"/>
          <w:sz w:val="18"/>
          <w:szCs w:val="18"/>
          <w:color w:val="auto"/>
        </w:rPr>
        <w:t>To our knowledge, and other than changes in percentage ownership as a result of the shares issued in connection with our initial public offering in the United Kingdom, there has been no significant change in the percentage ownership held by the major shareholders listed above in the last three years, except as discussed under the heading “Related Party Transactions.”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46"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RELATED PARTY TRANSACTIONS</w:t>
      </w:r>
    </w:p>
    <w:p>
      <w:pPr>
        <w:spacing w:after="0" w:line="342" w:lineRule="exact"/>
        <w:rPr>
          <w:sz w:val="20"/>
          <w:szCs w:val="20"/>
          <w:color w:val="auto"/>
        </w:rPr>
      </w:pPr>
    </w:p>
    <w:p>
      <w:pPr>
        <w:ind w:left="200" w:right="540" w:firstLine="331"/>
        <w:spacing w:after="0"/>
        <w:rPr>
          <w:sz w:val="20"/>
          <w:szCs w:val="20"/>
          <w:color w:val="auto"/>
        </w:rPr>
      </w:pPr>
      <w:r>
        <w:rPr>
          <w:rFonts w:ascii="Arial" w:cs="Arial" w:eastAsia="Arial" w:hAnsi="Arial"/>
          <w:sz w:val="18"/>
          <w:szCs w:val="18"/>
          <w:color w:val="auto"/>
        </w:rPr>
        <w:t>The following is a description of related party transactions we have entered into with the beneficial owners of 3% or more of our ordinary shares, which are our only voting securities, and senior management and members of our board of directors, since our incorporation.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Subscription Agreement</w:t>
      </w:r>
    </w:p>
    <w:p>
      <w:pPr>
        <w:spacing w:after="0" w:line="99"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On July 28, 2015, we entered into a subscription agreement for ordinary shares, or the Subscription Agreement, with Invesco Perpetual High Income Fund, Woodford Patient Capital Trust plc and LF Woodford Equity Income Fund, or, collectively, the Existing Investors, and Novartis. Under the Subscription Agreement, we initially issued 10,869,566 ordinary shares to the Existing Investors at a price per ordinary share of £1.84 for total aggregate cash proceeds of £20.0 million, and 3,849,000 ordinary shares to Novartis in connection with the asset purchase agreements described under “—Other Transactions with Novartis.”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Subscription Agreement provided for us to draw down additional investments from the Existing Investors. The Subscription Agreement also obligated us, upon the issuance of additional ordinary shares, to issue to Novartis the number of ordinary shares required to maintain Novartis’ percentage ownership of us at 19.5%, with the maximum aggregate number of ordinary shares that may be issued to Novartis under the Subscription Agreement set at 14,000,000. On June 9, 2016, we issued an additional 30,727,361 ordinary shares to the Existing Investors pursuant to the drawdown and 8,697,480 ordinary shares to Novartis to maintain its percentage ownership following the drawdown and an additional private placement of our ordinary shares, for aggregate cash proceeds to us of £72.6 million. In accordance with its terms, the Subscription Agreement was terminated upon the admission of our ordinary shares to trading on AIM on June 9, 2016. In lieu of the remaining ordinary shares that we were obligated to issue to Novartis under the Subscription Agreement, Novartis is entitled to receive additional shares upon conversion of the convertible notes issued to Novartis on June 3, 2016. See “—Other Transactions with Novartis—Novartis Notes.”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Novartis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July 28, 2015, we entered into asset purchase agreements with Novartis to purchase each of BPS-804, BCT-197, and BGS-649.</w:t>
      </w:r>
    </w:p>
    <w:p>
      <w:pPr>
        <w:ind w:left="200"/>
        <w:spacing w:after="0"/>
        <w:rPr>
          <w:sz w:val="20"/>
          <w:szCs w:val="20"/>
          <w:color w:val="auto"/>
        </w:rPr>
      </w:pPr>
      <w:r>
        <w:rPr>
          <w:rFonts w:ascii="Arial" w:cs="Arial" w:eastAsia="Arial" w:hAnsi="Arial"/>
          <w:sz w:val="18"/>
          <w:szCs w:val="18"/>
          <w:color w:val="auto"/>
        </w:rPr>
        <w:t>See “Business—Material Agreements—Novartis Agreements.” As consideration, we issued 3,849,000 ordinary shares to Novartis.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On June 3, 2016, we issued 3,463,563 Novartis Notes to Novartis, for aggregate proceeds to us of £3.5 million. The Novartis Notes bear interest at 4% per annum and accruing daily. Novartis may at any time convert all or some of the Novartis Notes into our ordinary shares at a conversion price of £2.21 per ordinary share. In addition, upon the conversion of any Novartis Notes, Novartis is entitled to receive a number of Bonus Shares equal to the number of shares into which such Novartis Notes are converted multiplied by 0.93, up to 1,453,520 Bonus Shares in aggregate. To the extent any of the Novartis Notes remain outstanding on March 2, 2021, we are obligated to pay Novartis the principal amount of such outstanding Novartis Notes together with any accrued interest.</w:t>
      </w:r>
    </w:p>
    <w:p>
      <w:pPr>
        <w:spacing w:after="0" w:line="20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the date of this prospectus, the outstanding principal and accrued interest of the Novartis Notes is £2,257,700.</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24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Supply Payments</w:t>
      </w:r>
    </w:p>
    <w:p>
      <w:pPr>
        <w:spacing w:after="0" w:line="99"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In 2016, we paid Novartis a total of £968,219. In 2017, we paid Novartis a total of £4,610,106 for the manufacture and supply of clinical trial material.</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Board Observer Rights</w:t>
      </w:r>
    </w:p>
    <w:p>
      <w:pPr>
        <w:spacing w:after="0" w:line="8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Pursuant to our Articles of Association, for as long as Novartis holds not less than one percent of our issued share capital, Novartis may appoint one observer who may attend, but not participate or vote in, any meeting of our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Our Executive Officers and Directors</w:t>
      </w:r>
    </w:p>
    <w:p>
      <w:pPr>
        <w:spacing w:after="0" w:line="85"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Frank Armstrong, a member of our board of directors, is a director of Dr. Frank M Armstrong Consulting Ltd., or Armstrong Consulting. In 2015, we paid Armstrong Consulting a total of £120,412 for assistance with diligence activities, advisory services and reimbursement of travel costs.</w:t>
      </w:r>
    </w:p>
    <w:p>
      <w:pPr>
        <w:spacing w:after="0" w:line="203"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Dr. Denise Scots-Knight, Dr. Alastair MacKinnon, Charles Sermon, John Richard, Kunal Kashyap, and Peter Bains are directors of Phase4. In 2015, we paid Phase4 a total of £458,359 for reimbursement of pre-establishment third-party consultancy services and for office and travel costs.</w:t>
      </w:r>
    </w:p>
    <w:p>
      <w:pPr>
        <w:spacing w:after="0" w:line="20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We have entered into employment agreements or consultancy agreements with certain of our executive officers. See “Management— Compensation—Executive Officer Employment and Consultancy Agreements.”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 Agreements</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We have entered into deeds of indemnity with each of our directors and we expect to enter into a new deed of indemnity with each of our directors and executive officers in connection with the global offering. See “Management—Insurance and Indemnification.”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 Policy</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Prior to the closing of the global offering, we intend to enter into a related person transaction policy.</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were re-registered as a public limited company with the legal name Mereo BioPharma Group plc. Our registered office is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Capital</w:t>
      </w:r>
    </w:p>
    <w:p>
      <w:pPr>
        <w:spacing w:after="0" w:line="85"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As of December 31, 2017, our issued share capital was £213,285. The nominal value of our ordinary shares is £0.003 per ordinary share. Each issued ordinary share is fully paid.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2017, none of our ordinary shares were held by shareholders of record in the United States.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As of December 31, 2017, there were options to purchase 11,916,424 ordinary shares outstanding with a weighted average exercise price of £1.42 per ordinary share. The options generally lapse after 10 years from the date of the grant.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Notes</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On June 3, 2016, we issued 3,463,563 Novartis Notes to Novartis. As of December 31, 2017, the outstanding principal and accrued interest on the Novartis Notes was £ 2,245,479, which may be converted into 1,016,054 ordinary shares at a conversion price of £2.21 per ordinary share at any time until they mature. In connection with any such conversion, we are also obligated to issue a number of Bonus Shares equal to the number of shares into which the Novartis Notes are converted multiplied by 0.93, up to a maximum of 1,453,520 Bonus Shares. To date, we have issued 588,532 Bonus Shares. The Novartis Notes mature on March 2, 2021, at which time we will be obligated to pay any outstanding principal together with any accrued interest.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60" w:hanging="432"/>
        <w:spacing w:after="0" w:line="226"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holder of our ordinary shares is entitled to one vote per ordinary share at a meeting of shareholders (provided that certain shareholders each have their votes on a poll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Shares</w:t>
      </w:r>
    </w:p>
    <w:p>
      <w:pPr>
        <w:spacing w:after="0" w:line="85"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deemed to be issued when the name of the shareholder is entered in our share register. The share register therefore is prima facie evidence of the identity of our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97"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to reflect the ordinary shares being sold in the global offering, including updating the share register with the number of ordinary shares to be issued to the depositary upon the closing of the U.S. offering. We also are required by the U.K. Companies Act 2006 to register a transfer of ordinary shares (or give the transferee notice of and reasons for refusal) as soon as practicable and in any event within two months of receiving notice of the transfer.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3" w:lineRule="exact"/>
        <w:rPr>
          <w:sz w:val="20"/>
          <w:szCs w:val="20"/>
          <w:color w:val="auto"/>
        </w:rPr>
      </w:pPr>
    </w:p>
    <w:p>
      <w:pPr>
        <w:ind w:left="960" w:hanging="432"/>
        <w:spacing w:after="0"/>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wrongly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jc w:val="both"/>
        <w:ind w:left="960" w:right="320" w:hanging="432"/>
        <w:spacing w:after="0" w:line="223"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Preemptive Rights</w:t>
      </w:r>
    </w:p>
    <w:p>
      <w:pPr>
        <w:spacing w:after="0" w:line="99"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in a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June 2, 2016, our shareholders approved the exclusion of preemptive rights for a period of five years from the date of the approval in respect of the allotment of up to a maximum amount of £ 350,000 of ordinary shares of £0.003 each, which exclusion will need to be renewed upon expiration (i.e., at least every five years) to remain effective, but may be sought more frequently for additional five-year terms (or any shorter period).</w:t>
      </w:r>
    </w:p>
    <w:p>
      <w:pPr>
        <w:spacing w:after="0" w:line="6"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On , 2018, our shareholders approved the exclusion of preemptive rights for the allotment of ordinary shares in connection with the global offering.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Articles of Association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Objects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objects of our company are unrestricted.</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Rights</w:t>
      </w:r>
    </w:p>
    <w:p>
      <w:pPr>
        <w:spacing w:after="0" w:line="54"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Voting Rights</w:t>
      </w:r>
    </w:p>
    <w:p>
      <w:pPr>
        <w:spacing w:after="0" w:line="54"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60" w:right="200" w:hanging="432"/>
        <w:spacing w:after="0" w:line="218"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9"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7" w:lineRule="exact"/>
        <w:rPr>
          <w:rFonts w:ascii="MS PGothic" w:cs="MS PGothic" w:eastAsia="MS PGothic" w:hAnsi="MS PGothic"/>
          <w:sz w:val="25"/>
          <w:szCs w:val="25"/>
          <w:color w:val="auto"/>
          <w:vertAlign w:val="superscript"/>
        </w:rPr>
      </w:pPr>
    </w:p>
    <w:p>
      <w:pPr>
        <w:jc w:val="both"/>
        <w:ind w:left="960" w:right="260" w:hanging="432"/>
        <w:spacing w:after="0" w:line="226"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203"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4" w:lineRule="exact"/>
        <w:rPr>
          <w:sz w:val="20"/>
          <w:szCs w:val="20"/>
          <w:color w:val="auto"/>
        </w:rPr>
      </w:pPr>
    </w:p>
    <w:p>
      <w:pPr>
        <w:ind w:left="960" w:hanging="432"/>
        <w:spacing w:after="0"/>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Voting</w:t>
      </w:r>
    </w:p>
    <w:p>
      <w:pPr>
        <w:spacing w:after="0" w:line="54"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No shareholder shall be entitled to vote at any general meeting in respect of any share held by him unless all sums payable by him in respect of that share have been paid.</w:t>
      </w:r>
    </w:p>
    <w:p>
      <w:pPr>
        <w:spacing w:after="0" w:line="197"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shares.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54" w:lineRule="exact"/>
        <w:rPr>
          <w:sz w:val="20"/>
          <w:szCs w:val="20"/>
          <w:color w:val="auto"/>
        </w:rPr>
      </w:pPr>
    </w:p>
    <w:p>
      <w:pPr>
        <w:ind w:left="200" w:firstLine="331"/>
        <w:spacing w:after="0" w:line="255" w:lineRule="auto"/>
        <w:rPr>
          <w:sz w:val="20"/>
          <w:szCs w:val="20"/>
          <w:color w:val="auto"/>
        </w:rPr>
      </w:pPr>
      <w:r>
        <w:rPr>
          <w:rFonts w:ascii="Arial" w:cs="Arial" w:eastAsia="Arial" w:hAnsi="Arial"/>
          <w:sz w:val="17"/>
          <w:szCs w:val="17"/>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 of Control</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Winding Up</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the liquidation of the Company may be closed and the Company dissolved), but no shareholder shall be compelled to accept any shares or other assets upon which there is any liability or potential liability.</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Variation of Rights</w:t>
      </w:r>
    </w:p>
    <w:p>
      <w:pPr>
        <w:spacing w:after="0" w:line="41"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Alteration to Share Capital</w:t>
      </w:r>
    </w:p>
    <w:p>
      <w:pPr>
        <w:spacing w:after="0" w:line="41"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Preemption Rights</w:t>
      </w:r>
    </w:p>
    <w:p>
      <w:pPr>
        <w:spacing w:after="0" w:line="41"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99"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Any shareholder holding shares in certificated form may transfer all or any of his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ind w:left="200" w:right="540" w:firstLine="331"/>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3" w:lineRule="exact"/>
        <w:rPr>
          <w:sz w:val="20"/>
          <w:szCs w:val="20"/>
          <w:color w:val="auto"/>
        </w:rPr>
      </w:pPr>
    </w:p>
    <w:p>
      <w:pPr>
        <w:ind w:left="960" w:hanging="432"/>
        <w:spacing w:after="0"/>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60" w:right="520" w:hanging="432"/>
        <w:spacing w:after="0" w:line="223"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CREST</w:t>
      </w:r>
    </w:p>
    <w:p>
      <w:pPr>
        <w:spacing w:after="0" w:line="85"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General Meetings</w:t>
      </w:r>
    </w:p>
    <w:p>
      <w:pPr>
        <w:spacing w:after="0" w:line="54"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Notice of General Meetings</w:t>
      </w:r>
    </w:p>
    <w:p>
      <w:pPr>
        <w:spacing w:after="0" w:line="54"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Quorum of General Meetings</w:t>
      </w:r>
    </w:p>
    <w:p>
      <w:pPr>
        <w:spacing w:after="0" w:line="54"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No business shall be transacted at any general meeting unless a quorum is present. At least two shareholders present in person or by proxy and entitled to vote shall be a quorum for all purposes.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 Meetings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Number of Directors</w:t>
      </w:r>
    </w:p>
    <w:p>
      <w:pPr>
        <w:spacing w:after="0" w:line="54"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We may not have less than two directors on the board of directors and not more than nine. We may, by ordinary resolution of the shareholders, vary the minimum and maximum number of directors from time to time.</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Appointment of Directors</w:t>
      </w:r>
    </w:p>
    <w:p>
      <w:pPr>
        <w:spacing w:after="0" w:line="54" w:lineRule="exact"/>
        <w:rPr>
          <w:sz w:val="20"/>
          <w:szCs w:val="20"/>
          <w:color w:val="auto"/>
        </w:rPr>
      </w:pPr>
    </w:p>
    <w:p>
      <w:pPr>
        <w:jc w:val="both"/>
        <w:ind w:left="200" w:right="240" w:firstLine="331"/>
        <w:spacing w:after="0" w:line="238"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the Company their willingness to be elected as a director not later than seven days before the general meeting at which the relevant resolution is proposed.</w:t>
      </w:r>
    </w:p>
    <w:p>
      <w:pPr>
        <w:spacing w:after="0" w:line="20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Directors’ Interests</w:t>
      </w:r>
    </w:p>
    <w:p>
      <w:pPr>
        <w:spacing w:after="0" w:line="54"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If a situation arises in which a director has, or can have, a direct or indirect interest that conflicts, or possibly may conflict, with our interests (other than a situation that cannot reasonably be regarded as likely to give rise to a conflict of interest or a conflict of interest arising in relation to a transaction or arrangement with the Company), the board may authorize in accordance with the U.K. Companies Act 2006 the director’s interest and the continuing performance by the relevant director of his duties as a director on such terms as the board may determine.</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 director shall not be accountable to us for any benefit which he derives from or in connection with a relationship involving a conflict of interest or possible conflict of interest which has been authorized by the directors or by the Company in a general meeting and any such transaction or arrangement shall not be liable to be avoided on the grounds of any such benefit.</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Subject to the requirements under sections 175, 177 and 182 of the U.K. Companies Act 2006, a director shall declare the nature and extent of such conflicts.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 director may participate in the decision-making process and count in the quorum and vote on a proposed decision of the board which is concerned with such director’s interests (subject to any restrictions imposed by the other directors when providing such consent) if such director has declared the nature and extent of any interest of his and provided a majority of the other directors consent, or if one of the following situations applies:</w:t>
      </w:r>
    </w:p>
    <w:p>
      <w:pPr>
        <w:spacing w:after="0" w:line="107" w:lineRule="exact"/>
        <w:rPr>
          <w:sz w:val="20"/>
          <w:szCs w:val="20"/>
          <w:color w:val="auto"/>
        </w:rPr>
      </w:pPr>
    </w:p>
    <w:p>
      <w:pPr>
        <w:ind w:left="960" w:right="100" w:hanging="432"/>
        <w:spacing w:after="0" w:line="218"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arises solely through an interest in shares, debentures or other securities of or otherwise in or through the Company;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ordinary resolution of the Company permits the director to count in the quorum and vote on the proposed decision;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cannot reasonably be regarded as likely to give rise to a material conflict of interest;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conflict of interest arises from one of the following:</w:t>
      </w:r>
    </w:p>
    <w:p>
      <w:pPr>
        <w:spacing w:after="0" w:line="26" w:lineRule="exact"/>
        <w:rPr>
          <w:rFonts w:ascii="MS PGothic" w:cs="MS PGothic" w:eastAsia="MS PGothic" w:hAnsi="MS PGothic"/>
          <w:sz w:val="25"/>
          <w:szCs w:val="25"/>
          <w:color w:val="auto"/>
          <w:vertAlign w:val="superscript"/>
        </w:rPr>
      </w:pPr>
    </w:p>
    <w:p>
      <w:pPr>
        <w:ind w:left="1400" w:right="240" w:hanging="426"/>
        <w:spacing w:after="0" w:line="218"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guarantee, security or indemnity given, or to be given, by or to the director in respect of an obligation incurred by or on behalf of the Company or any of its subsidiaries;</w:t>
      </w:r>
    </w:p>
    <w:p>
      <w:pPr>
        <w:spacing w:after="0" w:line="27" w:lineRule="exact"/>
        <w:rPr>
          <w:rFonts w:ascii="MS PGothic" w:cs="MS PGothic" w:eastAsia="MS PGothic" w:hAnsi="MS PGothic"/>
          <w:sz w:val="25"/>
          <w:szCs w:val="25"/>
          <w:color w:val="auto"/>
          <w:vertAlign w:val="superscript"/>
        </w:rPr>
      </w:pPr>
    </w:p>
    <w:p>
      <w:pPr>
        <w:ind w:left="1400" w:hanging="426"/>
        <w:spacing w:after="0" w:line="223"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subscription, or agreement to subscribe, for shares or other securities of the Company or any of its subsidiaries, or to underwrite, sub-underwrite or guarantee an offer of any such shares or securities by the Company or any of its subsidiaries for subscription, purchase or exchange;</w:t>
      </w:r>
    </w:p>
    <w:p>
      <w:pPr>
        <w:spacing w:after="0" w:line="28" w:lineRule="exact"/>
        <w:rPr>
          <w:rFonts w:ascii="MS PGothic" w:cs="MS PGothic" w:eastAsia="MS PGothic" w:hAnsi="MS PGothic"/>
          <w:sz w:val="25"/>
          <w:szCs w:val="25"/>
          <w:color w:val="auto"/>
          <w:vertAlign w:val="superscript"/>
        </w:rPr>
      </w:pPr>
    </w:p>
    <w:p>
      <w:pPr>
        <w:ind w:left="1400" w:right="180" w:hanging="426"/>
        <w:spacing w:after="0" w:line="223"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arrangements pursuant to which benefits are made are made available to employees and directors, or former employees and directors, of the Company or any of its subsidiaries which do not provide special benefits for directors or former directors;</w:t>
      </w:r>
    </w:p>
    <w:p>
      <w:pPr>
        <w:spacing w:after="0" w:line="28" w:lineRule="exact"/>
        <w:rPr>
          <w:rFonts w:ascii="MS PGothic" w:cs="MS PGothic" w:eastAsia="MS PGothic" w:hAnsi="MS PGothic"/>
          <w:sz w:val="25"/>
          <w:szCs w:val="25"/>
          <w:color w:val="auto"/>
          <w:vertAlign w:val="superscript"/>
        </w:rPr>
      </w:pPr>
    </w:p>
    <w:p>
      <w:pPr>
        <w:ind w:left="1400" w:right="460" w:hanging="426"/>
        <w:spacing w:after="0" w:line="218"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or maintenance of insurance which the Company is empowered to purchase or maintain for directors or officers;</w:t>
      </w:r>
    </w:p>
    <w:p>
      <w:pPr>
        <w:spacing w:after="0" w:line="27" w:lineRule="exact"/>
        <w:rPr>
          <w:rFonts w:ascii="MS PGothic" w:cs="MS PGothic" w:eastAsia="MS PGothic" w:hAnsi="MS PGothic"/>
          <w:sz w:val="25"/>
          <w:szCs w:val="25"/>
          <w:color w:val="auto"/>
          <w:vertAlign w:val="superscript"/>
        </w:rPr>
      </w:pPr>
    </w:p>
    <w:p>
      <w:pPr>
        <w:ind w:left="1400" w:right="300" w:hanging="426"/>
        <w:spacing w:after="0" w:line="218"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giving to the director of an indemnity against liabilities incurred or to be incurred by the director in the execution and discharge of his duties;</w:t>
      </w:r>
    </w:p>
    <w:p>
      <w:pPr>
        <w:spacing w:after="0" w:line="27" w:lineRule="exact"/>
        <w:rPr>
          <w:rFonts w:ascii="MS PGothic" w:cs="MS PGothic" w:eastAsia="MS PGothic" w:hAnsi="MS PGothic"/>
          <w:sz w:val="25"/>
          <w:szCs w:val="25"/>
          <w:color w:val="auto"/>
          <w:vertAlign w:val="superscript"/>
        </w:rPr>
      </w:pPr>
    </w:p>
    <w:p>
      <w:pPr>
        <w:ind w:left="1400" w:right="100" w:hanging="426"/>
        <w:spacing w:after="0" w:line="223"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provision of funds to the director to meet expenditure incurred or to be incurred by the director in defending criminal or civil proceedings against him or in connection with any application under certain provisions of the U.K. Companies Act 2006 or otherwise enabling him to avoid incurring that expenditure; or</w:t>
      </w:r>
    </w:p>
    <w:p>
      <w:pPr>
        <w:spacing w:after="0" w:line="28" w:lineRule="exact"/>
        <w:rPr>
          <w:rFonts w:ascii="MS PGothic" w:cs="MS PGothic" w:eastAsia="MS PGothic" w:hAnsi="MS PGothic"/>
          <w:sz w:val="25"/>
          <w:szCs w:val="25"/>
          <w:color w:val="auto"/>
          <w:vertAlign w:val="superscript"/>
        </w:rPr>
      </w:pPr>
    </w:p>
    <w:p>
      <w:pPr>
        <w:ind w:left="1400" w:hanging="426"/>
        <w:spacing w:after="0" w:line="228"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proposals concerning another company in which the director is interested directly or indirectly (whether as officer, shareholder or otherwise), if the director and any other persons connected with him do not to his knowledge hold an interest in shares representing 1% or more of the issued shares of any class of the equity share capital of that company (or of any third company through which his or their interest is derived) or of the voting rights available to shareholders of the relevant company.</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director shall not be counted in the quorum present at a meeting in relation to a resolution on which he is not entitled to vote.</w:t>
      </w:r>
    </w:p>
    <w:p>
      <w:pPr>
        <w:spacing w:after="0" w:line="212"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voluntarily agreeing to abstain from voting, the question shall be determined by the chairman of the meeting (or where such question arises in respect of the chairman of the meeting, by a majority of votes of the remaining directors present at the meeting).</w:t>
      </w:r>
    </w:p>
    <w:p>
      <w:pPr>
        <w:spacing w:after="0" w:line="29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Directors’ Fees and Remuneration</w:t>
      </w:r>
    </w:p>
    <w:p>
      <w:pPr>
        <w:spacing w:after="0" w:line="41" w:lineRule="exact"/>
        <w:rPr>
          <w:sz w:val="20"/>
          <w:szCs w:val="20"/>
          <w:color w:val="auto"/>
        </w:rPr>
      </w:pPr>
    </w:p>
    <w:p>
      <w:pPr>
        <w:ind w:left="200" w:right="860" w:firstLine="331"/>
        <w:spacing w:after="0" w:line="246" w:lineRule="auto"/>
        <w:rPr>
          <w:sz w:val="20"/>
          <w:szCs w:val="20"/>
          <w:color w:val="auto"/>
        </w:rPr>
      </w:pPr>
      <w:r>
        <w:rPr>
          <w:rFonts w:ascii="Arial" w:cs="Arial" w:eastAsia="Arial" w:hAnsi="Arial"/>
          <w:sz w:val="18"/>
          <w:szCs w:val="18"/>
          <w:color w:val="auto"/>
        </w:rPr>
        <w:t>Each of the directors is entitled to remuneration as determined by the board for their service as directors and other services undertaken for the Company.</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80" w:firstLine="331"/>
        <w:spacing w:after="0"/>
        <w:rPr>
          <w:sz w:val="20"/>
          <w:szCs w:val="20"/>
          <w:color w:val="auto"/>
        </w:rPr>
      </w:pPr>
      <w:r>
        <w:rPr>
          <w:rFonts w:ascii="Arial" w:cs="Arial" w:eastAsia="Arial" w:hAnsi="Arial"/>
          <w:sz w:val="18"/>
          <w:szCs w:val="18"/>
          <w:color w:val="auto"/>
        </w:rPr>
        <w:t>Each director may be paid his reasonable expenses in connection with such director’s attendance at meetings of the board or committees of the board or general meetings or separate meetings of the holders class of shares or of debentures, or otherwise in connection with the exercise of powers and the discharge of responsibilities in relation to the Company.</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Indemnity</w:t>
      </w:r>
    </w:p>
    <w:p>
      <w:pPr>
        <w:spacing w:after="0" w:line="41"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Every director, officer or former director or officer of our group may be indemnified against all costs, charges, losses, expenses and liabilities incurred by him in connection with any negligence, default, breach of duty, or breach of trust by him in relation to us or in connection with our activities as a trustee of an occupational pension scheme, in the actual or purported exercise of his powers or duties or otherwise as our officer, to the extent permitted under the U.K. Companies Act 2006.</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Novartis Observer</w:t>
      </w:r>
    </w:p>
    <w:p>
      <w:pPr>
        <w:spacing w:after="0" w:line="41"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 participate or vote in, any meeting of our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Notification of Voting Rights</w:t>
      </w:r>
    </w:p>
    <w:p>
      <w:pPr>
        <w:spacing w:after="0" w:line="4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Guidance of the Disclosure Rules and Transparency Rules of the U.K. Financial Conduct Authority to notify us of the percentage of his voting rights if the percentage of voting rights which he holds as a shareholder or through his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Sell Out</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of the acceptance period. If a shareholder exercises his rights to be bought out, the offeror is required to acquire those shares on the terms of this offer or on such other terms as may be agreed.</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Disclosure of Interest in Shares</w:t>
      </w:r>
    </w:p>
    <w:p>
      <w:pPr>
        <w:spacing w:after="0" w:line="4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knowledge) particulars of any other interest that subsists or subsisted in those shares.</w:t>
      </w:r>
    </w:p>
    <w:p>
      <w:pPr>
        <w:spacing w:after="0" w:line="202"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or default shares, within the prescribed period, the directors may by notice direct that:</w:t>
      </w:r>
    </w:p>
    <w:p>
      <w:pPr>
        <w:spacing w:after="0" w:line="102" w:lineRule="exact"/>
        <w:rPr>
          <w:sz w:val="20"/>
          <w:szCs w:val="20"/>
          <w:color w:val="auto"/>
        </w:rPr>
      </w:pPr>
    </w:p>
    <w:p>
      <w:pPr>
        <w:ind w:left="960" w:hanging="432"/>
        <w:spacing w:after="0" w:line="218"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28"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Purchase of Own Shares</w:t>
      </w:r>
    </w:p>
    <w:p>
      <w:pPr>
        <w:spacing w:after="0" w:line="4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960" w:hanging="432"/>
        <w:spacing w:after="0"/>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and Dividends</w:t>
      </w:r>
    </w:p>
    <w:p>
      <w:pPr>
        <w:spacing w:after="0" w:line="41"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60" w:right="300" w:hanging="432"/>
        <w:spacing w:after="0" w:line="218"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City Code on Takeovers and Mergers</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a public company incorporated in England and Wales with our registered office in England and Wales which has shares admitted to AIM, we are subject to the U.K. City Code on Takeovers and Mergers, or the City Code, which is issued and administered by the U.K. Panel on Takeovers and Mergers, or the Panel. The City Code provides a framework within which takeovers of companies subject to it are conducted. In particular, the City Code contains certain rules in respect of mandatory offers. Under Rule 9 of the City Code, if a person:</w:t>
      </w:r>
    </w:p>
    <w:p>
      <w:pPr>
        <w:spacing w:after="0" w:line="229" w:lineRule="exact"/>
        <w:rPr>
          <w:sz w:val="20"/>
          <w:szCs w:val="20"/>
          <w:color w:val="auto"/>
        </w:rPr>
      </w:pPr>
    </w:p>
    <w:p>
      <w:pPr>
        <w:ind w:left="960" w:right="160" w:hanging="432"/>
        <w:spacing w:after="0" w:line="218"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persons acting in concert with him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23"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96"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 Controls</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81" w:lineRule="exact"/>
        <w:rPr>
          <w:sz w:val="20"/>
          <w:szCs w:val="20"/>
          <w:color w:val="auto"/>
        </w:rPr>
      </w:pPr>
    </w:p>
    <w:p>
      <w:pPr>
        <w:jc w:val="both"/>
        <w:ind w:left="200" w:right="60" w:firstLine="331"/>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220"/>
          </w:cols>
          <w:pgMar w:left="240" w:top="460" w:right="439" w:bottom="1440" w:gutter="0" w:footer="0" w:header="0"/>
        </w:sect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720" w:type="dxa"/>
            <w:vAlign w:val="bottom"/>
          </w:tcPr>
          <w:p>
            <w:pPr>
              <w:spacing w:after="0" w:line="182" w:lineRule="exact"/>
              <w:rPr>
                <w:sz w:val="20"/>
                <w:szCs w:val="20"/>
                <w:color w:val="auto"/>
              </w:rPr>
            </w:pPr>
            <w:r>
              <w:rPr>
                <w:rFonts w:ascii="Arial" w:cs="Arial" w:eastAsia="Arial" w:hAnsi="Arial"/>
                <w:sz w:val="18"/>
                <w:szCs w:val="18"/>
                <w:color w:val="auto"/>
              </w:rPr>
              <w:t>Under the U.K. Companies Act 2006, a public limited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company must have at least two directors and the number</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of directors may be fixed by or in the manner provided in a</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company’s articles of association.</w:t>
            </w: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0"/>
                <w:szCs w:val="20"/>
                <w:color w:val="auto"/>
              </w:rPr>
            </w:pPr>
            <w:r>
              <w:rPr>
                <w:rFonts w:ascii="Arial" w:cs="Arial" w:eastAsia="Arial" w:hAnsi="Arial"/>
                <w:sz w:val="18"/>
                <w:szCs w:val="18"/>
                <w:color w:val="auto"/>
              </w:rPr>
              <w:t>Removal of</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Under the U.K. Companies Act 2006, shareholders may</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remove a director without cause by an ordinary resolution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(which is passed by a simple majority of those voting in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person or by proxy at a general meeting) irrespective of</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any provisions of any service contract the director has with</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the company, provided 28 clear days’ notice of the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resolution has been given to the company and its</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shareholders. On receipt of notice of an intended resolution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to remove a director, the company must forthwith send a</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copy of the notice to the director concerned. Certain other</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procedural requirements under the U.K. Companies Act</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2006 must also be followed such as allowing the director to</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make representations against his or her removal either at</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the meeting or in writing.</w:t>
            </w:r>
          </w:p>
        </w:tc>
        <w:tc>
          <w:tcPr>
            <w:tcW w:w="0" w:type="dxa"/>
            <w:vAlign w:val="bottom"/>
          </w:tcPr>
          <w:p>
            <w:pPr>
              <w:spacing w:after="0"/>
              <w:rPr>
                <w:sz w:val="1"/>
                <w:szCs w:val="1"/>
                <w:color w:val="auto"/>
              </w:rPr>
            </w:pPr>
          </w:p>
        </w:tc>
      </w:tr>
      <w:tr>
        <w:trPr>
          <w:trHeight w:val="458"/>
        </w:trPr>
        <w:tc>
          <w:tcPr>
            <w:tcW w:w="1360" w:type="dxa"/>
            <w:vAlign w:val="bottom"/>
          </w:tcPr>
          <w:p>
            <w:pPr>
              <w:spacing w:after="0"/>
              <w:rPr>
                <w:sz w:val="20"/>
                <w:szCs w:val="20"/>
                <w:color w:val="auto"/>
              </w:rPr>
            </w:pPr>
            <w:r>
              <w:rPr>
                <w:rFonts w:ascii="Arial" w:cs="Arial" w:eastAsia="Arial" w:hAnsi="Arial"/>
                <w:sz w:val="18"/>
                <w:szCs w:val="18"/>
                <w:color w:val="auto"/>
              </w:rPr>
              <w:t>Vacancies on</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Under English law, the procedure by which directors, other</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the Board of</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than a company’s initial directors, are appointed is</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generally set out in a company’s articles of association,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provided that where two or more persons are appointed as</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directors of a public limited company by resolution of the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shareholders, resolutions appointing each director must be</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voted on individually.</w:t>
            </w:r>
          </w:p>
        </w:tc>
        <w:tc>
          <w:tcPr>
            <w:tcW w:w="0" w:type="dxa"/>
            <w:vAlign w:val="bottom"/>
          </w:tcPr>
          <w:p>
            <w:pPr>
              <w:spacing w:after="0"/>
              <w:rPr>
                <w:sz w:val="1"/>
                <w:szCs w:val="1"/>
                <w:color w:val="auto"/>
              </w:rPr>
            </w:pPr>
          </w:p>
        </w:tc>
      </w:tr>
      <w:tr>
        <w:trPr>
          <w:trHeight w:val="959"/>
        </w:trPr>
        <w:tc>
          <w:tcPr>
            <w:tcW w:w="1360" w:type="dxa"/>
            <w:vAlign w:val="bottom"/>
          </w:tcPr>
          <w:p>
            <w:pPr>
              <w:spacing w:after="0"/>
              <w:rPr>
                <w:sz w:val="24"/>
                <w:szCs w:val="24"/>
                <w:color w:val="auto"/>
              </w:rPr>
            </w:pPr>
          </w:p>
        </w:tc>
        <w:tc>
          <w:tcPr>
            <w:tcW w:w="5040" w:type="dxa"/>
            <w:vAlign w:val="bottom"/>
            <w:gridSpan w:val="2"/>
          </w:tcPr>
          <w:p>
            <w:pPr>
              <w:ind w:left="40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5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38" w:orient="portrait"/>
          <w:cols w:equalWidth="0" w:num="2">
            <w:col w:w="6600" w:space="100"/>
            <w:col w:w="4520"/>
          </w:cols>
          <w:pgMar w:left="240" w:top="460" w:right="439" w:bottom="1440" w:gutter="0" w:footer="0" w:header="0"/>
          <w:type w:val="continuous"/>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60" w:right="45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249"/>
        </w:trPr>
        <w:tc>
          <w:tcPr>
            <w:tcW w:w="1500" w:type="dxa"/>
            <w:vAlign w:val="bottom"/>
          </w:tcPr>
          <w:p>
            <w:pPr>
              <w:spacing w:after="0"/>
              <w:rPr>
                <w:sz w:val="20"/>
                <w:szCs w:val="20"/>
                <w:color w:val="auto"/>
              </w:rPr>
            </w:pPr>
            <w:r>
              <w:rPr>
                <w:rFonts w:ascii="Arial" w:cs="Arial" w:eastAsia="Arial" w:hAnsi="Arial"/>
                <w:sz w:val="18"/>
                <w:szCs w:val="18"/>
                <w:color w:val="auto"/>
              </w:rPr>
              <w:t>Annual General</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a public limited</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Meeting</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 must hold an annual general meeting in each</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six-month period following the company’s annual</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accounting reference date.</w:t>
            </w:r>
          </w:p>
        </w:tc>
      </w:tr>
      <w:tr>
        <w:trPr>
          <w:trHeight w:val="458"/>
        </w:trPr>
        <w:tc>
          <w:tcPr>
            <w:tcW w:w="1500" w:type="dxa"/>
            <w:vAlign w:val="bottom"/>
          </w:tcPr>
          <w:p>
            <w:pPr>
              <w:spacing w:after="0"/>
              <w:rPr>
                <w:sz w:val="20"/>
                <w:szCs w:val="20"/>
                <w:color w:val="auto"/>
              </w:rPr>
            </w:pPr>
            <w:r>
              <w:rPr>
                <w:rFonts w:ascii="Arial" w:cs="Arial" w:eastAsia="Arial" w:hAnsi="Arial"/>
                <w:sz w:val="18"/>
                <w:szCs w:val="18"/>
                <w:color w:val="auto"/>
              </w:rPr>
              <w:t>General Meeting</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a general meeting of</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the shareholders of a public limited company may be called</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by the directors.</w:t>
            </w:r>
          </w:p>
        </w:tc>
      </w:tr>
      <w:tr>
        <w:trPr>
          <w:trHeight w:val="458"/>
        </w:trPr>
        <w:tc>
          <w:tcPr>
            <w:tcW w:w="1500" w:type="dxa"/>
            <w:vAlign w:val="bottom"/>
          </w:tcPr>
          <w:p>
            <w:pPr>
              <w:spacing w:after="0"/>
              <w:rPr>
                <w:sz w:val="24"/>
                <w:szCs w:val="24"/>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Shareholders holding at least 5% of the paid-up capital of</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company carrying voting rights at general meetings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(excluding any paid up capital held as treasury shares) can</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require the directors to call a general meeting and, if the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directors fail to do so within a certain period, may</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themselves convene a general meeting.</w:t>
            </w:r>
          </w:p>
        </w:tc>
      </w:tr>
      <w:tr>
        <w:trPr>
          <w:trHeight w:val="256"/>
        </w:trPr>
        <w:tc>
          <w:tcPr>
            <w:tcW w:w="1500" w:type="dxa"/>
            <w:vAlign w:val="bottom"/>
          </w:tcPr>
          <w:p>
            <w:pPr>
              <w:spacing w:after="0"/>
              <w:rPr>
                <w:sz w:val="20"/>
                <w:szCs w:val="20"/>
                <w:color w:val="auto"/>
              </w:rPr>
            </w:pPr>
            <w:r>
              <w:rPr>
                <w:rFonts w:ascii="Arial" w:cs="Arial" w:eastAsia="Arial" w:hAnsi="Arial"/>
                <w:sz w:val="18"/>
                <w:szCs w:val="18"/>
                <w:color w:val="auto"/>
              </w:rPr>
              <w:t>Notice of</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21 clear days’ notice</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General</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must be given for an annual general meeting and any</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Meetings</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resolutions to be proposed at the meeting. Subject to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company’s articles of association providing for a longer</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period, at least 14 clear days’ notice is required for any</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other general meeting. In addition, certain matters, such as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removal of directors or auditors, require special notice,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which is 28 clear days’ notice. The shareholders of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 may in all cases consent to a shorter notice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period, the proportion of shareholders’ consent required</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being 100% of those entitled to attend and vote in the case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of an annual general meeting and, in the case of any other</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general meeting, a majority in number of the members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having a right to attend and vote at the meeting, being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majority who together hold not less than 95% in nominal</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value of the shares giving a right to attend and vote at the</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meeting.</w:t>
            </w:r>
          </w:p>
        </w:tc>
      </w:tr>
      <w:tr>
        <w:trPr>
          <w:trHeight w:val="351"/>
        </w:trPr>
        <w:tc>
          <w:tcPr>
            <w:tcW w:w="1500" w:type="dxa"/>
            <w:vAlign w:val="bottom"/>
          </w:tcPr>
          <w:p>
            <w:pPr>
              <w:spacing w:after="0"/>
              <w:rPr>
                <w:sz w:val="24"/>
                <w:szCs w:val="24"/>
                <w:color w:val="auto"/>
              </w:rPr>
            </w:pPr>
          </w:p>
        </w:tc>
        <w:tc>
          <w:tcPr>
            <w:tcW w:w="4900" w:type="dxa"/>
            <w:vAlign w:val="bottom"/>
            <w:gridSpan w:val="2"/>
          </w:tcPr>
          <w:p>
            <w:pPr>
              <w:ind w:left="3860"/>
              <w:spacing w:after="0"/>
              <w:rPr>
                <w:sz w:val="20"/>
                <w:szCs w:val="20"/>
                <w:color w:val="auto"/>
              </w:rPr>
            </w:pPr>
            <w:r>
              <w:rPr>
                <w:rFonts w:ascii="Arial" w:cs="Arial" w:eastAsia="Arial" w:hAnsi="Arial"/>
                <w:sz w:val="18"/>
                <w:szCs w:val="18"/>
                <w:color w:val="auto"/>
              </w:rPr>
              <w:t>171</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600" w:space="100"/>
            <w:col w:w="4500"/>
          </w:cols>
          <w:pgMar w:left="240" w:top="460" w:right="459" w:bottom="1440" w:gutter="0" w:footer="0" w:header="0"/>
          <w:type w:val="continuous"/>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249"/>
        </w:trPr>
        <w:tc>
          <w:tcPr>
            <w:tcW w:w="1480" w:type="dxa"/>
            <w:vAlign w:val="bottom"/>
          </w:tcPr>
          <w:p>
            <w:pPr>
              <w:spacing w:after="0"/>
              <w:rPr>
                <w:sz w:val="20"/>
                <w:szCs w:val="20"/>
                <w:color w:val="auto"/>
              </w:rPr>
            </w:pPr>
            <w:r>
              <w:rPr>
                <w:rFonts w:ascii="Arial" w:cs="Arial" w:eastAsia="Arial" w:hAnsi="Arial"/>
                <w:sz w:val="18"/>
                <w:szCs w:val="18"/>
                <w:color w:val="auto"/>
              </w:rPr>
              <w:t>Proxy</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at any meeting of</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shareholders, a shareholder may designate another person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to attend, speak and vote at the meeting on their behalf by</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proxy.</w:t>
            </w:r>
          </w:p>
        </w:tc>
      </w:tr>
      <w:tr>
        <w:trPr>
          <w:trHeight w:val="863"/>
        </w:trPr>
        <w:tc>
          <w:tcPr>
            <w:tcW w:w="1480" w:type="dxa"/>
            <w:vAlign w:val="bottom"/>
          </w:tcPr>
          <w:p>
            <w:pPr>
              <w:spacing w:after="0"/>
              <w:rPr>
                <w:sz w:val="20"/>
                <w:szCs w:val="20"/>
                <w:color w:val="auto"/>
              </w:rPr>
            </w:pPr>
            <w:r>
              <w:rPr>
                <w:rFonts w:ascii="Arial" w:cs="Arial" w:eastAsia="Arial" w:hAnsi="Arial"/>
                <w:sz w:val="18"/>
                <w:szCs w:val="18"/>
                <w:color w:val="auto"/>
              </w:rPr>
              <w:t>Pre-emptive</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“equity securities”,</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Rights</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being (i) shares in the company other than shares that,</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with respect to dividends and capital, carry a right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participate only up to a specified amount in a distribution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(“ordinary shares”) or (ii) rights to subscribe for, or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convert securities into, ordinary shares, proposed to be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allotted for cash must be offered first to the existing equity</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in the company in proportion to the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respective nominal value of their holdings, unless an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exception applies or a special resolution to the contrary</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has been passed by shareholders in a general meeting or</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articles of association provide otherwise in each case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 accordance with the provisions of the U.K. Companies</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Act 2006.</w:t>
            </w:r>
          </w:p>
        </w:tc>
      </w:tr>
      <w:tr>
        <w:trPr>
          <w:trHeight w:val="256"/>
        </w:trPr>
        <w:tc>
          <w:tcPr>
            <w:tcW w:w="1480" w:type="dxa"/>
            <w:vAlign w:val="bottom"/>
          </w:tcPr>
          <w:p>
            <w:pPr>
              <w:spacing w:after="0"/>
              <w:rPr>
                <w:sz w:val="20"/>
                <w:szCs w:val="20"/>
                <w:color w:val="auto"/>
              </w:rPr>
            </w:pPr>
            <w:r>
              <w:rPr>
                <w:rFonts w:ascii="Arial" w:cs="Arial" w:eastAsia="Arial" w:hAnsi="Arial"/>
                <w:sz w:val="18"/>
                <w:szCs w:val="18"/>
                <w:color w:val="auto"/>
              </w:rPr>
              <w:t>Authority to Allot</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 must not allot shares or grant of rights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subscribe for or to convert any security into shares unless</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an exception applies or an ordinary resolution to the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contrary has been passed by shareholders in a general</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meeting or the articles of association provide otherwise in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each case in accordance with the provisions of the U.K.</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Companies Act 2006.</w:t>
            </w:r>
          </w:p>
        </w:tc>
      </w:tr>
      <w:tr>
        <w:trPr>
          <w:trHeight w:val="863"/>
        </w:trPr>
        <w:tc>
          <w:tcPr>
            <w:tcW w:w="1480" w:type="dxa"/>
            <w:vAlign w:val="bottom"/>
          </w:tcPr>
          <w:p>
            <w:pPr>
              <w:spacing w:after="0"/>
              <w:rPr>
                <w:sz w:val="20"/>
                <w:szCs w:val="20"/>
                <w:color w:val="auto"/>
              </w:rPr>
            </w:pPr>
            <w:r>
              <w:rPr>
                <w:rFonts w:ascii="Arial" w:cs="Arial" w:eastAsia="Arial" w:hAnsi="Arial"/>
                <w:sz w:val="18"/>
                <w:szCs w:val="18"/>
                <w:color w:val="auto"/>
              </w:rPr>
              <w:t>Liability of</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any provision,</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Directors and</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whether contained in a company’s articles of association or</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Officers</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any contract or otherwise, that purports to exempt a</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director of a company, to any</w:t>
            </w:r>
          </w:p>
        </w:tc>
      </w:tr>
      <w:tr>
        <w:trPr>
          <w:trHeight w:val="351"/>
        </w:trPr>
        <w:tc>
          <w:tcPr>
            <w:tcW w:w="1480" w:type="dxa"/>
            <w:vAlign w:val="bottom"/>
          </w:tcPr>
          <w:p>
            <w:pPr>
              <w:spacing w:after="0"/>
              <w:rPr>
                <w:sz w:val="24"/>
                <w:szCs w:val="24"/>
                <w:color w:val="auto"/>
              </w:rPr>
            </w:pPr>
          </w:p>
        </w:tc>
        <w:tc>
          <w:tcPr>
            <w:tcW w:w="4920" w:type="dxa"/>
            <w:vAlign w:val="bottom"/>
            <w:gridSpan w:val="2"/>
          </w:tcPr>
          <w:p>
            <w:pPr>
              <w:ind w:left="3880"/>
              <w:spacing w:after="0"/>
              <w:rPr>
                <w:sz w:val="20"/>
                <w:szCs w:val="20"/>
                <w:color w:val="auto"/>
              </w:rPr>
            </w:pPr>
            <w:r>
              <w:rPr>
                <w:rFonts w:ascii="Arial" w:cs="Arial" w:eastAsia="Arial" w:hAnsi="Arial"/>
                <w:sz w:val="18"/>
                <w:szCs w:val="18"/>
                <w:color w:val="auto"/>
              </w:rPr>
              <w:t>172</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4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57"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w:t>
      </w:r>
    </w:p>
    <w:p>
      <w:pPr>
        <w:sectPr>
          <w:pgSz w:w="11900" w:h="16838" w:orient="portrait"/>
          <w:cols w:equalWidth="0" w:num="2">
            <w:col w:w="6600" w:space="100"/>
            <w:col w:w="4520"/>
          </w:cols>
          <w:pgMar w:left="240" w:top="459" w:right="439" w:bottom="1440" w:gutter="0" w:footer="0" w:header="0"/>
          <w:type w:val="continuous"/>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extent, from any liability that would otherwise attach to him</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in connection with any negligence, default, breach of duty</w:t>
            </w: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or breach of trust in relation to the company is void.</w:t>
            </w:r>
          </w:p>
        </w:tc>
      </w:tr>
      <w:tr>
        <w:trPr>
          <w:trHeight w:val="296"/>
        </w:trPr>
        <w:tc>
          <w:tcPr>
            <w:tcW w:w="1360" w:type="dxa"/>
            <w:vAlign w:val="bottom"/>
          </w:tcPr>
          <w:p>
            <w:pPr>
              <w:spacing w:after="0"/>
              <w:rPr>
                <w:sz w:val="24"/>
                <w:szCs w:val="24"/>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Any provision by which a company directly or indirectly</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provides an indemnity, to any extent, for a director of the</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company or of an associated company against any liability</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attaching to him in connection with any negligence, default,</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breach of duty or breach of trust in relation to the company</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of which he is a director is also void except as permitted by</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the U.K. Companies Act 2006, which provides exceptions</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for the company to (a) purchase and maintain insurance</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against such liability; (b) provide a “qualifying third party</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indemnity” (being an indemnity against liability incurred by</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the director to a person other than the company or an</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associated company or criminal proceedings in which he is</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convicted); and (c) provide a “qualifying pension scheme</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indemnity” (being an indemnity against liability incurred in</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connection with the company’s activities as trustee of an</w:t>
            </w: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occupational pension plan).</w:t>
            </w:r>
          </w:p>
        </w:tc>
      </w:tr>
      <w:tr>
        <w:trPr>
          <w:trHeight w:val="296"/>
        </w:trPr>
        <w:tc>
          <w:tcPr>
            <w:tcW w:w="1360" w:type="dxa"/>
            <w:vAlign w:val="bottom"/>
          </w:tcPr>
          <w:p>
            <w:pPr>
              <w:spacing w:after="0"/>
              <w:rPr>
                <w:sz w:val="20"/>
                <w:szCs w:val="20"/>
                <w:color w:val="auto"/>
              </w:rPr>
            </w:pPr>
            <w:r>
              <w:rPr>
                <w:rFonts w:ascii="Arial" w:cs="Arial" w:eastAsia="Arial" w:hAnsi="Arial"/>
                <w:sz w:val="18"/>
                <w:szCs w:val="18"/>
                <w:color w:val="auto"/>
              </w:rPr>
              <w:t>Voting Rights</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Under English law, unless a poll is demanded by the</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shareholders of a company or is required by the chairman</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of the meeting or the company’s articles of association,</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shareholders shall vote on all resolutions on a show of</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hands. Under the U.K. Companies Act 2006, a poll may be</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demanded by (a) not fewer than five shareholders having</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the right to vote on the resolution; (b) any shareholder(s)</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representing not less than 10% of the total voting rights of</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all the shareholders having the right to vote on the</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resolution (excluding any voting rights attaching to treasury</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shares); or (c) any shareholder(s) holding shares in the</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company conferring a right to vote on the resolution</w:t>
            </w: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(excluding any voting rights attaching to treasury shares)</w:t>
            </w: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being shares on which an aggregate sum has been</w:t>
            </w:r>
          </w:p>
        </w:tc>
      </w:tr>
      <w:tr>
        <w:trPr>
          <w:trHeight w:val="351"/>
        </w:trPr>
        <w:tc>
          <w:tcPr>
            <w:tcW w:w="1360" w:type="dxa"/>
            <w:vAlign w:val="bottom"/>
          </w:tcPr>
          <w:p>
            <w:pPr>
              <w:spacing w:after="0"/>
              <w:rPr>
                <w:sz w:val="24"/>
                <w:szCs w:val="24"/>
                <w:color w:val="auto"/>
              </w:rPr>
            </w:pPr>
          </w:p>
        </w:tc>
        <w:tc>
          <w:tcPr>
            <w:tcW w:w="5040" w:type="dxa"/>
            <w:vAlign w:val="bottom"/>
            <w:gridSpan w:val="2"/>
          </w:tcPr>
          <w:p>
            <w:pPr>
              <w:ind w:left="4000"/>
              <w:spacing w:after="0"/>
              <w:rPr>
                <w:sz w:val="20"/>
                <w:szCs w:val="20"/>
                <w:color w:val="auto"/>
              </w:rPr>
            </w:pPr>
            <w:r>
              <w:rPr>
                <w:rFonts w:ascii="Arial" w:cs="Arial" w:eastAsia="Arial" w:hAnsi="Arial"/>
                <w:sz w:val="18"/>
                <w:szCs w:val="18"/>
                <w:color w:val="auto"/>
              </w:rPr>
              <w:t>173</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damages arising from a breach of fiduciary duty as a director. However, no provision can limit the liability of a director for:</w:t>
      </w:r>
    </w:p>
    <w:p>
      <w:pPr>
        <w:spacing w:after="0" w:line="95" w:lineRule="exact"/>
        <w:rPr>
          <w:sz w:val="20"/>
          <w:szCs w:val="20"/>
          <w:color w:val="auto"/>
        </w:rPr>
      </w:pPr>
    </w:p>
    <w:p>
      <w:pPr>
        <w:ind w:left="320" w:right="320" w:hanging="320"/>
        <w:spacing w:after="0" w:line="246" w:lineRule="auto"/>
        <w:tabs>
          <w:tab w:leader="none" w:pos="322" w:val="left"/>
        </w:tabs>
        <w:numPr>
          <w:ilvl w:val="0"/>
          <w:numId w:val="113"/>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21" w:lineRule="exact"/>
        <w:rPr>
          <w:rFonts w:ascii="MS PGothic" w:cs="MS PGothic" w:eastAsia="MS PGothic" w:hAnsi="MS PGothic"/>
          <w:sz w:val="13"/>
          <w:szCs w:val="13"/>
          <w:color w:val="auto"/>
        </w:rPr>
      </w:pPr>
    </w:p>
    <w:p>
      <w:pPr>
        <w:ind w:left="320" w:right="20" w:hanging="320"/>
        <w:spacing w:after="0" w:line="246" w:lineRule="auto"/>
        <w:tabs>
          <w:tab w:leader="none" w:pos="322" w:val="left"/>
        </w:tabs>
        <w:numPr>
          <w:ilvl w:val="0"/>
          <w:numId w:val="113"/>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 w:lineRule="exact"/>
        <w:rPr>
          <w:rFonts w:ascii="MS PGothic" w:cs="MS PGothic" w:eastAsia="MS PGothic" w:hAnsi="MS PGothic"/>
          <w:sz w:val="13"/>
          <w:szCs w:val="13"/>
          <w:color w:val="auto"/>
        </w:rPr>
      </w:pPr>
    </w:p>
    <w:p>
      <w:pPr>
        <w:ind w:left="640" w:hanging="316"/>
        <w:spacing w:after="0" w:line="246" w:lineRule="auto"/>
        <w:tabs>
          <w:tab w:leader="none" w:pos="642" w:val="left"/>
        </w:tabs>
        <w:numPr>
          <w:ilvl w:val="1"/>
          <w:numId w:val="113"/>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21" w:lineRule="exact"/>
        <w:rPr>
          <w:rFonts w:ascii="MS PGothic" w:cs="MS PGothic" w:eastAsia="MS PGothic" w:hAnsi="MS PGothic"/>
          <w:sz w:val="13"/>
          <w:szCs w:val="13"/>
          <w:color w:val="auto"/>
        </w:rPr>
      </w:pPr>
    </w:p>
    <w:p>
      <w:pPr>
        <w:ind w:left="640" w:right="100" w:hanging="316"/>
        <w:spacing w:after="0" w:line="246" w:lineRule="auto"/>
        <w:tabs>
          <w:tab w:leader="none" w:pos="642" w:val="left"/>
        </w:tabs>
        <w:numPr>
          <w:ilvl w:val="1"/>
          <w:numId w:val="113"/>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600" w:space="100"/>
            <w:col w:w="4480"/>
          </w:cols>
          <w:pgMar w:left="240" w:top="459" w:right="479" w:bottom="1440" w:gutter="0" w:footer="0" w:header="0"/>
          <w:type w:val="continuous"/>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60" w:right="47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paid up equal to not less than 10% of the total sum paid up</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on all the shares conferring that right. A company’s articles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of association may provide more extensive rights for</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shareholders to call a poll.</w:t>
            </w:r>
          </w:p>
        </w:tc>
      </w:tr>
      <w:tr>
        <w:trPr>
          <w:trHeight w:val="296"/>
        </w:trPr>
        <w:tc>
          <w:tcPr>
            <w:tcW w:w="1460" w:type="dxa"/>
            <w:vAlign w:val="bottom"/>
          </w:tcPr>
          <w:p>
            <w:pPr>
              <w:spacing w:after="0"/>
              <w:rPr>
                <w:sz w:val="24"/>
                <w:szCs w:val="24"/>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Under English law, an ordinary resolution is passed on a</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show of hands if it is approved by a simple majority (more</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than 50%) of the votes cast by shareholders present (in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person or by proxy) and entitled to vote. If a poll is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demanded, an ordinary resolution is passed if it is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approved by holders representing a simple majority of the</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voting rights of shareholders present, in person or by</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proxy, who, being entitled to vote, vote on the resolution.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Special resolutions require the affirmative vote of not less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than 75% of the votes cast by shareholders present (in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person or by proxy) at the meeting. If a poll is demanded, a</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special resolution is passed if it is approved by holders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representing not less than 75% of the total voting rights of</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shareholders present (in person or by proxy) who (being</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entitled to vote) vote on the resolutions.</w:t>
            </w:r>
          </w:p>
        </w:tc>
      </w:tr>
      <w:tr>
        <w:trPr>
          <w:trHeight w:val="296"/>
        </w:trPr>
        <w:tc>
          <w:tcPr>
            <w:tcW w:w="1460" w:type="dxa"/>
            <w:vAlign w:val="bottom"/>
          </w:tcPr>
          <w:p>
            <w:pPr>
              <w:spacing w:after="0"/>
              <w:rPr>
                <w:sz w:val="20"/>
                <w:szCs w:val="20"/>
                <w:color w:val="auto"/>
              </w:rPr>
            </w:pPr>
            <w:r>
              <w:rPr>
                <w:rFonts w:ascii="Arial" w:cs="Arial" w:eastAsia="Arial" w:hAnsi="Arial"/>
                <w:sz w:val="18"/>
                <w:szCs w:val="18"/>
                <w:color w:val="auto"/>
              </w:rPr>
              <w:t>Shareholder</w:t>
            </w: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The U.K. Companies Act 2006 provides for schemes of</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Vote on Certain</w:t>
            </w: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arrangement, which are arrangements or compromises</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between a company and any class of shareholders or</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creditors and used in certain types of reconstructions,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amalgamations, capital reorganizations, or takeovers.</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These arrangements require:</w:t>
            </w:r>
          </w:p>
        </w:tc>
      </w:tr>
      <w:tr>
        <w:trPr>
          <w:trHeight w:val="431"/>
        </w:trPr>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at a shareholders’ or creditors’</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meeting convened by order of the court, of a</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majority in number of shareholders or creditors</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representing 75% in value of the capital held by, or</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debt owed to, the class of shareholders or</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creditors, or class thereof present and voting,</w:t>
            </w:r>
          </w:p>
        </w:tc>
      </w:tr>
      <w:tr>
        <w:trPr>
          <w:trHeight w:val="217"/>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either in person or by proxy; and</w:t>
            </w:r>
          </w:p>
        </w:tc>
      </w:tr>
      <w:tr>
        <w:trPr>
          <w:trHeight w:val="243"/>
        </w:trPr>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of the court.</w:t>
            </w:r>
          </w:p>
        </w:tc>
      </w:tr>
      <w:tr>
        <w:trPr>
          <w:trHeight w:val="365"/>
        </w:trPr>
        <w:tc>
          <w:tcPr>
            <w:tcW w:w="1460" w:type="dxa"/>
            <w:vAlign w:val="bottom"/>
          </w:tcPr>
          <w:p>
            <w:pPr>
              <w:spacing w:after="0"/>
              <w:rPr>
                <w:sz w:val="24"/>
                <w:szCs w:val="24"/>
                <w:color w:val="auto"/>
              </w:rPr>
            </w:pPr>
          </w:p>
        </w:tc>
        <w:tc>
          <w:tcPr>
            <w:tcW w:w="4940" w:type="dxa"/>
            <w:vAlign w:val="bottom"/>
            <w:gridSpan w:val="2"/>
          </w:tcPr>
          <w:p>
            <w:pPr>
              <w:ind w:left="3900"/>
              <w:spacing w:after="0"/>
              <w:rPr>
                <w:sz w:val="20"/>
                <w:szCs w:val="20"/>
                <w:color w:val="auto"/>
              </w:rPr>
            </w:pPr>
            <w:r>
              <w:rPr>
                <w:rFonts w:ascii="Arial" w:cs="Arial" w:eastAsia="Arial" w:hAnsi="Arial"/>
                <w:sz w:val="18"/>
                <w:szCs w:val="18"/>
                <w:color w:val="auto"/>
              </w:rPr>
              <w:t>174</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218" w:lineRule="exact"/>
        <w:rPr>
          <w:sz w:val="20"/>
          <w:szCs w:val="20"/>
          <w:color w:val="auto"/>
        </w:rPr>
      </w:pPr>
    </w:p>
    <w:p>
      <w:pPr>
        <w:ind w:left="640" w:hanging="316"/>
        <w:spacing w:after="0"/>
        <w:tabs>
          <w:tab w:leader="none" w:pos="640" w:val="left"/>
        </w:tabs>
        <w:numPr>
          <w:ilvl w:val="0"/>
          <w:numId w:val="114"/>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pacing w:after="0" w:line="36" w:lineRule="exact"/>
        <w:rPr>
          <w:rFonts w:ascii="MS PGothic" w:cs="MS PGothic" w:eastAsia="MS PGothic" w:hAnsi="MS PGothic"/>
          <w:sz w:val="13"/>
          <w:szCs w:val="13"/>
          <w:color w:val="auto"/>
        </w:rPr>
      </w:pPr>
    </w:p>
    <w:p>
      <w:pPr>
        <w:ind w:left="640" w:hanging="316"/>
        <w:spacing w:after="0" w:line="237" w:lineRule="auto"/>
        <w:tabs>
          <w:tab w:leader="none" w:pos="641" w:val="left"/>
        </w:tabs>
        <w:numPr>
          <w:ilvl w:val="0"/>
          <w:numId w:val="114"/>
        </w:numPr>
        <w:rPr>
          <w:rFonts w:ascii="MS PGothic" w:cs="MS PGothic" w:eastAsia="MS PGothic" w:hAnsi="MS PGothic"/>
          <w:sz w:val="13"/>
          <w:szCs w:val="13"/>
          <w:color w:val="auto"/>
        </w:rPr>
      </w:pPr>
      <w:r>
        <w:rPr>
          <w:rFonts w:ascii="Arial" w:cs="Arial" w:eastAsia="Arial" w:hAnsi="Arial"/>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2">
            <w:col w:w="6600" w:space="100"/>
            <w:col w:w="4480"/>
          </w:cols>
          <w:pgMar w:left="240" w:top="460" w:right="47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Standard of</w:t>
            </w: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Under English law, a director owes various statutory and</w:t>
            </w:r>
          </w:p>
        </w:tc>
      </w:tr>
      <w:tr>
        <w:trPr>
          <w:trHeight w:val="203"/>
        </w:trPr>
        <w:tc>
          <w:tcPr>
            <w:tcW w:w="1300" w:type="dxa"/>
            <w:vAlign w:val="bottom"/>
          </w:tcPr>
          <w:p>
            <w:pPr>
              <w:spacing w:after="0" w:line="202" w:lineRule="exact"/>
              <w:rPr>
                <w:sz w:val="20"/>
                <w:szCs w:val="20"/>
                <w:color w:val="auto"/>
              </w:rPr>
            </w:pPr>
            <w:r>
              <w:rPr>
                <w:rFonts w:ascii="Arial" w:cs="Arial" w:eastAsia="Arial" w:hAnsi="Arial"/>
                <w:sz w:val="18"/>
                <w:szCs w:val="18"/>
                <w:color w:val="auto"/>
              </w:rPr>
              <w:t>Conduct for</w:t>
            </w:r>
          </w:p>
        </w:tc>
        <w:tc>
          <w:tcPr>
            <w:tcW w:w="51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fiduciary duties to the company, including:</w:t>
            </w:r>
          </w:p>
        </w:tc>
      </w:tr>
      <w:tr>
        <w:trPr>
          <w:trHeight w:val="217"/>
        </w:trPr>
        <w:tc>
          <w:tcPr>
            <w:tcW w:w="1300" w:type="dxa"/>
            <w:vAlign w:val="bottom"/>
          </w:tcPr>
          <w:p>
            <w:pPr>
              <w:spacing w:after="0"/>
              <w:rPr>
                <w:sz w:val="20"/>
                <w:szCs w:val="20"/>
                <w:color w:val="auto"/>
              </w:rPr>
            </w:pPr>
            <w:r>
              <w:rPr>
                <w:rFonts w:ascii="Arial" w:cs="Arial" w:eastAsia="Arial" w:hAnsi="Arial"/>
                <w:sz w:val="18"/>
                <w:szCs w:val="18"/>
                <w:color w:val="auto"/>
              </w:rPr>
              <w:t>Directors</w:t>
            </w:r>
          </w:p>
        </w:tc>
        <w:tc>
          <w:tcPr>
            <w:tcW w:w="38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considers, in good faith, would be</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most likely to promote the success of the company for</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the benefit of its members as a whole;</w:t>
            </w: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has, or can have, a</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direct or indirect interest that conflicts, or possibly</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conflicts, with the interests of the company;</w:t>
            </w: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 constitution</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and only exercise his powers for the purposes for</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which they are conferred;</w:t>
            </w:r>
          </w:p>
        </w:tc>
      </w:tr>
      <w:tr>
        <w:trPr>
          <w:trHeight w:val="243"/>
        </w:trPr>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43"/>
        </w:trPr>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 diligence;</w:t>
            </w:r>
          </w:p>
        </w:tc>
      </w:tr>
      <w:tr>
        <w:trPr>
          <w:trHeight w:val="229"/>
        </w:trPr>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 conferred</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by reason of his being a director or doing, or not</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doing, anything as a director; and</w:t>
            </w: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 duty to declare any interest that he has, whether</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directly or indirectly, in a proposed or existing</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transaction or arrangement with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6600" w:space="100"/>
            <w:col w:w="4520"/>
          </w:cols>
          <w:pgMar w:left="240" w:top="460" w:right="43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Stockholder Suits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-633095</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17780</wp:posOffset>
            </wp:positionV>
            <wp:extent cx="30016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229" w:lineRule="exact"/>
        <w:rPr>
          <w:sz w:val="20"/>
          <w:szCs w:val="20"/>
          <w:color w:val="auto"/>
        </w:rPr>
      </w:pPr>
    </w:p>
    <w:p>
      <w:pPr>
        <w:ind w:left="320" w:right="100" w:hanging="320"/>
        <w:spacing w:after="0" w:line="239" w:lineRule="auto"/>
        <w:tabs>
          <w:tab w:leader="none" w:pos="287" w:val="left"/>
        </w:tabs>
        <w:numPr>
          <w:ilvl w:val="0"/>
          <w:numId w:val="115"/>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26" w:lineRule="exact"/>
        <w:rPr>
          <w:rFonts w:ascii="MS PGothic" w:cs="MS PGothic" w:eastAsia="MS PGothic" w:hAnsi="MS PGothic"/>
          <w:sz w:val="13"/>
          <w:szCs w:val="13"/>
          <w:color w:val="auto"/>
        </w:rPr>
      </w:pPr>
    </w:p>
    <w:p>
      <w:pPr>
        <w:ind w:left="640" w:right="140" w:hanging="316"/>
        <w:spacing w:after="0" w:line="239" w:lineRule="auto"/>
        <w:tabs>
          <w:tab w:leader="none" w:pos="642" w:val="left"/>
        </w:tabs>
        <w:numPr>
          <w:ilvl w:val="1"/>
          <w:numId w:val="115"/>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6" w:lineRule="exact"/>
        <w:rPr>
          <w:rFonts w:ascii="MS PGothic" w:cs="MS PGothic" w:eastAsia="MS PGothic" w:hAnsi="MS PGothic"/>
          <w:sz w:val="13"/>
          <w:szCs w:val="13"/>
          <w:color w:val="auto"/>
        </w:rPr>
      </w:pPr>
    </w:p>
    <w:p>
      <w:pPr>
        <w:ind w:left="600" w:hanging="276"/>
        <w:spacing w:after="0"/>
        <w:tabs>
          <w:tab w:leader="none" w:pos="600" w:val="left"/>
        </w:tabs>
        <w:numPr>
          <w:ilvl w:val="1"/>
          <w:numId w:val="115"/>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3">
            <w:col w:w="1360" w:space="500"/>
            <w:col w:w="4700" w:space="140"/>
            <w:col w:w="45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99"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Citibank, N.A., or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203" w:lineRule="exact"/>
        <w:rPr>
          <w:sz w:val="20"/>
          <w:szCs w:val="20"/>
          <w:color w:val="auto"/>
        </w:rPr>
      </w:pPr>
    </w:p>
    <w:p>
      <w:pPr>
        <w:ind w:left="200" w:right="220" w:firstLine="331"/>
        <w:spacing w:after="0" w:line="248" w:lineRule="auto"/>
        <w:rPr>
          <w:sz w:val="20"/>
          <w:szCs w:val="20"/>
          <w:color w:val="auto"/>
        </w:rPr>
      </w:pPr>
      <w:r>
        <w:rPr>
          <w:rFonts w:ascii="Arial" w:cs="Arial" w:eastAsia="Arial" w:hAnsi="Arial"/>
          <w:sz w:val="17"/>
          <w:szCs w:val="17"/>
          <w:color w:val="auto"/>
        </w:rPr>
        <w:t>We have appointed Citibank as depositary pursuant to a deposit agreement. A copy of the deposit agreement will be on file with the SEC under cover of a registration statement on Form F-6. You may obtain a copy of the deposit agreement from the SEC’s Public Reference Room at 100 F Street, N.E., Washington, D.C. 20549 and from the SEC’s website (www.sec.gov). Please refer to registration</w:t>
      </w:r>
    </w:p>
    <w:p>
      <w:pPr>
        <w:spacing w:after="0" w:line="2"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color w:val="auto"/>
        </w:rPr>
        <w:t>number 333-</w:t>
      </w:r>
      <w:r>
        <w:rPr>
          <w:sz w:val="20"/>
          <w:szCs w:val="20"/>
          <w:color w:val="auto"/>
        </w:rPr>
        <w:tab/>
      </w:r>
      <w:r>
        <w:rPr>
          <w:rFonts w:ascii="Arial" w:cs="Arial" w:eastAsia="Arial" w:hAnsi="Arial"/>
          <w:sz w:val="17"/>
          <w:szCs w:val="17"/>
          <w:color w:val="auto"/>
        </w:rPr>
        <w:t>when retrieving such copy.</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Each ADS represents the right to receive, and to exercise the beneficial ownership interests in,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203"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4"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200" w:right="280" w:firstLine="331"/>
        <w:spacing w:after="0" w:line="251"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85"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21" w:lineRule="exact"/>
        <w:rPr>
          <w:sz w:val="20"/>
          <w:szCs w:val="20"/>
          <w:color w:val="auto"/>
        </w:rPr>
      </w:pPr>
    </w:p>
    <w:p>
      <w:pPr>
        <w:ind w:left="960" w:hanging="432"/>
        <w:spacing w:after="0"/>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9"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85" w:lineRule="exact"/>
        <w:rPr>
          <w:sz w:val="20"/>
          <w:szCs w:val="20"/>
          <w:color w:val="auto"/>
        </w:rPr>
      </w:pPr>
    </w:p>
    <w:p>
      <w:pPr>
        <w:jc w:val="both"/>
        <w:ind w:left="200" w:right="140" w:firstLine="331"/>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9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21" w:lineRule="exact"/>
        <w:rPr>
          <w:sz w:val="20"/>
          <w:szCs w:val="20"/>
          <w:color w:val="auto"/>
        </w:rPr>
      </w:pPr>
    </w:p>
    <w:p>
      <w:pPr>
        <w:ind w:left="960" w:hanging="432"/>
        <w:spacing w:after="0"/>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you or if we ask that the property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jc w:val="both"/>
        <w:ind w:left="200" w:right="360" w:firstLine="331"/>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80"/>
          </w:cols>
          <w:pgMar w:left="24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 xml:space="preserve">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Affecting Ordinary Shares</w:t>
      </w:r>
    </w:p>
    <w:p>
      <w:pPr>
        <w:spacing w:after="0" w:line="99"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Upon completion of the U.S. offering, the ordinary shares being offered pursuant to this prospectus will be deposited by us with the custodian. Upon receipt of confirmation of such deposit, the depositary will issue ADSs to the underwriters named in this prospectus.</w:t>
      </w:r>
    </w:p>
    <w:p>
      <w:pPr>
        <w:spacing w:after="0" w:line="197" w:lineRule="exact"/>
        <w:rPr>
          <w:sz w:val="20"/>
          <w:szCs w:val="20"/>
          <w:color w:val="auto"/>
        </w:rPr>
      </w:pPr>
    </w:p>
    <w:p>
      <w:pPr>
        <w:ind w:left="200" w:right="360" w:firstLine="331"/>
        <w:spacing w:after="0" w:line="257" w:lineRule="auto"/>
        <w:rPr>
          <w:sz w:val="20"/>
          <w:szCs w:val="20"/>
          <w:color w:val="auto"/>
        </w:rPr>
      </w:pPr>
      <w:r>
        <w:rPr>
          <w:rFonts w:ascii="Arial" w:cs="Arial" w:eastAsia="Arial" w:hAnsi="Arial"/>
          <w:sz w:val="17"/>
          <w:szCs w:val="17"/>
          <w:color w:val="auto"/>
        </w:rPr>
        <w:t>After the closing of this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United States and England and Wales applicable at the time of deposit.</w:t>
      </w:r>
    </w:p>
    <w:p>
      <w:pPr>
        <w:spacing w:after="0" w:line="189"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188" w:lineRule="exact"/>
        <w:rPr>
          <w:sz w:val="20"/>
          <w:szCs w:val="20"/>
          <w:color w:val="auto"/>
        </w:rPr>
      </w:pPr>
    </w:p>
    <w:p>
      <w:pPr>
        <w:ind w:left="960" w:hanging="432"/>
        <w:spacing w:after="0"/>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issued, fully paid, non-assessable, and legally obtained;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or exercised;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you are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202"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20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203" w:lineRule="exact"/>
        <w:rPr>
          <w:sz w:val="20"/>
          <w:szCs w:val="20"/>
          <w:color w:val="auto"/>
        </w:rPr>
      </w:pPr>
    </w:p>
    <w:p>
      <w:pPr>
        <w:ind w:left="960" w:hanging="432"/>
        <w:spacing w:after="0"/>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United States and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0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 will have the right to withdraw the securities represented by your ADSs at any time subject only to:</w:t>
      </w:r>
    </w:p>
    <w:p>
      <w:pPr>
        <w:spacing w:after="0" w:line="239" w:lineRule="exact"/>
        <w:rPr>
          <w:sz w:val="20"/>
          <w:szCs w:val="20"/>
          <w:color w:val="auto"/>
        </w:rPr>
      </w:pPr>
    </w:p>
    <w:p>
      <w:pPr>
        <w:ind w:left="960" w:right="20" w:hanging="432"/>
        <w:spacing w:after="0" w:line="218"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 and/or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3" w:lineRule="exact"/>
        <w:rPr>
          <w:sz w:val="20"/>
          <w:szCs w:val="20"/>
          <w:color w:val="auto"/>
        </w:rPr>
      </w:pPr>
    </w:p>
    <w:p>
      <w:pPr>
        <w:ind w:left="200" w:right="620" w:firstLine="33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85"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w:t>
      </w:r>
    </w:p>
    <w:p>
      <w:pPr>
        <w:ind w:left="200"/>
        <w:spacing w:after="0"/>
        <w:rPr>
          <w:sz w:val="20"/>
          <w:szCs w:val="20"/>
          <w:color w:val="auto"/>
        </w:rPr>
      </w:pPr>
      <w:r>
        <w:rPr>
          <w:rFonts w:ascii="Arial" w:cs="Arial" w:eastAsia="Arial" w:hAnsi="Arial"/>
          <w:sz w:val="18"/>
          <w:szCs w:val="18"/>
          <w:color w:val="auto"/>
        </w:rPr>
        <w:t>represented by the holder’s ADSs as follows:</w:t>
      </w:r>
    </w:p>
    <w:p>
      <w:pPr>
        <w:spacing w:after="0" w:line="221" w:lineRule="exact"/>
        <w:rPr>
          <w:sz w:val="20"/>
          <w:szCs w:val="20"/>
          <w:color w:val="auto"/>
        </w:rPr>
      </w:pPr>
    </w:p>
    <w:p>
      <w:pPr>
        <w:ind w:left="960" w:right="260" w:hanging="432"/>
        <w:spacing w:after="0" w:line="230"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9" w:lineRule="exact"/>
        <w:rPr>
          <w:rFonts w:ascii="MS PGothic" w:cs="MS PGothic" w:eastAsia="MS PGothic" w:hAnsi="MS PGothic"/>
          <w:sz w:val="25"/>
          <w:szCs w:val="25"/>
          <w:color w:val="auto"/>
          <w:vertAlign w:val="superscript"/>
        </w:rPr>
      </w:pPr>
    </w:p>
    <w:p>
      <w:pPr>
        <w:ind w:left="960" w:right="220" w:hanging="432"/>
        <w:spacing w:after="0" w:line="232"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the Company to vote any ordinary shares held on deposit for which voting instructions were not received from the holders of ADSs, unless the Company informs the depositary that (a) the Company does not wish such proxy to be given, (b) substantial opposition exists, or (c) the rights of holders of ADSs may be adversely affected.</w:t>
      </w:r>
    </w:p>
    <w:p>
      <w:pPr>
        <w:spacing w:after="0" w:line="202"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Charges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Service</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20" w:type="dxa"/>
            <w:vAlign w:val="bottom"/>
          </w:tcPr>
          <w:p>
            <w:pPr>
              <w:ind w:left="680"/>
              <w:spacing w:after="0"/>
              <w:rPr>
                <w:sz w:val="20"/>
                <w:szCs w:val="20"/>
                <w:color w:val="auto"/>
              </w:rPr>
            </w:pPr>
            <w:r>
              <w:rPr>
                <w:rFonts w:ascii="Arial" w:cs="Arial" w:eastAsia="Arial" w:hAnsi="Arial"/>
                <w:sz w:val="14"/>
                <w:szCs w:val="14"/>
                <w:b w:val="1"/>
                <w:bCs w:val="1"/>
                <w:color w:val="auto"/>
              </w:rPr>
              <w:t>Fee</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7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Issuance of ADSs (e.g., an issuance of ADS upon a deposit of ordinary shares or upon a change</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 the ADS(s)-to-ordinary shares ratio), excluding ADS issuances as a result of distributions of</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ordinary shares</w:t>
            </w:r>
          </w:p>
        </w:tc>
        <w:tc>
          <w:tcPr>
            <w:tcW w:w="8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ADS issued</w:t>
            </w: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rPr>
              <w:t>Cancellation of ADSs (e.g., a cancellation of ADSs for delivery of deposited property or upon a</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change in the ADS(s)-to-ordinary shares ratio)</w:t>
            </w:r>
          </w:p>
        </w:tc>
        <w:tc>
          <w:tcPr>
            <w:tcW w:w="8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tcPr>
          <w:p>
            <w:pPr>
              <w:ind w:left="200"/>
              <w:spacing w:after="0" w:line="203" w:lineRule="exact"/>
              <w:rPr>
                <w:sz w:val="20"/>
                <w:szCs w:val="20"/>
                <w:color w:val="auto"/>
              </w:rPr>
            </w:pPr>
            <w:r>
              <w:rPr>
                <w:rFonts w:ascii="Arial" w:cs="Arial" w:eastAsia="Arial" w:hAnsi="Arial"/>
                <w:sz w:val="18"/>
                <w:szCs w:val="18"/>
                <w:color w:val="auto"/>
              </w:rPr>
              <w:t>per ADS cancelled</w:t>
            </w:r>
          </w:p>
        </w:tc>
      </w:tr>
      <w:tr>
        <w:trPr>
          <w:trHeight w:val="202"/>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 cash dividends or other cash distributions (e.g., upon a sale of rights and other</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entitlements)</w:t>
            </w:r>
          </w:p>
        </w:tc>
        <w:tc>
          <w:tcPr>
            <w:tcW w:w="8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ADS held</w:t>
            </w: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rPr>
              <w:t>Distribution of ADSs pursuant to (i) stock dividends or other free stock distributions, or</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(ii) exercise of rights to purchase additional ADSs</w:t>
            </w:r>
          </w:p>
        </w:tc>
        <w:tc>
          <w:tcPr>
            <w:tcW w:w="8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tcPr>
          <w:p>
            <w:pPr>
              <w:ind w:left="200"/>
              <w:spacing w:after="0" w:line="203" w:lineRule="exact"/>
              <w:rPr>
                <w:sz w:val="20"/>
                <w:szCs w:val="20"/>
                <w:color w:val="auto"/>
              </w:rPr>
            </w:pPr>
            <w:r>
              <w:rPr>
                <w:rFonts w:ascii="Arial" w:cs="Arial" w:eastAsia="Arial" w:hAnsi="Arial"/>
                <w:sz w:val="18"/>
                <w:szCs w:val="18"/>
                <w:color w:val="auto"/>
              </w:rPr>
              <w:t>per ADS held</w:t>
            </w:r>
          </w:p>
        </w:tc>
      </w:tr>
      <w:tr>
        <w:trPr>
          <w:trHeight w:val="202"/>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 securities other than ADSs or rights to purchase additional ADSs (e.g., upon a</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spin-off)</w:t>
            </w:r>
          </w:p>
        </w:tc>
        <w:tc>
          <w:tcPr>
            <w:tcW w:w="8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ADS held</w:t>
            </w: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rPr>
              <w:t>ADS Services</w:t>
            </w:r>
          </w:p>
        </w:tc>
        <w:tc>
          <w:tcPr>
            <w:tcW w:w="8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Up to $</w:t>
            </w:r>
          </w:p>
        </w:tc>
        <w:tc>
          <w:tcPr>
            <w:tcW w:w="2420" w:type="dxa"/>
            <w:vAlign w:val="bottom"/>
          </w:tcPr>
          <w:p>
            <w:pPr>
              <w:ind w:left="200"/>
              <w:spacing w:after="0" w:line="201" w:lineRule="exact"/>
              <w:rPr>
                <w:sz w:val="20"/>
                <w:szCs w:val="20"/>
                <w:color w:val="auto"/>
              </w:rPr>
            </w:pPr>
            <w:r>
              <w:rPr>
                <w:rFonts w:ascii="Arial" w:cs="Arial" w:eastAsia="Arial" w:hAnsi="Arial"/>
                <w:sz w:val="18"/>
                <w:szCs w:val="18"/>
                <w:color w:val="auto"/>
              </w:rPr>
              <w:t>per ADS held on the</w:t>
            </w:r>
          </w:p>
        </w:tc>
      </w:tr>
    </w:tbl>
    <w:p>
      <w:pPr>
        <w:ind w:left="8040"/>
        <w:spacing w:after="0" w:line="234" w:lineRule="auto"/>
        <w:rPr>
          <w:sz w:val="20"/>
          <w:szCs w:val="20"/>
          <w:color w:val="auto"/>
        </w:rPr>
      </w:pPr>
      <w:r>
        <w:rPr>
          <w:rFonts w:ascii="Arial" w:cs="Arial" w:eastAsia="Arial" w:hAnsi="Arial"/>
          <w:sz w:val="18"/>
          <w:szCs w:val="18"/>
          <w:color w:val="auto"/>
        </w:rPr>
        <w:t>applicable record date(s) established by</w:t>
      </w:r>
    </w:p>
    <w:p>
      <w:pPr>
        <w:spacing w:after="0" w:line="1"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the depositary</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203" w:lineRule="exact"/>
        <w:rPr>
          <w:sz w:val="20"/>
          <w:szCs w:val="20"/>
          <w:color w:val="auto"/>
        </w:rPr>
      </w:pPr>
    </w:p>
    <w:p>
      <w:pPr>
        <w:ind w:left="960" w:hanging="432"/>
        <w:spacing w:after="0"/>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and Termination</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39" w:lineRule="exact"/>
        <w:rPr>
          <w:sz w:val="20"/>
          <w:szCs w:val="20"/>
          <w:color w:val="auto"/>
        </w:rPr>
      </w:pPr>
    </w:p>
    <w:p>
      <w:pPr>
        <w:ind w:left="960" w:right="220" w:hanging="432"/>
        <w:spacing w:after="0" w:line="218"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spacing w:after="0" w:line="239" w:lineRule="auto"/>
        <w:rPr>
          <w:sz w:val="20"/>
          <w:szCs w:val="20"/>
          <w:color w:val="auto"/>
        </w:rPr>
      </w:pPr>
      <w:r>
        <w:rPr>
          <w:rFonts w:ascii="Arial" w:cs="Arial" w:eastAsia="Arial" w:hAnsi="Arial"/>
          <w:sz w:val="18"/>
          <w:szCs w:val="18"/>
          <w:color w:val="auto"/>
        </w:rPr>
        <w:t>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ind w:left="960" w:hanging="432"/>
        <w:spacing w:after="0" w:line="230"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2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jc w:val="both"/>
        <w:ind w:left="960" w:right="300" w:hanging="432"/>
        <w:spacing w:after="0" w:line="235" w:lineRule="auto"/>
        <w:tabs>
          <w:tab w:leader="none" w:pos="960" w:val="left"/>
        </w:tabs>
        <w:numPr>
          <w:ilvl w:val="0"/>
          <w:numId w:val="125"/>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8" w:lineRule="exact"/>
        <w:rPr>
          <w:rFonts w:ascii="MS PGothic" w:cs="MS PGothic" w:eastAsia="MS PGothic" w:hAnsi="MS PGothic"/>
          <w:sz w:val="24"/>
          <w:szCs w:val="24"/>
          <w:color w:val="auto"/>
          <w:vertAlign w:val="superscript"/>
        </w:rPr>
      </w:pPr>
    </w:p>
    <w:p>
      <w:pPr>
        <w:ind w:left="960" w:right="80" w:hanging="432"/>
        <w:spacing w:after="0" w:line="223"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8"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Pre-Release Transactions</w:t>
      </w:r>
    </w:p>
    <w:p>
      <w:pPr>
        <w:spacing w:after="0" w:line="99"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but such limit may be changed or disregarded from time to time as the depositary deems appropriate)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85"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2"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Conversion</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60" w:right="700" w:hanging="432"/>
        <w:spacing w:after="0" w:line="218"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Law/Waiver of Jury Trial</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AS A PARTY TO THE DEPOSIT AGREEMENT, YOU WAIVE YOUR RIGHT TO TRIAL BY JURY IN ANY LEGAL PROCEEDING AGAINST US AND/OR THE DEPOSITARY ARISING OUT OF THE DEPOSIT AGREEMENT OR THE ADRs.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34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Prior to the U.S. offering, there has been no market for our ADSs. Future sales of substantial amounts of our ADSs or ordinary shares in the public market, or the perception that such sales may occur, could adversely affect prevailing market prices of our ADSs or ordinary shares.</w:t>
      </w:r>
    </w:p>
    <w:p>
      <w:pPr>
        <w:spacing w:after="0" w:line="203" w:lineRule="exact"/>
        <w:rPr>
          <w:sz w:val="20"/>
          <w:szCs w:val="20"/>
          <w:color w:val="auto"/>
        </w:rPr>
      </w:pPr>
    </w:p>
    <w:p>
      <w:pPr>
        <w:ind w:left="200" w:right="100" w:firstLine="331"/>
        <w:spacing w:after="0" w:line="234" w:lineRule="auto"/>
        <w:rPr>
          <w:sz w:val="20"/>
          <w:szCs w:val="20"/>
          <w:color w:val="auto"/>
        </w:rPr>
      </w:pPr>
      <w:r>
        <w:rPr>
          <w:rFonts w:ascii="Arial" w:cs="Arial" w:eastAsia="Arial" w:hAnsi="Arial"/>
          <w:sz w:val="18"/>
          <w:szCs w:val="18"/>
          <w:color w:val="auto"/>
        </w:rPr>
        <w:t>Based on the number of our ordinary shares outstanding as of , 2018, upon the closing of the global offering, we will have ADSs outstanding, representing ordinary shares, and ordinary shares outstanding (including ordinary shares in the form of ADSs), or, if the underwriters exercise in full their option to purchase an additional ADSs in the U.S. offering,</w:t>
      </w:r>
    </w:p>
    <w:p>
      <w:pPr>
        <w:spacing w:after="0" w:line="2" w:lineRule="exact"/>
        <w:rPr>
          <w:sz w:val="20"/>
          <w:szCs w:val="20"/>
          <w:color w:val="auto"/>
        </w:rPr>
      </w:pPr>
    </w:p>
    <w:p>
      <w:pPr>
        <w:ind w:left="200" w:right="200"/>
        <w:spacing w:after="0" w:line="234" w:lineRule="auto"/>
        <w:rPr>
          <w:sz w:val="20"/>
          <w:szCs w:val="20"/>
          <w:color w:val="auto"/>
        </w:rPr>
      </w:pPr>
      <w:r>
        <w:rPr>
          <w:rFonts w:ascii="Arial" w:cs="Arial" w:eastAsia="Arial" w:hAnsi="Arial"/>
          <w:sz w:val="18"/>
          <w:szCs w:val="18"/>
          <w:color w:val="auto"/>
        </w:rPr>
        <w:t>ordinary shares (including ordinary shares in the form of ADSs). The ordinary shares and ADSs sold in the global offering will be freely tradable without restriction or further registration under the Securities Act of 1933, as amended, or the Securities Act, except for any ordinary shares or ADSs purchased by our “affiliates,” as that term is defined in Rule 144 under the Securities Act, whose sale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subject to the Rule 144 resale restrictions described below other than the holding period requirement. We expect of our ordinary shares outstanding after the global offering will be subject to the contractual 180-day lock-up period described below.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general, a person who has beneficially owned our unregistered ordinary shares for at least six months would be entitled to sell such shares pursuant to Rule 144 of the Securities Act, provided that (i) such person is not deemed to have been one of our affiliates at the time of, or at any time during the 90 days preceding, a sale and (ii) we are subject to Exchange Act periodic reporting requirements for at least 90 days before the sale.</w:t>
      </w:r>
    </w:p>
    <w:p>
      <w:pPr>
        <w:spacing w:after="0" w:line="202"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Persons who are our affiliates at the time of, or any time during the 90 days preceding, a sale of our ordinary shares or ADSs, are subject to additional restrictions, as follows:</w:t>
      </w:r>
    </w:p>
    <w:p>
      <w:pPr>
        <w:spacing w:after="0" w:line="224" w:lineRule="exact"/>
        <w:rPr>
          <w:sz w:val="20"/>
          <w:szCs w:val="20"/>
          <w:color w:val="auto"/>
        </w:rPr>
      </w:pPr>
    </w:p>
    <w:p>
      <w:pPr>
        <w:ind w:left="960" w:right="40" w:hanging="432"/>
        <w:spacing w:after="0" w:line="218"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a sale of our unregistered ordinary shares, such persons must have beneficially owned such shares for at least six months; and</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person may sell within any three month period only a number of our securities that does not exceed the greater of either of the following:</w:t>
      </w:r>
    </w:p>
    <w:p>
      <w:pPr>
        <w:spacing w:after="0" w:line="3" w:lineRule="exact"/>
        <w:rPr>
          <w:sz w:val="20"/>
          <w:szCs w:val="20"/>
          <w:color w:val="auto"/>
        </w:rPr>
      </w:pPr>
    </w:p>
    <w:p>
      <w:pPr>
        <w:ind w:left="1400" w:right="320" w:hanging="419"/>
        <w:spacing w:after="0" w:line="218" w:lineRule="auto"/>
        <w:tabs>
          <w:tab w:leader="none" w:pos="1380" w:val="left"/>
        </w:tabs>
        <w:rPr>
          <w:sz w:val="20"/>
          <w:szCs w:val="20"/>
          <w:color w:val="auto"/>
        </w:rPr>
      </w:pPr>
      <w:r>
        <w:rPr>
          <w:rFonts w:ascii="MS PGothic" w:cs="MS PGothic" w:eastAsia="MS PGothic" w:hAnsi="MS PGothic"/>
          <w:sz w:val="25"/>
          <w:szCs w:val="25"/>
          <w:color w:val="auto"/>
          <w:vertAlign w:val="superscript"/>
        </w:rPr>
        <w:t>∎</w:t>
      </w:r>
      <w:r>
        <w:rPr>
          <w:sz w:val="20"/>
          <w:szCs w:val="20"/>
          <w:color w:val="auto"/>
        </w:rPr>
        <w:tab/>
      </w:r>
      <w:r>
        <w:rPr>
          <w:rFonts w:ascii="Arial" w:cs="Arial" w:eastAsia="Arial" w:hAnsi="Arial"/>
          <w:sz w:val="18"/>
          <w:szCs w:val="18"/>
          <w:color w:val="auto"/>
        </w:rPr>
        <w:t>1% of the number of our ordinary shares then outstanding, which will equal approximately ordinary shares immediately after the global offering, assuming no exercise of the underwriters’ options to purchase additional ADSs; or</w:t>
      </w:r>
    </w:p>
    <w:p>
      <w:pPr>
        <w:spacing w:after="0" w:line="52" w:lineRule="exact"/>
        <w:rPr>
          <w:sz w:val="20"/>
          <w:szCs w:val="20"/>
          <w:color w:val="auto"/>
        </w:rPr>
      </w:pPr>
    </w:p>
    <w:p>
      <w:pPr>
        <w:ind w:left="1400" w:hanging="426"/>
        <w:spacing w:after="0" w:line="218" w:lineRule="auto"/>
        <w:tabs>
          <w:tab w:leader="none" w:pos="140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average weekly trading volume of our ordinary shares in the form of ADSs on the Nasdaq Global Market during the four calendar weeks preceding the filing of a notice on Form 144 with respect to the sale;</w:t>
      </w:r>
    </w:p>
    <w:p>
      <w:pPr>
        <w:spacing w:after="0" w:line="20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by non-affiliates and affiliates must also comply with the manner of sale, current public information and notice provisions of Rule 144 to the extent applicable.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8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In general, under Rule 701 under the Securities Act, any of our employees, board members, senior management, consultants or advisors who purchases ordinary shares from us in connection with a compensatory share or option plan or other written agreement before the effective date of the registration statement of which this prospectus forms a part, or the effective date, is entitled to resell such shares 90 days after the effective date in reliance on Rule 144, without having to comply with the holding period requirements or other restrictions contained in Rule 701.</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lock-up restrictions described below, beginning 90 days after the date of this prospectus, may be sold by persons other than “affiliates,” as defined in Rule 144, subject only to the manner of sale provisions of Rule 144 and by affiliates under Rule 144 without compliance with the holding period requirement.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S</w:t>
      </w:r>
    </w:p>
    <w:p>
      <w:pPr>
        <w:spacing w:after="0" w:line="99"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85"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All of our board members and executive officers and certain other holders of our ordinary shares and other securities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our ADSs or ordinary shares or securities convertible into or exchangeable or exercisable for our ADSs or ordinary shares for a period of 180 days after the date of this prospectus, without the prior written consent of Cowen and Company, LLC and BMO Capital Markets Corp. See “Underwriting.”</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Income Taxation</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(as defined below) of owning and disposing of our ordinary shares or ADSs. It is not a comprehensive description of all tax considerations that may be relevant to a particular person’s decision to acquire our ordinary shares or ADSs.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non-U.S. tax consequences, state and local tax consequences, estate tax consequences, alternative minimum tax consequences, the potential application of the Medicare contribution tax, and tax consequences applicable to U.S. Holders subject to special rules, such as:</w:t>
      </w:r>
    </w:p>
    <w:p>
      <w:pPr>
        <w:spacing w:after="0" w:line="194" w:lineRule="exact"/>
        <w:rPr>
          <w:sz w:val="20"/>
          <w:szCs w:val="20"/>
          <w:color w:val="auto"/>
        </w:rPr>
      </w:pPr>
    </w:p>
    <w:p>
      <w:pPr>
        <w:ind w:left="960" w:hanging="432"/>
        <w:spacing w:after="0"/>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certain other 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expatriates and certain former citizens or long term residents of the United States;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who use a mark to market method of tax accounting;</w:t>
      </w:r>
    </w:p>
    <w:p>
      <w:pPr>
        <w:spacing w:after="0" w:line="26" w:lineRule="exact"/>
        <w:rPr>
          <w:rFonts w:ascii="MS PGothic" w:cs="MS PGothic" w:eastAsia="MS PGothic" w:hAnsi="MS PGothic"/>
          <w:sz w:val="25"/>
          <w:szCs w:val="25"/>
          <w:color w:val="auto"/>
          <w:vertAlign w:val="superscript"/>
        </w:rPr>
      </w:pPr>
    </w:p>
    <w:p>
      <w:pPr>
        <w:ind w:left="960" w:right="48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or traders in securities, commodities or currencies;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 exempt entities or government organizations;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regulated investment companies or real estate investment trusts;</w:t>
      </w:r>
    </w:p>
    <w:p>
      <w:pPr>
        <w:spacing w:after="0" w:line="26"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ten percent or more of our voting shares; and</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203"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owning ordinary shares or ADSs and partners in such partnerships are encouraged to consult their tax advisers as to the particular U.S. federal income tax consequences of owning and disposing of our ordinary shares or ADSs.</w:t>
      </w:r>
    </w:p>
    <w:p>
      <w:pPr>
        <w:spacing w:after="0" w:line="20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discussion is based on the Internal Revenue Code of 1986, as amended, or the Code, administrative pronouncements, judicial decisions, final, temporary and proposed Treasury Regulations, and the income tax treaty between the United Kingdom and the United States, or the Treaty, all as of the date hereof, changes to any of which may affect the tax consequences described herein—possibly with retroactive effect.</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 eligible for the benefits of the Treaty and is:</w:t>
      </w:r>
    </w:p>
    <w:p>
      <w:pPr>
        <w:spacing w:after="0" w:line="224" w:lineRule="exact"/>
        <w:rPr>
          <w:sz w:val="20"/>
          <w:szCs w:val="20"/>
          <w:color w:val="auto"/>
        </w:rPr>
      </w:pPr>
    </w:p>
    <w:p>
      <w:pPr>
        <w:ind w:left="960" w:hanging="4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60"/>
          </w:cols>
          <w:pgMar w:left="240" w:top="460"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00" w:hanging="432"/>
        <w:spacing w:after="0" w:line="246"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21" w:lineRule="exact"/>
        <w:rPr>
          <w:rFonts w:ascii="Arial" w:cs="Arial" w:eastAsia="Arial" w:hAnsi="Arial"/>
          <w:sz w:val="18"/>
          <w:szCs w:val="18"/>
          <w:color w:val="auto"/>
        </w:rPr>
      </w:pPr>
    </w:p>
    <w:p>
      <w:pPr>
        <w:ind w:left="960" w:hanging="432"/>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36" w:lineRule="exact"/>
        <w:rPr>
          <w:rFonts w:ascii="Arial" w:cs="Arial" w:eastAsia="Arial" w:hAnsi="Arial"/>
          <w:sz w:val="18"/>
          <w:szCs w:val="18"/>
          <w:color w:val="auto"/>
        </w:rPr>
      </w:pPr>
    </w:p>
    <w:p>
      <w:pPr>
        <w:ind w:left="960" w:right="40" w:hanging="432"/>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(A) that is subject to the primary supervision of a court within the United States and one or more United States persons as described in Code Section 7701(a)(30) have the authority to control all substantial decisions of the trust or (B) any trust that has a valid election in effect under applicable United States Treasury Regulations to be treated the as a U.S. person.</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ordinary shares or ADSs in their particular circumstances.</w:t>
      </w:r>
    </w:p>
    <w:p>
      <w:pPr>
        <w:spacing w:after="0" w:line="1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owning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consequences described below may not apply if, as a result of actions taken by intermediaries in the chain of ownership between the holders of ADSs and our Company, the holders of our ADSs are not properly treated as beneficial owners of the underlying ordinary shares.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99"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a PFIC for the current taxable year. A non U.S. corporation will be classified as a PFIC for any taxable year in which, after applying certain look through rules, either:</w:t>
      </w:r>
    </w:p>
    <w:p>
      <w:pPr>
        <w:spacing w:after="0" w:line="194" w:lineRule="exact"/>
        <w:rPr>
          <w:sz w:val="20"/>
          <w:szCs w:val="20"/>
          <w:color w:val="auto"/>
        </w:rPr>
      </w:pPr>
    </w:p>
    <w:p>
      <w:pPr>
        <w:ind w:left="960" w:hanging="432"/>
        <w:spacing w:after="0"/>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least 75% of its gross income is passive income (such as interest income); or</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the ordinary shares or ADSs, which may fluctuate considerably. Fluctuations in the market price of the ordinary shares or ADSs may result in our being a PFIC for any taxable year.</w:t>
      </w:r>
    </w:p>
    <w:p>
      <w:pPr>
        <w:spacing w:after="0" w:line="20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If we are classified as a PFIC in any year with respect to which a U.S. Holder owns the ordinary shares or ADSs, we will continue to be subject to the PFIC rules discussed below with respect to such U.S. Holder in all succeeding years during which the U.S. Holder owns the ordinary shares or ADSs, regardless of whether we continue to meet the tests described above unless (1) we cease to be a PFIC</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and the U.S. Holder has made a “deemed sale” election under the PFIC rules, or (2) the U.S. Holder makes a QEF Election (defined and discussed further below) with respect to all taxable years in which we are a PFIC. If you make a deemed sale election, you will be deemed to have sold the ordinary shares or ADSs you hold at their fair market value and any gain from such deemed sale would be subject to the “excess distribution” rules described further below. After the deemed sale election, so long as we do not become a PFIC in a subsequent taxable year, your ordinary shares or ADSs with respect to which you made such election will not be treated as shares in a PFIC and you will not be subject to the rules described below with respect to any “excess distribution” you receive from us or any gain from an actual sale or other disposition of the ordinary shares or ADSs. U.S. Holders should consult their tax advisors as to the possibility and consequences of making a deemed sale election if we cease to be a PFIC and such election becomes available.</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the U.S. Holder makes a QEF Election in the first year in the U.S. Holder’s holding period in which we are a PFIC, or a Pedigreed Election, then the U.S. Holder may make the QEF Election by simply filing the appropriate documents at the time the U.S. Holder files its tax return for such first year (as discussed further below). If a Pedigreed Election is made, and we no longer qualify as a PFIC in a subsequent year, normal Code rules and not the PFIC rules will apply. If a U.S. shareholder makes a QEF Election that is not a Pedigreed Election (i.e., it is made after the first year during which the company is a PFIC and the U.S. shareholder holds shares of the company), the QEF rules apply prospectively but do not apply to years prior to the year in which the QEF first becomes effective.</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ordinary shares or ADSs, unless you make a QEF Election or a mark to market election as discussed further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w:t>
      </w:r>
    </w:p>
    <w:p>
      <w:pPr>
        <w:spacing w:after="0" w:line="194" w:lineRule="exact"/>
        <w:rPr>
          <w:sz w:val="20"/>
          <w:szCs w:val="20"/>
          <w:color w:val="auto"/>
        </w:rPr>
      </w:pPr>
    </w:p>
    <w:p>
      <w:pPr>
        <w:ind w:left="960" w:hanging="432"/>
        <w:spacing w:after="0"/>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excess distribution or gain will be allocated ratably over your holding period for the ordinary shares or ADSs;</w:t>
      </w:r>
    </w:p>
    <w:p>
      <w:pPr>
        <w:spacing w:after="0" w:line="10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27"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203" w:lineRule="exact"/>
        <w:rPr>
          <w:sz w:val="20"/>
          <w:szCs w:val="20"/>
          <w:color w:val="auto"/>
        </w:rPr>
      </w:pPr>
    </w:p>
    <w:p>
      <w:pPr>
        <w:jc w:val="both"/>
        <w:ind w:left="200" w:right="540" w:firstLine="331"/>
        <w:spacing w:after="0"/>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we are a PFIC, to the extent any of our subsidiaries are also PFICs or we make direct or indirect equity investments in other entities that are PFICs, you may be deemed to own shares in such lower-tier PFICs that are directly or indirectly owned by us in that proportion which the value of the ADSs you own bears to the value of all of our ADSs. A U.S. Holder will generally be subject to similar rules to those described above with respect to distributions we receive from, and our dispositions of the stock of, any of our direct or indirect subsidiaries that also are PFICs, as if such distributions were indirectly received by, and/or dispositions were indirectly carried out by, such U.S. Holder. It is possible that one or more of our subsidiaries may be treated as a lower-tier PFIC. U.S. Holders should consult their tax advisors regarding the application of the PFIC rules to our subsidiaries and the adverse tax</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consequences that may result from such U.S. Holder’s deemed ownership interests in any lower-tier PFICs.</w:t>
      </w:r>
    </w:p>
    <w:p>
      <w:pPr>
        <w:spacing w:after="0" w:line="21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 mark to 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In addition, if we initiate a public offering of ADSs in the fourth quarter of a calendar year, the ADSs will be considered regularly traded if the ADSs are traded other than in de minimis quantities, on the greater of 1/6 of the days remaining in the quarter in which the offering occurs, or 5 days. Any trades that have as their principal purpose meeting this requirement will be disregarded. Our ADSs will be listed on the Nasdaq, which is a qualified exchange for these purposes. Consequently, if our ADSs remain listed on the Nasdaq and are regularly traded, and you are a holder of ADSs, we expect the mark to market election would be available to you if we are a PFIC (which we believe likely for the current year). It is unclear whether our ordinary shares would be considered “marketable” for purposes of these rules and, therefore, whether you would be able to make a mark-to-market election with respect to our ordinary shares. Each U.S. Holder should consult its tax advisor as to the whether a mark to market election is available or advisable with respect to the ordinary shares or ADSs.</w:t>
      </w:r>
    </w:p>
    <w:p>
      <w:pPr>
        <w:spacing w:after="0" w:line="204"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 U.S. Holder that makes a valid mark to market election with respect to ordinary shares or ADSs must include in ordinary income for each year an amount equal to the excess, if any, of the fair market value of the ordinary shares or ADSs (as applicable) at the close of the taxable year over the U.S. Holder’s adjusted tax basis in such ordinary shares or ADSs (as applicable). An electing holder may also claim an ordinary loss deduction for the excess, if any, of the U.S. Holder’s adjusted basis in the ordinary shares or ADSs (as applicable) over the fair market value of the ordinary shares or ADSs (as applicable) at the close of the taxable year, but this deduction is allowable only to the extent of any net mark to market gains for prior years. If a mark-to-market election applies, gains from an actual sale or other disposition of the ordinary shares or ADSs (as applicable) will be treated as ordinary income, and any losses incurred on a sale or other disposition will be treated as an ordinary loss to the extent of any net mark to market gains for prior years. Once made, the mark-to-market election cannot be revoked without the consent of the IRS unless the ordinary shares or ADSs with respect to which the election was made cease to be marketable.</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However, a mark to market election generally cannot be made for equity interests in any lower tier PFICs that we own, unless shares of such lower tier PFIC are themselves “marketable.” It is possible that one or more of our subsidiaries will be treated as a lower-tier PFIC and shares in any such subsidiary would not be considered marketable for this purpose. As a result, even if a U.S. Holder validly makes a mark to market election with respect to our ordinary shares or ADSs, the U.S. Holder may continue to be subject to the general “excess distribution” PFIC rules (described above) with respect to its indirect interest in any of our investments that are treated as an equity interest in a PFIC for U.S. federal income tax purposes. U.S. Holders should consult their tax advisors as to the availability and desirability of a mark to market election, as well as the impact of such election on indirect interests in any lower tier PFICs.</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Alternatively, a U.S. Holder can make an election, if we provide the necessary information, to treat us and each lower tier PFIC as a qualified electing fund, or a QEF Election, in the first taxable year we (and our relevant subsidiaries) are treated as a PFIC with respect to the holder. If such election remains in place while we and any lower tier PFIC subsidiaries are PFICs, we and our subsidiaries will not be treated as PFICs with respect to such U.S. Holder when we cease to be a PFIC. To make the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QEF Election for each PFIC, a U.S. Holder must attach a separate properly completed IRS Form 8621 for each PFIC to the holder’s timely filed U.S. federal income tax return. We will provide the information necessary for a U.S. Holder to make a QEF Election with respect to us and will cause each lower tier PFIC which we control to provide such information with respect to such lower tier PFIC.</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its ordinary shares or ADSs by an amount equal to any income included under the QEF Election and will decrease its tax basis by any amount distributed on the ordinary shares or ADSs that is not included in the holder’s income. In addition, a U.S. Holder will recognize capital gain or loss on the disposition of ordinary shares or ADSs in an amount equal to the difference between the amount realized and the holder’s adjusted tax basis in the ordinary shares or ADSs. U.S. Holders should note that if they make QEF Elections with respect to us and our subsidiaries that are treated as lower tier PFICs, they may be required to pay U.S. federal income tax with respect to their ordinary shares or ADSs for any taxable year significantly in excess of any cash distributions received on the ordinary shares or ADSs for such taxable year. U.S. Holders should consult their tax advisors regarding making QEF Elections in their particular circumstances.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Calculation of Basis in the Ordinary Shares or ADSs</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A U.S. Holder’s initial tax basis in the ordinary shares or ADSs will generally equal the cost of such ordinary shares. If a U.S. Holder used foreign currency to purchase the ordinary shares or ADSs, the cost of the ordinary shares or ADSs will be the U.S. dollar value of the foreign currency purchase price on the date of purchase, translated at the spot rate of exchange on that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Subject to the discussion above under “—Passive Foreign Investment Company Rules,” distributions paid on ordinary shares or ADSs, other than certain pro rata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will not apply if we are treated as a PFIC in the year the dividend is paid or in the preceding year. The amount of a dividend will include any amounts withheld by us in respect of United Kingdom income taxes. The amount of the dividend will be treated as foreign source dividend income to U.S. Holders and will not be eligible for the dividends received deduction generally available to U.S. corporations under the Code. Dividends will generally be included in a U.S. Holder’s income on the date of the U.S. Holder’s actual or</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 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Amounts, if any, not treated as dividend income will constitute a return of capital and will first be applied to reduce a U.S. Holder’s tax basis in its ordinary shares or ADSs, but not below zero, and then any excess will be treated as a gain realized on a sale or other disposition of ordinary shares or ADSs.</w:t>
      </w:r>
    </w:p>
    <w:p>
      <w:pPr>
        <w:spacing w:after="0" w:line="207"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Subject to the discussion above under “—Passive Foreign Investment Company Rules,” gain or loss realized on the sale or other taxable disposition of ordinary shares or ADSs will be capital gain or loss, and will be long 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 source gain or loss for foreign tax credit purposes. The deductibility of capital losses is subject to limitations.</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 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85" w:lineRule="exact"/>
        <w:rPr>
          <w:sz w:val="20"/>
          <w:szCs w:val="20"/>
          <w:color w:val="auto"/>
        </w:rPr>
      </w:pPr>
    </w:p>
    <w:p>
      <w:pPr>
        <w:ind w:left="200" w:right="520"/>
        <w:spacing w:after="0" w:line="253"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0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Reporting Requirements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U.S. Holder (including a U.S. tax-exempt entity) that acquires equity of a non-U.S. corporation may be required to file a Form 926, or a similar form, with the IRS reporting the payment of the offering price if (i) such person owned, directly or by attribution, immediately after the transfer at least 10.0% by vote or value of the corporation or (ii) if the transfer, when aggregated with all transfers made by such person (or any related person) within the preceding 12 month period, exceeds USD 100,000. Substantial penalties may be imposed upon a U.S. Holder that fails to comply. Also, in the event a U.S. Holder does not file IRS Form 926, the statute of limitations on the assessment and collection of U.S. federal income taxes of such U.S. Holder for the related tax year may not close until three years after the date the required information is filed. Each U.S. Holder should consult its own tax advisor as to the possible obligation to file Form 926. U.S. Holders should consult their tax advisers regarding the applicability of this requirement to their acquisition of our ordinary shares.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the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the ordinary shares or ADSs.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FATCA</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Provisions under Sections 1471 through 1474 of the Code and applicable U.S. Treasury Regulations commonly referred to as “FATCA” generally impose 30% withholding on certain “withholdable payments” and, in the future, may impose such withholding on “foreign passthru payments” made by a “foreign financial institution” (each as defined in the Code) that has entered into an agreement with the IRS to perform certain diligence and reporting obligations with respect to the foreign financial institution’s U.S.-owned accounts. The United States has entered into intergovernmental agreements with the United Kingdom and other jurisdictions that modify the FATCA withholding regime. It is not yet clear how these intergovernmental agreements will address foreign passthru payments and whether such intergovernmental agreements may relieve foreign financial institutions of any obligation to withhold on foreign passthru payments. Prospective investors should consult their tax advisors regarding the potential impact of FATCA, or any intergovernmental agreement or non-U.S. legislation implementing FATCA, on their investment in the ordinary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Kingdom Taxation</w:t>
      </w:r>
    </w:p>
    <w:p>
      <w:pPr>
        <w:spacing w:after="0" w:line="85"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The following paragraphs are intended as a general guide to current U.K. tax law and HM Revenue &amp; Customs published practice applying as at the date of this prospectus (both of which are subject to change at any time, possibly with retrospective effect) relating to the holding of ordinary shares or ADSs. They do not constitute legal or tax advice and do not purport to be a complete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analysis of all U.K. tax considerations relating to the holding of ordinary shares or ADSs. They are written on the basis that the Company is and remains solely resident in the U.K. for tax purposes and will therefore be subject to the U.K. tax regime and not the U.S. tax regime save as set out above under “—U.S. Federal Income Taxation.” They relate only to persons who are absolute beneficial owners of ordinary shares or ADSs (and where the ordinary shares or ADSs are not held through an Individual Savings Account or a Self-Invested Personal Pension) and who are resident for tax purposes in (and only in) the U.K., or U.K. Holders (except to the extent that the position of non-U.K. resident persons is expressly referred to). 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These paragraphs may not relate to certain classes of U.K. Holders, such as (but not limited to):</w:t>
      </w:r>
    </w:p>
    <w:p>
      <w:pPr>
        <w:spacing w:after="0" w:line="203" w:lineRule="exact"/>
        <w:rPr>
          <w:sz w:val="20"/>
          <w:szCs w:val="20"/>
          <w:color w:val="auto"/>
        </w:rPr>
      </w:pPr>
    </w:p>
    <w:p>
      <w:pPr>
        <w:ind w:left="960" w:hanging="432"/>
        <w:spacing w:after="0"/>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are connected with the Company;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insurance companies;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charities or tax-exempt organizations;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collective investment schemes;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pension schemes;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or dealers in securities or persons who hold ordinary shares or ADSs otherwise than as an investment;</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have (or are deemed to have) acquired their ordinary shares or ADSs by virtue of an office or employment or who are or have been officers or employees of the Company or any of its affiliates;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individuals who are subject to U.K. taxation on a remittance basis.</w:t>
      </w:r>
    </w:p>
    <w:p>
      <w:pPr>
        <w:spacing w:after="0" w:line="20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THESE PARAGRAPHS DO NOT DESCRIBE ALL OF THE CIRCUMSTANCES IN WHICH HOLDERS OF ORDINARY SHARES OR ADSs MAY BENEFIT FROM AN EXEMPTION OR RELIEF FROM U.K. TAXATION. IT IS RECOMMENDED THAT ALL HOLDERS OF ORDINARY SHARES OR ADSs OBTAIN THEIR OWN TAX ADVICE AS TO THE CONSEQUENCES OF THE ACQUISITION, OWNERSHIP, AND DISPOSAL OF THE ORDINARY SHARES OR ADSs IN THEIR OWN PARTICULAR CIRCUMSTANCES. IN PARTICULAR, NON-U.K. RESIDENT OR DOMICILED PERSONS ARE ADVISED TO CONSIDER THE POTENTIAL IMPACT OF ANY RELEVANT DOUBLE TAX AGREEMENTS.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Withholding Tax</w:t>
      </w:r>
    </w:p>
    <w:p>
      <w:pPr>
        <w:spacing w:after="0" w:line="41"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holders of ordinary shares or ADSs.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w:t>
      </w:r>
    </w:p>
    <w:p>
      <w:pPr>
        <w:spacing w:after="0" w:line="54"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An individual U.K. Holder may, depending on his or her particular circumstances, be subject to U.K. tax on dividends received from the Company. An individual holder of ordinary shares or ADSs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or ADSs are attributable (subject to certain exceptions for trading through independent agents, such as some brokers and investment managers).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All individual U.K. Holders will receive a tax-free allowance of £5,000 per annum (reducing to £2,000 for dividends received on or after 6 April 2018). Dividend income in excess of this tax-free allowance will be charged at 7.5% for basic rate taxpayers, 32.5% for higher rate taxpayers, and 38.1% for additional rate taxpayers. Dividend income is treated as the top slice of the total income chargeable to U.K. income tax.</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Corporation Tax</w:t>
      </w:r>
    </w:p>
    <w:p>
      <w:pPr>
        <w:spacing w:after="0" w:line="41"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Corporate U.K. Holders should not be subject to U.K. corporation tax on any dividend received from the Company so long as the dividends qualify for exemption, which is likely to be the case, provided the dividends fall within an exempt class and certain conditions are met (including anti-avoidance conditions).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Chargeable Gains</w:t>
      </w:r>
    </w:p>
    <w:p>
      <w:pPr>
        <w:spacing w:after="0" w:line="99"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A disposal or deemed disposal of ordinary shares or ADSs by a U.K. Holder may, depending on the U.K. Holder’s circumstances and subject to any available exemptions or reliefs, give rise to a chargeable gain or an allowable loss for the purposes of U.K. capital gains tax and corporation tax on chargeable gains.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an individual U.K. Holder who is subject to U.K. income tax at either the higher or the additional rate becomes liable to U.K. capital gains tax on the disposal of ordinary shares or ADSs, the current applicable rate would be 20%. For an individual U.K. Holder who is subject to U.K. income tax at the basic rate and liable to U.K. capital gains tax on such disposal, the current applicable rate would be 10%, save to the extent that any capital gains exceed the unused basic rate tax band. In that case, the current rate applicable to the excess would be 20%.</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If a corporate U.K. Holder becomes liable to U.K. corporation tax on the disposal of ordinary shares or ADSs, the main rate of U.K. corporation tax (currently 19%) would apply. An indexation allowance may be available to such a holder to give an additional deduction based on the indexation of its base cost in the shares by reference to U.K. retail price inflation over its holding period (but note that, in respect of disposals on or after 1 January 2018, the U.K. Government announced plans in the Autumn Budget 2017 to freeze indexation allowance at the amount that would be due based on the retail price index for December 2017). An indexation allowance can only reduce a gain on a future disposal, and cannot create a loss.</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 holder of ordinary shares or ADSs which is not resident for tax purposes in the U.K. should not normally be liable to U.K. capital gains tax or corporation tax on chargeable gains on a disposal of ordinary shares or ADSs. However, an individual holder of ordinary shares or ADSs who has ceased to be resident for tax purposes in the U.K. for a period of less than five years and who disposes of ordinary shares or ADSs during that period may be liable on his or her return to the U.K. to U.K. tax on any capital gain realized (subject to any available exemption or relief).</w:t>
      </w:r>
    </w:p>
    <w:p>
      <w:pPr>
        <w:spacing w:after="0" w:line="203"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Any gains or losses in respect of currency fluctuations relating to the ordinary shares or ADSs would be brought into account on the disposal.</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discussion below relates to holders of ordinary shares or ADSs wherever resident.</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Transfer of Ordinary Shares</w:t>
      </w:r>
    </w:p>
    <w:p>
      <w:pPr>
        <w:spacing w:after="0" w:line="54"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Neither U.K. stamp duty nor stamp duty and reserve tax, or SDRT, should arise on transfers of ordinary shares on AIM (including instruments transferring ordinary shares or agreement to transfer ordinary shares) based on the following assumptions:</w:t>
      </w:r>
    </w:p>
    <w:p>
      <w:pPr>
        <w:spacing w:after="0" w:line="224" w:lineRule="exact"/>
        <w:rPr>
          <w:sz w:val="20"/>
          <w:szCs w:val="20"/>
          <w:color w:val="auto"/>
        </w:rPr>
      </w:pPr>
    </w:p>
    <w:p>
      <w:pPr>
        <w:ind w:left="960" w:right="60" w:hanging="432"/>
        <w:spacing w:after="0" w:line="218"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ordinary shares are admitted to trading on AIM but are not listed on any market (with the term “listed” being construed in accordance with section 99A of the U.K. Finance Act 1986);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20" w:hanging="432"/>
        <w:spacing w:after="0" w:line="218" w:lineRule="auto"/>
        <w:tabs>
          <w:tab w:leader="none" w:pos="960" w:val="left"/>
        </w:tabs>
        <w:numPr>
          <w:ilvl w:val="0"/>
          <w:numId w:val="1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AIM continues to be accepted as a “recognised growth market” (as construed in accordance with section 99A of the U.K. Finance Act 1986).</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the event that either of the above assumptions does not apply, transfers of, or agreements to transfer, ordinary shares may give rise to U.K. stamp duty or SDRT in certain circumstances.</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Transfers of ADSs</w:t>
      </w:r>
    </w:p>
    <w:p>
      <w:pPr>
        <w:spacing w:after="0" w:line="4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No U.K. stamp duty will in practice be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(rounded up to the nearest £5) of the value of the consideration.</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SDRT will be payable in respect of agreement to transfer an ADS.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We and the underwriters for the global offering named below have entered into an underwriting agreement with respect to the ADSs and ordinary shares being offered. Subject to the terms and conditions of the underwriting agreement, each underwriter has severally agreed to purchase from us the number of ADSs and ordinary shares set forth opposite its name below. Cowen and Company, LLC, 599 Lexington Avenue, New York, New York 10022; BMO Capital Markets Corp., 3 Times Square, New York, New York 10036; and RBC Capital Markets, LLC, 3 World Financial Center, 200 Vesey Street, New York, New York 10281, are the representatives of the underwriters.</w:t>
      </w:r>
    </w:p>
    <w:p>
      <w:pPr>
        <w:sectPr>
          <w:pgSz w:w="11900" w:h="16838" w:orient="portrait"/>
          <w:cols w:equalWidth="0" w:num="1">
            <w:col w:w="11200"/>
          </w:cols>
          <w:pgMar w:left="240" w:top="460" w:right="459" w:bottom="1440" w:gutter="0" w:footer="0" w:header="0"/>
        </w:sectPr>
      </w:pPr>
    </w:p>
    <w:p>
      <w:pPr>
        <w:spacing w:after="0" w:line="382" w:lineRule="exact"/>
        <w:rPr>
          <w:sz w:val="20"/>
          <w:szCs w:val="20"/>
          <w:color w:val="auto"/>
        </w:rPr>
      </w:pPr>
    </w:p>
    <w:p>
      <w:pPr>
        <w:ind w:left="540"/>
        <w:spacing w:after="0"/>
        <w:rPr>
          <w:sz w:val="20"/>
          <w:szCs w:val="20"/>
          <w:color w:val="auto"/>
        </w:rPr>
      </w:pPr>
      <w:r>
        <w:rPr>
          <w:rFonts w:ascii="Arial" w:cs="Arial" w:eastAsia="Arial" w:hAnsi="Arial"/>
          <w:sz w:val="14"/>
          <w:szCs w:val="14"/>
          <w:b w:val="1"/>
          <w:bCs w:val="1"/>
          <w:u w:val="single" w:color="auto"/>
          <w:color w:val="auto"/>
        </w:rPr>
        <w:t>Underwriters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-1905</wp:posOffset>
            </wp:positionV>
            <wp:extent cx="657796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u w:val="single" w:color="auto"/>
          <w:color w:val="auto"/>
        </w:rPr>
        <w:t>Ordinary Shares</w:t>
      </w:r>
    </w:p>
    <w:p>
      <w:pPr>
        <w:spacing w:after="0" w:line="1" w:lineRule="exact"/>
        <w:rPr>
          <w:sz w:val="20"/>
          <w:szCs w:val="20"/>
          <w:color w:val="auto"/>
        </w:rPr>
      </w:pPr>
    </w:p>
    <w:p>
      <w:pPr>
        <w:sectPr>
          <w:pgSz w:w="11900" w:h="16838" w:orient="portrait"/>
          <w:cols w:equalWidth="0" w:num="3">
            <w:col w:w="7740" w:space="720"/>
            <w:col w:w="720" w:space="560"/>
            <w:col w:w="1460"/>
          </w:cols>
          <w:pgMar w:left="240" w:top="460" w:right="459" w:bottom="1440" w:gutter="0" w:footer="0" w:header="0"/>
          <w:type w:val="continuous"/>
        </w:sectPr>
      </w:pPr>
    </w:p>
    <w:p>
      <w:pPr>
        <w:ind w:left="540"/>
        <w:spacing w:after="0" w:line="229" w:lineRule="auto"/>
        <w:rPr>
          <w:sz w:val="20"/>
          <w:szCs w:val="20"/>
          <w:color w:val="auto"/>
        </w:rPr>
      </w:pPr>
      <w:r>
        <w:rPr>
          <w:rFonts w:ascii="Arial" w:cs="Arial" w:eastAsia="Arial" w:hAnsi="Arial"/>
          <w:sz w:val="18"/>
          <w:szCs w:val="18"/>
          <w:color w:val="auto"/>
        </w:rPr>
        <w:t>Cowen and Company, LLC</w:t>
      </w:r>
    </w:p>
    <w:p>
      <w:pPr>
        <w:ind w:left="540"/>
        <w:spacing w:after="0" w:line="235" w:lineRule="auto"/>
        <w:rPr>
          <w:sz w:val="20"/>
          <w:szCs w:val="20"/>
          <w:color w:val="auto"/>
        </w:rPr>
      </w:pPr>
      <w:r>
        <w:rPr>
          <w:rFonts w:ascii="Arial" w:cs="Arial" w:eastAsia="Arial" w:hAnsi="Arial"/>
          <w:sz w:val="18"/>
          <w:szCs w:val="18"/>
          <w:color w:val="auto"/>
        </w:rPr>
        <w:t>BMO Capital Markets Corp.</w:t>
      </w:r>
    </w:p>
    <w:p>
      <w:pPr>
        <w:ind w:left="540"/>
        <w:spacing w:after="0" w:line="235" w:lineRule="auto"/>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JMP Securities LLC</w:t>
      </w:r>
    </w:p>
    <w:p>
      <w:pPr>
        <w:ind w:left="540"/>
        <w:spacing w:after="0"/>
        <w:rPr>
          <w:sz w:val="20"/>
          <w:szCs w:val="20"/>
          <w:color w:val="auto"/>
        </w:rPr>
      </w:pPr>
      <w:r>
        <w:rPr>
          <w:rFonts w:ascii="Arial" w:cs="Arial" w:eastAsia="Arial" w:hAnsi="Arial"/>
          <w:sz w:val="18"/>
          <w:szCs w:val="18"/>
          <w:color w:val="auto"/>
        </w:rPr>
        <w:t>Cantor Fitzgerald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577965" cy="137160"/>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-1905</wp:posOffset>
            </wp:positionV>
            <wp:extent cx="152654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26540" cy="26035"/>
                    </a:xfrm>
                    <a:prstGeom prst="rect">
                      <a:avLst/>
                    </a:prstGeom>
                    <a:noFill/>
                  </pic:spPr>
                </pic:pic>
              </a:graphicData>
            </a:graphic>
          </wp:anchor>
        </w:drawing>
      </w:r>
    </w:p>
    <w:p>
      <w:pPr>
        <w:spacing w:after="0" w:line="246"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ADSs and ordinary shares sold under the underwriting agreement if any of these ADSs or ordinary shares are purchased, other than those ADSs covered by the overallotment option described below. If an underwriter defaults, the underwriting agreement provides that the purchase commitments of the non-defaulting underwriters may be increased or the underwriting agreement may be terminated.</w:t>
      </w:r>
    </w:p>
    <w:p>
      <w:pPr>
        <w:spacing w:after="0" w:line="203"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The underwriters are offering the ADSs and ordinary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5"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 xml:space="preserve">Option to Purchase Additional ADSs. </w:t>
      </w:r>
      <w:r>
        <w:rPr>
          <w:rFonts w:ascii="Arial" w:cs="Arial" w:eastAsia="Arial" w:hAnsi="Arial"/>
          <w:sz w:val="18"/>
          <w:szCs w:val="18"/>
          <w:color w:val="auto"/>
        </w:rPr>
        <w:t>We have granted to the underwriters an option to purchase up to additional ADSs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offering price per ADS, less the underwriting discounts and commissions. This option is exercisable for a period of 30 days after the date of the pricing of the global offering. The underwriters may exercise this option solely for the purpose of covering overallotments, if any, made in connection with the sale of ADSs offered hereby. To the extent that the underwriters exercise this option, the underwriters will purchase additional ADSs from us in approximately the same proportion as shown in the table above.</w:t>
      </w:r>
    </w:p>
    <w:p>
      <w:pPr>
        <w:spacing w:after="0" w:line="185" w:lineRule="exact"/>
        <w:rPr>
          <w:sz w:val="20"/>
          <w:szCs w:val="20"/>
          <w:color w:val="auto"/>
        </w:rPr>
      </w:pPr>
    </w:p>
    <w:p>
      <w:pPr>
        <w:ind w:left="200" w:right="300" w:firstLine="331"/>
        <w:spacing w:after="0" w:line="251" w:lineRule="auto"/>
        <w:rPr>
          <w:sz w:val="20"/>
          <w:szCs w:val="20"/>
          <w:color w:val="auto"/>
        </w:rPr>
      </w:pPr>
      <w:r>
        <w:rPr>
          <w:rFonts w:ascii="Arial" w:cs="Arial" w:eastAsia="Arial" w:hAnsi="Arial"/>
          <w:sz w:val="18"/>
          <w:szCs w:val="18"/>
          <w:i w:val="1"/>
          <w:iCs w:val="1"/>
          <w:color w:val="auto"/>
        </w:rPr>
        <w:t xml:space="preserve">Discounts and Commissions. </w:t>
      </w:r>
      <w:r>
        <w:rPr>
          <w:rFonts w:ascii="Arial" w:cs="Arial" w:eastAsia="Arial" w:hAnsi="Arial"/>
          <w:sz w:val="18"/>
          <w:szCs w:val="18"/>
          <w:color w:val="auto"/>
        </w:rPr>
        <w:t>The following table shows the public offering price, underwriting discounts and commissions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before expenses to us. These amounts are shown assuming both no exercise and full exercise of the underwriters’ option to purchase additional ADSs.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estimate that the total expenses of the global offering payable by us, excluding underwriting discounts and commissions, will be</w:t>
      </w:r>
    </w:p>
    <w:p>
      <w:pPr>
        <w:ind w:left="200"/>
        <w:spacing w:after="0"/>
        <w:tabs>
          <w:tab w:leader="none" w:pos="18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 We have also agreed to reimburse the underwriters for certain expenses, including up to an aggregate of</w:t>
      </w:r>
    </w:p>
    <w:p>
      <w:pPr>
        <w:spacing w:after="0" w:line="1" w:lineRule="exact"/>
        <w:rPr>
          <w:sz w:val="20"/>
          <w:szCs w:val="20"/>
          <w:color w:val="auto"/>
        </w:rPr>
      </w:pPr>
    </w:p>
    <w:p>
      <w:pPr>
        <w:ind w:left="1160" w:hanging="956"/>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connection with the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00"/>
          </w:cols>
          <w:pgMar w:left="240" w:top="460" w:right="45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clearance of the global offering with the Financial Industry Regulatory Authority, or FINRA, as set forth in the underwriting agreement.</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5"/>
                <w:szCs w:val="15"/>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b w:val="1"/>
                <w:bCs w:val="1"/>
                <w:color w:val="auto"/>
              </w:rPr>
              <w:t>Without</w:t>
            </w:r>
          </w:p>
        </w:tc>
        <w:tc>
          <w:tcPr>
            <w:tcW w:w="4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320"/>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ADS</w:t>
            </w:r>
          </w:p>
        </w:tc>
        <w:tc>
          <w:tcPr>
            <w:tcW w:w="440" w:type="dxa"/>
            <w:vAlign w:val="bottom"/>
          </w:tcPr>
          <w:p>
            <w:pPr>
              <w:spacing w:after="0"/>
              <w:rPr>
                <w:sz w:val="15"/>
                <w:szCs w:val="15"/>
                <w:color w:val="auto"/>
              </w:rPr>
            </w:pPr>
          </w:p>
        </w:tc>
        <w:tc>
          <w:tcPr>
            <w:tcW w:w="720" w:type="dxa"/>
            <w:vAlign w:val="bottom"/>
          </w:tcPr>
          <w:p>
            <w:pPr>
              <w:jc w:val="right"/>
              <w:ind w:right="82"/>
              <w:spacing w:after="0"/>
              <w:rPr>
                <w:sz w:val="20"/>
                <w:szCs w:val="20"/>
                <w:color w:val="auto"/>
              </w:rPr>
            </w:pPr>
            <w:r>
              <w:rPr>
                <w:rFonts w:ascii="Arial" w:cs="Arial" w:eastAsia="Arial" w:hAnsi="Arial"/>
                <w:sz w:val="14"/>
                <w:szCs w:val="14"/>
                <w:b w:val="1"/>
                <w:bCs w:val="1"/>
                <w:color w:val="auto"/>
              </w:rPr>
              <w:t>Share</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Overallotment</w:t>
            </w:r>
          </w:p>
        </w:tc>
        <w:tc>
          <w:tcPr>
            <w:tcW w:w="1480" w:type="dxa"/>
            <w:vAlign w:val="bottom"/>
            <w:gridSpan w:val="3"/>
          </w:tcPr>
          <w:p>
            <w:pPr>
              <w:ind w:left="44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Offering price</w:t>
            </w:r>
          </w:p>
        </w:tc>
        <w:tc>
          <w:tcPr>
            <w:tcW w:w="1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220" w:type="dxa"/>
            <w:vAlign w:val="bottom"/>
            <w:gridSpan w:val="2"/>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Mereo</w:t>
            </w:r>
          </w:p>
        </w:tc>
        <w:tc>
          <w:tcPr>
            <w:tcW w:w="2220" w:type="dxa"/>
            <w:vAlign w:val="bottom"/>
            <w:gridSpan w:val="2"/>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180" w:firstLine="331"/>
        <w:spacing w:after="0" w:line="248" w:lineRule="auto"/>
        <w:rPr>
          <w:sz w:val="20"/>
          <w:szCs w:val="20"/>
          <w:color w:val="auto"/>
        </w:rPr>
      </w:pPr>
      <w:r>
        <w:rPr>
          <w:rFonts w:ascii="Arial" w:cs="Arial" w:eastAsia="Arial" w:hAnsi="Arial"/>
          <w:sz w:val="17"/>
          <w:szCs w:val="17"/>
          <w:color w:val="auto"/>
        </w:rPr>
        <w:t>The underwriters propose to offer the ADSs and ordinary shares at the offering prices set forth on the cover of this prospectus. The underwriters may offer the ADSs and ordinary shares to securities dealers at the public offering prices less a concession not in excess of</w:t>
      </w:r>
    </w:p>
    <w:p>
      <w:pPr>
        <w:spacing w:after="0" w:line="1" w:lineRule="exact"/>
        <w:rPr>
          <w:sz w:val="20"/>
          <w:szCs w:val="20"/>
          <w:color w:val="auto"/>
        </w:rPr>
      </w:pPr>
    </w:p>
    <w:p>
      <w:pPr>
        <w:ind w:left="200" w:right="40" w:firstLine="4"/>
        <w:spacing w:after="0" w:line="239" w:lineRule="auto"/>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 ADS and £ per ordinary share. If all of the ADSs and ordinary shares are not sold at the relevant offering price, the underwriters may change the initial public offering price per ADS and the offering price per ordinary share and other selling terms. Sales of ADSs made outside of the United States may be made by affiliates of certain of the underwriters. Certain of the underwriters may sell ADSs or ordinary shares through one or more of their affiliates as selling agents.</w:t>
      </w:r>
    </w:p>
    <w:p>
      <w:pPr>
        <w:spacing w:after="0" w:line="184" w:lineRule="exact"/>
        <w:rPr>
          <w:sz w:val="20"/>
          <w:szCs w:val="20"/>
          <w:color w:val="auto"/>
        </w:rPr>
      </w:pPr>
    </w:p>
    <w:p>
      <w:pPr>
        <w:ind w:left="200" w:right="140" w:firstLine="331"/>
        <w:spacing w:after="0" w:line="26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ADSs or ordinary shares to any accounts over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they have discretionary authority.</w:t>
      </w:r>
    </w:p>
    <w:p>
      <w:pPr>
        <w:spacing w:after="0" w:line="161" w:lineRule="exact"/>
        <w:rPr>
          <w:sz w:val="20"/>
          <w:szCs w:val="20"/>
          <w:color w:val="auto"/>
        </w:rPr>
      </w:pPr>
    </w:p>
    <w:p>
      <w:pPr>
        <w:jc w:val="both"/>
        <w:ind w:left="200" w:right="600" w:firstLine="331"/>
        <w:spacing w:after="0" w:line="251"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Prior to the global offering, there has been no public market for the ADSs. Consequently, the initial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price for the ADSs will be determined by negotiations between us and the representatives of the underwriters. In addition to prevailing market conditions, factors to be considered in these negotiations will include,:</w:t>
      </w:r>
    </w:p>
    <w:p>
      <w:pPr>
        <w:spacing w:after="0" w:line="183" w:lineRule="exact"/>
        <w:rPr>
          <w:sz w:val="20"/>
          <w:szCs w:val="20"/>
          <w:color w:val="auto"/>
        </w:rPr>
      </w:pPr>
    </w:p>
    <w:p>
      <w:pPr>
        <w:ind w:left="960" w:hanging="432"/>
        <w:spacing w:after="0"/>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trading price of our ordinary shares on AIM;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history of, and prospects for, our company and the industry in which we compete;</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past and present financial information, assessment of our management, its past and present operations, and the prospects for, and timing of, our future revenues;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present state of our development; and</w:t>
      </w:r>
    </w:p>
    <w:p>
      <w:pPr>
        <w:spacing w:after="0" w:line="26"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foregoing factors in relation to market values and various valuation measures of other companies engaged in activities similar to ours.</w:t>
      </w:r>
    </w:p>
    <w:p>
      <w:pPr>
        <w:spacing w:after="0" w:line="203"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An active trading market for the ADSs may not develop. It is also possible that after the global offering, the ADSs will not trade in the public market at or above the initial public offering price.</w:t>
      </w:r>
    </w:p>
    <w:p>
      <w:pPr>
        <w:spacing w:after="0" w:line="197"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Our ordinary shares trade on the AIM under the symbol “MPH.” We intend to apply to list the ADSs on the Nasdaq Global Market under the trading symbol “MREO.”</w:t>
      </w:r>
    </w:p>
    <w:p>
      <w:pPr>
        <w:spacing w:after="0" w:line="179" w:lineRule="exact"/>
        <w:rPr>
          <w:sz w:val="20"/>
          <w:szCs w:val="20"/>
          <w:color w:val="auto"/>
        </w:rPr>
      </w:pPr>
    </w:p>
    <w:p>
      <w:pPr>
        <w:ind w:left="200" w:right="900" w:firstLine="331"/>
        <w:spacing w:after="0" w:line="26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the global offering, the underwriters may engage in stabilizing transactions, overallotment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syndicate covering transactions, penalty bids and purchases to cover positions created by short sales.</w:t>
      </w:r>
    </w:p>
    <w:p>
      <w:pPr>
        <w:spacing w:after="0" w:line="206" w:lineRule="exact"/>
        <w:rPr>
          <w:sz w:val="20"/>
          <w:szCs w:val="20"/>
          <w:color w:val="auto"/>
        </w:rPr>
      </w:pPr>
    </w:p>
    <w:p>
      <w:pPr>
        <w:ind w:left="960" w:right="20" w:hanging="432"/>
        <w:spacing w:after="0" w:line="223"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ADSs or ordinary shares so long as the stabilizing bids do not exceed a specified maximum, and are engaged in for the purpose of preventing or retarding a decline in the market price of the ADSs or ordinary shares while the global offering is in progress.</w:t>
      </w:r>
    </w:p>
    <w:p>
      <w:pPr>
        <w:spacing w:after="0" w:line="28"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Overallotment transactions involve sales by the underwriters of ADSs in excess of the number of ADSs the underwriters are obligated to purchase. This creates a syndicate short position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38" w:lineRule="auto"/>
        <w:rPr>
          <w:sz w:val="20"/>
          <w:szCs w:val="20"/>
          <w:color w:val="auto"/>
        </w:rPr>
      </w:pPr>
      <w:r>
        <w:rPr>
          <w:rFonts w:ascii="Arial" w:cs="Arial" w:eastAsia="Arial" w:hAnsi="Arial"/>
          <w:sz w:val="18"/>
          <w:szCs w:val="18"/>
          <w:color w:val="auto"/>
        </w:rPr>
        <w:t>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7" w:lineRule="exact"/>
        <w:rPr>
          <w:sz w:val="20"/>
          <w:szCs w:val="20"/>
          <w:color w:val="auto"/>
        </w:rPr>
      </w:pPr>
    </w:p>
    <w:p>
      <w:pPr>
        <w:ind w:left="960" w:right="20" w:hanging="432"/>
        <w:spacing w:after="0" w:line="230"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ADSs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global offering.</w:t>
      </w:r>
    </w:p>
    <w:p>
      <w:pPr>
        <w:spacing w:after="0" w:line="30" w:lineRule="exact"/>
        <w:rPr>
          <w:rFonts w:ascii="MS PGothic" w:cs="MS PGothic" w:eastAsia="MS PGothic" w:hAnsi="MS PGothic"/>
          <w:sz w:val="25"/>
          <w:szCs w:val="25"/>
          <w:color w:val="auto"/>
          <w:vertAlign w:val="superscript"/>
        </w:rPr>
      </w:pPr>
    </w:p>
    <w:p>
      <w:pPr>
        <w:ind w:left="960" w:right="380" w:hanging="432"/>
        <w:spacing w:after="0" w:line="223"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ADSs or ordinary shares originally sold by that syndicate member are purchased in stabilizing or syndicate covering transactions to cover syndicate short positions.</w:t>
      </w:r>
    </w:p>
    <w:p>
      <w:pPr>
        <w:spacing w:after="0" w:line="204"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ordinary shares or preventing or retarding a decline in the market price of the ADSs or ordinary shares. As a result, the price of the ADSs and ordinary shares in the open market may be higher than it would otherwise be in the absence of these transactions. Neither we nor the underwriters make any representation or prediction as to the effect that the transactions described above may have on the price of the ADSs or ordinary shares. These transactions may be effected on the Nasdaq Global Market, in the over-the-counter market or otherwise and, if commenced, may be discontinued at any time.</w:t>
      </w:r>
    </w:p>
    <w:p>
      <w:pPr>
        <w:spacing w:after="0" w:line="187" w:lineRule="exact"/>
        <w:rPr>
          <w:sz w:val="20"/>
          <w:szCs w:val="20"/>
          <w:color w:val="auto"/>
        </w:rPr>
      </w:pPr>
    </w:p>
    <w:p>
      <w:pPr>
        <w:ind w:left="200" w:right="80" w:firstLine="331"/>
        <w:spacing w:after="0" w:line="242" w:lineRule="auto"/>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may engage in passive market making transactions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ADSs on the Nasdaq Global Market in accordance with Rule 103 of Regulation M under the Exchange Act during a period before the commencement of offers or sales of ADSs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Pursuant to certain “lock-up” agreements, we and our executive officers, directors and certain of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or engage in any short selling of, or make any demand or request for or exercise any right with respect to the registration of, or file with the SEC a registration statement under the Securities Act relating to, our ADSs or ordinary shares or securities convertible into or exchangeable or exercisable for our ADSs or ordinary shares without the prior written consent of Cowen and Company, LLC and BMO Capital Markets Corp. for a period of 180 days after the date of the pricing of the global offering.</w:t>
      </w:r>
    </w:p>
    <w:p>
      <w:pPr>
        <w:spacing w:after="0" w:line="206"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This lock-up provision applies to ADSs, ordinary shares and securities convertible into or exchangeable or exercisable for ADSs or ordinary shares. It also applies to ADSs or ordinary shares owned now or acquired later by the person executing the agreement or for which the person executing the agreement later acquires the power of disposition. The exceptions permit us, among other things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8" w:lineRule="auto"/>
        <w:rPr>
          <w:sz w:val="20"/>
          <w:szCs w:val="20"/>
          <w:color w:val="auto"/>
        </w:rPr>
      </w:pPr>
      <w:r>
        <w:rPr>
          <w:rFonts w:ascii="Arial" w:cs="Arial" w:eastAsia="Arial" w:hAnsi="Arial"/>
          <w:sz w:val="17"/>
          <w:szCs w:val="17"/>
          <w:color w:val="auto"/>
        </w:rPr>
        <w:t>and subject to restrictions, to: (a) issue ADSs, ordinary shares or options pursuant to employee benefit incentive or share option plans, and file a registration statement to register the offer and sale of such securities or (b) issue ADSs or ordinary shares upon the conversion of outstanding securities or the exercise of outstanding options, or warrants or convertible debt securities. The exceptions permit parties to the “lock-up” agreements, among other things and subject to restrictions, to: (a) make certain gifts; (b) if the party is a corporation, partnership, limited liability company or other business entity, make transfers to any shareholders, partners, members of, or owners of similar equity interests in, the party, or to an affiliate of the party, if such transfer is not for value; (c) make transfers of our ADSs or ordinary shares acquired in the open market after the global offering; (d) if the party is a corporation, partnership, limited liability company or other business entity, make transfers in connection with the sale or transfer of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(d) make certain transfers by operation of law;</w:t>
      </w:r>
    </w:p>
    <w:p>
      <w:pPr>
        <w:spacing w:after="0" w:line="6" w:lineRule="exact"/>
        <w:rPr>
          <w:sz w:val="20"/>
          <w:szCs w:val="20"/>
          <w:color w:val="auto"/>
        </w:rPr>
      </w:pPr>
    </w:p>
    <w:p>
      <w:pPr>
        <w:ind w:left="200" w:right="400" w:firstLine="4"/>
        <w:spacing w:after="0"/>
        <w:tabs>
          <w:tab w:leader="none" w:pos="47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transfers of ADSs or ordinary shares acquired in the open market following the global offering; and (f) participate in tenders involving the acquisition of all of our outstanding ordinary shares. In addition, the lock-up provision will not restrict broker-dealers from engaging in market making and similar activities conducted in the ordinary course of their business.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Cowen and Company, LLC and BMO Capital Markets Corp., in their sole discretion, may release our ADS or ordinary shares and other securities subject to the lock-up agreements described above in whole or in part at any time. When determining whether or not to release our ADSs or ordinary shares and other securities from lock-up agreements, Cowen and Company, LLC and BMO Capital Markets Corp. will consider, among other factors, the holder’s reasons for requesting the release, the number of ADSs or ordinary shares for which the release is being requested, and market conditions at the time of the request. In the event of such a release or waiver for one of our directors or officers, Cowen and Company, LLC and BMO Capital Markets Corp.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90"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i w:val="1"/>
          <w:iCs w:val="1"/>
          <w:color w:val="auto"/>
        </w:rPr>
        <w:t xml:space="preserve">Electronic Offer, Sale and Distribution of ADSs and Ordinary Shares. </w:t>
      </w:r>
      <w:r>
        <w:rPr>
          <w:rFonts w:ascii="Arial" w:cs="Arial" w:eastAsia="Arial" w:hAnsi="Arial"/>
          <w:sz w:val="18"/>
          <w:szCs w:val="18"/>
          <w:color w:val="auto"/>
        </w:rPr>
        <w:t>A prospectus in electronic format may be made available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websites maintained by one or more of the underwriters or selling group members, if any, participating in the global offering and one or more of the underwriters participating in the global offering may distribute prospectuses electronically. The representatives may agree to allocate a number of ADSs or ordinary shares to underwriters for sale to their online brokerage account holders. Internet distributions will be allocated by the underwriters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8" w:lineRule="exact"/>
        <w:rPr>
          <w:sz w:val="20"/>
          <w:szCs w:val="20"/>
          <w:color w:val="auto"/>
        </w:rPr>
      </w:pPr>
    </w:p>
    <w:p>
      <w:pPr>
        <w:ind w:left="200" w:right="40" w:firstLine="331"/>
        <w:spacing w:after="0" w:line="251"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have provided, and may in the future provide, various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commercial banking, and other financial services for us and our affiliates for which they have received, and may in the future receive, customary fees.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No action has been taken in any jurisdiction except the United States that would permit a public offering of the ADSs or ordinary shares, or the possession, circulation, or distribution of this prospectus or any other material relating to us or the ADSs or ordinary shares in any jurisdiction where action for that purpose is required. Accordingly, neither the ADSs nor ordinary shares may not be offered or sold, directly or indirectly, and neither this prospectus nor any other offering material or advertisements 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connection with the ADSs and ordinary shares may be distributed or published, in or from any country or jurisdiction except in compliance with any applicable rules and regulations of any such country or jurisdiction.</w:t>
      </w:r>
    </w:p>
    <w:p>
      <w:pPr>
        <w:spacing w:after="0" w:line="179" w:lineRule="exact"/>
        <w:rPr>
          <w:sz w:val="20"/>
          <w:szCs w:val="20"/>
          <w:color w:val="auto"/>
        </w:rPr>
      </w:pPr>
    </w:p>
    <w:p>
      <w:pPr>
        <w:ind w:left="200" w:right="180" w:firstLine="331"/>
        <w:spacing w:after="0" w:line="242"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ADSs and ordinary shares may be sold only to purchasers purchasing, or deemed to be purchasing, as principal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ADSs or ordinary shares must be made in accordance with an exemption from, or in a</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not subject to, the prospectus requirements of applicable securities laws.</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5" w:lineRule="exact"/>
        <w:rPr>
          <w:sz w:val="20"/>
          <w:szCs w:val="20"/>
          <w:color w:val="auto"/>
        </w:rPr>
      </w:pPr>
    </w:p>
    <w:p>
      <w:pPr>
        <w:ind w:left="200" w:right="20" w:firstLine="331"/>
        <w:spacing w:after="0" w:line="26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the global offering.</w:t>
      </w:r>
    </w:p>
    <w:p>
      <w:pPr>
        <w:spacing w:after="0" w:line="161" w:lineRule="exact"/>
        <w:rPr>
          <w:sz w:val="20"/>
          <w:szCs w:val="20"/>
          <w:color w:val="auto"/>
        </w:rPr>
      </w:pPr>
    </w:p>
    <w:p>
      <w:pPr>
        <w:ind w:left="540"/>
        <w:spacing w:after="0"/>
        <w:tabs>
          <w:tab w:leader="none" w:pos="2040" w:val="left"/>
        </w:tabs>
        <w:rPr>
          <w:sz w:val="20"/>
          <w:szCs w:val="20"/>
          <w:color w:val="auto"/>
        </w:rPr>
      </w:pPr>
      <w:r>
        <w:rPr>
          <w:rFonts w:ascii="Arial" w:cs="Arial" w:eastAsia="Arial" w:hAnsi="Arial"/>
          <w:sz w:val="18"/>
          <w:szCs w:val="18"/>
          <w:i w:val="1"/>
          <w:iCs w:val="1"/>
          <w:color w:val="auto"/>
        </w:rPr>
        <w:t>United Kingdom.</w:t>
      </w:r>
      <w:r>
        <w:rPr>
          <w:sz w:val="20"/>
          <w:szCs w:val="20"/>
          <w:color w:val="auto"/>
        </w:rPr>
        <w:tab/>
      </w:r>
      <w:r>
        <w:rPr>
          <w:rFonts w:ascii="Arial" w:cs="Arial" w:eastAsia="Arial" w:hAnsi="Arial"/>
          <w:sz w:val="17"/>
          <w:szCs w:val="17"/>
          <w:color w:val="auto"/>
        </w:rPr>
        <w:t>Each of the underwriters has represented and agreed that:</w:t>
      </w:r>
    </w:p>
    <w:p>
      <w:pPr>
        <w:spacing w:after="0" w:line="257" w:lineRule="exact"/>
        <w:rPr>
          <w:sz w:val="20"/>
          <w:szCs w:val="20"/>
          <w:color w:val="auto"/>
        </w:rPr>
      </w:pPr>
    </w:p>
    <w:p>
      <w:pPr>
        <w:ind w:left="960" w:right="80" w:hanging="432"/>
        <w:spacing w:after="0" w:line="228"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not made or will not make an offer of the securities to the public in the United Kingdom within the meaning of section 102B of the Financial Services and Markets Act 2000 (as amended), or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U.K. Financial Conduct Authority;</w:t>
      </w:r>
    </w:p>
    <w:p>
      <w:pPr>
        <w:spacing w:after="0" w:line="26"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in the United Kingdom that are qualified investors within the meaning of Article 2(1)(e) of the Prospectus Directive that also are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 and</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In the United Kingdom, this document is being distributed only to, and is directed only at, and any offer subsequently made may only be directed at,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Any investment or investment activity to which this prospectus relates is available only to relevant persons and will be engaged in only with relevant persons.</w:t>
      </w:r>
    </w:p>
    <w:p>
      <w:pPr>
        <w:spacing w:after="0" w:line="185" w:lineRule="exact"/>
        <w:rPr>
          <w:sz w:val="20"/>
          <w:szCs w:val="20"/>
          <w:color w:val="auto"/>
        </w:rPr>
      </w:pPr>
    </w:p>
    <w:p>
      <w:pPr>
        <w:ind w:left="200" w:right="700" w:firstLine="331"/>
        <w:spacing w:after="0" w:line="251"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securities will not be offered, directly or indirectly, to the public in Switzerland and this prospectus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public offering prospectus as that term is understood pursuant to article 652a or 1156 of the Swiss Federal Code of Obligations.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00" w:firstLine="331"/>
        <w:spacing w:after="0" w:line="242" w:lineRule="auto"/>
        <w:rPr>
          <w:sz w:val="20"/>
          <w:szCs w:val="20"/>
          <w:color w:val="auto"/>
        </w:rPr>
      </w:pPr>
      <w:r>
        <w:rPr>
          <w:rFonts w:ascii="Arial" w:cs="Arial" w:eastAsia="Arial" w:hAnsi="Arial"/>
          <w:sz w:val="18"/>
          <w:szCs w:val="18"/>
          <w:i w:val="1"/>
          <w:iCs w:val="1"/>
          <w:color w:val="auto"/>
        </w:rPr>
        <w:t>European Economic Area</w:t>
      </w:r>
      <w:r>
        <w:rPr>
          <w:rFonts w:ascii="Arial" w:cs="Arial" w:eastAsia="Arial" w:hAnsi="Arial"/>
          <w:sz w:val="18"/>
          <w:szCs w:val="18"/>
          <w:color w:val="auto"/>
        </w:rPr>
        <w:t>. In relation to each member state of the European Economic Area which has implemented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Directive, or each referred as a Relevant Member State, an offer to the public of any ADSs or ordinary shares which are the subject of the global offering contemplated by this prospectus may not be made in that Relevant Member State except that an offer to the public in that Relevant Member State of any ADSs or ordinary shares may be made at any time under the following exemptions under the Prospectus Directive, if they have been implemented in that Relevant Member State:</w:t>
      </w:r>
    </w:p>
    <w:p>
      <w:pPr>
        <w:spacing w:after="0" w:line="194" w:lineRule="exact"/>
        <w:rPr>
          <w:sz w:val="20"/>
          <w:szCs w:val="20"/>
          <w:color w:val="auto"/>
        </w:rPr>
      </w:pPr>
    </w:p>
    <w:p>
      <w:pPr>
        <w:ind w:left="960" w:hanging="432"/>
        <w:spacing w:after="0"/>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any legal entity which is a “qualified investor” as defined in the Prospectus Directive;</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any other circumstances falling within Article 3(2) of the Prospectus Directive,</w:t>
      </w:r>
    </w:p>
    <w:p>
      <w:pPr>
        <w:spacing w:after="0" w:line="94"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provided that no such offer of ADSs or ordinary shares shall require us or any of the underwriters to publish a prospectus pursuant to Article 3 of the Prospectus Directive or supplement a prospectus pursuant to Article 16 of the Prospectus Directive.</w:t>
      </w:r>
    </w:p>
    <w:p>
      <w:pPr>
        <w:spacing w:after="0" w:line="197"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Each person located in a Relevant Member State to whom any offer of ADSs or ordinary shares is made or who receives any communication in respect of an offer of ADSs or ordinary shares, or who initially acquires any ADSs or ordinary shares will be deemed to have represented, warranted, acknowledged and agreed to and with each of the underwriters and the Company that (1) it is a “qualified investor” within the meaning of the law in that Relevant Member State implementing Article 2(1)(e) of the Prospectus Directive; and (2) in the case of any ADSs or ordinary shares acquired by it as a financial intermediary as that term is used in Article 3(2) of the Prospectus Directive, the ADSs or ordinary shares acquired by it in the offer have not been acquired on behalf of, nor have they been acquired with a view to their offer or resale to, persons in any Relevant Member State other than qualified investors, as that term is defined in the Prospectus Directive, or in circumstances in which the prior consent of the underwriters or the underwriters nominated by the Company has been given to the offer or resale; or where ADSs or ordinary shares have been acquired by it on behalf of persons in any Relevant Member State other than qualified investors, the offer of those ADSs or ordinary shares to it is not treated under the Prospectus Directive as having been made to such persons.</w:t>
      </w:r>
    </w:p>
    <w:p>
      <w:pPr>
        <w:spacing w:after="0" w:line="206"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The Company, the underwriters and their respective affiliates will rely upon the truth and accuracy of the foregoing representations, warranties, acknowledgments and agreements.</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This prospectus has been prepared on the basis that any offer of ADSs or ordinary shares in any Relevant Member State will be made pursuant to an exemption under the Prospectus Directive from the requirement to publish a prospectus for offers of securities. Accordingly any person making or intending to make an offer in that Relevant Member State of ADSs or ordinary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ADSs or ordinary shares in circumstances in which an obligation arises for the Company or the underwriters to publish a prospectus for such offer.</w:t>
      </w:r>
    </w:p>
    <w:p>
      <w:pPr>
        <w:spacing w:after="0" w:line="203"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For the purposes of this provision, the expressions “offer ADSs to the public” in relation to our ADSs and “offer ordinary shares to the public” in relation to our ordinary shares in any Relevant Member State means the communication in any form and by any means of sufficient information on the terms of the offer and our ADSs or ordinary shares to be offered so as to enable an investor to decide to purchase or subscribe to our ADSs or ordinary shares, as the same may be varied in that Relevant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4"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i w:val="1"/>
          <w:iCs w:val="1"/>
          <w:color w:val="auto"/>
        </w:rPr>
        <w:t xml:space="preserve">Israel. </w:t>
      </w:r>
      <w:r>
        <w:rPr>
          <w:rFonts w:ascii="Arial" w:cs="Arial" w:eastAsia="Arial" w:hAnsi="Arial"/>
          <w:sz w:val="18"/>
          <w:szCs w:val="18"/>
          <w:color w:val="auto"/>
        </w:rPr>
        <w:t>In the State of Israel this prospectus shall not be regarded as an offer to the public to purchase securities under the Israeli</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w:t>
      </w:r>
    </w:p>
    <w:p>
      <w:pPr>
        <w:spacing w:after="0" w:line="207" w:lineRule="exact"/>
        <w:rPr>
          <w:sz w:val="20"/>
          <w:szCs w:val="20"/>
          <w:color w:val="auto"/>
        </w:rPr>
      </w:pPr>
    </w:p>
    <w:p>
      <w:pPr>
        <w:ind w:left="200" w:right="80" w:firstLine="331"/>
        <w:spacing w:after="0" w:line="234"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5728 – 1968. In particular, we may request, as a condition to be offered our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 – 1968: (a) for its own account;</w:t>
      </w:r>
    </w:p>
    <w:p>
      <w:pPr>
        <w:spacing w:after="0" w:line="5" w:lineRule="exact"/>
        <w:rPr>
          <w:sz w:val="20"/>
          <w:szCs w:val="20"/>
          <w:color w:val="auto"/>
        </w:rPr>
      </w:pPr>
    </w:p>
    <w:p>
      <w:pPr>
        <w:ind w:left="200" w:right="340" w:firstLine="4"/>
        <w:spacing w:after="0" w:line="239" w:lineRule="auto"/>
        <w:tabs>
          <w:tab w:leader="none" w:pos="47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84"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i w:val="1"/>
          <w:iCs w:val="1"/>
          <w:color w:val="auto"/>
        </w:rPr>
        <w:t>Hong Kong</w:t>
      </w:r>
      <w:r>
        <w:rPr>
          <w:rFonts w:ascii="Arial" w:cs="Arial" w:eastAsia="Arial" w:hAnsi="Arial"/>
          <w:sz w:val="18"/>
          <w:szCs w:val="18"/>
          <w:color w:val="auto"/>
        </w:rPr>
        <w:t>. The contents of this document have not been reviewed or approved by any regulatory authority in Hong Kong. This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does not constitute an offer or invitation to the public in Hong Kong to acquire securities. Accordingly, unless permitted by the securities laws of Hong Kong, no person may issue or have in its possession for the purposes of issue, this document or any advertisement, invitation or document relating to the securities, whether in Hong Kong or elsewhere, which is directed at, or the contents of which are likely to be accessed or read by, the public in Hong Kong other than in relation to shares which are intended to be disposed of only to persons outside Hong Kong or only to “professional investors” (as such term is defined in the Securities and Futures Ordinance (Cap. 571, Laws of Hong Kong, or SFO) and the subsidiary legislation made thereunder); or in circumstances which do not result in this document being a “prospectus” as defined in the Companies (Winding Up and Miscellaneous Provisions) Ordinance (Cap. 32, Laws of Hong Kong, or CO); or which do not constitute an offer or an invitation to the public for the purposes of the SFO or the CO. The offer of the shares is personal to the person to whom this document has been delivered, and a subscription for shares will only be accepted from such person. No person to whom a copy of this document is issued may issue, circulate, or distribute this document in Hong Kong, or make or give a copy of this document to any other person. You are advised to exercise caution in relation to the offer.</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00"/>
          </w:cols>
          <w:pgMar w:left="240" w:top="460"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are in any doubt about any of the contents of this document, you should obtain independent professional advice.</w:t>
      </w:r>
    </w:p>
    <w:p>
      <w:pPr>
        <w:spacing w:after="0" w:line="194" w:lineRule="exact"/>
        <w:rPr>
          <w:sz w:val="20"/>
          <w:szCs w:val="20"/>
          <w:color w:val="auto"/>
        </w:rPr>
      </w:pPr>
    </w:p>
    <w:p>
      <w:pPr>
        <w:ind w:left="200" w:firstLine="331"/>
        <w:spacing w:after="0"/>
        <w:rPr>
          <w:sz w:val="20"/>
          <w:szCs w:val="20"/>
          <w:color w:val="auto"/>
        </w:rPr>
      </w:pPr>
      <w:r>
        <w:rPr>
          <w:rFonts w:ascii="Arial" w:cs="Arial" w:eastAsia="Arial" w:hAnsi="Arial"/>
          <w:sz w:val="18"/>
          <w:szCs w:val="18"/>
          <w:i w:val="1"/>
          <w:iCs w:val="1"/>
          <w:color w:val="auto"/>
        </w:rPr>
        <w:t>Singapore</w:t>
      </w:r>
      <w:r>
        <w:rPr>
          <w:rFonts w:ascii="Arial" w:cs="Arial" w:eastAsia="Arial" w:hAnsi="Arial"/>
          <w:sz w:val="18"/>
          <w:szCs w:val="18"/>
          <w:color w:val="auto"/>
        </w:rPr>
        <w:t>. This prospectus has not been registered as a prospectus with the Monetary Authority of Singapore. Accordingly,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any other document or material in connection with the offer or sale, or invitation for subscription or purchase, of the ADSs or ordinary shares may not be circulated or distributed, nor may the securities be offered or sold, or be made the subject of an invitation for subscription or purchase, whether directly or indirectly, to persons in Singapore other than (i) to an institutional investor pursuant to Section 274 of the Securities and Futures Act, Chapter 289 of Singapore, or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Where the ADSs or ordinary shares are subscribed or purchased pursuant to an offer made in reliance on Section 275 of the SFA by a relevant person which is:</w:t>
      </w:r>
    </w:p>
    <w:p>
      <w:pPr>
        <w:spacing w:after="0" w:line="224" w:lineRule="exact"/>
        <w:rPr>
          <w:sz w:val="20"/>
          <w:szCs w:val="20"/>
          <w:color w:val="auto"/>
        </w:rPr>
      </w:pPr>
    </w:p>
    <w:p>
      <w:pPr>
        <w:ind w:left="960" w:right="140" w:hanging="432"/>
        <w:spacing w:after="0" w:line="246"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21" w:lineRule="exact"/>
        <w:rPr>
          <w:rFonts w:ascii="Arial" w:cs="Arial" w:eastAsia="Arial" w:hAnsi="Arial"/>
          <w:sz w:val="18"/>
          <w:szCs w:val="18"/>
          <w:color w:val="auto"/>
        </w:rPr>
      </w:pPr>
    </w:p>
    <w:p>
      <w:pPr>
        <w:ind w:left="960" w:right="340" w:hanging="432"/>
        <w:spacing w:after="0" w:line="246"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w:t>
      </w:r>
    </w:p>
    <w:p>
      <w:pPr>
        <w:ind w:left="200"/>
        <w:spacing w:after="0"/>
        <w:rPr>
          <w:sz w:val="20"/>
          <w:szCs w:val="20"/>
          <w:color w:val="auto"/>
        </w:rPr>
      </w:pPr>
      <w:r>
        <w:rPr>
          <w:rFonts w:ascii="Arial" w:cs="Arial" w:eastAsia="Arial" w:hAnsi="Arial"/>
          <w:sz w:val="18"/>
          <w:szCs w:val="18"/>
          <w:color w:val="auto"/>
        </w:rPr>
        <w:t>in that trust shall not be transferable for six months after that corporation or that trust has acquired the shares under Section 275 except:</w:t>
      </w:r>
    </w:p>
    <w:p>
      <w:pPr>
        <w:spacing w:after="0" w:line="212" w:lineRule="exact"/>
        <w:rPr>
          <w:sz w:val="20"/>
          <w:szCs w:val="20"/>
          <w:color w:val="auto"/>
        </w:rPr>
      </w:pPr>
    </w:p>
    <w:p>
      <w:pPr>
        <w:ind w:left="200" w:right="1080" w:firstLine="334"/>
        <w:spacing w:after="0" w:line="246" w:lineRule="auto"/>
        <w:tabs>
          <w:tab w:leader="none" w:pos="8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(as defined in Section 275(2) of the SFA), or any person pursuant to Section 275(1A) of the SFA (in the case of that corporation) or Section 276(4)(i)(B) of the SFA (in the case of that trust);</w:t>
      </w:r>
    </w:p>
    <w:p>
      <w:pPr>
        <w:spacing w:after="0" w:line="196" w:lineRule="exact"/>
        <w:rPr>
          <w:rFonts w:ascii="Arial" w:cs="Arial" w:eastAsia="Arial" w:hAnsi="Arial"/>
          <w:sz w:val="18"/>
          <w:szCs w:val="18"/>
          <w:color w:val="auto"/>
        </w:rPr>
      </w:pPr>
    </w:p>
    <w:p>
      <w:pPr>
        <w:ind w:left="800" w:hanging="266"/>
        <w:spacing w:after="0"/>
        <w:tabs>
          <w:tab w:leader="none" w:pos="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11" w:lineRule="exact"/>
        <w:rPr>
          <w:rFonts w:ascii="Arial" w:cs="Arial" w:eastAsia="Arial" w:hAnsi="Arial"/>
          <w:sz w:val="18"/>
          <w:szCs w:val="18"/>
          <w:color w:val="auto"/>
        </w:rPr>
      </w:pPr>
    </w:p>
    <w:p>
      <w:pPr>
        <w:ind w:left="800" w:hanging="266"/>
        <w:spacing w:after="0"/>
        <w:tabs>
          <w:tab w:leader="none" w:pos="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EXPENSES OF THE OFFERING</w:t>
      </w:r>
    </w:p>
    <w:p>
      <w:pPr>
        <w:spacing w:after="0" w:line="342"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We estimate that our expenses in connection with the global offering, other than underwriting discounts and commissions, will be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2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3"/>
              </w:rPr>
              <w:t>Securities</w:t>
            </w:r>
          </w:p>
        </w:tc>
        <w:tc>
          <w:tcPr>
            <w:tcW w:w="8840" w:type="dxa"/>
            <w:vAlign w:val="bottom"/>
            <w:tcBorders>
              <w:top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and Exchange Commission registration fee</w:t>
            </w: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The Nasdaq listing fee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AIM listing fee</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Miscellaneous costs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Borders>
              <w:bottom w:val="single" w:sz="8" w:color="auto"/>
            </w:tcBorders>
            <w:gridSpan w:val="2"/>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9860" w:type="dxa"/>
            <w:vAlign w:val="bottom"/>
            <w:gridSpan w:val="5"/>
          </w:tcPr>
          <w:p>
            <w:pPr>
              <w:spacing w:after="0"/>
              <w:rPr>
                <w:sz w:val="20"/>
                <w:szCs w:val="20"/>
                <w:color w:val="auto"/>
              </w:rPr>
            </w:pPr>
            <w:r>
              <w:rPr>
                <w:rFonts w:ascii="Arial" w:cs="Arial" w:eastAsia="Arial" w:hAnsi="Arial"/>
                <w:sz w:val="18"/>
                <w:szCs w:val="18"/>
                <w:color w:val="auto"/>
              </w:rPr>
              <w:t>*   To be filed by amendment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All amounts in the table are estimates except the SEC registration fee, the Nasdaq listing fee, and the FINRA filing fee. We will pay all of the expenses of the global offering.</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60"/>
          </w:cols>
          <w:pgMar w:left="240" w:top="459"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The validity of our ADSs and ordinary shares and certain other matters of English law and U.S. federal law will be passed upon for us by Latham &amp; Watkins LLP. Cooley LLP is serving as legal counsel for the underwriters in connection with the global offering with respect to matters of English law and U.S. federal law.</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consolidated financial statements of Mereo BioPharma Group plc at December 31, 2016 and 2017, and for each of the two years in the period ended December 31, 2017,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registered business address of Ernst &amp; Young LLP is Apex Plaza, Reading RG1 1YE, United Kingdom.</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the assets of our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60" w:right="14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We have been advised by Latham &amp; Watkins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United States securities laws, would not be automatically enforceable in England and Wales. We have also been advised by Latham &amp; Watkins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235" w:lineRule="exact"/>
        <w:rPr>
          <w:sz w:val="20"/>
          <w:szCs w:val="20"/>
          <w:color w:val="auto"/>
        </w:rPr>
      </w:pPr>
    </w:p>
    <w:p>
      <w:pPr>
        <w:ind w:left="960" w:right="16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00"/>
          </w:cols>
          <w:pgMar w:left="240" w:top="460"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40" w:hanging="432"/>
        <w:spacing w:after="0" w:line="218"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English enforcement proceedings were commenced within the limitation period.</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80"/>
          </w:cols>
          <w:pgMar w:left="240" w:top="460"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Upon completion of the U.S. offering, we will become subject to the informational requirements of the Exchange Act. Accordingly, we will be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20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40"/>
          </w:cols>
          <w:pgMar w:left="240" w:top="459" w:right="51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956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40" w:type="dxa"/>
            <w:vAlign w:val="bottom"/>
            <w:gridSpan w:val="5"/>
          </w:tcPr>
          <w:p>
            <w:pPr>
              <w:jc w:val="center"/>
              <w:ind w:right="117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24"/>
                <w:szCs w:val="24"/>
                <w:color w:val="auto"/>
              </w:rPr>
            </w:pPr>
          </w:p>
        </w:tc>
      </w:tr>
      <w:tr>
        <w:trPr>
          <w:trHeight w:val="405"/>
        </w:trPr>
        <w:tc>
          <w:tcPr>
            <w:tcW w:w="46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18">
              <w:r>
                <w:rPr>
                  <w:rFonts w:ascii="Arial" w:cs="Arial" w:eastAsia="Arial" w:hAnsi="Arial"/>
                  <w:sz w:val="18"/>
                  <w:szCs w:val="18"/>
                  <w:color w:val="0000EE"/>
                  <w:w w:val="99"/>
                </w:rPr>
                <w:t>Report of Independent Registered Public Accounting Firm</w:t>
              </w:r>
            </w:hyperlink>
          </w:p>
        </w:tc>
        <w:tc>
          <w:tcPr>
            <w:tcW w:w="4940" w:type="dxa"/>
            <w:vAlign w:val="bottom"/>
          </w:tcPr>
          <w:p>
            <w:pPr>
              <w:spacing w:after="0"/>
              <w:rPr>
                <w:sz w:val="24"/>
                <w:szCs w:val="24"/>
                <w:color w:val="auto"/>
              </w:rPr>
            </w:pPr>
          </w:p>
        </w:tc>
        <w:tc>
          <w:tcPr>
            <w:tcW w:w="1800" w:type="dxa"/>
            <w:vAlign w:val="bottom"/>
          </w:tcPr>
          <w:p>
            <w:pPr>
              <w:ind w:left="1540"/>
              <w:spacing w:after="0"/>
              <w:rPr>
                <w:sz w:val="20"/>
                <w:szCs w:val="20"/>
                <w:color w:val="auto"/>
              </w:rPr>
            </w:pPr>
            <w:r>
              <w:rPr>
                <w:rFonts w:ascii="Arial" w:cs="Arial" w:eastAsia="Arial" w:hAnsi="Arial"/>
                <w:sz w:val="18"/>
                <w:szCs w:val="18"/>
                <w:color w:val="auto"/>
                <w:w w:val="88"/>
              </w:rPr>
              <w:t>F-2</w:t>
            </w:r>
          </w:p>
        </w:tc>
      </w:tr>
      <w:tr>
        <w:trPr>
          <w:trHeight w:val="183"/>
        </w:trPr>
        <w:tc>
          <w:tcPr>
            <w:tcW w:w="38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219">
              <w:r>
                <w:rPr>
                  <w:rFonts w:ascii="Arial" w:cs="Arial" w:eastAsia="Arial" w:hAnsi="Arial"/>
                  <w:sz w:val="18"/>
                  <w:szCs w:val="18"/>
                  <w:color w:val="0000EE"/>
                  <w:w w:val="99"/>
                </w:rPr>
                <w:t>Consolidated Statement of Comprehensive Loss</w:t>
              </w:r>
            </w:hyperlink>
          </w:p>
        </w:tc>
        <w:tc>
          <w:tcPr>
            <w:tcW w:w="5680" w:type="dxa"/>
            <w:vAlign w:val="bottom"/>
            <w:gridSpan w:val="2"/>
          </w:tcPr>
          <w:p>
            <w:pPr>
              <w:spacing w:after="0"/>
              <w:rPr>
                <w:sz w:val="15"/>
                <w:szCs w:val="15"/>
                <w:color w:val="auto"/>
              </w:rPr>
            </w:pPr>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F-3</w:t>
            </w:r>
          </w:p>
        </w:tc>
      </w:tr>
      <w:tr>
        <w:trPr>
          <w:trHeight w:val="183"/>
        </w:trPr>
        <w:tc>
          <w:tcPr>
            <w:tcW w:w="9560" w:type="dxa"/>
            <w:vAlign w:val="bottom"/>
            <w:gridSpan w:val="8"/>
          </w:tcPr>
          <w:p>
            <w:pPr>
              <w:spacing w:after="0" w:line="182" w:lineRule="exact"/>
              <w:rPr>
                <w:rFonts w:ascii="Arial" w:cs="Arial" w:eastAsia="Arial" w:hAnsi="Arial"/>
                <w:sz w:val="18"/>
                <w:szCs w:val="18"/>
                <w:color w:val="0000EE"/>
              </w:rPr>
            </w:pPr>
            <w:hyperlink w:anchor="page220">
              <w:r>
                <w:rPr>
                  <w:rFonts w:ascii="Arial" w:cs="Arial" w:eastAsia="Arial" w:hAnsi="Arial"/>
                  <w:sz w:val="18"/>
                  <w:szCs w:val="18"/>
                  <w:color w:val="0000EE"/>
                </w:rPr>
                <w:t>Consolidated Balance Sheet</w:t>
              </w:r>
            </w:hyperlink>
            <w:r>
              <w:rPr>
                <w:rFonts w:ascii="Arial" w:cs="Arial" w:eastAsia="Arial" w:hAnsi="Arial"/>
                <w:sz w:val="18"/>
                <w:szCs w:val="18"/>
                <w:color w:val="000000"/>
              </w:rPr>
              <w:t>s</w:t>
            </w:r>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F-4</w:t>
            </w:r>
          </w:p>
        </w:tc>
      </w:tr>
      <w:tr>
        <w:trPr>
          <w:trHeight w:val="20"/>
        </w:trPr>
        <w:tc>
          <w:tcPr>
            <w:tcW w:w="22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3"/>
        </w:trPr>
        <w:tc>
          <w:tcPr>
            <w:tcW w:w="31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221">
              <w:r>
                <w:rPr>
                  <w:rFonts w:ascii="Arial" w:cs="Arial" w:eastAsia="Arial" w:hAnsi="Arial"/>
                  <w:sz w:val="18"/>
                  <w:szCs w:val="18"/>
                  <w:color w:val="0000EE"/>
                  <w:w w:val="99"/>
                </w:rPr>
                <w:t>Consolidated Statement of Cash Flows</w:t>
              </w:r>
            </w:hyperlink>
          </w:p>
        </w:tc>
        <w:tc>
          <w:tcPr>
            <w:tcW w:w="6440" w:type="dxa"/>
            <w:vAlign w:val="bottom"/>
            <w:gridSpan w:val="5"/>
          </w:tcPr>
          <w:p>
            <w:pPr>
              <w:spacing w:after="0"/>
              <w:rPr>
                <w:sz w:val="15"/>
                <w:szCs w:val="15"/>
                <w:color w:val="auto"/>
              </w:rPr>
            </w:pPr>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F-5</w:t>
            </w:r>
          </w:p>
        </w:tc>
      </w:tr>
      <w:tr>
        <w:trPr>
          <w:trHeight w:val="183"/>
        </w:trPr>
        <w:tc>
          <w:tcPr>
            <w:tcW w:w="9560" w:type="dxa"/>
            <w:vAlign w:val="bottom"/>
            <w:gridSpan w:val="8"/>
          </w:tcPr>
          <w:p>
            <w:pPr>
              <w:spacing w:after="0" w:line="182" w:lineRule="exact"/>
              <w:rPr>
                <w:rFonts w:ascii="Arial" w:cs="Arial" w:eastAsia="Arial" w:hAnsi="Arial"/>
                <w:sz w:val="18"/>
                <w:szCs w:val="18"/>
                <w:color w:val="0000EE"/>
              </w:rPr>
            </w:pPr>
            <w:hyperlink w:anchor="page222">
              <w:r>
                <w:rPr>
                  <w:rFonts w:ascii="Arial" w:cs="Arial" w:eastAsia="Arial" w:hAnsi="Arial"/>
                  <w:sz w:val="18"/>
                  <w:szCs w:val="18"/>
                  <w:color w:val="0000EE"/>
                </w:rPr>
                <w:t>Consolidated Statement of Changes in Equity</w:t>
              </w:r>
            </w:hyperlink>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F-6</w:t>
            </w:r>
          </w:p>
        </w:tc>
      </w:tr>
      <w:tr>
        <w:trPr>
          <w:trHeight w:val="20"/>
        </w:trPr>
        <w:tc>
          <w:tcPr>
            <w:tcW w:w="36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3"/>
        </w:trPr>
        <w:tc>
          <w:tcPr>
            <w:tcW w:w="9560" w:type="dxa"/>
            <w:vAlign w:val="bottom"/>
            <w:gridSpan w:val="8"/>
          </w:tcPr>
          <w:p>
            <w:pPr>
              <w:spacing w:after="0" w:line="182" w:lineRule="exact"/>
              <w:rPr>
                <w:rFonts w:ascii="Arial" w:cs="Arial" w:eastAsia="Arial" w:hAnsi="Arial"/>
                <w:sz w:val="18"/>
                <w:szCs w:val="18"/>
                <w:color w:val="0000EE"/>
              </w:rPr>
            </w:pPr>
            <w:hyperlink w:anchor="page223">
              <w:r>
                <w:rPr>
                  <w:rFonts w:ascii="Arial" w:cs="Arial" w:eastAsia="Arial" w:hAnsi="Arial"/>
                  <w:sz w:val="18"/>
                  <w:szCs w:val="18"/>
                  <w:color w:val="0000EE"/>
                </w:rPr>
                <w:t>Notes to the Consolidated Financial Statements</w:t>
              </w:r>
            </w:hyperlink>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F-7</w:t>
            </w:r>
          </w:p>
        </w:tc>
      </w:tr>
      <w:tr>
        <w:trPr>
          <w:trHeight w:val="372"/>
        </w:trPr>
        <w:tc>
          <w:tcPr>
            <w:tcW w:w="13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40" w:type="dxa"/>
            <w:vAlign w:val="bottom"/>
          </w:tcPr>
          <w:p>
            <w:pPr>
              <w:jc w:val="center"/>
              <w:ind w:right="267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Board of Directors of Mereo BioPharma Group plc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We have audited the accompanying consolidated balance sheets of Mereo BioPharma Group plc (the “Company”) as of December 31, 2017 and 2016, and the related consolidated statements of comprehensive loss, changes in equity, and cash flows for each of the two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two years in the period ended December 31, 2017, in conformity with International Financial Reporting Standards as issued by the International Accounting Standards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Year ended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December 31, 2016</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(24,562,502)</w:t>
            </w:r>
          </w:p>
        </w:tc>
        <w:tc>
          <w:tcPr>
            <w:tcW w:w="6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(34,606,649)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(11,616,816)</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(10,697,194)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(36,179,318)</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(45,303,843)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540" w:type="dxa"/>
            <w:vAlign w:val="bottom"/>
          </w:tcPr>
          <w:p>
            <w:pPr>
              <w:spacing w:after="0"/>
              <w:rPr>
                <w:sz w:val="17"/>
                <w:szCs w:val="17"/>
                <w:color w:val="auto"/>
              </w:rPr>
            </w:pPr>
          </w:p>
        </w:tc>
        <w:tc>
          <w:tcPr>
            <w:tcW w:w="19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374,906</w:t>
            </w: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826,855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(179,765)</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(1,089,925)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2,262,626</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before tax</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(33,721,551)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(46,951,138)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540" w:type="dxa"/>
            <w:vAlign w:val="bottom"/>
          </w:tcPr>
          <w:p>
            <w:pPr>
              <w:spacing w:after="0"/>
              <w:rPr>
                <w:sz w:val="17"/>
                <w:szCs w:val="17"/>
                <w:color w:val="auto"/>
              </w:rPr>
            </w:pPr>
          </w:p>
        </w:tc>
        <w:tc>
          <w:tcPr>
            <w:tcW w:w="19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5,331,271</w:t>
            </w: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8,152,084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Company</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(28,390,280)</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 for the year, attributable to the equity holders of the</w:t>
            </w: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(28,390,280)</w:t>
            </w:r>
          </w:p>
        </w:tc>
        <w:tc>
          <w:tcPr>
            <w:tcW w:w="14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line="203" w:lineRule="exact"/>
              <w:rPr>
                <w:sz w:val="20"/>
                <w:szCs w:val="20"/>
                <w:color w:val="auto"/>
              </w:rPr>
            </w:pPr>
            <w:r>
              <w:rPr>
                <w:rFonts w:ascii="Arial" w:cs="Arial" w:eastAsia="Arial" w:hAnsi="Arial"/>
                <w:sz w:val="18"/>
                <w:szCs w:val="18"/>
                <w:color w:val="auto"/>
              </w:rPr>
              <w:t>Company</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loss per share</w:t>
            </w:r>
          </w:p>
        </w:tc>
        <w:tc>
          <w:tcPr>
            <w:tcW w:w="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10</w:t>
            </w: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b w:val="1"/>
                <w:bCs w:val="1"/>
                <w:color w:val="auto"/>
              </w:rPr>
              <w:t>(0.63)</w:t>
            </w: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173,869</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153,361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25,812,941</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33,005,229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25,986,810</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33,158,590</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1,102,146</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1,970,780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400" w:type="dxa"/>
            <w:vAlign w:val="bottom"/>
          </w:tcPr>
          <w:p>
            <w:pPr>
              <w:jc w:val="center"/>
              <w:ind w:left="11"/>
              <w:spacing w:after="0" w:line="202" w:lineRule="exact"/>
              <w:rPr>
                <w:sz w:val="20"/>
                <w:szCs w:val="20"/>
                <w:color w:val="auto"/>
              </w:rPr>
            </w:pPr>
            <w:r>
              <w:rPr>
                <w:rFonts w:ascii="Arial" w:cs="Arial" w:eastAsia="Arial" w:hAnsi="Arial"/>
                <w:sz w:val="18"/>
                <w:szCs w:val="18"/>
                <w:color w:val="auto"/>
                <w:w w:val="99"/>
              </w:rPr>
              <w:t>9</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5,331,271</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8,152,085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14</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767,009</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509,350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16</w:t>
            </w:r>
          </w:p>
        </w:tc>
        <w:tc>
          <w:tcPr>
            <w:tcW w:w="28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53,577,571</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50,044,672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60,777,997</w:t>
            </w:r>
          </w:p>
        </w:tc>
        <w:tc>
          <w:tcPr>
            <w:tcW w:w="3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63,176,887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86,764,807</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96,335,477</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193,022</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213,285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99,975,399</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118,226,956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12,667,562</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16,359,169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7,000,000</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7,000,000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(40,579,241)</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(79,315,920)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79,256,742</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62,483,490</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1,172,424</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4,075,386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3,126,526</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18,812,511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1,346,484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4,298,950</w:t>
            </w:r>
          </w:p>
        </w:tc>
        <w:tc>
          <w:tcPr>
            <w:tcW w:w="3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24,234,381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21</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1,121,107</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3,024,026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2,088,008</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4,379,774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274,000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1,939,806</w:t>
            </w:r>
          </w:p>
        </w:tc>
        <w:tc>
          <w:tcPr>
            <w:tcW w:w="0" w:type="dxa"/>
            <w:vAlign w:val="bottom"/>
          </w:tcPr>
          <w:p>
            <w:pPr>
              <w:spacing w:after="0"/>
              <w:rPr>
                <w:sz w:val="1"/>
                <w:szCs w:val="1"/>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7,508,065</w:t>
            </w:r>
          </w:p>
        </w:tc>
        <w:tc>
          <w:tcPr>
            <w:tcW w:w="3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33,851,987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and liabilities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86,764,807</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96,335,477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(33,721,551)</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(46,951,138)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Depreciation of property, plant and equipment, net of disposals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tcPr>
          <w:p>
            <w:pPr>
              <w:spacing w:after="0"/>
              <w:rPr>
                <w:sz w:val="17"/>
                <w:szCs w:val="17"/>
                <w:color w:val="auto"/>
              </w:rPr>
            </w:pPr>
          </w:p>
        </w:tc>
        <w:tc>
          <w:tcPr>
            <w:tcW w:w="14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32,940</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36,076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payment expense</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24</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6,494,018</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3,651,898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Net foreign exchange (gain)/loss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(2,262,626)</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1,031,109</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1,115,966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Interest earned</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(374,906)</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(826,855)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short-term deposits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338,279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Accrued interest on convertible loan</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179,765</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103,115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Transaction costs on bank loan</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Interest on bank loan</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327,123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Accreted interest on bank loan</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66,935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Warrant fair value adjustment</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54,473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adjustments: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Increase in receivables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(1,219,202)</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(839,751)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(Decrease)/Increase in payables and accruals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(768,402)</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3,860,412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Tax credit received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946,681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5,331,271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 operating activities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(29,662,174)</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(32,147,971)</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(3,467)</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Purchase of licence</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(2,280,000)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1,175</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16</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earned</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374,906</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1,051,620</w:t>
            </w:r>
          </w:p>
        </w:tc>
        <w:tc>
          <w:tcPr>
            <w:tcW w:w="0" w:type="dxa"/>
            <w:vAlign w:val="bottom"/>
          </w:tcPr>
          <w:p>
            <w:pPr>
              <w:spacing w:after="0"/>
              <w:rPr>
                <w:sz w:val="1"/>
                <w:szCs w:val="1"/>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investing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372,614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(3,743,948)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67,888,820</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15,000,000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issue of ordinary shares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(2,995,864)</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(729,632)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Proceeds from issue of convertible loan</w:t>
            </w:r>
          </w:p>
        </w:tc>
        <w:tc>
          <w:tcPr>
            <w:tcW w:w="6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18a</w:t>
            </w:r>
          </w:p>
        </w:tc>
        <w:tc>
          <w:tcPr>
            <w:tcW w:w="14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3,463,563</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bank loan</w:t>
            </w:r>
          </w:p>
        </w:tc>
        <w:tc>
          <w:tcPr>
            <w:tcW w:w="6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18b</w:t>
            </w: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20,000,000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(327,123)</w:t>
            </w:r>
          </w:p>
        </w:tc>
        <w:tc>
          <w:tcPr>
            <w:tcW w:w="0" w:type="dxa"/>
            <w:vAlign w:val="bottom"/>
          </w:tcPr>
          <w:p>
            <w:pPr>
              <w:spacing w:after="0"/>
              <w:rPr>
                <w:sz w:val="1"/>
                <w:szCs w:val="1"/>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68,356,519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33,743,245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39,066,959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(2,148,674)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January 1</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12,247,986</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53,577,571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2,262,626</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53,577,571</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50,044,672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Issued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 capital</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capital</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premium</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reserves</w:t>
            </w: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Other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reserves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59,221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26,212,880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(12,188,961)</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35,743,245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92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(28,390,280)</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(28,390,280)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107,709</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67,781,112</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67,888,821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24)</w:t>
            </w:r>
          </w:p>
        </w:tc>
        <w:tc>
          <w:tcPr>
            <w:tcW w:w="920" w:type="dxa"/>
            <w:vAlign w:val="bottom"/>
            <w:gridSpan w:val="3"/>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6,185,067</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6,185,067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LTIPS (Note 24)</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133,601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bonus shares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(Note 24)</w:t>
            </w:r>
          </w:p>
        </w:tc>
        <w:tc>
          <w:tcPr>
            <w:tcW w:w="920" w:type="dxa"/>
            <w:vAlign w:val="bottom"/>
            <w:gridSpan w:val="3"/>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175,350</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175,350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26,092</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15,977,271</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(16,003,363)</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516,802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 reduction (Note 17)</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(7,000,000)</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7,000,000</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60" w:type="dxa"/>
            <w:vAlign w:val="bottom"/>
          </w:tcPr>
          <w:p>
            <w:pPr>
              <w:ind w:left="480"/>
              <w:spacing w:after="0" w:line="203" w:lineRule="exact"/>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7"/>
                <w:szCs w:val="17"/>
                <w:color w:val="auto"/>
              </w:rPr>
            </w:pPr>
          </w:p>
        </w:tc>
        <w:tc>
          <w:tcPr>
            <w:tcW w:w="14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(2,995,864)</w:t>
            </w: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(2,995,864)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99,975,399</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7,000,000</w:t>
            </w: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(40,579,241)</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79,256,742</w:t>
            </w: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92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(38,799,054)</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(38,799,054)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24)</w:t>
            </w:r>
          </w:p>
        </w:tc>
        <w:tc>
          <w:tcPr>
            <w:tcW w:w="920" w:type="dxa"/>
            <w:vAlign w:val="bottom"/>
            <w:gridSpan w:val="3"/>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3,027,963</w:t>
            </w:r>
          </w:p>
        </w:tc>
        <w:tc>
          <w:tcPr>
            <w:tcW w:w="11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3,027,963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Share-based payments – LTIP (Note 24)</w:t>
            </w:r>
          </w:p>
        </w:tc>
        <w:tc>
          <w:tcPr>
            <w:tcW w:w="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298,287</w:t>
            </w:r>
          </w:p>
        </w:tc>
        <w:tc>
          <w:tcPr>
            <w:tcW w:w="240" w:type="dxa"/>
            <w:vAlign w:val="bottom"/>
          </w:tcPr>
          <w:p>
            <w:pPr>
              <w:spacing w:after="0"/>
              <w:rPr>
                <w:sz w:val="17"/>
                <w:szCs w:val="17"/>
                <w:color w:val="auto"/>
              </w:rPr>
            </w:pPr>
          </w:p>
        </w:tc>
        <w:tc>
          <w:tcPr>
            <w:tcW w:w="11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298,287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DBSP (Note 24)</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325,648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325,648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equity</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consideration (Note 24)</w:t>
            </w:r>
          </w:p>
        </w:tc>
        <w:tc>
          <w:tcPr>
            <w:tcW w:w="920" w:type="dxa"/>
            <w:vAlign w:val="bottom"/>
            <w:gridSpan w:val="3"/>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1,331,288</w:t>
            </w:r>
          </w:p>
        </w:tc>
        <w:tc>
          <w:tcPr>
            <w:tcW w:w="11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1,331,288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on April, 4 2017 (Note 17)</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15,125</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14,984,875</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Issue of share capital on conversion of loan note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1,899</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1,396,654</w:t>
            </w: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1,398,553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for Novartis bonus shares</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17)</w:t>
            </w:r>
          </w:p>
        </w:tc>
        <w:tc>
          <w:tcPr>
            <w:tcW w:w="7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1,766</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1,081,133</w:t>
            </w:r>
          </w:p>
        </w:tc>
        <w:tc>
          <w:tcPr>
            <w:tcW w:w="13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(1,082,899)</w:t>
            </w:r>
          </w:p>
        </w:tc>
        <w:tc>
          <w:tcPr>
            <w:tcW w:w="11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(208,680)</w:t>
            </w:r>
          </w:p>
        </w:tc>
        <w:tc>
          <w:tcPr>
            <w:tcW w:w="11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convertible loan (Note 18a)</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62,375</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Issue of share capital on October, 31 2017 (Note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1,473</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1,518,527</w:t>
            </w: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1,520,000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17)</w:t>
            </w:r>
          </w:p>
        </w:tc>
        <w:tc>
          <w:tcPr>
            <w:tcW w:w="76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(729,632)</w:t>
            </w:r>
          </w:p>
        </w:tc>
        <w:tc>
          <w:tcPr>
            <w:tcW w:w="13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(729,632)</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118,226,956</w:t>
            </w:r>
          </w:p>
        </w:tc>
        <w:tc>
          <w:tcPr>
            <w:tcW w:w="1100" w:type="dxa"/>
            <w:vAlign w:val="bottom"/>
          </w:tcPr>
          <w:p>
            <w:pPr>
              <w:jc w:val="right"/>
              <w:spacing w:after="0"/>
              <w:rPr>
                <w:sz w:val="20"/>
                <w:szCs w:val="20"/>
                <w:color w:val="auto"/>
              </w:rPr>
            </w:pPr>
            <w:r>
              <w:rPr>
                <w:rFonts w:ascii="Arial" w:cs="Arial" w:eastAsia="Arial" w:hAnsi="Arial"/>
                <w:sz w:val="18"/>
                <w:szCs w:val="18"/>
                <w:color w:val="auto"/>
              </w:rPr>
              <w:t>16,359,169</w:t>
            </w:r>
          </w:p>
        </w:tc>
        <w:tc>
          <w:tcPr>
            <w:tcW w:w="2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7,000,000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(79,315,920)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62,483,490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6"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Mereo BioPharma Group plc (the “Company”) is multi-asset biopharmaceutical company focused on the acquisition, development and commercialization of innovative therapeutics that aim to improve outcomes for patients with rare and specialty diseases.</w:t>
      </w:r>
    </w:p>
    <w:p>
      <w:pPr>
        <w:spacing w:after="0" w:line="197"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We are a public limited company incorporated and domiciled in the United Kingdom, and registered in England, with our shares publicly traded on the Alternative Investment Market of the London Stock Exchange. Our registered office is located at Fourth Floor, 1 Cavendish Place, London W1G 0QF.</w:t>
      </w:r>
    </w:p>
    <w:p>
      <w:pPr>
        <w:spacing w:after="0" w:line="203"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2017 were authorised for issue in accordance with a resolution of the Directors on February 26, 2017.</w:t>
      </w:r>
    </w:p>
    <w:p>
      <w:pPr>
        <w:spacing w:after="0" w:line="283" w:lineRule="exact"/>
        <w:rPr>
          <w:sz w:val="20"/>
          <w:szCs w:val="20"/>
          <w:color w:val="auto"/>
        </w:rPr>
      </w:pPr>
    </w:p>
    <w:p>
      <w:pPr>
        <w:ind w:left="200" w:hanging="192"/>
        <w:spacing w:after="0"/>
        <w:tabs>
          <w:tab w:leader="none" w:pos="2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0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2.1 Basis of preparation</w:t>
      </w:r>
    </w:p>
    <w:p>
      <w:pPr>
        <w:spacing w:after="0" w:line="126"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International Financial Reporting Standards (“IFRS”) as issued by the International Accounting Standards Board (“IASB”).</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financial statements are presented in pounds sterling (“Sterling”).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Revision of previously issued financial statements</w:t>
      </w:r>
    </w:p>
    <w:p>
      <w:pPr>
        <w:spacing w:after="0" w:line="126" w:lineRule="exact"/>
        <w:rPr>
          <w:sz w:val="20"/>
          <w:szCs w:val="20"/>
          <w:color w:val="auto"/>
        </w:rPr>
      </w:pPr>
    </w:p>
    <w:p>
      <w:pPr>
        <w:jc w:val="both"/>
        <w:ind w:right="680"/>
        <w:spacing w:after="0"/>
        <w:rPr>
          <w:sz w:val="20"/>
          <w:szCs w:val="20"/>
          <w:color w:val="auto"/>
        </w:rPr>
      </w:pPr>
      <w:r>
        <w:rPr>
          <w:rFonts w:ascii="Arial" w:cs="Arial" w:eastAsia="Arial" w:hAnsi="Arial"/>
          <w:sz w:val="18"/>
          <w:szCs w:val="18"/>
          <w:color w:val="auto"/>
        </w:rPr>
        <w:t>We have reclassified the capital reduction undertaken in 2016 resulting in the reduction of the accumulated loss by £7.0 million and the crediting a new Other reserves by the same amount as set out in the Consolidated balance sheet and in the Consolidated statement of changes in equity.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 Going concern</w:t>
      </w:r>
    </w:p>
    <w:p>
      <w:pPr>
        <w:spacing w:after="0" w:line="126"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Though the Group continues to incur losses, the Directors believe it is appropriate to prepare the financial information on the going concern basis. This is because the Group’s development of its products continues to progress according to plan and the funding secured to date will allow it to meet its liabilities as they fall due for at least 12 months from the date of authorisation for the issue of these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 Basis of consolidation</w:t>
      </w:r>
    </w:p>
    <w:p>
      <w:pPr>
        <w:spacing w:after="0" w:line="126"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The consolidated financial information comprises the financial statements of Mereo BioPharma Group plc and its subsidiaries as at December 31, 2017.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203"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unrealised gains on transactions between Group companies are eliminated in preparing the consolidated financial statements. Accounting policies of subsidiaries are consistent with the policies adopted by the Group.</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The Group has an employee share trust to facilitate share transactions pursuant to certain employee share plans. Although the trust is a separate legal entity from the Group, it is consolidated into the Group’s results in accordance with the IFRS 10 “Consolidated Financial Statements” rules on special purpose vehicles. The Group is deemed to control the trust principally because the trust cannot operate without the funding the Group provides.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Group subsidiaries prepare yearly financial information to December 31 consistent with the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2.5 Changes of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Segment reporting</w:t>
      </w:r>
    </w:p>
    <w:p>
      <w:pPr>
        <w:spacing w:after="0" w:line="122"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Effective in the third quarter of 2017 and following the completion of the exclusive license agreement with AstraZeneca for AZD- 9668, the Company has revised its policy and now reports as a single operating segment (See Note 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Other reserves</w:t>
      </w:r>
    </w:p>
    <w:p>
      <w:pPr>
        <w:spacing w:after="0" w:line="122"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Other reserves arose on reduction of share premium. These reserves are available for distribution to shareholders in the future at a time when the Company has sufficient accumulated realized profits to make a distrubution.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 Summary of significant accounting policies</w:t>
      </w:r>
    </w:p>
    <w:p>
      <w:pPr>
        <w:spacing w:after="0" w:line="108" w:lineRule="exact"/>
        <w:rPr>
          <w:sz w:val="20"/>
          <w:szCs w:val="20"/>
          <w:color w:val="auto"/>
        </w:rPr>
      </w:pPr>
    </w:p>
    <w:p>
      <w:pPr>
        <w:ind w:left="460" w:right="9440" w:hanging="452"/>
        <w:spacing w:after="0" w:line="392" w:lineRule="auto"/>
        <w:tabs>
          <w:tab w:leader="none" w:pos="214" w:val="left"/>
        </w:tabs>
        <w:numPr>
          <w:ilvl w:val="0"/>
          <w:numId w:val="152"/>
        </w:numPr>
        <w:rPr>
          <w:rFonts w:ascii="Arial" w:cs="Arial" w:eastAsia="Arial" w:hAnsi="Arial"/>
          <w:sz w:val="17"/>
          <w:szCs w:val="17"/>
          <w:i w:val="1"/>
          <w:iCs w:val="1"/>
          <w:color w:val="auto"/>
        </w:rPr>
      </w:pPr>
      <w:r>
        <w:rPr>
          <w:rFonts w:ascii="Arial" w:cs="Arial" w:eastAsia="Arial" w:hAnsi="Arial"/>
          <w:sz w:val="17"/>
          <w:szCs w:val="17"/>
          <w:i w:val="1"/>
          <w:iCs w:val="1"/>
          <w:color w:val="auto"/>
        </w:rPr>
        <w:t>Income Taxes Current income tax</w:t>
      </w:r>
    </w:p>
    <w:p>
      <w:pPr>
        <w:ind w:left="460"/>
        <w:spacing w:after="0"/>
        <w:rPr>
          <w:rFonts w:ascii="Arial" w:cs="Arial" w:eastAsia="Arial" w:hAnsi="Arial"/>
          <w:sz w:val="17"/>
          <w:szCs w:val="17"/>
          <w:i w:val="1"/>
          <w:iCs w:val="1"/>
          <w:color w:val="auto"/>
        </w:rPr>
      </w:pPr>
      <w:r>
        <w:rPr>
          <w:rFonts w:ascii="Arial" w:cs="Arial" w:eastAsia="Arial" w:hAnsi="Arial"/>
          <w:sz w:val="18"/>
          <w:szCs w:val="18"/>
          <w:color w:val="auto"/>
        </w:rPr>
        <w:t>Current income tax assets and liabilities are measured at the amount expected to be recovered from or paid to the taxation authorities.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income tax relating to items recognized directly in equity is recognized in equity and not in the statement of comprehensive loss.</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credit</w:t>
      </w:r>
    </w:p>
    <w:p>
      <w:pPr>
        <w:spacing w:after="0" w:line="122" w:lineRule="exact"/>
        <w:rPr>
          <w:sz w:val="20"/>
          <w:szCs w:val="20"/>
          <w:color w:val="auto"/>
        </w:rPr>
      </w:pPr>
    </w:p>
    <w:p>
      <w:pPr>
        <w:ind w:right="300" w:firstLine="456"/>
        <w:spacing w:after="0"/>
        <w:rPr>
          <w:sz w:val="20"/>
          <w:szCs w:val="20"/>
          <w:color w:val="auto"/>
        </w:rPr>
      </w:pPr>
      <w:r>
        <w:rPr>
          <w:rFonts w:ascii="Arial" w:cs="Arial" w:eastAsia="Arial" w:hAnsi="Arial"/>
          <w:sz w:val="18"/>
          <w:szCs w:val="18"/>
          <w:color w:val="auto"/>
        </w:rPr>
        <w:t>The Company benefits from the U.K. research and development tax credit regime whereby a portion of the Company’s losses can be surrendered for a cash rebate of up to 33.35% of eligible expenditures. Such credits are accounted for within the tax provision, in the year in which the expenditures were incurred.</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w:t>
      </w:r>
    </w:p>
    <w:p>
      <w:pPr>
        <w:spacing w:after="0" w:line="122" w:lineRule="exact"/>
        <w:rPr>
          <w:sz w:val="20"/>
          <w:szCs w:val="20"/>
          <w:color w:val="auto"/>
        </w:rPr>
      </w:pPr>
    </w:p>
    <w:p>
      <w:pPr>
        <w:ind w:right="540" w:firstLine="456"/>
        <w:spacing w:after="0" w:line="246"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97"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utilised. The carrying amount of deferred income tax assets is reviewed at the end of each reporting period and reduced to the extent that it is no longer probable that sufficient taxable profit will be available to allow all or part of the deferred income tax asset to be utilised. Unrecognized deferred income tax assets are reassessed at the end of each reporting period and are recognized to the extent that it has become probable that future taxable profit will allow the deferred tax asset to be recovered.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Deferred tax assets and liabilities are measured on an undiscounted basis at the tax rates that are expected to apply to the year when the asset is realised, based on tax rates (and tax laws) enacted or substantively enacted at the end of the reporting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Foreign currencies</w:t>
      </w:r>
    </w:p>
    <w:p>
      <w:pPr>
        <w:spacing w:after="0" w:line="122" w:lineRule="exact"/>
        <w:rPr>
          <w:sz w:val="20"/>
          <w:szCs w:val="20"/>
          <w:color w:val="auto"/>
        </w:rPr>
      </w:pPr>
    </w:p>
    <w:p>
      <w:pPr>
        <w:ind w:right="340" w:firstLine="456"/>
        <w:spacing w:after="0" w:line="246" w:lineRule="auto"/>
        <w:rPr>
          <w:sz w:val="20"/>
          <w:szCs w:val="20"/>
          <w:color w:val="auto"/>
        </w:rPr>
      </w:pPr>
      <w:r>
        <w:rPr>
          <w:rFonts w:ascii="Arial" w:cs="Arial" w:eastAsia="Arial" w:hAnsi="Arial"/>
          <w:sz w:val="18"/>
          <w:szCs w:val="18"/>
          <w:color w:val="auto"/>
        </w:rPr>
        <w:t>The functional currency of the Company and its subsidiaries is Sterling. Transactions in foreign currencies are initially recorded by the Group’s entities at the rate ruling on the date the transaction first qualifies for recognition.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2" w:lineRule="exact"/>
        <w:rPr>
          <w:sz w:val="20"/>
          <w:szCs w:val="20"/>
          <w:color w:val="auto"/>
        </w:rPr>
      </w:pPr>
    </w:p>
    <w:p>
      <w:pPr>
        <w:ind w:right="720" w:firstLine="456"/>
        <w:spacing w:after="0" w:line="246" w:lineRule="auto"/>
        <w:rPr>
          <w:sz w:val="20"/>
          <w:szCs w:val="20"/>
          <w:color w:val="auto"/>
        </w:rPr>
      </w:pPr>
      <w:r>
        <w:rPr>
          <w:rFonts w:ascii="Arial" w:cs="Arial" w:eastAsia="Arial" w:hAnsi="Arial"/>
          <w:sz w:val="18"/>
          <w:szCs w:val="18"/>
          <w:color w:val="auto"/>
        </w:rPr>
        <w:t>Gains or losses on the retranslation of foreign currency balances at the year end are recognized in the consolidated statement of comprehensive loss under net foreign exchange gain.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Property, plant and equipment</w:t>
      </w:r>
    </w:p>
    <w:p>
      <w:pPr>
        <w:spacing w:after="0" w:line="122" w:lineRule="exact"/>
        <w:rPr>
          <w:sz w:val="20"/>
          <w:szCs w:val="20"/>
          <w:color w:val="auto"/>
        </w:rPr>
      </w:pPr>
    </w:p>
    <w:p>
      <w:pPr>
        <w:ind w:right="280" w:firstLine="456"/>
        <w:spacing w:after="0"/>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ind w:left="180"/>
              <w:spacing w:after="0"/>
              <w:rPr>
                <w:sz w:val="20"/>
                <w:szCs w:val="20"/>
                <w:color w:val="auto"/>
              </w:rPr>
            </w:pPr>
            <w:r>
              <w:rPr>
                <w:rFonts w:ascii="Arial" w:cs="Arial" w:eastAsia="Arial" w:hAnsi="Arial"/>
                <w:sz w:val="18"/>
                <w:szCs w:val="18"/>
                <w:color w:val="auto"/>
              </w:rPr>
              <w:t>ten years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140"/>
              <w:spacing w:after="0"/>
              <w:rPr>
                <w:sz w:val="20"/>
                <w:szCs w:val="20"/>
                <w:color w:val="auto"/>
              </w:rPr>
            </w:pPr>
            <w:r>
              <w:rPr>
                <w:rFonts w:ascii="Arial" w:cs="Arial" w:eastAsia="Arial" w:hAnsi="Arial"/>
                <w:sz w:val="18"/>
                <w:szCs w:val="18"/>
                <w:color w:val="auto"/>
              </w:rPr>
              <w:t>Office equipment</w:t>
            </w:r>
          </w:p>
        </w:tc>
        <w:tc>
          <w:tcPr>
            <w:tcW w:w="1020" w:type="dxa"/>
            <w:vAlign w:val="bottom"/>
          </w:tcPr>
          <w:p>
            <w:pPr>
              <w:ind w:left="120"/>
              <w:spacing w:after="0"/>
              <w:rPr>
                <w:sz w:val="20"/>
                <w:szCs w:val="20"/>
                <w:color w:val="auto"/>
              </w:rPr>
            </w:pPr>
            <w:r>
              <w:rPr>
                <w:rFonts w:ascii="Arial" w:cs="Arial" w:eastAsia="Arial" w:hAnsi="Arial"/>
                <w:sz w:val="18"/>
                <w:szCs w:val="18"/>
                <w:color w:val="auto"/>
              </w:rPr>
              <w:t>five years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140"/>
              <w:spacing w:after="0"/>
              <w:rPr>
                <w:sz w:val="20"/>
                <w:szCs w:val="20"/>
                <w:color w:val="auto"/>
              </w:rPr>
            </w:pPr>
            <w:r>
              <w:rPr>
                <w:rFonts w:ascii="Arial" w:cs="Arial" w:eastAsia="Arial" w:hAnsi="Arial"/>
                <w:sz w:val="18"/>
                <w:szCs w:val="18"/>
                <w:color w:val="auto"/>
              </w:rPr>
              <w:t>IT equipment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three years</w:t>
            </w:r>
          </w:p>
        </w:tc>
      </w:tr>
    </w:tbl>
    <w:p>
      <w:pPr>
        <w:spacing w:after="0" w:line="202"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202"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Leases</w:t>
      </w:r>
    </w:p>
    <w:p>
      <w:pPr>
        <w:spacing w:after="0" w:line="12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Leases in which a significant portion of the risks and rewards of ownership are retained by the lessor are classified as operating leases. Payments made under operating leases (net of any incentives received from the lessor) are charged to the statement of comprehensive loss on a straight-line basis over the period of the lease.</w:t>
      </w:r>
    </w:p>
    <w:p>
      <w:pPr>
        <w:spacing w:after="0" w:line="203" w:lineRule="exact"/>
        <w:rPr>
          <w:sz w:val="20"/>
          <w:szCs w:val="20"/>
          <w:color w:val="auto"/>
        </w:rPr>
      </w:pPr>
    </w:p>
    <w:p>
      <w:pPr>
        <w:ind w:right="120" w:firstLine="456"/>
        <w:spacing w:after="0"/>
        <w:rPr>
          <w:sz w:val="20"/>
          <w:szCs w:val="20"/>
          <w:color w:val="auto"/>
        </w:rPr>
      </w:pPr>
      <w:r>
        <w:rPr>
          <w:rFonts w:ascii="Arial" w:cs="Arial" w:eastAsia="Arial" w:hAnsi="Arial"/>
          <w:sz w:val="18"/>
          <w:szCs w:val="18"/>
          <w:color w:val="auto"/>
        </w:rPr>
        <w:t>The Group leases its premises. The Group recognizes any lease incentives on a straight-line basis over the entire period of the lease, assuming that any break clauses available will not be exercised. By not exercising any break clauses, the Group receives a 50% rent discount from the landlord for a fixed period of time.</w:t>
      </w:r>
    </w:p>
    <w:p>
      <w:pPr>
        <w:spacing w:after="0" w:line="203"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The determination of whether an arrangement is, or contains, a lease is based on the substance of the arrangement at the inception date. The arrangement is assessed for whether fulfilment of the arrangement is dependent on the use of a specific asset or assets or the arrangement conveys a right to use the asset or assets, even if that right is not explicitly specified in an arrangement.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Intangible assets</w:t>
      </w:r>
    </w:p>
    <w:p>
      <w:pPr>
        <w:spacing w:after="0" w:line="12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Intangible assets, relating to intellectual property rights acquired through licensing or assigning patents and knowhow, are carried at cost which comprises the cash paid together with the net present value of any provision for deferred cash consideration (see Note 2p) and any other transfer where consideration is settled in shares. Where share transfer occurs, the cost is measured at fair value of the shares issued in accordance with IFRS 2. Intangible assets are held at cost less accumulated impairment, if any. Where a finite useful life of the acquired intangible asset cannot be determined or the intangible asset is not yet available for use, the asset is tested annually for impairment by allocating the assets to the cash-generating units to which they relate. Amoritzation would commence when product candidates underpinned by the intellectual property rights become available for commercial use. No amoritzation has been charged to date, as the product candidates underpinned by the intellectual property rights are not yet available for commercial use.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Fair value measurement</w:t>
      </w:r>
    </w:p>
    <w:p>
      <w:pPr>
        <w:spacing w:after="0" w:line="12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08" w:lineRule="exact"/>
        <w:rPr>
          <w:sz w:val="20"/>
          <w:szCs w:val="20"/>
          <w:color w:val="auto"/>
        </w:rPr>
      </w:pPr>
    </w:p>
    <w:p>
      <w:pPr>
        <w:ind w:left="460" w:right="7340" w:hanging="344"/>
        <w:spacing w:after="0" w:line="367" w:lineRule="auto"/>
        <w:tabs>
          <w:tab w:leader="none" w:pos="43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 w:lineRule="exact"/>
        <w:rPr>
          <w:rFonts w:ascii="Arial" w:cs="Arial" w:eastAsia="Arial" w:hAnsi="Arial"/>
          <w:sz w:val="18"/>
          <w:szCs w:val="18"/>
          <w:color w:val="auto"/>
        </w:rPr>
      </w:pPr>
    </w:p>
    <w:p>
      <w:pPr>
        <w:ind w:left="440" w:hanging="324"/>
        <w:spacing w:after="0"/>
        <w:tabs>
          <w:tab w:leader="none" w:pos="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or the most advantageous market must be accessible by the Group.</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9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maximising the use of relevant observable inputs and minimising the use of unobservable inputs.</w:t>
      </w:r>
    </w:p>
    <w:p>
      <w:pPr>
        <w:spacing w:after="0" w:line="1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categorised within the fair value hierarchy, described as follows, based on the lowest level input that is significant to the fair value measurement as a whole:</w:t>
      </w:r>
    </w:p>
    <w:p>
      <w:pPr>
        <w:spacing w:after="0" w:line="102" w:lineRule="exact"/>
        <w:rPr>
          <w:sz w:val="20"/>
          <w:szCs w:val="20"/>
          <w:color w:val="auto"/>
        </w:rPr>
      </w:pPr>
    </w:p>
    <w:p>
      <w:pPr>
        <w:ind w:left="440" w:hanging="324"/>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17" w:lineRule="exact"/>
        <w:rPr>
          <w:rFonts w:ascii="Arial" w:cs="Arial" w:eastAsia="Arial" w:hAnsi="Arial"/>
          <w:sz w:val="18"/>
          <w:szCs w:val="18"/>
          <w:color w:val="auto"/>
        </w:rPr>
      </w:pPr>
    </w:p>
    <w:p>
      <w:pPr>
        <w:ind w:left="440" w:right="360" w:hanging="324"/>
        <w:spacing w:after="0" w:line="246"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102" w:lineRule="exact"/>
        <w:rPr>
          <w:rFonts w:ascii="Arial" w:cs="Arial" w:eastAsia="Arial" w:hAnsi="Arial"/>
          <w:sz w:val="18"/>
          <w:szCs w:val="18"/>
          <w:color w:val="auto"/>
        </w:rPr>
      </w:pPr>
    </w:p>
    <w:p>
      <w:pPr>
        <w:ind w:left="440" w:hanging="324"/>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Level 3 — Valuation techniques for which the lowest level input that is significant to the fair value measurement is unobservable</w:t>
      </w:r>
    </w:p>
    <w:p>
      <w:pPr>
        <w:spacing w:after="0" w:line="212"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categorisation (based on the lowest level input that is significant to the fair value measurement as a whole) at the end of each reporting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Impairment of non-financial assets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disclosures relating to impairment of non-financial assets are also provided in the following notes:</w:t>
      </w:r>
    </w:p>
    <w:p>
      <w:pPr>
        <w:spacing w:after="0" w:line="117" w:lineRule="exact"/>
        <w:rPr>
          <w:sz w:val="20"/>
          <w:szCs w:val="20"/>
          <w:color w:val="auto"/>
        </w:rPr>
      </w:pPr>
    </w:p>
    <w:p>
      <w:pPr>
        <w:ind w:left="120"/>
        <w:spacing w:after="0"/>
        <w:tabs>
          <w:tab w:leader="none" w:pos="420" w:val="left"/>
          <w:tab w:leader="none" w:pos="3780" w:val="left"/>
        </w:tabs>
        <w:rPr>
          <w:sz w:val="20"/>
          <w:szCs w:val="20"/>
          <w:color w:val="auto"/>
        </w:rPr>
      </w:pPr>
      <w:r>
        <w:rPr>
          <w:rFonts w:ascii="Arial" w:cs="Arial" w:eastAsia="Arial" w:hAnsi="Arial"/>
          <w:sz w:val="18"/>
          <w:szCs w:val="18"/>
          <w:color w:val="auto"/>
        </w:rPr>
        <w:t>•</w:t>
        <w:tab/>
        <w:t>Disclosures for significant assumptions</w:t>
      </w:r>
      <w:r>
        <w:rPr>
          <w:sz w:val="20"/>
          <w:szCs w:val="20"/>
          <w:color w:val="auto"/>
        </w:rPr>
        <w:tab/>
      </w:r>
      <w:r>
        <w:rPr>
          <w:rFonts w:ascii="Arial" w:cs="Arial" w:eastAsia="Arial" w:hAnsi="Arial"/>
          <w:sz w:val="17"/>
          <w:szCs w:val="17"/>
          <w:color w:val="auto"/>
        </w:rPr>
        <w:t>Note 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5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534"/>
        </w:trPr>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1460" w:type="dxa"/>
            <w:vAlign w:val="bottom"/>
          </w:tcPr>
          <w:p>
            <w:pPr>
              <w:ind w:left="120"/>
              <w:spacing w:after="0"/>
              <w:rPr>
                <w:sz w:val="20"/>
                <w:szCs w:val="20"/>
                <w:color w:val="auto"/>
              </w:rPr>
            </w:pPr>
            <w:r>
              <w:rPr>
                <w:rFonts w:ascii="Arial" w:cs="Arial" w:eastAsia="Arial" w:hAnsi="Arial"/>
                <w:sz w:val="18"/>
                <w:szCs w:val="18"/>
                <w:color w:val="auto"/>
              </w:rPr>
              <w:t>Note 11</w:t>
            </w:r>
          </w:p>
        </w:tc>
      </w:tr>
      <w:tr>
        <w:trPr>
          <w:trHeight w:val="324"/>
        </w:trPr>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Intangible assets not yet available for use</w:t>
            </w:r>
          </w:p>
        </w:tc>
        <w:tc>
          <w:tcPr>
            <w:tcW w:w="1460" w:type="dxa"/>
            <w:vAlign w:val="bottom"/>
          </w:tcPr>
          <w:p>
            <w:pPr>
              <w:ind w:left="140"/>
              <w:spacing w:after="0"/>
              <w:rPr>
                <w:sz w:val="20"/>
                <w:szCs w:val="20"/>
                <w:color w:val="auto"/>
              </w:rPr>
            </w:pPr>
            <w:r>
              <w:rPr>
                <w:rFonts w:ascii="Arial" w:cs="Arial" w:eastAsia="Arial" w:hAnsi="Arial"/>
                <w:sz w:val="18"/>
                <w:szCs w:val="18"/>
                <w:color w:val="auto"/>
                <w:w w:val="98"/>
              </w:rPr>
              <w:t>Notes 12 and 13</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firstLine="456"/>
        <w:spacing w:after="0" w:line="237" w:lineRule="auto"/>
        <w:rPr>
          <w:sz w:val="20"/>
          <w:szCs w:val="20"/>
          <w:color w:val="auto"/>
        </w:rPr>
      </w:pPr>
      <w:r>
        <w:rPr>
          <w:rFonts w:ascii="Arial" w:cs="Arial" w:eastAsia="Arial" w:hAnsi="Arial"/>
          <w:sz w:val="18"/>
          <w:szCs w:val="18"/>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20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202" w:lineRule="exact"/>
        <w:rPr>
          <w:sz w:val="20"/>
          <w:szCs w:val="20"/>
          <w:color w:val="auto"/>
        </w:rPr>
      </w:pPr>
    </w:p>
    <w:p>
      <w:pPr>
        <w:ind w:right="460" w:firstLine="456"/>
        <w:spacing w:after="0" w:line="246" w:lineRule="auto"/>
        <w:rPr>
          <w:sz w:val="20"/>
          <w:szCs w:val="20"/>
          <w:color w:val="auto"/>
        </w:rPr>
      </w:pPr>
      <w:r>
        <w:rPr>
          <w:rFonts w:ascii="Arial" w:cs="Arial" w:eastAsia="Arial" w:hAnsi="Arial"/>
          <w:sz w:val="18"/>
          <w:szCs w:val="18"/>
          <w:color w:val="auto"/>
        </w:rPr>
        <w:t>Impairment losses are recognized in the statement of comprehensive loss in expense categories consistent with the function of the impaired asset.</w:t>
      </w:r>
    </w:p>
    <w:p>
      <w:pPr>
        <w:spacing w:after="0" w:line="19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203"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Intangible assets not yet available for use are tested for impairment annually as at December 31 at the CGU level, as appropriate, and when circumstances indicate that the carrying value may be impaired. An impairment test was performed at December 31,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Cash and short-term deposits</w:t>
      </w:r>
    </w:p>
    <w:p>
      <w:pPr>
        <w:spacing w:after="0" w:line="122"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Short-term investments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on deposit for terms greater than three months are recognized at fair value in the balance sheet.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 Provisions</w:t>
      </w:r>
    </w:p>
    <w:p>
      <w:pPr>
        <w:spacing w:after="0" w:line="122"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46"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202" w:lineRule="exact"/>
        <w:rPr>
          <w:sz w:val="20"/>
          <w:szCs w:val="20"/>
          <w:color w:val="auto"/>
        </w:rPr>
      </w:pPr>
    </w:p>
    <w:p>
      <w:pPr>
        <w:jc w:val="both"/>
        <w:ind w:right="140" w:firstLine="456"/>
        <w:spacing w:after="0"/>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Share-based payments</w:t>
      </w:r>
    </w:p>
    <w:p>
      <w:pPr>
        <w:spacing w:after="0" w:line="122"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Employees (including Executive Officers) of the Group receive remuneration in the form of share-based payments, whereby employees render services as consideration for equity instruments (equity-settled transactions).</w:t>
      </w:r>
    </w:p>
    <w:p>
      <w:pPr>
        <w:spacing w:after="0" w:line="19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Incentives in the form of shares are provided to employees under the Share Option Plan. Executive Officers are also provided with shares under a deferred bonus share plan (“DBSP Plan”) and a long-term incentive plan (“LTIP Plan”). 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excludes the impact of any non-market vesting conditions. The fair value of LTIP shares, which have market conditions attached, includes an adjustment based on the probability of the shares vesting at the end of the vesting period.</w:t>
      </w:r>
    </w:p>
    <w:p>
      <w:pPr>
        <w:spacing w:after="0" w:line="203" w:lineRule="exact"/>
        <w:rPr>
          <w:sz w:val="20"/>
          <w:szCs w:val="20"/>
          <w:color w:val="auto"/>
        </w:rPr>
      </w:pPr>
    </w:p>
    <w:p>
      <w:pPr>
        <w:ind w:right="300" w:firstLine="456"/>
        <w:spacing w:after="0"/>
        <w:rPr>
          <w:sz w:val="20"/>
          <w:szCs w:val="20"/>
          <w:color w:val="auto"/>
        </w:rPr>
      </w:pPr>
      <w:r>
        <w:rPr>
          <w:rFonts w:ascii="Arial" w:cs="Arial" w:eastAsia="Arial" w:hAnsi="Arial"/>
          <w:sz w:val="18"/>
          <w:szCs w:val="18"/>
          <w:color w:val="auto"/>
        </w:rPr>
        <w:t>Under the 2015 plan, options were historically awarded to employees, non- executive directors and certain consultants. Share options awarded to non-employees under the 2015 plan are accounted for as for options awarded to employees [as the value of non-employee services could be readily determined]</w:t>
      </w:r>
    </w:p>
    <w:p>
      <w:pPr>
        <w:spacing w:after="0" w:line="203" w:lineRule="exact"/>
        <w:rPr>
          <w:sz w:val="20"/>
          <w:szCs w:val="20"/>
          <w:color w:val="auto"/>
        </w:rPr>
      </w:pPr>
    </w:p>
    <w:p>
      <w:pPr>
        <w:ind w:right="180" w:firstLine="456"/>
        <w:spacing w:after="0"/>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203" w:lineRule="exact"/>
        <w:rPr>
          <w:sz w:val="20"/>
          <w:szCs w:val="20"/>
          <w:color w:val="auto"/>
        </w:rPr>
      </w:pPr>
    </w:p>
    <w:p>
      <w:pPr>
        <w:ind w:right="860" w:firstLine="456"/>
        <w:spacing w:after="0" w:line="246" w:lineRule="auto"/>
        <w:rPr>
          <w:sz w:val="20"/>
          <w:szCs w:val="20"/>
          <w:color w:val="auto"/>
        </w:rPr>
      </w:pPr>
      <w:r>
        <w:rPr>
          <w:rFonts w:ascii="Arial" w:cs="Arial" w:eastAsia="Arial" w:hAnsi="Arial"/>
          <w:sz w:val="18"/>
          <w:szCs w:val="18"/>
          <w:color w:val="auto"/>
        </w:rPr>
        <w:t>Purchases, where consideration is satisfied by issuing equity shares, are accounted for as equity-settled share-based payment transactions in accordance with IFRS 2. Fair value is determined by the share price at the date of purchase.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Costs of issuing capital</w:t>
      </w:r>
    </w:p>
    <w:p>
      <w:pPr>
        <w:spacing w:after="0" w:line="122"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The Group deducts directly attributable costs of issuing capital from the proceeds in accordance with IAS 39 “Financial Instruments: Recognition and Measurement”. 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Convertible loan instrument</w:t>
      </w:r>
    </w:p>
    <w:p>
      <w:pPr>
        <w:spacing w:after="0" w:line="122"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representing the embedded option to convert the liability into equity of the Group, is included in equity.</w:t>
      </w:r>
    </w:p>
    <w:p>
      <w:pPr>
        <w:spacing w:after="0" w:line="202"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202"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 10% different from the discounted present value of the remaining cash flows of the original debt instrument. Where such modifications are less than 10% different, the effective interest rate is adjusted to take account of the new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Employee Benefit Trust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operates an Employee Benefit Trust (“EBT”): Mereo BioPharma Group plc Employee Benefit Trust.</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EBT has been established to fulfil awards made under the Deferred Share Bonus Plan and the Long Term Incentive Plan. The EBT is a Jersey-based trust which is funded by a loan from the Company, which it will utilise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202"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In compliance with IAS 32 “Financial Instruments: Presentation” Group, shares held by the EBT are included in the consolidated balance sheet as a reduction in equity. Gains and losses on Group shares are recognized directly in equity.</w:t>
      </w:r>
    </w:p>
    <w:p>
      <w:pPr>
        <w:spacing w:after="0" w:line="197"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The Group consolidated accounts treat the EBT as a wholly owned subsidiary company. Residual cash within the EBT is classified as a debtor (restricted cash) since it is not readily accessible by the Group.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Research and development costs</w:t>
      </w:r>
    </w:p>
    <w:p>
      <w:pPr>
        <w:spacing w:after="0" w:line="122"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Expenditure on product development is capitalised as an intangible asset and amortised over the expected useful economic life of the product candidate concerned. Capitalisation commences from the point at which technical feasibility and commercial viability of the product candidate can be demonstrated and the Group is satisfied that it is probable that future economic benefits will result from the product candidate once completed. Capitalisation ceases when the product candidate receives regulatory approval for launch. No such costs have been capitalised to date.</w:t>
      </w:r>
    </w:p>
    <w:p>
      <w:pPr>
        <w:spacing w:after="0" w:line="203"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Expenditure on research and development activities that do not meet the above criteria, including ongoing costs associated with acquired intellectual property rights and intellectual property rights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generated internally by the Group, is charged to the statement of comprehensive loss as incurred. Intellectual property and in-process research and development from asset acquisitions are recognized as intangible assets at cost.</w:t>
      </w:r>
    </w:p>
    <w:p>
      <w:pPr>
        <w:spacing w:after="0" w:line="197"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Future commitments to Novartis Pharma AG (“Novartis”) (as described in Note 25) will be recognized as an expense in the same period when related future cash inflows from product sales or out-licensing or other monetisation of the programs by the Group are earned.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Provisions for deferred cash consideration</w:t>
      </w:r>
    </w:p>
    <w:p>
      <w:pPr>
        <w:spacing w:after="0" w:line="122"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Provisions for deferred cash consideration consist of future payments which are quantifiable. In respect of products which are not yet approved such deferred cash consideration excludes potential downstream milestones, royalties or other payments as these are deemed to be so uncertain as to be unquantifiable. Deferred cash consideration is recognized as a liability at each balance sheet date with the amounts calculated as the risk adjusted net present value of anticipated deferred payments.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Bank loan and associated warrants</w:t>
      </w:r>
    </w:p>
    <w:p>
      <w:pPr>
        <w:spacing w:after="0" w:line="122" w:lineRule="exact"/>
        <w:rPr>
          <w:sz w:val="20"/>
          <w:szCs w:val="20"/>
          <w:color w:val="auto"/>
        </w:rPr>
      </w:pPr>
    </w:p>
    <w:p>
      <w:pPr>
        <w:ind w:right="220" w:firstLine="456"/>
        <w:spacing w:after="0"/>
        <w:rPr>
          <w:sz w:val="20"/>
          <w:szCs w:val="20"/>
          <w:color w:val="auto"/>
        </w:rPr>
      </w:pPr>
      <w:r>
        <w:rPr>
          <w:rFonts w:ascii="Arial" w:cs="Arial" w:eastAsia="Arial" w:hAnsi="Arial"/>
          <w:sz w:val="18"/>
          <w:szCs w:val="18"/>
          <w:color w:val="auto"/>
        </w:rPr>
        <w:t>After initial recognition, interest-bearing loans and borrowings are subsequently measured at amortized cost using the effective interest rate (EIR) method. The EIR amortization is included as a finance charge in the statement of comprehensive loss. This category applies to interest-bearing borrowings, trade and other payables.</w:t>
      </w: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Associated warrants are measured at fair value with changes recorded through the statement of comprehensive loss (see note 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estimates and assumptions</w:t>
      </w:r>
    </w:p>
    <w:p>
      <w:pPr>
        <w:spacing w:after="0" w:line="12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preparation of the consolidated accounts requires the management of the Group to make estimates and judgements that affect the reported amounts of assets, liabilities, revenues and expenses. The Group bases its estimates and judgements on historical experience and on various other assumptions that it considers to be reasonable. Actual results may differ from these estimates under different assumptions or conditions.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6"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Incentives in the form of shares are provided to employees under a share option plan, long term incentive plan and deferred share bonus plan. The fair value of the employee services received in exchange for the grant of the options is recognized as an expense. The expense is based upon a number of assumptions disclosed in Note 24. The selection of different assumptions could affect the results of the Group.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 and property, plant and equipment</w:t>
      </w:r>
    </w:p>
    <w:p>
      <w:pPr>
        <w:spacing w:after="0" w:line="126"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13) and leasehold improvements, office equipment and IT equipment as at December 31, 2017.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judgements regarding the likelihood of successful product approval, the costs of reaching approval and the subsequent commercial profitability of the product once approved.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license consideration</w:t>
      </w:r>
    </w:p>
    <w:p>
      <w:pPr>
        <w:spacing w:after="0" w:line="12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Deferred consideration in the form of cash is recognized as a provision at each balance sheet date, to the extent its amount is quantifiable at the inception of the arrangement. The amount provided is based on a number of judgements regarding the timing and progress of the related research. Deferred consideration in the form of shares is recognized as a share-based payment when it is probable that shares will be transfered.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 and associated warrants</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As part of the bank loan, the Group has issued warrants to subscribe for shares. The fair value of the warrants issued is assessed at each balance sheet date based upon a number of assumptions, as disclosed in Note 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consolidation of product candidates into a single segment follows management’s view of the business as a single portfolio of product candidates. Research and development (“R&amp;D”) expenses only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United Kingdom.</w:t>
      </w:r>
    </w:p>
    <w:p>
      <w:pPr>
        <w:spacing w:after="0" w:line="202" w:lineRule="exact"/>
        <w:rPr>
          <w:sz w:val="20"/>
          <w:szCs w:val="20"/>
          <w:color w:val="auto"/>
        </w:rPr>
      </w:pPr>
    </w:p>
    <w:p>
      <w:pPr>
        <w:ind w:right="560" w:firstLine="456"/>
        <w:spacing w:after="0" w:line="246" w:lineRule="auto"/>
        <w:rPr>
          <w:sz w:val="20"/>
          <w:szCs w:val="20"/>
          <w:color w:val="auto"/>
        </w:rPr>
      </w:pPr>
      <w:r>
        <w:rPr>
          <w:rFonts w:ascii="Arial" w:cs="Arial" w:eastAsia="Arial" w:hAnsi="Arial"/>
          <w:sz w:val="18"/>
          <w:szCs w:val="18"/>
          <w:color w:val="auto"/>
        </w:rPr>
        <w:t>The Company’s CODM is the Executive Management team (comprised of the Chief Executive Officer, Chief Financial Officer, Chief Medical Officer, General Counsel and the Head of Corporate Development) which manages the operating results of the business.</w:t>
      </w:r>
    </w:p>
    <w:p>
      <w:pPr>
        <w:spacing w:after="0" w:line="283" w:lineRule="exact"/>
        <w:rPr>
          <w:sz w:val="20"/>
          <w:szCs w:val="20"/>
          <w:color w:val="auto"/>
        </w:rPr>
      </w:pPr>
    </w:p>
    <w:p>
      <w:pPr>
        <w:ind w:right="8780" w:firstLine="8"/>
        <w:spacing w:after="0" w:line="372" w:lineRule="auto"/>
        <w:tabs>
          <w:tab w:leader="none" w:pos="2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Group information </w:t>
      </w:r>
      <w:r>
        <w:rPr>
          <w:rFonts w:ascii="Arial" w:cs="Arial" w:eastAsia="Arial" w:hAnsi="Arial"/>
          <w:sz w:val="18"/>
          <w:szCs w:val="18"/>
          <w:b w:val="1"/>
          <w:bCs w:val="1"/>
          <w:i w:val="1"/>
          <w:iCs w:val="1"/>
          <w:color w:val="auto"/>
        </w:rPr>
        <w:t>Information about subsidiaries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Group include: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Country of</w:t>
            </w:r>
          </w:p>
        </w:tc>
        <w:tc>
          <w:tcPr>
            <w:tcW w:w="21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 equity interest</w:t>
            </w: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 equity interest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1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Principal activities</w:t>
            </w:r>
          </w:p>
        </w:tc>
        <w:tc>
          <w:tcPr>
            <w:tcW w:w="420" w:type="dxa"/>
            <w:vAlign w:val="bottom"/>
          </w:tcPr>
          <w:p>
            <w:pPr>
              <w:spacing w:after="0"/>
              <w:rPr>
                <w:sz w:val="16"/>
                <w:szCs w:val="16"/>
                <w:color w:val="auto"/>
              </w:rPr>
            </w:pPr>
          </w:p>
        </w:tc>
        <w:tc>
          <w:tcPr>
            <w:tcW w:w="2080" w:type="dxa"/>
            <w:vAlign w:val="bottom"/>
            <w:gridSpan w:val="2"/>
          </w:tcPr>
          <w:p>
            <w:pPr>
              <w:ind w:left="380"/>
              <w:spacing w:after="0"/>
              <w:rPr>
                <w:sz w:val="20"/>
                <w:szCs w:val="20"/>
                <w:color w:val="auto"/>
              </w:rPr>
            </w:pPr>
            <w:r>
              <w:rPr>
                <w:rFonts w:ascii="Arial" w:cs="Arial" w:eastAsia="Arial" w:hAnsi="Arial"/>
                <w:sz w:val="14"/>
                <w:szCs w:val="14"/>
                <w:b w:val="1"/>
                <w:bCs w:val="1"/>
                <w:color w:val="auto"/>
              </w:rPr>
              <w:t>incorporation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960" w:type="dxa"/>
            <w:vAlign w:val="bottom"/>
          </w:tcPr>
          <w:p>
            <w:pPr>
              <w:spacing w:after="0"/>
              <w:rPr>
                <w:sz w:val="16"/>
                <w:szCs w:val="16"/>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Mereo BioPharma 1 Limited</w:t>
            </w:r>
          </w:p>
        </w:tc>
        <w:tc>
          <w:tcPr>
            <w:tcW w:w="3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Pharmaceutical research</w:t>
            </w:r>
          </w:p>
        </w:tc>
        <w:tc>
          <w:tcPr>
            <w:tcW w:w="4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1160" w:type="dxa"/>
            <w:vAlign w:val="bottom"/>
            <w:shd w:val="clear" w:color="auto" w:fill="CCEEFF"/>
          </w:tcPr>
          <w:p>
            <w:pPr>
              <w:ind w:left="860"/>
              <w:spacing w:after="0" w:line="203" w:lineRule="exact"/>
              <w:rPr>
                <w:sz w:val="20"/>
                <w:szCs w:val="20"/>
                <w:color w:val="auto"/>
              </w:rPr>
            </w:pPr>
            <w:r>
              <w:rPr>
                <w:rFonts w:ascii="Arial" w:cs="Arial" w:eastAsia="Arial" w:hAnsi="Arial"/>
                <w:sz w:val="18"/>
                <w:szCs w:val="18"/>
                <w:color w:val="auto"/>
                <w:w w:val="93"/>
              </w:rPr>
              <w:t>100</w:t>
            </w: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2 Limited</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Pharmaceutical research</w:t>
            </w: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tcPr>
          <w:p>
            <w:pPr>
              <w:spacing w:after="0"/>
              <w:rPr>
                <w:sz w:val="17"/>
                <w:szCs w:val="17"/>
                <w:color w:val="auto"/>
              </w:rPr>
            </w:pPr>
          </w:p>
        </w:tc>
        <w:tc>
          <w:tcPr>
            <w:tcW w:w="2080" w:type="dxa"/>
            <w:vAlign w:val="bottom"/>
            <w:gridSpan w:val="2"/>
          </w:tcPr>
          <w:p>
            <w:pPr>
              <w:spacing w:after="0" w:line="203" w:lineRule="exact"/>
              <w:rPr>
                <w:sz w:val="20"/>
                <w:szCs w:val="20"/>
                <w:color w:val="auto"/>
              </w:rPr>
            </w:pPr>
            <w:r>
              <w:rPr>
                <w:rFonts w:ascii="Arial" w:cs="Arial" w:eastAsia="Arial" w:hAnsi="Arial"/>
                <w:sz w:val="18"/>
                <w:szCs w:val="18"/>
                <w:color w:val="auto"/>
              </w:rPr>
              <w:t>United Kingdom</w:t>
            </w:r>
          </w:p>
        </w:tc>
        <w:tc>
          <w:tcPr>
            <w:tcW w:w="1160" w:type="dxa"/>
            <w:vAlign w:val="bottom"/>
          </w:tcPr>
          <w:p>
            <w:pPr>
              <w:ind w:left="860"/>
              <w:spacing w:after="0" w:line="203" w:lineRule="exact"/>
              <w:rPr>
                <w:sz w:val="20"/>
                <w:szCs w:val="20"/>
                <w:color w:val="auto"/>
              </w:rPr>
            </w:pPr>
            <w:r>
              <w:rPr>
                <w:rFonts w:ascii="Arial" w:cs="Arial" w:eastAsia="Arial" w:hAnsi="Arial"/>
                <w:sz w:val="18"/>
                <w:szCs w:val="18"/>
                <w:color w:val="auto"/>
                <w:w w:val="93"/>
              </w:rPr>
              <w:t>100</w:t>
            </w:r>
          </w:p>
        </w:tc>
        <w:tc>
          <w:tcPr>
            <w:tcW w:w="9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Mereo BioPharma 3 Limited</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Pharmaceutical research</w:t>
            </w: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1160" w:type="dxa"/>
            <w:vAlign w:val="bottom"/>
            <w:shd w:val="clear" w:color="auto" w:fill="CCEEFF"/>
          </w:tcPr>
          <w:p>
            <w:pPr>
              <w:ind w:left="860"/>
              <w:spacing w:after="0" w:line="203" w:lineRule="exact"/>
              <w:rPr>
                <w:sz w:val="20"/>
                <w:szCs w:val="20"/>
                <w:color w:val="auto"/>
              </w:rPr>
            </w:pPr>
            <w:r>
              <w:rPr>
                <w:rFonts w:ascii="Arial" w:cs="Arial" w:eastAsia="Arial" w:hAnsi="Arial"/>
                <w:sz w:val="18"/>
                <w:szCs w:val="18"/>
                <w:color w:val="auto"/>
                <w:w w:val="93"/>
              </w:rPr>
              <w:t>100</w:t>
            </w: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4 Limited</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Pharmaceutical research</w:t>
            </w: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tcPr>
          <w:p>
            <w:pPr>
              <w:spacing w:after="0"/>
              <w:rPr>
                <w:sz w:val="17"/>
                <w:szCs w:val="17"/>
                <w:color w:val="auto"/>
              </w:rPr>
            </w:pPr>
          </w:p>
        </w:tc>
        <w:tc>
          <w:tcPr>
            <w:tcW w:w="2080" w:type="dxa"/>
            <w:vAlign w:val="bottom"/>
            <w:gridSpan w:val="2"/>
          </w:tcPr>
          <w:p>
            <w:pPr>
              <w:spacing w:after="0" w:line="203" w:lineRule="exact"/>
              <w:rPr>
                <w:sz w:val="20"/>
                <w:szCs w:val="20"/>
                <w:color w:val="auto"/>
              </w:rPr>
            </w:pPr>
            <w:r>
              <w:rPr>
                <w:rFonts w:ascii="Arial" w:cs="Arial" w:eastAsia="Arial" w:hAnsi="Arial"/>
                <w:sz w:val="18"/>
                <w:szCs w:val="18"/>
                <w:color w:val="auto"/>
              </w:rPr>
              <w:t>United Kingdom</w:t>
            </w:r>
          </w:p>
        </w:tc>
        <w:tc>
          <w:tcPr>
            <w:tcW w:w="2120" w:type="dxa"/>
            <w:vAlign w:val="bottom"/>
            <w:gridSpan w:val="2"/>
          </w:tcPr>
          <w:p>
            <w:pPr>
              <w:ind w:left="88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Mereo BioPharma Group plc</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share plan</w:t>
            </w: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Employee Benefit Trust</w:t>
            </w:r>
          </w:p>
        </w:tc>
        <w:tc>
          <w:tcPr>
            <w:tcW w:w="2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Jersey</w:t>
            </w:r>
          </w:p>
        </w:tc>
        <w:tc>
          <w:tcPr>
            <w:tcW w:w="212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gridSpan w:val="3"/>
          </w:tcPr>
          <w:p>
            <w:pPr>
              <w:ind w:left="400"/>
              <w:spacing w:after="0"/>
              <w:rPr>
                <w:sz w:val="20"/>
                <w:szCs w:val="20"/>
                <w:color w:val="auto"/>
              </w:rPr>
            </w:pPr>
            <w:r>
              <w:rPr>
                <w:rFonts w:ascii="Arial" w:cs="Arial" w:eastAsia="Arial" w:hAnsi="Arial"/>
                <w:sz w:val="18"/>
                <w:szCs w:val="18"/>
                <w:color w:val="auto"/>
              </w:rPr>
              <w:t>F-15</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Compensation of key management personnel of the Group</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Key management includes Directors (Executive and Non-Executive) and Executive Officers, the General Counsel, the Chief Medical Officer and the Head of Corporate Development. The compensation paid or payable to key management is set out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0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left="3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benefits</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2,111,712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2,756,979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Post-employment benefits</w:t>
            </w:r>
          </w:p>
        </w:tc>
        <w:tc>
          <w:tcPr>
            <w:tcW w:w="15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106,500</w:t>
            </w:r>
          </w:p>
        </w:tc>
        <w:tc>
          <w:tcPr>
            <w:tcW w:w="80" w:type="dxa"/>
            <w:vAlign w:val="bottom"/>
          </w:tcPr>
          <w:p>
            <w:pPr>
              <w:spacing w:after="0"/>
              <w:rPr>
                <w:sz w:val="17"/>
                <w:szCs w:val="17"/>
                <w:color w:val="auto"/>
              </w:rPr>
            </w:pPr>
          </w:p>
        </w:tc>
        <w:tc>
          <w:tcPr>
            <w:tcW w:w="156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87,269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IFRS 2 Share-based payment charge</w:t>
            </w:r>
          </w:p>
        </w:tc>
        <w:tc>
          <w:tcPr>
            <w:tcW w:w="158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4,631,853</w:t>
            </w:r>
          </w:p>
        </w:tc>
        <w:tc>
          <w:tcPr>
            <w:tcW w:w="80" w:type="dxa"/>
            <w:vAlign w:val="bottom"/>
            <w:shd w:val="clear" w:color="auto" w:fill="CCEEFF"/>
          </w:tcPr>
          <w:p>
            <w:pPr>
              <w:spacing w:after="0"/>
              <w:rPr>
                <w:sz w:val="17"/>
                <w:szCs w:val="17"/>
                <w:color w:val="auto"/>
              </w:rPr>
            </w:pPr>
          </w:p>
        </w:tc>
        <w:tc>
          <w:tcPr>
            <w:tcW w:w="156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2,726,337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 paid to key management personnel</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6,850,065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5,570,585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Finance income and Finance charge</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Finance income</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Bank interest earned</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374,906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826,855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charge</w:t>
            </w: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Interest expense on convertible loan</w:t>
            </w:r>
          </w:p>
        </w:tc>
        <w:tc>
          <w:tcPr>
            <w:tcW w:w="11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(179,765)</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(103,115)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(327,123)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Accreted interest on bank loan</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5"/>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(66,935)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Loss on short-term deposits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5"/>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(338,279)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warrant fair value</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(54,473)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36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 Finance charge</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(179,765)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(1,089,925</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Employee benefits expense</w:t>
            </w: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6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Included in research &amp; development expenses: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Salaries</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1,150,222</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1,640,373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Social security costs</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344,467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420,417</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Pension contributions</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50,864</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77,425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expense</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1,550,884</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822,173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b w:val="1"/>
                <w:bCs w:val="1"/>
                <w:color w:val="auto"/>
              </w:rPr>
              <w:t>Included in general and administrative expenses: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2,132,920</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2,253,393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Social security costs</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1,040,409</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1,159,548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contributions</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109,187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96,598</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Share-based payment expense</w:t>
            </w:r>
          </w:p>
        </w:tc>
        <w:tc>
          <w:tcPr>
            <w:tcW w:w="110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4,943,133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2,829,725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employee benefits expense</w:t>
            </w:r>
          </w:p>
        </w:tc>
        <w:tc>
          <w:tcPr>
            <w:tcW w:w="110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11,322,086</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9,299,652</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00" w:type="dxa"/>
            <w:vAlign w:val="bottom"/>
            <w:vMerge w:val="restart"/>
          </w:tcPr>
          <w:p>
            <w:pPr>
              <w:ind w:left="4140"/>
              <w:spacing w:after="0"/>
              <w:rPr>
                <w:sz w:val="20"/>
                <w:szCs w:val="20"/>
                <w:color w:val="auto"/>
              </w:rPr>
            </w:pPr>
            <w:r>
              <w:rPr>
                <w:rFonts w:ascii="Arial" w:cs="Arial" w:eastAsia="Arial" w:hAnsi="Arial"/>
                <w:sz w:val="18"/>
                <w:szCs w:val="18"/>
                <w:color w:val="auto"/>
              </w:rPr>
              <w:t>F-16</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126"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Group is entitled to claim tax credits in the United Kingdom (the “UK”)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amount included in the financial statements represents the credit receivable by the Group for the year. The claims in respect of the year ended December 31, 2016 were received by the Group in May 2017. The year ended December 31, 2017 amounts have not yet been agreed with the relevant tax authorities.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138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1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4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Kingdom corporation tax R&amp;D credit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5,331,271</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3"/>
            <w:shd w:val="clear" w:color="auto" w:fill="CCEEFF"/>
          </w:tcPr>
          <w:p>
            <w:pPr>
              <w:ind w:left="280"/>
              <w:spacing w:after="0" w:line="196" w:lineRule="exact"/>
              <w:rPr>
                <w:sz w:val="20"/>
                <w:szCs w:val="20"/>
                <w:color w:val="auto"/>
              </w:rPr>
            </w:pPr>
            <w:r>
              <w:rPr>
                <w:rFonts w:ascii="Arial" w:cs="Arial" w:eastAsia="Arial" w:hAnsi="Arial"/>
                <w:sz w:val="18"/>
                <w:szCs w:val="18"/>
                <w:color w:val="auto"/>
                <w:w w:val="97"/>
              </w:rPr>
              <w:t>8,152,084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The charge for the year can be reconciled to the loss per the income statement as follows: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1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3"/>
          </w:tcPr>
          <w:p>
            <w:pPr>
              <w:jc w:val="center"/>
              <w:ind w:left="17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75"/>
        </w:trPr>
        <w:tc>
          <w:tcPr>
            <w:tcW w:w="1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3"/>
          </w:tcPr>
          <w:p>
            <w:pPr>
              <w:ind w:left="7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7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before tax</w:t>
            </w:r>
          </w:p>
        </w:tc>
        <w:tc>
          <w:tcPr>
            <w:tcW w:w="1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(33,721,551)</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(46,951,138)</w:t>
            </w:r>
          </w:p>
        </w:tc>
        <w:tc>
          <w:tcPr>
            <w:tcW w:w="140" w:type="dxa"/>
            <w:vAlign w:val="bottom"/>
            <w:tcBorders>
              <w:top w:val="single" w:sz="8" w:color="CCEEFF"/>
            </w:tcBorders>
            <w:shd w:val="clear" w:color="auto" w:fill="CCEEFF"/>
          </w:tcPr>
          <w:p>
            <w:pPr>
              <w:spacing w:after="0"/>
              <w:rPr>
                <w:sz w:val="17"/>
                <w:szCs w:val="17"/>
                <w:color w:val="auto"/>
              </w:rPr>
            </w:pPr>
          </w:p>
        </w:tc>
      </w:tr>
      <w:tr>
        <w:trPr>
          <w:trHeight w:val="202"/>
        </w:trPr>
        <w:tc>
          <w:tcPr>
            <w:tcW w:w="8400" w:type="dxa"/>
            <w:vAlign w:val="bottom"/>
            <w:gridSpan w:val="3"/>
          </w:tcPr>
          <w:p>
            <w:pPr>
              <w:spacing w:after="0" w:line="201" w:lineRule="exact"/>
              <w:rPr>
                <w:sz w:val="20"/>
                <w:szCs w:val="20"/>
                <w:color w:val="auto"/>
              </w:rPr>
            </w:pPr>
            <w:r>
              <w:rPr>
                <w:rFonts w:ascii="Arial" w:cs="Arial" w:eastAsia="Arial" w:hAnsi="Arial"/>
                <w:sz w:val="18"/>
                <w:szCs w:val="18"/>
                <w:color w:val="auto"/>
              </w:rPr>
              <w:t>Loss on ordinary activities before tax at the United Kingdom’s statutory income tax rate of 19.25%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380" w:type="dxa"/>
            <w:vAlign w:val="bottom"/>
          </w:tcPr>
          <w:p>
            <w:pPr>
              <w:ind w:left="180"/>
              <w:spacing w:after="0" w:line="203" w:lineRule="exact"/>
              <w:rPr>
                <w:sz w:val="20"/>
                <w:szCs w:val="20"/>
                <w:color w:val="auto"/>
              </w:rPr>
            </w:pPr>
            <w:r>
              <w:rPr>
                <w:rFonts w:ascii="Arial" w:cs="Arial" w:eastAsia="Arial" w:hAnsi="Arial"/>
                <w:sz w:val="18"/>
                <w:szCs w:val="18"/>
                <w:color w:val="auto"/>
              </w:rPr>
              <w:t>(2016:20%)</w:t>
            </w:r>
          </w:p>
        </w:tc>
        <w:tc>
          <w:tcPr>
            <w:tcW w:w="5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6,744,310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9,036,428</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 not deductible for tax purposes (permanent differences)</w:t>
            </w:r>
          </w:p>
        </w:tc>
        <w:tc>
          <w:tcPr>
            <w:tcW w:w="104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(15,116)</w:t>
            </w: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(14,317)</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Temporary timing differences</w:t>
            </w:r>
          </w:p>
        </w:tc>
        <w:tc>
          <w:tcPr>
            <w:tcW w:w="1040" w:type="dxa"/>
            <w:vAlign w:val="bottom"/>
          </w:tcPr>
          <w:p>
            <w:pPr>
              <w:spacing w:after="0"/>
              <w:rPr>
                <w:sz w:val="17"/>
                <w:szCs w:val="17"/>
                <w:color w:val="auto"/>
              </w:rPr>
            </w:pPr>
          </w:p>
        </w:tc>
        <w:tc>
          <w:tcPr>
            <w:tcW w:w="158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(1,300,044)</w:t>
            </w:r>
          </w:p>
        </w:tc>
        <w:tc>
          <w:tcPr>
            <w:tcW w:w="80" w:type="dxa"/>
            <w:vAlign w:val="bottom"/>
          </w:tcPr>
          <w:p>
            <w:pPr>
              <w:spacing w:after="0"/>
              <w:rPr>
                <w:sz w:val="17"/>
                <w:szCs w:val="17"/>
                <w:color w:val="auto"/>
              </w:rPr>
            </w:pPr>
          </w:p>
        </w:tc>
        <w:tc>
          <w:tcPr>
            <w:tcW w:w="13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(711,677)</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relief uplift</w:t>
            </w:r>
          </w:p>
        </w:tc>
        <w:tc>
          <w:tcPr>
            <w:tcW w:w="104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2,134,107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3,447,474</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Losses (unrecognized)</w:t>
            </w:r>
          </w:p>
        </w:tc>
        <w:tc>
          <w:tcPr>
            <w:tcW w:w="1040" w:type="dxa"/>
            <w:vAlign w:val="bottom"/>
          </w:tcPr>
          <w:p>
            <w:pPr>
              <w:spacing w:after="0"/>
              <w:rPr>
                <w:sz w:val="17"/>
                <w:szCs w:val="17"/>
                <w:color w:val="auto"/>
              </w:rPr>
            </w:pPr>
          </w:p>
        </w:tc>
        <w:tc>
          <w:tcPr>
            <w:tcW w:w="158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(2,231,986)</w:t>
            </w:r>
          </w:p>
        </w:tc>
        <w:tc>
          <w:tcPr>
            <w:tcW w:w="80" w:type="dxa"/>
            <w:vAlign w:val="bottom"/>
          </w:tcPr>
          <w:p>
            <w:pPr>
              <w:spacing w:after="0"/>
              <w:rPr>
                <w:sz w:val="17"/>
                <w:szCs w:val="17"/>
                <w:color w:val="auto"/>
              </w:rPr>
            </w:pPr>
          </w:p>
        </w:tc>
        <w:tc>
          <w:tcPr>
            <w:tcW w:w="13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(4,014,473)</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from MBG loan guarantee costs</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408,649</w:t>
            </w: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Tax credit for the year</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5,331,271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8,152,084</w:t>
            </w:r>
          </w:p>
        </w:tc>
        <w:tc>
          <w:tcPr>
            <w:tcW w:w="14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2017, the Group had tax losses to be carried forward of approximately £36,377,451 (2016: £16,343,508).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relates to the following:</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4"/>
                <w:szCs w:val="14"/>
                <w:color w:val="auto"/>
              </w:rPr>
            </w:pPr>
          </w:p>
        </w:tc>
        <w:tc>
          <w:tcPr>
            <w:tcW w:w="1040" w:type="dxa"/>
            <w:vAlign w:val="bottom"/>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Losses</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2,788,396</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6,324,265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Accelerated capital allowances</w:t>
            </w:r>
          </w:p>
        </w:tc>
        <w:tc>
          <w:tcPr>
            <w:tcW w:w="15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(9,883)</w:t>
            </w: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2,210</w:t>
            </w:r>
          </w:p>
        </w:tc>
        <w:tc>
          <w:tcPr>
            <w:tcW w:w="5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Temporary differences trading</w:t>
            </w:r>
          </w:p>
        </w:tc>
        <w:tc>
          <w:tcPr>
            <w:tcW w:w="15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2,266,798</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deferred tax asset</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2,770,723</w:t>
            </w:r>
          </w:p>
        </w:tc>
        <w:tc>
          <w:tcPr>
            <w:tcW w:w="56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8,591,063</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The deferred tax asset has not been recognized as there is uncertainty regarding when suitable future profits against which to offset the accumulated tax losses will arise. There is no expiration date for the accumulated tax losses.</w:t>
      </w:r>
    </w:p>
    <w:p>
      <w:pPr>
        <w:spacing w:after="0" w:line="197" w:lineRule="exact"/>
        <w:rPr>
          <w:sz w:val="20"/>
          <w:szCs w:val="20"/>
          <w:color w:val="auto"/>
        </w:rPr>
      </w:pPr>
    </w:p>
    <w:p>
      <w:pPr>
        <w:jc w:val="both"/>
        <w:ind w:right="320" w:firstLine="456"/>
        <w:spacing w:after="0"/>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 The standard rate of corporation tax applied to reported loss is 19.25% (2016:20%) and any UK deferred tax assets and liabilities would be recognized at a rate of 17%.</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per share</w:t>
      </w:r>
    </w:p>
    <w:p>
      <w:pPr>
        <w:spacing w:after="0" w:line="126"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30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Year ended December 31, 2016</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w:t>
            </w: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r>
      <w:tr>
        <w:trPr>
          <w:trHeight w:val="175"/>
        </w:trPr>
        <w:tc>
          <w:tcPr>
            <w:tcW w:w="57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(28,390,280)</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44,789,893</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40" w:type="dxa"/>
            <w:vAlign w:val="bottom"/>
            <w:tcBorders>
              <w:top w:val="single" w:sz="8" w:color="CCEEFF"/>
            </w:tcBorders>
            <w:shd w:val="clear" w:color="auto" w:fill="CCEEFF"/>
          </w:tcPr>
          <w:p>
            <w:pPr>
              <w:spacing w:after="0"/>
              <w:rPr>
                <w:sz w:val="17"/>
                <w:szCs w:val="17"/>
                <w:color w:val="auto"/>
              </w:rPr>
            </w:pPr>
          </w:p>
        </w:tc>
      </w:tr>
      <w:tr>
        <w:trPr>
          <w:trHeight w:val="378"/>
        </w:trPr>
        <w:tc>
          <w:tcPr>
            <w:tcW w:w="5740" w:type="dxa"/>
            <w:vAlign w:val="bottom"/>
          </w:tcPr>
          <w:p>
            <w:pPr>
              <w:spacing w:after="0"/>
              <w:rPr>
                <w:sz w:val="24"/>
                <w:szCs w:val="24"/>
                <w:color w:val="auto"/>
              </w:rPr>
            </w:pPr>
          </w:p>
        </w:tc>
        <w:tc>
          <w:tcPr>
            <w:tcW w:w="30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Year ended December 31, 2017</w:t>
            </w: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5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w:t>
            </w: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r>
      <w:tr>
        <w:trPr>
          <w:trHeight w:val="175"/>
        </w:trPr>
        <w:tc>
          <w:tcPr>
            <w:tcW w:w="57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(38,799,054)</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69,012,348</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The Group operates a number of share option plans (see Note 24) which could potentially dilute basic earnings per share in the future. In addition, there exist within equity 864,988 (2016: 1,453,520) shares to be issued which also have the potential to dilute basic earnings per share in future (see Note 17).</w:t>
      </w:r>
    </w:p>
    <w:p>
      <w:pPr>
        <w:spacing w:after="0" w:line="203"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As part of a licence and option agreement with AstraZeneca (see Note 25), additional future payments of a maximum of 1,349,692 new ordinary shares would be payable on reaching certain clinical milestones.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totaling 696,490 were issued in 2017 that could potentially dilute basic earnings per share if converted.</w:t>
      </w:r>
    </w:p>
    <w:p>
      <w:pPr>
        <w:spacing w:after="0" w:line="212"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There have been no other transactions involving ordinary shares or potential ordinary shares between the reporting date and the date of authorisation of these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plant and equipment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Leasehold</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Office</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improvements</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equipment</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equipment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40" w:type="dxa"/>
            <w:vAlign w:val="bottom"/>
            <w:gridSpan w:val="2"/>
          </w:tcPr>
          <w:p>
            <w:pPr>
              <w:jc w:val="center"/>
              <w:ind w:left="1793"/>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Cost or valuation</w:t>
            </w:r>
          </w:p>
        </w:tc>
        <w:tc>
          <w:tcPr>
            <w:tcW w:w="18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338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155,494</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20,024</w:t>
            </w:r>
          </w:p>
        </w:tc>
        <w:tc>
          <w:tcPr>
            <w:tcW w:w="12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40,360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215,878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3,467</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186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(1,175)</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155,494</w:t>
            </w: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20,024</w:t>
            </w:r>
          </w:p>
        </w:tc>
        <w:tc>
          <w:tcPr>
            <w:tcW w:w="12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42,652</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218,170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8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10,107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5,461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155,494</w:t>
            </w:r>
          </w:p>
        </w:tc>
        <w:tc>
          <w:tcPr>
            <w:tcW w:w="5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30,131</w:t>
            </w:r>
          </w:p>
        </w:tc>
        <w:tc>
          <w:tcPr>
            <w:tcW w:w="5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48,113</w:t>
            </w:r>
          </w:p>
        </w:tc>
        <w:tc>
          <w:tcPr>
            <w:tcW w:w="5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Depreciation and impairment</w:t>
            </w:r>
          </w:p>
        </w:tc>
        <w:tc>
          <w:tcPr>
            <w:tcW w:w="1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338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(5,625)</w:t>
            </w: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(1,335)</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(4,401)</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457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Depreciation for the year</w:t>
            </w:r>
          </w:p>
        </w:tc>
        <w:tc>
          <w:tcPr>
            <w:tcW w:w="1860" w:type="dxa"/>
            <w:vAlign w:val="bottom"/>
          </w:tcPr>
          <w:p>
            <w:pPr>
              <w:spacing w:after="0"/>
              <w:rPr>
                <w:sz w:val="17"/>
                <w:szCs w:val="17"/>
                <w:color w:val="auto"/>
              </w:rPr>
            </w:pPr>
          </w:p>
        </w:tc>
        <w:tc>
          <w:tcPr>
            <w:tcW w:w="15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(4,005)</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(13,843)</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(21,174)</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(5,340)</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(17,787)</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(44,301)</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860" w:type="dxa"/>
            <w:vAlign w:val="bottom"/>
          </w:tcPr>
          <w:p>
            <w:pPr>
              <w:spacing w:after="0"/>
              <w:rPr>
                <w:sz w:val="18"/>
                <w:szCs w:val="18"/>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for the year</w:t>
            </w:r>
          </w:p>
        </w:tc>
        <w:tc>
          <w:tcPr>
            <w:tcW w:w="338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(5,386)</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(15,141)</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(36,076)</w:t>
            </w:r>
          </w:p>
        </w:tc>
        <w:tc>
          <w:tcPr>
            <w:tcW w:w="0" w:type="dxa"/>
            <w:vAlign w:val="bottom"/>
          </w:tcPr>
          <w:p>
            <w:pPr>
              <w:spacing w:after="0"/>
              <w:rPr>
                <w:sz w:val="1"/>
                <w:szCs w:val="1"/>
                <w:color w:val="auto"/>
              </w:rPr>
            </w:pP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(36,723)</w:t>
            </w:r>
          </w:p>
        </w:tc>
        <w:tc>
          <w:tcPr>
            <w:tcW w:w="5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(10,726)</w:t>
            </w:r>
          </w:p>
        </w:tc>
        <w:tc>
          <w:tcPr>
            <w:tcW w:w="5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(32,928)</w:t>
            </w:r>
          </w:p>
        </w:tc>
        <w:tc>
          <w:tcPr>
            <w:tcW w:w="5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338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149,869</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18,689</w:t>
            </w:r>
          </w:p>
        </w:tc>
        <w:tc>
          <w:tcPr>
            <w:tcW w:w="12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35,959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204,517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134,320</w:t>
            </w:r>
          </w:p>
        </w:tc>
        <w:tc>
          <w:tcPr>
            <w:tcW w:w="124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14,684</w:t>
            </w:r>
          </w:p>
        </w:tc>
        <w:tc>
          <w:tcPr>
            <w:tcW w:w="126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24,865</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173,869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1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118,771</w:t>
            </w:r>
          </w:p>
        </w:tc>
        <w:tc>
          <w:tcPr>
            <w:tcW w:w="5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19,405</w:t>
            </w:r>
          </w:p>
        </w:tc>
        <w:tc>
          <w:tcPr>
            <w:tcW w:w="5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15,185</w:t>
            </w:r>
          </w:p>
        </w:tc>
        <w:tc>
          <w:tcPr>
            <w:tcW w:w="52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153,361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380" w:type="dxa"/>
            <w:vAlign w:val="bottom"/>
            <w:gridSpan w:val="3"/>
          </w:tcPr>
          <w:p>
            <w:pPr>
              <w:jc w:val="right"/>
              <w:ind w:right="1720"/>
              <w:spacing w:after="0"/>
              <w:rPr>
                <w:sz w:val="20"/>
                <w:szCs w:val="20"/>
                <w:color w:val="auto"/>
              </w:rPr>
            </w:pPr>
            <w:r>
              <w:rPr>
                <w:rFonts w:ascii="Arial" w:cs="Arial" w:eastAsia="Arial" w:hAnsi="Arial"/>
                <w:sz w:val="18"/>
                <w:szCs w:val="18"/>
                <w:color w:val="auto"/>
              </w:rPr>
              <w:t>F-19</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programmes</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 at January 1, 2016 and December 31, 2016</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Amortisation and impairment</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Impairment (Note 13)</w:t>
            </w:r>
          </w:p>
        </w:tc>
        <w:tc>
          <w:tcPr>
            <w:tcW w:w="126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25,812,941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at January 1, 2017</w:t>
            </w:r>
          </w:p>
        </w:tc>
        <w:tc>
          <w:tcPr>
            <w:tcW w:w="1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12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7,192,288</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33,005,229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Amortisation and impairment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2017</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b w:val="1"/>
                <w:bCs w:val="1"/>
                <w:color w:val="auto"/>
              </w:rPr>
              <w:t>Impairment (Note 13)</w:t>
            </w:r>
          </w:p>
        </w:tc>
        <w:tc>
          <w:tcPr>
            <w:tcW w:w="1260" w:type="dxa"/>
            <w:vAlign w:val="bottom"/>
            <w:gridSpan w:val="3"/>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33,005,229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The Group’s strategy is to acquire clinical-stage development programmes for the treatment of speciality and rare diseases from large pharmaceutical companies.</w:t>
      </w:r>
    </w:p>
    <w:p>
      <w:pPr>
        <w:spacing w:after="0" w:line="197"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On October 28, 2017, the Group acquired the exclusive license for AZD-9668 and included the option to acquire certain assets from Astra Zeneca AB (AstraZeneca). AZD-9668 is being developed for the treatment of severe alpha-1 antitrypsin deficiency, at a cost of £7,192,288 as follows: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Cash payment in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225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Equity issued (see Note 17)</w:t>
      </w:r>
    </w:p>
    <w:p>
      <w:pPr>
        <w:ind w:left="1840"/>
        <w:spacing w:after="0" w:line="234" w:lineRule="auto"/>
        <w:rPr>
          <w:sz w:val="20"/>
          <w:szCs w:val="20"/>
          <w:color w:val="auto"/>
        </w:rPr>
      </w:pPr>
      <w:r>
        <w:rPr>
          <w:rFonts w:ascii="Arial" w:cs="Arial" w:eastAsia="Arial" w:hAnsi="Arial"/>
          <w:sz w:val="18"/>
          <w:szCs w:val="18"/>
          <w:color w:val="auto"/>
        </w:rPr>
        <w:t>Deferred equity consideration (see Note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-127000</wp:posOffset>
            </wp:positionV>
            <wp:extent cx="4922520"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Present value of provision for deferred cash consideration (see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22225</wp:posOffset>
            </wp:positionV>
            <wp:extent cx="492252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Impairment testing of intangible assets not yet available for use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980"/>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ind w:right="1980"/>
        <w:spacing w:after="0"/>
        <w:rPr>
          <w:sz w:val="20"/>
          <w:szCs w:val="20"/>
          <w:color w:val="auto"/>
        </w:rPr>
      </w:pPr>
      <w:r>
        <w:rPr>
          <w:rFonts w:ascii="Arial" w:cs="Arial" w:eastAsia="Arial" w:hAnsi="Arial"/>
          <w:sz w:val="14"/>
          <w:szCs w:val="14"/>
          <w:b w:val="1"/>
          <w:bCs w:val="1"/>
          <w:color w:val="auto"/>
        </w:rPr>
        <w:t>2017</w:t>
      </w:r>
    </w:p>
    <w:p>
      <w:pPr>
        <w:spacing w:after="0" w:line="1" w:lineRule="exact"/>
        <w:rPr>
          <w:sz w:val="20"/>
          <w:szCs w:val="20"/>
          <w:color w:val="auto"/>
        </w:rPr>
      </w:pPr>
    </w:p>
    <w:p>
      <w:pPr>
        <w:jc w:val="center"/>
        <w:ind w:right="1980"/>
        <w:spacing w:after="0"/>
        <w:rPr>
          <w:sz w:val="20"/>
          <w:szCs w:val="20"/>
          <w:color w:val="auto"/>
        </w:rPr>
      </w:pPr>
      <w:r>
        <w:rPr>
          <w:rFonts w:ascii="Arial" w:cs="Arial" w:eastAsia="Arial" w:hAnsi="Arial"/>
          <w:sz w:val="14"/>
          <w:szCs w:val="14"/>
          <w:b w:val="1"/>
          <w:bCs w:val="1"/>
          <w:color w:val="auto"/>
        </w:rPr>
        <w:t>£</w:t>
      </w:r>
    </w:p>
    <w:p>
      <w:pPr>
        <w:spacing w:after="0" w:line="5"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2,280,000</w:t>
      </w:r>
    </w:p>
    <w:p>
      <w:pPr>
        <w:jc w:val="right"/>
        <w:ind w:right="1900"/>
        <w:spacing w:after="0" w:line="234" w:lineRule="auto"/>
        <w:rPr>
          <w:sz w:val="20"/>
          <w:szCs w:val="20"/>
          <w:color w:val="auto"/>
        </w:rPr>
      </w:pPr>
      <w:r>
        <w:rPr>
          <w:rFonts w:ascii="Arial" w:cs="Arial" w:eastAsia="Arial" w:hAnsi="Arial"/>
          <w:sz w:val="18"/>
          <w:szCs w:val="18"/>
          <w:color w:val="auto"/>
        </w:rPr>
        <w:t>1,520,000</w:t>
      </w:r>
    </w:p>
    <w:p>
      <w:pPr>
        <w:jc w:val="right"/>
        <w:ind w:right="1900"/>
        <w:spacing w:after="0" w:line="235" w:lineRule="auto"/>
        <w:rPr>
          <w:sz w:val="20"/>
          <w:szCs w:val="20"/>
          <w:color w:val="auto"/>
        </w:rPr>
      </w:pPr>
      <w:r>
        <w:rPr>
          <w:rFonts w:ascii="Arial" w:cs="Arial" w:eastAsia="Arial" w:hAnsi="Arial"/>
          <w:sz w:val="18"/>
          <w:szCs w:val="18"/>
          <w:color w:val="auto"/>
        </w:rPr>
        <w:t>1,331,288</w:t>
      </w:r>
    </w:p>
    <w:p>
      <w:pPr>
        <w:spacing w:after="0" w:line="1"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2,061,000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-1905</wp:posOffset>
            </wp:positionV>
            <wp:extent cx="7029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jc w:val="right"/>
        <w:ind w:right="1900"/>
        <w:spacing w:after="0"/>
        <w:rPr>
          <w:sz w:val="20"/>
          <w:szCs w:val="20"/>
          <w:color w:val="auto"/>
        </w:rPr>
      </w:pPr>
      <w:r>
        <w:rPr>
          <w:rFonts w:ascii="Arial" w:cs="Arial" w:eastAsia="Arial" w:hAnsi="Arial"/>
          <w:sz w:val="18"/>
          <w:szCs w:val="18"/>
          <w:b w:val="1"/>
          <w:bCs w:val="1"/>
          <w:color w:val="auto"/>
        </w:rPr>
        <w:t>7,192,288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5715</wp:posOffset>
            </wp:positionV>
            <wp:extent cx="7029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22860</wp:posOffset>
            </wp:positionV>
            <wp:extent cx="7029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7780" w:space="720"/>
            <w:col w:w="2920"/>
          </w:cols>
          <w:pgMar w:left="240" w:top="46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Acquired or licensed development programmes not yet available for use are assessed annually for impairment.</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Carrying amount of acquired and licensed development programmes: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12"/>
          </w:tcPr>
          <w:p>
            <w:pPr>
              <w:jc w:val="center"/>
              <w:ind w:right="580"/>
              <w:spacing w:after="0"/>
              <w:rPr>
                <w:sz w:val="20"/>
                <w:szCs w:val="20"/>
                <w:color w:val="auto"/>
              </w:rPr>
            </w:pPr>
            <w:r>
              <w:rPr>
                <w:rFonts w:ascii="Arial" w:cs="Arial" w:eastAsia="Arial" w:hAnsi="Arial"/>
                <w:sz w:val="14"/>
                <w:szCs w:val="14"/>
                <w:b w:val="1"/>
                <w:bCs w:val="1"/>
                <w:color w:val="auto"/>
              </w:rPr>
              <w:t>As at December 31, 2016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4"/>
          </w:tcPr>
          <w:p>
            <w:pPr>
              <w:jc w:val="center"/>
              <w:ind w:right="40"/>
              <w:spacing w:after="0" w:line="143" w:lineRule="exact"/>
              <w:rPr>
                <w:sz w:val="20"/>
                <w:szCs w:val="20"/>
                <w:color w:val="auto"/>
              </w:rPr>
            </w:pPr>
            <w:r>
              <w:rPr>
                <w:rFonts w:ascii="Arial" w:cs="Arial" w:eastAsia="Arial" w:hAnsi="Arial"/>
                <w:sz w:val="14"/>
                <w:szCs w:val="14"/>
                <w:b w:val="1"/>
                <w:bCs w:val="1"/>
                <w:color w:val="auto"/>
              </w:rPr>
              <w:t>BPS-804</w:t>
            </w:r>
          </w:p>
        </w:tc>
        <w:tc>
          <w:tcPr>
            <w:tcW w:w="340" w:type="dxa"/>
            <w:vAlign w:val="bottom"/>
          </w:tcPr>
          <w:p>
            <w:pPr>
              <w:spacing w:after="0"/>
              <w:rPr>
                <w:sz w:val="12"/>
                <w:szCs w:val="12"/>
                <w:color w:val="auto"/>
              </w:rPr>
            </w:pPr>
          </w:p>
        </w:tc>
        <w:tc>
          <w:tcPr>
            <w:tcW w:w="800" w:type="dxa"/>
            <w:vAlign w:val="bottom"/>
            <w:gridSpan w:val="2"/>
          </w:tcPr>
          <w:p>
            <w:pPr>
              <w:ind w:left="200"/>
              <w:spacing w:after="0" w:line="143" w:lineRule="exact"/>
              <w:rPr>
                <w:sz w:val="20"/>
                <w:szCs w:val="20"/>
                <w:color w:val="auto"/>
              </w:rPr>
            </w:pPr>
            <w:r>
              <w:rPr>
                <w:rFonts w:ascii="Arial" w:cs="Arial" w:eastAsia="Arial" w:hAnsi="Arial"/>
                <w:sz w:val="14"/>
                <w:szCs w:val="14"/>
                <w:b w:val="1"/>
                <w:bCs w:val="1"/>
                <w:color w:val="auto"/>
                <w:w w:val="99"/>
              </w:rPr>
              <w:t>BGS-649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7"/>
          </w:tcPr>
          <w:p>
            <w:pPr>
              <w:jc w:val="center"/>
              <w:ind w:right="620"/>
              <w:spacing w:after="0" w:line="143" w:lineRule="exact"/>
              <w:rPr>
                <w:sz w:val="20"/>
                <w:szCs w:val="20"/>
                <w:color w:val="auto"/>
              </w:rPr>
            </w:pPr>
            <w:r>
              <w:rPr>
                <w:rFonts w:ascii="Arial" w:cs="Arial" w:eastAsia="Arial" w:hAnsi="Arial"/>
                <w:sz w:val="14"/>
                <w:szCs w:val="14"/>
                <w:b w:val="1"/>
                <w:bCs w:val="1"/>
                <w:color w:val="auto"/>
                <w:w w:val="98"/>
              </w:rPr>
              <w:t>BCT-197</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(setrusumab)</w:t>
            </w:r>
          </w:p>
        </w:tc>
        <w:tc>
          <w:tcPr>
            <w:tcW w:w="340" w:type="dxa"/>
            <w:vAlign w:val="bottom"/>
          </w:tcPr>
          <w:p>
            <w:pPr>
              <w:spacing w:after="0"/>
              <w:rPr>
                <w:sz w:val="15"/>
                <w:szCs w:val="15"/>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(leflutozole)</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7"/>
          </w:tcPr>
          <w:p>
            <w:pPr>
              <w:jc w:val="center"/>
              <w:ind w:right="620"/>
              <w:spacing w:after="0"/>
              <w:rPr>
                <w:sz w:val="20"/>
                <w:szCs w:val="20"/>
                <w:color w:val="auto"/>
              </w:rPr>
            </w:pPr>
            <w:r>
              <w:rPr>
                <w:rFonts w:ascii="Arial" w:cs="Arial" w:eastAsia="Arial" w:hAnsi="Arial"/>
                <w:sz w:val="14"/>
                <w:szCs w:val="14"/>
                <w:b w:val="1"/>
                <w:bCs w:val="1"/>
                <w:color w:val="auto"/>
              </w:rPr>
              <w:t>(acumapimod)</w:t>
            </w:r>
          </w:p>
        </w:tc>
        <w:tc>
          <w:tcPr>
            <w:tcW w:w="1420" w:type="dxa"/>
            <w:vAlign w:val="bottom"/>
            <w:gridSpan w:val="4"/>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46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development programmes</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4"/>
            <w:shd w:val="clear" w:color="auto" w:fill="CCEEFF"/>
          </w:tcPr>
          <w:p>
            <w:pPr>
              <w:ind w:left="200"/>
              <w:spacing w:after="0" w:line="196" w:lineRule="exact"/>
              <w:rPr>
                <w:sz w:val="20"/>
                <w:szCs w:val="20"/>
                <w:color w:val="auto"/>
              </w:rPr>
            </w:pPr>
            <w:r>
              <w:rPr>
                <w:rFonts w:ascii="Arial" w:cs="Arial" w:eastAsia="Arial" w:hAnsi="Arial"/>
                <w:sz w:val="18"/>
                <w:szCs w:val="18"/>
                <w:color w:val="auto"/>
                <w:w w:val="97"/>
              </w:rPr>
              <w:t>9,886,356</w:t>
            </w:r>
          </w:p>
        </w:tc>
        <w:tc>
          <w:tcPr>
            <w:tcW w:w="3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4,310,761</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25,812,941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92"/>
        </w:trPr>
        <w:tc>
          <w:tcPr>
            <w:tcW w:w="4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rPr>
              <w:t>As at December 31, 2017</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BPS-804</w:t>
            </w:r>
          </w:p>
        </w:tc>
        <w:tc>
          <w:tcPr>
            <w:tcW w:w="2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14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AZD-9668</w:t>
            </w:r>
          </w:p>
        </w:tc>
        <w:tc>
          <w:tcPr>
            <w:tcW w:w="140" w:type="dxa"/>
            <w:vAlign w:val="bottom"/>
          </w:tcPr>
          <w:p>
            <w:pPr>
              <w:spacing w:after="0"/>
              <w:rPr>
                <w:sz w:val="12"/>
                <w:szCs w:val="12"/>
                <w:color w:val="auto"/>
              </w:rPr>
            </w:pPr>
          </w:p>
        </w:tc>
        <w:tc>
          <w:tcPr>
            <w:tcW w:w="940" w:type="dxa"/>
            <w:vAlign w:val="bottom"/>
            <w:gridSpan w:val="4"/>
          </w:tcPr>
          <w:p>
            <w:pPr>
              <w:jc w:val="center"/>
              <w:ind w:right="260"/>
              <w:spacing w:after="0" w:line="143" w:lineRule="exact"/>
              <w:rPr>
                <w:sz w:val="20"/>
                <w:szCs w:val="20"/>
                <w:color w:val="auto"/>
              </w:rPr>
            </w:pPr>
            <w:r>
              <w:rPr>
                <w:rFonts w:ascii="Arial" w:cs="Arial" w:eastAsia="Arial" w:hAnsi="Arial"/>
                <w:sz w:val="14"/>
                <w:szCs w:val="14"/>
                <w:b w:val="1"/>
                <w:bCs w:val="1"/>
                <w:color w:val="auto"/>
              </w:rPr>
              <w:t>BGS-649</w:t>
            </w:r>
          </w:p>
        </w:tc>
        <w:tc>
          <w:tcPr>
            <w:tcW w:w="160" w:type="dxa"/>
            <w:vAlign w:val="bottom"/>
          </w:tcPr>
          <w:p>
            <w:pPr>
              <w:spacing w:after="0"/>
              <w:rPr>
                <w:sz w:val="12"/>
                <w:szCs w:val="12"/>
                <w:color w:val="auto"/>
              </w:rPr>
            </w:pPr>
          </w:p>
        </w:tc>
        <w:tc>
          <w:tcPr>
            <w:tcW w:w="1100" w:type="dxa"/>
            <w:vAlign w:val="bottom"/>
            <w:gridSpan w:val="4"/>
          </w:tcPr>
          <w:p>
            <w:pPr>
              <w:jc w:val="center"/>
              <w:ind w:right="20"/>
              <w:spacing w:after="0" w:line="143" w:lineRule="exact"/>
              <w:rPr>
                <w:sz w:val="20"/>
                <w:szCs w:val="20"/>
                <w:color w:val="auto"/>
              </w:rPr>
            </w:pPr>
            <w:r>
              <w:rPr>
                <w:rFonts w:ascii="Arial" w:cs="Arial" w:eastAsia="Arial" w:hAnsi="Arial"/>
                <w:sz w:val="14"/>
                <w:szCs w:val="14"/>
                <w:b w:val="1"/>
                <w:bCs w:val="1"/>
                <w:color w:val="auto"/>
                <w:w w:val="98"/>
              </w:rPr>
              <w:t>BCT-197</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(setrusumab)</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(alvelestat)</w:t>
            </w: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(leflutozole)</w:t>
            </w:r>
          </w:p>
        </w:tc>
        <w:tc>
          <w:tcPr>
            <w:tcW w:w="160" w:type="dxa"/>
            <w:vAlign w:val="bottom"/>
          </w:tcPr>
          <w:p>
            <w:pPr>
              <w:spacing w:after="0"/>
              <w:rPr>
                <w:sz w:val="15"/>
                <w:szCs w:val="15"/>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(acumapimod)</w:t>
            </w:r>
          </w:p>
        </w:tc>
        <w:tc>
          <w:tcPr>
            <w:tcW w:w="260" w:type="dxa"/>
            <w:vAlign w:val="bottom"/>
          </w:tcPr>
          <w:p>
            <w:pPr>
              <w:spacing w:after="0"/>
              <w:rPr>
                <w:sz w:val="15"/>
                <w:szCs w:val="15"/>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Acquired and licensed development programmes</w:t>
            </w:r>
          </w:p>
        </w:tc>
        <w:tc>
          <w:tcPr>
            <w:tcW w:w="10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7"/>
              </w:rPr>
              <w:t>7,192,288</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9,886,356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4,310,761</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33,005,229</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programme to product approval and likely commercial returns after product approval, among other factors, when reviewing for indicators of impairment. The results of this testing did not indicate any impairment of the acquired products’ rights in the year to December 31, 2017. We believe that the likelihood of a materially different outcome using different assumptions is remote.</w:t>
      </w:r>
    </w:p>
    <w:p>
      <w:pPr>
        <w:spacing w:after="0" w:line="202"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The acquired development programmes are assets which are not used in launched products. These assets have not yet begun to be amortised but have been tested for impairment by assessing their value in use. Value-in-use calculations for each programme are utilised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commercialisation after out-licensing.</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assumptions for the value-in-use calculations are described as follows:</w:t>
      </w:r>
    </w:p>
    <w:p>
      <w:pPr>
        <w:spacing w:after="0" w:line="117" w:lineRule="exact"/>
        <w:rPr>
          <w:sz w:val="20"/>
          <w:szCs w:val="20"/>
          <w:color w:val="auto"/>
        </w:rPr>
      </w:pPr>
    </w:p>
    <w:p>
      <w:pPr>
        <w:jc w:val="both"/>
        <w:ind w:left="900" w:right="72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development costs to obtain regulatory approval—costs are estimated net of any contributions expected from collaborative arrangements with future partners. The Directors have developed cost estimates based on their previous experience and in conjunction with the expertise of their clinical development partners;</w:t>
      </w:r>
    </w:p>
    <w:p>
      <w:pPr>
        <w:spacing w:after="0" w:line="108" w:lineRule="exact"/>
        <w:rPr>
          <w:rFonts w:ascii="Arial" w:cs="Arial" w:eastAsia="Arial" w:hAnsi="Arial"/>
          <w:sz w:val="18"/>
          <w:szCs w:val="18"/>
          <w:color w:val="auto"/>
        </w:rPr>
      </w:pPr>
    </w:p>
    <w:p>
      <w:pPr>
        <w:ind w:left="900" w:right="2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launch dates of products—these reflect management’s expected date of launch for products based on the timeline of development programmes required to obtain regulatory approval. The assumptions are based on the Directors’ and clinical development partners’ prior experience;</w:t>
      </w:r>
    </w:p>
    <w:p>
      <w:pPr>
        <w:spacing w:after="0" w:line="108" w:lineRule="exact"/>
        <w:rPr>
          <w:rFonts w:ascii="Arial" w:cs="Arial" w:eastAsia="Arial" w:hAnsi="Arial"/>
          <w:sz w:val="18"/>
          <w:szCs w:val="18"/>
          <w:color w:val="auto"/>
        </w:rPr>
      </w:pPr>
    </w:p>
    <w:p>
      <w:pPr>
        <w:ind w:left="900" w:right="260" w:hanging="325"/>
        <w:spacing w:after="0" w:line="246"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probability of successful development—management estimates probabilities of success for each phase of development based on industry averages and knowledge of specific programmes;</w:t>
      </w:r>
    </w:p>
    <w:p>
      <w:pPr>
        <w:spacing w:after="0" w:line="102" w:lineRule="exact"/>
        <w:rPr>
          <w:rFonts w:ascii="Arial" w:cs="Arial" w:eastAsia="Arial" w:hAnsi="Arial"/>
          <w:sz w:val="18"/>
          <w:szCs w:val="18"/>
          <w:color w:val="auto"/>
        </w:rPr>
      </w:pPr>
    </w:p>
    <w:p>
      <w:pPr>
        <w:ind w:left="900" w:right="3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out-licensing signature fees, milestones and royalty rates on sales—management estimates these amounts based on prior experience and access to values from similar transactions in the industry, which are collated and accessible from specialist third-party sources;</w:t>
      </w:r>
    </w:p>
    <w:p>
      <w:pPr>
        <w:spacing w:after="0" w:line="108" w:lineRule="exact"/>
        <w:rPr>
          <w:rFonts w:ascii="Arial" w:cs="Arial" w:eastAsia="Arial" w:hAnsi="Arial"/>
          <w:sz w:val="18"/>
          <w:szCs w:val="18"/>
          <w:color w:val="auto"/>
        </w:rPr>
      </w:pPr>
    </w:p>
    <w:p>
      <w:pPr>
        <w:ind w:left="900" w:right="800" w:hanging="325"/>
        <w:spacing w:after="0" w:line="246"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sales projections—these are based on management’s internal projections using external market data and market research commissioned by the Group;</w:t>
      </w:r>
    </w:p>
    <w:p>
      <w:pPr>
        <w:spacing w:after="0" w:line="102" w:lineRule="exact"/>
        <w:rPr>
          <w:rFonts w:ascii="Arial" w:cs="Arial" w:eastAsia="Arial" w:hAnsi="Arial"/>
          <w:sz w:val="18"/>
          <w:szCs w:val="18"/>
          <w:color w:val="auto"/>
        </w:rPr>
      </w:pPr>
    </w:p>
    <w:p>
      <w:pPr>
        <w:ind w:left="900" w:right="1140" w:hanging="325"/>
        <w:spacing w:after="0" w:line="246"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profit margins and other operational expenses—these are based on the Group’s internal projections of current product manufacturing costings, with input from manufacturing partners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 applicable, and estimates of operating costs based on management’s prior industry experience;</w:t>
      </w:r>
    </w:p>
    <w:p>
      <w:pPr>
        <w:spacing w:after="0" w:line="117" w:lineRule="exact"/>
        <w:rPr>
          <w:sz w:val="20"/>
          <w:szCs w:val="20"/>
          <w:color w:val="auto"/>
        </w:rPr>
      </w:pPr>
    </w:p>
    <w:p>
      <w:pPr>
        <w:ind w:left="900" w:right="300" w:hanging="325"/>
        <w:spacing w:after="0" w:line="246"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02" w:lineRule="exact"/>
        <w:rPr>
          <w:rFonts w:ascii="Arial" w:cs="Arial" w:eastAsia="Arial" w:hAnsi="Arial"/>
          <w:sz w:val="18"/>
          <w:szCs w:val="18"/>
          <w:color w:val="auto"/>
        </w:rPr>
      </w:pPr>
    </w:p>
    <w:p>
      <w:pPr>
        <w:ind w:left="1480" w:hanging="446"/>
        <w:spacing w:after="0"/>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BCT-197 —18 years;</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BGS-649 —17 years; and</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BPS-804 —14 years: and</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AZD-9668 —16 years: and</w:t>
      </w:r>
    </w:p>
    <w:p>
      <w:pPr>
        <w:spacing w:after="0" w:line="117" w:lineRule="exact"/>
        <w:rPr>
          <w:rFonts w:ascii="Arial" w:cs="Arial" w:eastAsia="Arial" w:hAnsi="Arial"/>
          <w:sz w:val="18"/>
          <w:szCs w:val="18"/>
          <w:color w:val="auto"/>
        </w:rPr>
      </w:pPr>
    </w:p>
    <w:p>
      <w:pPr>
        <w:ind w:left="900" w:right="120" w:hanging="325"/>
        <w:spacing w:after="0" w:line="246"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discount rates—the discount rate is estimated on a pre-tax basis reflecting the estimated cost of capital of the Group and is applied consistently across each of the operating segments. The cost of capital was calculated at 15.3% (2016: 11.2%).</w:t>
      </w:r>
    </w:p>
    <w:p>
      <w:pPr>
        <w:spacing w:after="0" w:line="197" w:lineRule="exact"/>
        <w:rPr>
          <w:sz w:val="20"/>
          <w:szCs w:val="20"/>
          <w:color w:val="auto"/>
        </w:rPr>
      </w:pPr>
    </w:p>
    <w:p>
      <w:pPr>
        <w:jc w:val="both"/>
        <w:ind w:right="80" w:firstLine="456"/>
        <w:spacing w:after="0"/>
        <w:rPr>
          <w:sz w:val="20"/>
          <w:szCs w:val="20"/>
          <w:color w:val="auto"/>
        </w:rPr>
      </w:pPr>
      <w:r>
        <w:rPr>
          <w:rFonts w:ascii="Arial" w:cs="Arial" w:eastAsia="Arial" w:hAnsi="Arial"/>
          <w:sz w:val="18"/>
          <w:szCs w:val="18"/>
          <w:color w:val="auto"/>
        </w:rPr>
        <w:t>At this stage of product development, the key sensitivity for all three development programmes is the probability of successful completion of clinical trials in order to obtain regulatory approval for sale. Therefore, full impairment of a development programme is expected should such related trials be unsuccessful.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receivables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24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6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6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Rent deposit</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293,328</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293,328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228,775</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241,306</w:t>
            </w:r>
          </w:p>
        </w:tc>
        <w:tc>
          <w:tcPr>
            <w:tcW w:w="6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212,422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Cash held by Employee Benefit Trust</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3,600</w:t>
            </w:r>
          </w:p>
        </w:tc>
        <w:tc>
          <w:tcPr>
            <w:tcW w:w="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9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767,009</w:t>
            </w:r>
          </w:p>
        </w:tc>
        <w:tc>
          <w:tcPr>
            <w:tcW w:w="6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509,350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Cash and short-term deposits</w:t>
            </w: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6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6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at banks and on hand</w:t>
            </w:r>
          </w:p>
        </w:tc>
        <w:tc>
          <w:tcPr>
            <w:tcW w:w="11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421,292</w:t>
            </w:r>
          </w:p>
        </w:tc>
        <w:tc>
          <w:tcPr>
            <w:tcW w:w="5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center"/>
              <w:ind w:left="179"/>
              <w:spacing w:after="0" w:line="196" w:lineRule="exact"/>
              <w:rPr>
                <w:sz w:val="20"/>
                <w:szCs w:val="20"/>
                <w:color w:val="auto"/>
              </w:rPr>
            </w:pPr>
            <w:r>
              <w:rPr>
                <w:rFonts w:ascii="Arial" w:cs="Arial" w:eastAsia="Arial" w:hAnsi="Arial"/>
                <w:sz w:val="18"/>
                <w:szCs w:val="18"/>
                <w:color w:val="auto"/>
                <w:w w:val="99"/>
              </w:rPr>
              <w:t>10,839,311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Short-term deposits</w:t>
            </w:r>
          </w:p>
        </w:tc>
        <w:tc>
          <w:tcPr>
            <w:tcW w:w="11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53,156,279</w:t>
            </w:r>
          </w:p>
        </w:tc>
        <w:tc>
          <w:tcPr>
            <w:tcW w:w="500" w:type="dxa"/>
            <w:vAlign w:val="bottom"/>
          </w:tcPr>
          <w:p>
            <w:pPr>
              <w:spacing w:after="0"/>
              <w:rPr>
                <w:sz w:val="18"/>
                <w:szCs w:val="18"/>
                <w:color w:val="auto"/>
              </w:rPr>
            </w:pPr>
          </w:p>
        </w:tc>
        <w:tc>
          <w:tcPr>
            <w:tcW w:w="1160" w:type="dxa"/>
            <w:vAlign w:val="bottom"/>
            <w:tcBorders>
              <w:bottom w:val="single" w:sz="8" w:color="auto"/>
            </w:tcBorders>
            <w:gridSpan w:val="2"/>
          </w:tcPr>
          <w:p>
            <w:pPr>
              <w:jc w:val="center"/>
              <w:ind w:left="179"/>
              <w:spacing w:after="0" w:line="202" w:lineRule="exact"/>
              <w:rPr>
                <w:sz w:val="20"/>
                <w:szCs w:val="20"/>
                <w:color w:val="auto"/>
              </w:rPr>
            </w:pPr>
            <w:r>
              <w:rPr>
                <w:rFonts w:ascii="Arial" w:cs="Arial" w:eastAsia="Arial" w:hAnsi="Arial"/>
                <w:sz w:val="18"/>
                <w:szCs w:val="18"/>
                <w:color w:val="auto"/>
                <w:w w:val="99"/>
              </w:rPr>
              <w:t>39,204,951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1660" w:type="dxa"/>
            <w:vAlign w:val="bottom"/>
            <w:gridSpan w:val="3"/>
            <w:shd w:val="clear" w:color="auto" w:fill="CCEEFF"/>
          </w:tcPr>
          <w:p>
            <w:pPr>
              <w:jc w:val="center"/>
              <w:ind w:left="680"/>
              <w:spacing w:after="0" w:line="202" w:lineRule="exact"/>
              <w:rPr>
                <w:sz w:val="20"/>
                <w:szCs w:val="20"/>
                <w:color w:val="auto"/>
              </w:rPr>
            </w:pPr>
            <w:r>
              <w:rPr>
                <w:rFonts w:ascii="Arial" w:cs="Arial" w:eastAsia="Arial" w:hAnsi="Arial"/>
                <w:sz w:val="18"/>
                <w:szCs w:val="18"/>
                <w:b w:val="1"/>
                <w:bCs w:val="1"/>
                <w:color w:val="auto"/>
                <w:w w:val="99"/>
              </w:rPr>
              <w:t>50,044,672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Cash at banks earns interest at floating rates based on daily bank deposit rates. Short-term deposits are available immediately and earn fixed interest at the respective short-term deposit rates and are held in a diversified portfolio of counterparties.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Short-term investments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960" w:type="dxa"/>
            <w:vAlign w:val="bottom"/>
            <w:gridSpan w:val="2"/>
          </w:tcPr>
          <w:p>
            <w:pPr>
              <w:ind w:left="200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3860" w:type="dxa"/>
            <w:vAlign w:val="bottom"/>
          </w:tcPr>
          <w:p>
            <w:pPr>
              <w:spacing w:after="0"/>
              <w:rPr>
                <w:sz w:val="14"/>
                <w:szCs w:val="14"/>
                <w:color w:val="auto"/>
              </w:rPr>
            </w:pPr>
          </w:p>
        </w:tc>
        <w:tc>
          <w:tcPr>
            <w:tcW w:w="29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3860" w:type="dxa"/>
            <w:vAlign w:val="bottom"/>
          </w:tcPr>
          <w:p>
            <w:pPr>
              <w:spacing w:after="0"/>
              <w:rPr>
                <w:sz w:val="15"/>
                <w:szCs w:val="15"/>
                <w:color w:val="auto"/>
              </w:rPr>
            </w:pPr>
          </w:p>
        </w:tc>
        <w:tc>
          <w:tcPr>
            <w:tcW w:w="2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2,500,000</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29"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Short term investments consist of cash deposits held with greater than three month’s term to maturity. None of these investments are held with terms greater than a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Issued capital and reserves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5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15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00"/>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Ordinary share capital</w:t>
            </w: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6"/>
                <w:szCs w:val="16"/>
                <w:color w:val="auto"/>
              </w:rPr>
            </w:pPr>
          </w:p>
        </w:tc>
      </w:tr>
      <w:tr>
        <w:trPr>
          <w:trHeight w:val="176"/>
        </w:trPr>
        <w:tc>
          <w:tcPr>
            <w:tcW w:w="15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Balance at beginning</w:t>
            </w:r>
          </w:p>
        </w:tc>
        <w:tc>
          <w:tcPr>
            <w:tcW w:w="5340" w:type="dxa"/>
            <w:vAlign w:val="bottom"/>
            <w:tcBorders>
              <w:top w:val="single" w:sz="8" w:color="CCEEFF"/>
            </w:tcBorders>
            <w:shd w:val="clear" w:color="auto" w:fill="CCEEFF"/>
          </w:tcPr>
          <w:p>
            <w:pPr>
              <w:ind w:left="200"/>
              <w:spacing w:after="0" w:line="176" w:lineRule="exact"/>
              <w:rPr>
                <w:sz w:val="20"/>
                <w:szCs w:val="20"/>
                <w:color w:val="auto"/>
              </w:rPr>
            </w:pPr>
            <w:r>
              <w:rPr>
                <w:rFonts w:ascii="Arial" w:cs="Arial" w:eastAsia="Arial" w:hAnsi="Arial"/>
                <w:sz w:val="18"/>
                <w:szCs w:val="18"/>
                <w:color w:val="auto"/>
              </w:rPr>
              <w:t>of year</w:t>
            </w:r>
          </w:p>
        </w:tc>
        <w:tc>
          <w:tcPr>
            <w:tcW w:w="100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59,221</w:t>
            </w:r>
          </w:p>
        </w:tc>
        <w:tc>
          <w:tcPr>
            <w:tcW w:w="6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193,022</w:t>
            </w: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Issuances in the year</w:t>
            </w:r>
          </w:p>
        </w:tc>
        <w:tc>
          <w:tcPr>
            <w:tcW w:w="16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133,801</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20,263</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Nominal share capital as at December 31</w:t>
            </w: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193,022</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213,285</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Ordinary shares issued and fully paid</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19,740,296</w:t>
            </w:r>
          </w:p>
        </w:tc>
        <w:tc>
          <w:tcPr>
            <w:tcW w:w="60" w:type="dxa"/>
            <w:vAlign w:val="bottom"/>
            <w:shd w:val="clear" w:color="auto" w:fill="CCEEFF"/>
          </w:tcPr>
          <w:p>
            <w:pPr>
              <w:spacing w:after="0"/>
              <w:rPr>
                <w:sz w:val="17"/>
                <w:szCs w:val="17"/>
                <w:color w:val="auto"/>
              </w:rPr>
            </w:pP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Issued on June 9, 2016 for private financing round</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39,464,540</w:t>
            </w:r>
          </w:p>
        </w:tc>
        <w:tc>
          <w:tcPr>
            <w:tcW w:w="60" w:type="dxa"/>
            <w:vAlign w:val="bottom"/>
          </w:tcPr>
          <w:p>
            <w:pPr>
              <w:spacing w:after="0"/>
              <w:rPr>
                <w:sz w:val="17"/>
                <w:szCs w:val="17"/>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June 9, 2016 for private placement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5,135,962</w:t>
            </w:r>
          </w:p>
        </w:tc>
      </w:tr>
      <w:tr>
        <w:trPr>
          <w:trHeight w:val="217"/>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2016</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64,340,798</w:t>
            </w:r>
          </w:p>
        </w:tc>
        <w:tc>
          <w:tcPr>
            <w:tcW w:w="60" w:type="dxa"/>
            <w:vAlign w:val="bottom"/>
          </w:tcPr>
          <w:p>
            <w:pPr>
              <w:spacing w:after="0"/>
              <w:rPr>
                <w:sz w:val="18"/>
                <w:szCs w:val="18"/>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Nominal value at December 31, 2016 (£)</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0.003</w:t>
            </w:r>
          </w:p>
        </w:tc>
      </w:tr>
      <w:tr>
        <w:trPr>
          <w:trHeight w:val="210"/>
        </w:trPr>
        <w:tc>
          <w:tcPr>
            <w:tcW w:w="68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Issued capital at December 31, 2016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193,022</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64,340,798</w:t>
            </w:r>
          </w:p>
        </w:tc>
        <w:tc>
          <w:tcPr>
            <w:tcW w:w="60" w:type="dxa"/>
            <w:vAlign w:val="bottom"/>
            <w:shd w:val="clear" w:color="auto" w:fill="CCEEFF"/>
          </w:tcPr>
          <w:p>
            <w:pPr>
              <w:spacing w:after="0"/>
              <w:rPr>
                <w:sz w:val="17"/>
                <w:szCs w:val="17"/>
                <w:color w:val="auto"/>
              </w:rPr>
            </w:pP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Issued on 3 April 2017</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5,042,017</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26 April 2017 for conversion of loan note</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1,221,361</w:t>
            </w:r>
          </w:p>
        </w:tc>
      </w:tr>
      <w:tr>
        <w:trPr>
          <w:trHeight w:val="210"/>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Issued on 28 October 2017 for acquisition of licence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490,798</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71,094,974</w:t>
            </w:r>
          </w:p>
        </w:tc>
        <w:tc>
          <w:tcPr>
            <w:tcW w:w="60" w:type="dxa"/>
            <w:vAlign w:val="bottom"/>
            <w:shd w:val="clear" w:color="auto" w:fill="CCEEFF"/>
          </w:tcPr>
          <w:p>
            <w:pPr>
              <w:spacing w:after="0"/>
              <w:rPr>
                <w:sz w:val="17"/>
                <w:szCs w:val="17"/>
                <w:color w:val="auto"/>
              </w:rPr>
            </w:pPr>
          </w:p>
        </w:tc>
      </w:tr>
      <w:tr>
        <w:trPr>
          <w:trHeight w:val="21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Nominal value at December 31, 2017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0.003</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December 31, 2017 (£)</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213,285</w:t>
            </w:r>
          </w:p>
        </w:tc>
      </w:tr>
      <w:tr>
        <w:trPr>
          <w:trHeight w:val="20"/>
        </w:trPr>
        <w:tc>
          <w:tcPr>
            <w:tcW w:w="1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January 1, 2016, the following alterations to the Company’s share capital have been made:</w:t>
      </w:r>
    </w:p>
    <w:p>
      <w:pPr>
        <w:spacing w:after="0" w:line="117" w:lineRule="exact"/>
        <w:rPr>
          <w:sz w:val="20"/>
          <w:szCs w:val="20"/>
          <w:color w:val="auto"/>
        </w:rPr>
      </w:pPr>
    </w:p>
    <w:p>
      <w:pPr>
        <w:ind w:left="900" w:right="20" w:hanging="325"/>
        <w:spacing w:after="0" w:line="239"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under the subscription agreement dated July 28, 2015, as amended by an agreement dated June 1, 2016, the Company issued and allotted 39,464,540 ordinary shares of £0.003 in nominal value in the capital of the Company on June 9, 2016 at a price of £1.84 per share. 39,699 of these ordinary shares were issued to WG Partners LLP, for no cash consideration, as payment for financial advisory services;</w:t>
      </w:r>
    </w:p>
    <w:p>
      <w:pPr>
        <w:spacing w:after="0" w:line="107"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102" w:lineRule="exact"/>
        <w:rPr>
          <w:rFonts w:ascii="Arial" w:cs="Arial" w:eastAsia="Arial" w:hAnsi="Arial"/>
          <w:sz w:val="18"/>
          <w:szCs w:val="18"/>
          <w:color w:val="auto"/>
        </w:rPr>
      </w:pPr>
    </w:p>
    <w:p>
      <w:pPr>
        <w:ind w:left="900" w:right="320" w:hanging="325"/>
        <w:spacing w:after="0" w:line="246"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under a private placement dated June 9, 2016, the Company issued and allotted 5,135,962 ordinary shares of £0.003 in nominal value in the capital of the Company on June 9, 2016 at a price of £2.21 per share; and</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June 9, 2016, the Company’s ordinary shares were admitted to trading on the AIM market of the London Stock Exchange.</w:t>
      </w:r>
    </w:p>
    <w:p>
      <w:pPr>
        <w:spacing w:after="0" w:line="117" w:lineRule="exact"/>
        <w:rPr>
          <w:rFonts w:ascii="Arial" w:cs="Arial" w:eastAsia="Arial" w:hAnsi="Arial"/>
          <w:sz w:val="18"/>
          <w:szCs w:val="18"/>
          <w:color w:val="auto"/>
        </w:rPr>
      </w:pPr>
    </w:p>
    <w:p>
      <w:pPr>
        <w:ind w:left="900" w:right="26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under a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108" w:lineRule="exact"/>
        <w:rPr>
          <w:rFonts w:ascii="Arial" w:cs="Arial" w:eastAsia="Arial" w:hAnsi="Arial"/>
          <w:sz w:val="18"/>
          <w:szCs w:val="18"/>
          <w:color w:val="auto"/>
        </w:rPr>
      </w:pPr>
    </w:p>
    <w:p>
      <w:pPr>
        <w:ind w:left="900" w:right="4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3 June 2016 into 632,829 ordinary shares of £0.003 in nominal value in the capital of the Company at the fixed conversion price of £2.21 per share. Under the terms of the Notes, Novartis also received 588,532 bonus shares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00" w:right="3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on October 31, 2017, Mereo BioPharma Group plc issued and allotted 490,798 ordinary shares of £0.003 in nominal value in the capital of the Company to Astrazeneca AB as part payment for the acquisition by Mereo BioPharma 4 Ltd of an exclusive licence and option to acquire certain assets</w:t>
      </w:r>
    </w:p>
    <w:p>
      <w:pPr>
        <w:sectPr>
          <w:pgSz w:w="11900" w:h="16838" w:orient="portrait"/>
          <w:cols w:equalWidth="0" w:num="1">
            <w:col w:w="11420"/>
          </w:cols>
          <w:pgMar w:left="240" w:top="459" w:right="239" w:bottom="1440" w:gutter="0" w:footer="0" w:header="0"/>
        </w:sectPr>
      </w:pPr>
    </w:p>
    <w:p>
      <w:pPr>
        <w:spacing w:after="0" w:line="380"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Share premium</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Share capital reduction on March 21, 2016</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Issuance of share capital for private financing round on June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-127635</wp:posOffset>
            </wp:positionV>
            <wp:extent cx="6080125"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line="234" w:lineRule="auto"/>
        <w:rPr>
          <w:sz w:val="20"/>
          <w:szCs w:val="20"/>
          <w:color w:val="auto"/>
        </w:rPr>
      </w:pPr>
      <w:r>
        <w:rPr>
          <w:rFonts w:ascii="Arial" w:cs="Arial" w:eastAsia="Arial" w:hAnsi="Arial"/>
          <w:sz w:val="18"/>
          <w:szCs w:val="18"/>
          <w:color w:val="auto"/>
        </w:rPr>
        <w:t>Issuance of share capital for private placement on June 9, 2016</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Transaction costs for 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b w:val="1"/>
          <w:bCs w:val="1"/>
          <w:color w:val="auto"/>
        </w:rPr>
        <w:t>At December 31, 2016</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Issued on 3 April 2017 for private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-127635</wp:posOffset>
            </wp:positionV>
            <wp:extent cx="6080125"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line="234" w:lineRule="auto"/>
        <w:rPr>
          <w:sz w:val="20"/>
          <w:szCs w:val="20"/>
          <w:color w:val="auto"/>
        </w:rPr>
      </w:pPr>
      <w:r>
        <w:rPr>
          <w:rFonts w:ascii="Arial" w:cs="Arial" w:eastAsia="Arial" w:hAnsi="Arial"/>
          <w:sz w:val="18"/>
          <w:szCs w:val="18"/>
          <w:color w:val="auto"/>
        </w:rPr>
        <w:t>Issued on 26 April 2017 for conversion of loan note</w:t>
      </w:r>
    </w:p>
    <w:p>
      <w:pPr>
        <w:ind w:left="920"/>
        <w:spacing w:after="0" w:line="235" w:lineRule="auto"/>
        <w:rPr>
          <w:sz w:val="20"/>
          <w:szCs w:val="20"/>
          <w:color w:val="auto"/>
        </w:rPr>
      </w:pPr>
      <w:r>
        <w:rPr>
          <w:rFonts w:ascii="Arial" w:cs="Arial" w:eastAsia="Arial" w:hAnsi="Arial"/>
          <w:sz w:val="18"/>
          <w:szCs w:val="18"/>
          <w:color w:val="auto"/>
        </w:rPr>
        <w:t>Issued on 28 October 2017 for acquisition of 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-127000</wp:posOffset>
            </wp:positionV>
            <wp:extent cx="6080125"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Transaction costs for issued share capital</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26,212,880</w:t>
      </w:r>
    </w:p>
    <w:p>
      <w:pPr>
        <w:jc w:val="right"/>
        <w:ind w:right="1000"/>
        <w:spacing w:after="0"/>
        <w:rPr>
          <w:sz w:val="20"/>
          <w:szCs w:val="20"/>
          <w:color w:val="auto"/>
        </w:rPr>
      </w:pPr>
      <w:r>
        <w:rPr>
          <w:rFonts w:ascii="Arial" w:cs="Arial" w:eastAsia="Arial" w:hAnsi="Arial"/>
          <w:sz w:val="18"/>
          <w:szCs w:val="18"/>
          <w:color w:val="auto"/>
        </w:rPr>
        <w:t>(7,000,000)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72,423,314</w:t>
      </w:r>
    </w:p>
    <w:p>
      <w:pPr>
        <w:ind w:left="100"/>
        <w:spacing w:after="0" w:line="234" w:lineRule="auto"/>
        <w:rPr>
          <w:sz w:val="20"/>
          <w:szCs w:val="20"/>
          <w:color w:val="auto"/>
        </w:rPr>
      </w:pPr>
      <w:r>
        <w:rPr>
          <w:rFonts w:ascii="Arial" w:cs="Arial" w:eastAsia="Arial" w:hAnsi="Arial"/>
          <w:sz w:val="18"/>
          <w:szCs w:val="18"/>
          <w:color w:val="auto"/>
        </w:rPr>
        <w:t>11,335,069</w:t>
      </w:r>
    </w:p>
    <w:p>
      <w:pPr>
        <w:spacing w:after="0" w:line="1"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(2,995,864)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99,975,399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5715</wp:posOffset>
            </wp:positionV>
            <wp:extent cx="7632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14,984,875</w:t>
      </w:r>
    </w:p>
    <w:p>
      <w:pPr>
        <w:jc w:val="right"/>
        <w:ind w:right="1060"/>
        <w:spacing w:after="0" w:line="234" w:lineRule="auto"/>
        <w:rPr>
          <w:sz w:val="20"/>
          <w:szCs w:val="20"/>
          <w:color w:val="auto"/>
        </w:rPr>
      </w:pPr>
      <w:r>
        <w:rPr>
          <w:rFonts w:ascii="Arial" w:cs="Arial" w:eastAsia="Arial" w:hAnsi="Arial"/>
          <w:sz w:val="18"/>
          <w:szCs w:val="18"/>
          <w:color w:val="auto"/>
        </w:rPr>
        <w:t>2,477,787</w:t>
      </w:r>
    </w:p>
    <w:p>
      <w:pPr>
        <w:jc w:val="right"/>
        <w:ind w:right="1060"/>
        <w:spacing w:after="0" w:line="235" w:lineRule="auto"/>
        <w:rPr>
          <w:sz w:val="20"/>
          <w:szCs w:val="20"/>
          <w:color w:val="auto"/>
        </w:rPr>
      </w:pPr>
      <w:r>
        <w:rPr>
          <w:rFonts w:ascii="Arial" w:cs="Arial" w:eastAsia="Arial" w:hAnsi="Arial"/>
          <w:sz w:val="18"/>
          <w:szCs w:val="18"/>
          <w:color w:val="auto"/>
        </w:rPr>
        <w:t>1,518,527</w:t>
      </w:r>
    </w:p>
    <w:p>
      <w:pPr>
        <w:spacing w:after="0" w:line="1"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(729,632)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118,226,956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14605</wp:posOffset>
            </wp:positionV>
            <wp:extent cx="7632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758" w:lineRule="exact"/>
        <w:rPr>
          <w:sz w:val="20"/>
          <w:szCs w:val="20"/>
          <w:color w:val="auto"/>
        </w:rPr>
      </w:pPr>
    </w:p>
    <w:p>
      <w:pPr>
        <w:sectPr>
          <w:pgSz w:w="11900" w:h="16838" w:orient="portrait"/>
          <w:cols w:equalWidth="0" w:num="2">
            <w:col w:w="8640" w:space="720"/>
            <w:col w:w="2060"/>
          </w:cols>
          <w:pgMar w:left="240" w:top="459" w:right="2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Equity</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component</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Share</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of convertible</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 to be</w:t>
            </w: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based</w:t>
            </w: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loan instrument</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issued £</w:t>
            </w: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payments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18,677,840</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2,982,265</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2016</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6,494,018</w:t>
            </w: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6,494,018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5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(16,003,363)</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(16,003,363)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46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516,802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2,674,477</w:t>
            </w:r>
          </w:p>
        </w:tc>
        <w:tc>
          <w:tcPr>
            <w:tcW w:w="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9,476,283</w:t>
            </w:r>
          </w:p>
        </w:tc>
        <w:tc>
          <w:tcPr>
            <w:tcW w:w="15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516,802</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12,667,562</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Share-based payments expense during 2017</w:t>
            </w:r>
          </w:p>
        </w:tc>
        <w:tc>
          <w:tcPr>
            <w:tcW w:w="150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4,983,186</w:t>
            </w:r>
          </w:p>
        </w:tc>
        <w:tc>
          <w:tcPr>
            <w:tcW w:w="156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4,983,186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5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(1,082,899)</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(1,082,899)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(208,680)</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1,591,578</w:t>
            </w:r>
          </w:p>
        </w:tc>
        <w:tc>
          <w:tcPr>
            <w:tcW w:w="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14,459,469</w:t>
            </w:r>
          </w:p>
        </w:tc>
        <w:tc>
          <w:tcPr>
            <w:tcW w:w="15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308,122</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16,359,169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26"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The Group has a number of share option plans under which options to subscribe for the Group’s shares have been granted to certain Executives, Non-Executive Directors and employees (see Note 24 for further details).</w:t>
      </w:r>
    </w:p>
    <w:p>
      <w:pPr>
        <w:spacing w:after="0" w:line="197"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share-based payment reserve is used to recognise (a) the value of equity-settled share-based payments provided to employees, including key management personnel, as part of their remuneration and (b) deferred equity consideration. Refer to Note 24 for further details of these plans. Of the £6,494,018 share-based payment expense in 2016, £298,836 is an accelerated charge relating to 500,000 share options which were cancelled on June 9, 2016.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type w:val="continuous"/>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issued/to be issued</w:t>
      </w:r>
    </w:p>
    <w:p>
      <w:pPr>
        <w:spacing w:after="0" w:line="12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Shares to be issued at January 1, 2016 of £18,677,840 represented a maximum potential 10,151,000 bonus shares due to Novartis under the terms of an investment in the prior year. Of the 44,600,502 ordinary shares issued on June 9, 2016, 8,697,480 shares were issued to Novartis as fully paid up bonus shares (for £nil consideration), the number of which was calculated to maintain its shareholding at 19.5%. The fair value of these shares was £1.84 per share. At December 31, 2016, £2,674,477 representing a maximum of 1,453,520 shares at £1.84 were remaining to be issued to Novartis pro rata to their percentage shareholding as and when the Company issues further ordinary shares.</w:t>
      </w:r>
    </w:p>
    <w:p>
      <w:pPr>
        <w:spacing w:after="0" w:line="203"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2017, £1,591,578 representing a maximum of 864,988 shares at £1.84 were remaining to be issued to Novartis pro rata to their percentage shareholding as and when the Company issues further ordinary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26" w:lineRule="exact"/>
        <w:rPr>
          <w:sz w:val="20"/>
          <w:szCs w:val="20"/>
          <w:color w:val="auto"/>
        </w:rPr>
      </w:pPr>
    </w:p>
    <w:p>
      <w:pPr>
        <w:ind w:right="420" w:firstLine="456"/>
        <w:spacing w:after="0" w:line="246" w:lineRule="auto"/>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(see Note 18a). The value of the equity component (cost of the conversion option) as at 31 December 2017 is £308,122 (2016: £516,802).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deficit</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72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720" w:type="dxa"/>
            <w:vAlign w:val="bottom"/>
          </w:tcPr>
          <w:p>
            <w:pPr>
              <w:spacing w:after="0"/>
              <w:rPr>
                <w:sz w:val="14"/>
                <w:szCs w:val="14"/>
                <w:color w:val="auto"/>
              </w:rPr>
            </w:pPr>
          </w:p>
        </w:tc>
        <w:tc>
          <w:tcPr>
            <w:tcW w:w="1160" w:type="dxa"/>
            <w:vAlign w:val="bottom"/>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1160" w:type="dxa"/>
            <w:vAlign w:val="bottom"/>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75"/>
        </w:trPr>
        <w:tc>
          <w:tcPr>
            <w:tcW w:w="57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reserves</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160" w:type="dxa"/>
            <w:vAlign w:val="bottom"/>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Accumulated losses</w:t>
            </w:r>
          </w:p>
        </w:tc>
        <w:tc>
          <w:tcPr>
            <w:tcW w:w="16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(40,579,241)</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(79,315,920)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(33,579,241)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(72,315,920)</w:t>
            </w:r>
          </w:p>
        </w:tc>
      </w:tr>
    </w:tbl>
    <w:p>
      <w:pPr>
        <w:spacing w:after="0" w:line="21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Interest bearing loans and borrowings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80" w:type="dxa"/>
            <w:vAlign w:val="bottom"/>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162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8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tcPr>
          <w:p>
            <w:pPr>
              <w:jc w:val="right"/>
              <w:ind w:right="437"/>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 - see Note 18a</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Bank loan -see Note 18b</w:t>
            </w:r>
          </w:p>
        </w:tc>
        <w:tc>
          <w:tcPr>
            <w:tcW w:w="108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18,774,924</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3,126,526</w:t>
            </w:r>
          </w:p>
        </w:tc>
        <w:tc>
          <w:tcPr>
            <w:tcW w:w="5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80" w:type="dxa"/>
            <w:vAlign w:val="bottom"/>
            <w:shd w:val="clear" w:color="auto" w:fill="CCEEFF"/>
          </w:tcPr>
          <w:p>
            <w:pPr>
              <w:spacing w:after="0"/>
              <w:rPr>
                <w:sz w:val="17"/>
                <w:szCs w:val="17"/>
                <w:color w:val="auto"/>
              </w:rPr>
            </w:pPr>
          </w:p>
        </w:tc>
      </w:tr>
      <w:tr>
        <w:trPr>
          <w:trHeight w:val="20"/>
        </w:trPr>
        <w:tc>
          <w:tcPr>
            <w:tcW w:w="590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1080" w:type="dxa"/>
            <w:vAlign w:val="bottom"/>
          </w:tcPr>
          <w:p>
            <w:pPr>
              <w:ind w:left="80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1,939,806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18,812,511</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18a. Novartis Notes</w:t>
      </w:r>
    </w:p>
    <w:p>
      <w:pPr>
        <w:spacing w:after="0" w:line="126"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On June 3, 2016, the Company issued 3,463,563 £1 unsecured convertible loan notes (“Novartis Notes”) to Novartis Pharma AG, a shareholder of the Company (see Note 26) in consideration for an investment in cash by Novartis at the time of the private placement on June 9, 2016. The Novartis Notes attract an interest rate of 4% per annum and accruing daily and constitute direct, unsecured obligations of the Company ranking ahead of any other unsecured obligations of the Company.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firstLine="456"/>
        <w:spacing w:after="0" w:line="238" w:lineRule="auto"/>
        <w:rPr>
          <w:sz w:val="20"/>
          <w:szCs w:val="20"/>
          <w:color w:val="auto"/>
        </w:rPr>
      </w:pPr>
      <w:r>
        <w:rPr>
          <w:rFonts w:ascii="Arial" w:cs="Arial" w:eastAsia="Arial" w:hAnsi="Arial"/>
          <w:sz w:val="18"/>
          <w:szCs w:val="18"/>
          <w:color w:val="auto"/>
        </w:rPr>
        <w:t>On April 26, 2017 Novartis converted £1,398,553 of loan notes into 632,829 ordinary shares at the fixed conversion price of £2.21 per share. This has been recorded as a £1,187,974 reduction in interest bearing loans and borrowings, a reduction in other capital reserves of £208,680, and a reduction in accumulated loss of £62,375. Under the terms of the Notes, Novartis also received 588,532 bonus shares. Novartis holds £2,065,011 principal value of Notes at December 31, 2017 representing 934,394 ordinary shares if converted, together with 864,988 potential bonus shares, together these represent 2.5% of the current share capital of the Company as at December 31, 2017.</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August 2017, in connection with the new loan agreements (see Note 18b),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8" w:lineRule="exact"/>
        <w:rPr>
          <w:sz w:val="20"/>
          <w:szCs w:val="20"/>
          <w:color w:val="auto"/>
        </w:rPr>
      </w:pPr>
    </w:p>
    <w:p>
      <w:pPr>
        <w:jc w:val="both"/>
        <w:ind w:right="60" w:firstLine="456"/>
        <w:spacing w:after="0"/>
        <w:rPr>
          <w:sz w:val="20"/>
          <w:szCs w:val="20"/>
          <w:color w:val="auto"/>
        </w:rPr>
      </w:pPr>
      <w:r>
        <w:rPr>
          <w:rFonts w:ascii="Arial" w:cs="Arial" w:eastAsia="Arial" w:hAnsi="Arial"/>
          <w:sz w:val="18"/>
          <w:szCs w:val="18"/>
          <w:color w:val="auto"/>
        </w:rPr>
        <w:t>The value of the debt component of the Notes at the date of issue was calculated as £2,946,761. The cash flows attached to the Note up to the Maturity Date were calculated and discounted at an appropriate venture debt rate of 10%. The carrying amount at December 31, 2017 is £1,977,393 (2016: £3,126,526).</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value of the equity component of the Notes at December 31, 2017 was calculated as £308,123 (2016: £516,802).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18b. Bank loan</w:t>
      </w:r>
    </w:p>
    <w:p>
      <w:pPr>
        <w:spacing w:after="0" w:line="12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which provides for total borrowings of £20.0 million and the issue of warrants over shares in the Company (see Note 20). We borrowed £10.0 million on each of August 21, 2017 (Tranche 1) and December 29, 2017 (Tranche 2) for general working capital purposes. We are obligated to make interest-only payments on the loan amount until September 30, 2018, and thereafter we are obligated to pay interest and principal in 30 equal monthly installments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our assets, including intellectual property rights owned or controlled by us. The terms of the debt facility include an interest only period to September 30, 2018, a thirty-month capital and interest repayment period thereafter, a 9% headline interest rate and customary security over all assets of the Group.</w:t>
      </w:r>
    </w:p>
    <w:p>
      <w:pPr>
        <w:spacing w:after="0" w:line="20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£9,342,324.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£182,133, which is an effective interest rate of 1.95%.</w:t>
      </w:r>
    </w:p>
    <w:p>
      <w:pPr>
        <w:spacing w:after="0" w:line="20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£9,365,665.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£194,892, which is an effective interest rate of 2.08%.</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00" w:firstLine="456"/>
        <w:spacing w:after="0" w:line="246" w:lineRule="auto"/>
        <w:rPr>
          <w:sz w:val="20"/>
          <w:szCs w:val="20"/>
          <w:color w:val="auto"/>
        </w:rPr>
      </w:pPr>
      <w:r>
        <w:rPr>
          <w:rFonts w:ascii="Arial" w:cs="Arial" w:eastAsia="Arial" w:hAnsi="Arial"/>
          <w:sz w:val="18"/>
          <w:szCs w:val="18"/>
          <w:color w:val="auto"/>
        </w:rPr>
        <w:t>The total carrying value of the loan at 31 December 2017 was £18,774,924. £1,939,806 is a current liability and £16,835,118 is a non-current liability. A total of £66,935 of non-cash interest has been charged to the statement of comprehensive loss in the period.</w:t>
      </w:r>
    </w:p>
    <w:p>
      <w:pPr>
        <w:spacing w:after="0" w:line="283" w:lineRule="exact"/>
        <w:rPr>
          <w:sz w:val="20"/>
          <w:szCs w:val="20"/>
          <w:color w:val="auto"/>
        </w:rPr>
      </w:pPr>
    </w:p>
    <w:p>
      <w:pPr>
        <w:ind w:right="10180" w:firstLine="8"/>
        <w:spacing w:after="0" w:line="434" w:lineRule="auto"/>
        <w:tabs>
          <w:tab w:leader="none" w:pos="30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Provisions Summary</w:t>
      </w:r>
    </w:p>
    <w:p>
      <w:pPr>
        <w:spacing w:after="0" w:line="59"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Social security contributions on share options</w:t>
            </w:r>
          </w:p>
        </w:tc>
        <w:tc>
          <w:tcPr>
            <w:tcW w:w="10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10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4,349,386</w:t>
            </w:r>
          </w:p>
        </w:tc>
        <w:tc>
          <w:tcPr>
            <w:tcW w:w="80" w:type="dxa"/>
            <w:vAlign w:val="bottom"/>
            <w:shd w:val="clear" w:color="auto" w:fill="CCEEFF"/>
          </w:tcPr>
          <w:p>
            <w:pPr>
              <w:spacing w:after="0"/>
              <w:rPr>
                <w:sz w:val="17"/>
                <w:szCs w:val="17"/>
                <w:color w:val="auto"/>
              </w:rPr>
            </w:pPr>
          </w:p>
        </w:tc>
      </w:tr>
      <w:tr>
        <w:trPr>
          <w:trHeight w:val="20"/>
        </w:trPr>
        <w:tc>
          <w:tcPr>
            <w:tcW w:w="318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40" w:type="dxa"/>
            <w:vAlign w:val="bottom"/>
            <w:gridSpan w:val="3"/>
          </w:tcPr>
          <w:p>
            <w:pPr>
              <w:ind w:left="70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4,075,386</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24"/>
                <w:szCs w:val="2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95"/>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Social security contributions on share options</w:t>
            </w:r>
          </w:p>
        </w:tc>
        <w:tc>
          <w:tcPr>
            <w:tcW w:w="106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1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At beginning of year</w:t>
            </w:r>
          </w:p>
        </w:tc>
        <w:tc>
          <w:tcPr>
            <w:tcW w:w="2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141,311</w:t>
            </w:r>
          </w:p>
        </w:tc>
        <w:tc>
          <w:tcPr>
            <w:tcW w:w="5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1,172,420</w:t>
            </w: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discount</w:t>
            </w: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7,293</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Arising during the year</w:t>
            </w: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1,084,181</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1,115,966</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8"/>
                <w:szCs w:val="18"/>
                <w:color w:val="auto"/>
              </w:rPr>
            </w:pPr>
          </w:p>
        </w:tc>
        <w:tc>
          <w:tcPr>
            <w:tcW w:w="154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(60,365)</w:t>
            </w:r>
          </w:p>
        </w:tc>
        <w:tc>
          <w:tcPr>
            <w:tcW w:w="40" w:type="dxa"/>
            <w:vAlign w:val="bottom"/>
          </w:tcPr>
          <w:p>
            <w:pPr>
              <w:spacing w:after="0"/>
              <w:rPr>
                <w:sz w:val="18"/>
                <w:szCs w:val="18"/>
                <w:color w:val="auto"/>
              </w:rPr>
            </w:pP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0"/>
        </w:trPr>
        <w:tc>
          <w:tcPr>
            <w:tcW w:w="318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4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120" w:type="dxa"/>
            <w:vAlign w:val="bottom"/>
            <w:gridSpan w:val="2"/>
          </w:tcPr>
          <w:p>
            <w:pPr>
              <w:ind w:left="760"/>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(see Note 24) the liability has been classified as non-current. The provision has been discounted.</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95"/>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Provision for deferred cash consideration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8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At beginning of year</w:t>
            </w:r>
          </w:p>
        </w:tc>
        <w:tc>
          <w:tcPr>
            <w:tcW w:w="30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ind w:left="780"/>
              <w:spacing w:after="0" w:line="17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17"/>
              <w:spacing w:after="0" w:line="17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w:t>
            </w:r>
          </w:p>
        </w:tc>
        <w:tc>
          <w:tcPr>
            <w:tcW w:w="106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60" w:type="dxa"/>
            <w:vAlign w:val="bottom"/>
            <w:tcBorders>
              <w:bottom w:val="single" w:sz="8" w:color="auto"/>
            </w:tcBorders>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shd w:val="clear" w:color="auto" w:fill="CCEEFF"/>
          </w:tcPr>
          <w:p>
            <w:pPr>
              <w:spacing w:after="0"/>
              <w:rPr>
                <w:sz w:val="17"/>
                <w:szCs w:val="17"/>
                <w:color w:val="auto"/>
              </w:rPr>
            </w:pPr>
          </w:p>
        </w:tc>
      </w:tr>
      <w:tr>
        <w:trPr>
          <w:trHeight w:val="20"/>
        </w:trPr>
        <w:tc>
          <w:tcPr>
            <w:tcW w:w="28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1060" w:type="dxa"/>
            <w:vAlign w:val="bottom"/>
          </w:tcPr>
          <w:p>
            <w:pPr>
              <w:ind w:left="780"/>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6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1,787,000</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deferred cash consideration is the estimate of the quantifiable but not certain future cash payment obligations due to AstraZeneca for the acquisition of certain assets (see Note 12). This liability is calculated as the risk adjusted net present value of future cash payments to be made by the Group. The payments are dependent on reaching certain milestones based on the commencement and outcome of clinical trials.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Warrant liability</w:t>
      </w:r>
    </w:p>
    <w:p>
      <w:pPr>
        <w:spacing w:after="0" w:line="12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80" w:type="dxa"/>
            <w:vAlign w:val="bottom"/>
            <w:gridSpan w:val="2"/>
          </w:tcPr>
          <w:p>
            <w:pPr>
              <w:jc w:val="center"/>
              <w:ind w:left="1968"/>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3"/>
          </w:tcPr>
          <w:p>
            <w:pPr>
              <w:jc w:val="center"/>
              <w:ind w:left="724"/>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80" w:type="dxa"/>
            <w:vAlign w:val="bottom"/>
            <w:gridSpan w:val="2"/>
          </w:tcPr>
          <w:p>
            <w:pPr>
              <w:jc w:val="center"/>
              <w:ind w:left="1908"/>
              <w:spacing w:after="0"/>
              <w:rPr>
                <w:sz w:val="20"/>
                <w:szCs w:val="20"/>
                <w:color w:val="auto"/>
              </w:rPr>
            </w:pPr>
            <w:r>
              <w:rPr>
                <w:rFonts w:ascii="Arial" w:cs="Arial" w:eastAsia="Arial" w:hAnsi="Arial"/>
                <w:sz w:val="14"/>
                <w:szCs w:val="14"/>
                <w:b w:val="1"/>
                <w:bCs w:val="1"/>
                <w:color w:val="auto"/>
              </w:rPr>
              <w:t>2016</w:t>
            </w:r>
          </w:p>
        </w:tc>
        <w:tc>
          <w:tcPr>
            <w:tcW w:w="1800" w:type="dxa"/>
            <w:vAlign w:val="bottom"/>
            <w:gridSpan w:val="2"/>
          </w:tcPr>
          <w:p>
            <w:pPr>
              <w:jc w:val="center"/>
              <w:ind w:left="72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980" w:type="dxa"/>
            <w:vAlign w:val="bottom"/>
            <w:gridSpan w:val="2"/>
          </w:tcPr>
          <w:p>
            <w:pPr>
              <w:jc w:val="center"/>
              <w:ind w:left="1948"/>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jc w:val="center"/>
              <w:ind w:left="76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w:t>
            </w:r>
          </w:p>
        </w:tc>
        <w:tc>
          <w:tcPr>
            <w:tcW w:w="20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2040" w:type="dxa"/>
            <w:vAlign w:val="bottom"/>
          </w:tcPr>
          <w:p>
            <w:pPr>
              <w:spacing w:after="0"/>
              <w:rPr>
                <w:sz w:val="18"/>
                <w:szCs w:val="18"/>
                <w:color w:val="auto"/>
              </w:rPr>
            </w:pPr>
          </w:p>
        </w:tc>
        <w:tc>
          <w:tcPr>
            <w:tcW w:w="9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1,346,484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204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1,346,484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As part of the bank loan facility (see Note 18b), 363,156 warrants to subscribe for shares were issued to the lenders on August 21, 2017. These warrants will be capable of exercise until August 7, 2027 at an exercise price of £ 3.029. A further 333,334 warrants were issued to the lenders on December 29, 2017. These warrants will be capable of exercise until August 7, 2027 at an exercise price of £3.30. The total of 696,490 warrants is equivalent to 0.98% of ordinary share capital at December 31, 2017.</w:t>
      </w:r>
    </w:p>
    <w:p>
      <w:pPr>
        <w:spacing w:after="0" w:line="202"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terms of the warrant instrument allow for a cashless exercise. In line with IAS32, the future number of shares to be issued to the warrantholder under a cashless exercise can only be determined at that future date. At each balance sheet date the fair value of the warrants will be assessed using the Black-Scholes model taking into account appropriate amendments to inputs in respect of volatility and remaining expected life of the warrants.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 granted during the period ended</w:t>
      </w:r>
    </w:p>
    <w:p>
      <w:pPr>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31 December</w:t>
            </w:r>
          </w:p>
        </w:tc>
      </w:tr>
      <w:tr>
        <w:trPr>
          <w:trHeight w:val="175"/>
        </w:trPr>
        <w:tc>
          <w:tcPr>
            <w:tcW w:w="6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50-51</w:t>
            </w:r>
          </w:p>
        </w:tc>
        <w:tc>
          <w:tcPr>
            <w:tcW w:w="8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1.10–1.25</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9.6-10</w:t>
            </w:r>
          </w:p>
        </w:tc>
        <w:tc>
          <w:tcPr>
            <w:tcW w:w="8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3.00–3.25</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Black Scholes</w:t>
            </w:r>
          </w:p>
        </w:tc>
      </w:tr>
      <w:tr>
        <w:trPr>
          <w:trHeight w:val="20"/>
        </w:trPr>
        <w:tc>
          <w:tcPr>
            <w:tcW w:w="6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warrants at grant was £1,292,011. At December 31, 2017 it was £1,346,484.</w:t>
      </w:r>
    </w:p>
    <w:p>
      <w:pPr>
        <w:spacing w:after="0" w:line="212"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Trade and other payables</w:t>
      </w:r>
    </w:p>
    <w:p>
      <w:pPr>
        <w:spacing w:after="0" w:line="12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3300" w:type="dxa"/>
            <w:vAlign w:val="bottom"/>
          </w:tcPr>
          <w:p>
            <w:pPr>
              <w:spacing w:after="0"/>
              <w:rPr>
                <w:sz w:val="14"/>
                <w:szCs w:val="14"/>
                <w:color w:val="auto"/>
              </w:rPr>
            </w:pPr>
          </w:p>
        </w:tc>
        <w:tc>
          <w:tcPr>
            <w:tcW w:w="3660" w:type="dxa"/>
            <w:vAlign w:val="bottom"/>
            <w:gridSpan w:val="2"/>
          </w:tcPr>
          <w:p>
            <w:pPr>
              <w:jc w:val="center"/>
              <w:ind w:left="2457"/>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3300" w:type="dxa"/>
            <w:vAlign w:val="bottom"/>
          </w:tcPr>
          <w:p>
            <w:pPr>
              <w:spacing w:after="0"/>
              <w:rPr>
                <w:sz w:val="15"/>
                <w:szCs w:val="15"/>
                <w:color w:val="auto"/>
              </w:rPr>
            </w:pPr>
          </w:p>
        </w:tc>
        <w:tc>
          <w:tcPr>
            <w:tcW w:w="3660" w:type="dxa"/>
            <w:vAlign w:val="bottom"/>
            <w:gridSpan w:val="2"/>
          </w:tcPr>
          <w:p>
            <w:pPr>
              <w:jc w:val="center"/>
              <w:ind w:left="2497"/>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 payables</w:t>
            </w:r>
          </w:p>
        </w:tc>
        <w:tc>
          <w:tcPr>
            <w:tcW w:w="26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994,901</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2,860,303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Social security and other taxes</w:t>
            </w:r>
          </w:p>
        </w:tc>
        <w:tc>
          <w:tcPr>
            <w:tcW w:w="3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113,205</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144,348</w:t>
            </w:r>
          </w:p>
        </w:tc>
        <w:tc>
          <w:tcPr>
            <w:tcW w:w="80" w:type="dxa"/>
            <w:vAlign w:val="bottom"/>
          </w:tcPr>
          <w:p>
            <w:pPr>
              <w:spacing w:after="0"/>
              <w:rPr>
                <w:sz w:val="17"/>
                <w:szCs w:val="17"/>
                <w:color w:val="auto"/>
              </w:rPr>
            </w:pP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3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13,001</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19,375</w:t>
            </w:r>
          </w:p>
        </w:tc>
        <w:tc>
          <w:tcPr>
            <w:tcW w:w="80" w:type="dxa"/>
            <w:vAlign w:val="bottom"/>
            <w:shd w:val="clear" w:color="auto" w:fill="CCEEFF"/>
          </w:tcPr>
          <w:p>
            <w:pPr>
              <w:spacing w:after="0"/>
              <w:rPr>
                <w:sz w:val="17"/>
                <w:szCs w:val="17"/>
                <w:color w:val="auto"/>
              </w:rPr>
            </w:pPr>
          </w:p>
        </w:tc>
      </w:tr>
      <w:tr>
        <w:trPr>
          <w:trHeight w:val="210"/>
        </w:trPr>
        <w:tc>
          <w:tcPr>
            <w:tcW w:w="3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1,121,107</w:t>
            </w:r>
          </w:p>
        </w:tc>
        <w:tc>
          <w:tcPr>
            <w:tcW w:w="5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3,024,026</w:t>
            </w:r>
          </w:p>
        </w:tc>
        <w:tc>
          <w:tcPr>
            <w:tcW w:w="8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660" w:type="dxa"/>
            <w:vAlign w:val="bottom"/>
            <w:gridSpan w:val="2"/>
          </w:tcPr>
          <w:p>
            <w:pPr>
              <w:jc w:val="right"/>
              <w:ind w:right="2356"/>
              <w:spacing w:after="0"/>
              <w:rPr>
                <w:sz w:val="20"/>
                <w:szCs w:val="20"/>
                <w:color w:val="auto"/>
              </w:rPr>
            </w:pPr>
            <w:r>
              <w:rPr>
                <w:rFonts w:ascii="Arial" w:cs="Arial" w:eastAsia="Arial" w:hAnsi="Arial"/>
                <w:sz w:val="18"/>
                <w:szCs w:val="18"/>
                <w:color w:val="auto"/>
              </w:rPr>
              <w:t>F-28</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and conditions of the above financial liabilities:</w:t>
      </w:r>
    </w:p>
    <w:p>
      <w:pPr>
        <w:spacing w:after="0" w:line="117" w:lineRule="exact"/>
        <w:rPr>
          <w:sz w:val="20"/>
          <w:szCs w:val="20"/>
          <w:color w:val="auto"/>
        </w:rPr>
      </w:pPr>
    </w:p>
    <w:p>
      <w:pPr>
        <w:ind w:left="900" w:hanging="325"/>
        <w:spacing w:after="0"/>
        <w:tabs>
          <w:tab w:leader="none" w:pos="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trade payables are non-interest bearing and are normally settled on 30-day terms;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other payables are non-interest bearing and have an average term of one month.</w:t>
      </w:r>
    </w:p>
    <w:p>
      <w:pPr>
        <w:spacing w:after="0" w:line="297" w:lineRule="exact"/>
        <w:rPr>
          <w:rFonts w:ascii="Arial" w:cs="Arial" w:eastAsia="Arial" w:hAnsi="Arial"/>
          <w:sz w:val="18"/>
          <w:szCs w:val="18"/>
          <w:color w:val="auto"/>
        </w:rPr>
      </w:pPr>
    </w:p>
    <w:p>
      <w:pPr>
        <w:ind w:left="300" w:hanging="292"/>
        <w:spacing w:after="0"/>
        <w:tabs>
          <w:tab w:leader="none" w:pos="3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liabilities arising from financing activities</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color w:val="auto"/>
              </w:rPr>
              <w:t>Total Interest</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color w:val="auto"/>
              </w:rPr>
              <w:t>bearing loans and</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color w:val="auto"/>
              </w:rPr>
              <w:t>Total Other</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5160" w:type="dxa"/>
            <w:vAlign w:val="bottom"/>
          </w:tcPr>
          <w:p>
            <w:pPr>
              <w:spacing w:after="0"/>
              <w:rPr>
                <w:sz w:val="13"/>
                <w:szCs w:val="13"/>
                <w:color w:val="auto"/>
              </w:rPr>
            </w:pPr>
          </w:p>
        </w:tc>
        <w:tc>
          <w:tcPr>
            <w:tcW w:w="1740" w:type="dxa"/>
            <w:vAlign w:val="bottom"/>
            <w:gridSpan w:val="2"/>
          </w:tcPr>
          <w:p>
            <w:pPr>
              <w:jc w:val="center"/>
              <w:ind w:right="480"/>
              <w:spacing w:after="0" w:line="157" w:lineRule="exact"/>
              <w:rPr>
                <w:sz w:val="20"/>
                <w:szCs w:val="20"/>
                <w:color w:val="auto"/>
              </w:rPr>
            </w:pPr>
            <w:r>
              <w:rPr>
                <w:rFonts w:ascii="Arial" w:cs="Arial" w:eastAsia="Arial" w:hAnsi="Arial"/>
                <w:sz w:val="14"/>
                <w:szCs w:val="14"/>
                <w:color w:val="auto"/>
              </w:rPr>
              <w:t>borrowings</w:t>
            </w:r>
          </w:p>
        </w:tc>
        <w:tc>
          <w:tcPr>
            <w:tcW w:w="1480" w:type="dxa"/>
            <w:vAlign w:val="bottom"/>
            <w:gridSpan w:val="2"/>
          </w:tcPr>
          <w:p>
            <w:pPr>
              <w:jc w:val="center"/>
              <w:ind w:right="520"/>
              <w:spacing w:after="0" w:line="157" w:lineRule="exact"/>
              <w:rPr>
                <w:sz w:val="20"/>
                <w:szCs w:val="20"/>
                <w:color w:val="auto"/>
              </w:rPr>
            </w:pPr>
            <w:r>
              <w:rPr>
                <w:rFonts w:ascii="Arial" w:cs="Arial" w:eastAsia="Arial" w:hAnsi="Arial"/>
                <w:sz w:val="14"/>
                <w:szCs w:val="14"/>
                <w:color w:val="auto"/>
              </w:rPr>
              <w:t>liabilities</w:t>
            </w:r>
          </w:p>
        </w:tc>
        <w:tc>
          <w:tcPr>
            <w:tcW w:w="1200" w:type="dxa"/>
            <w:vAlign w:val="bottom"/>
            <w:gridSpan w:val="2"/>
          </w:tcPr>
          <w:p>
            <w:pPr>
              <w:jc w:val="right"/>
              <w:ind w:right="520"/>
              <w:spacing w:after="0" w:line="157" w:lineRule="exact"/>
              <w:rPr>
                <w:sz w:val="20"/>
                <w:szCs w:val="20"/>
                <w:color w:val="auto"/>
              </w:rPr>
            </w:pPr>
            <w:r>
              <w:rPr>
                <w:rFonts w:ascii="Arial" w:cs="Arial" w:eastAsia="Arial" w:hAnsi="Arial"/>
                <w:sz w:val="14"/>
                <w:szCs w:val="14"/>
                <w:color w:val="auto"/>
              </w:rPr>
              <w:t>Total</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January 1, 2017</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Cash</w:t>
            </w: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bank loan</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18,507,989</w:t>
            </w:r>
          </w:p>
        </w:tc>
        <w:tc>
          <w:tcPr>
            <w:tcW w:w="5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18,507,989</w:t>
            </w:r>
          </w:p>
        </w:tc>
        <w:tc>
          <w:tcPr>
            <w:tcW w:w="14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Increase in warrant liability</w:t>
            </w:r>
          </w:p>
        </w:tc>
        <w:tc>
          <w:tcPr>
            <w:tcW w:w="17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1,292,011</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1,292,011</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payments</w:t>
            </w:r>
          </w:p>
        </w:tc>
        <w:tc>
          <w:tcPr>
            <w:tcW w:w="17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(327,123)</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(327,123)</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Non-cash</w:t>
            </w: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Novartis notes</w:t>
            </w:r>
          </w:p>
        </w:tc>
        <w:tc>
          <w:tcPr>
            <w:tcW w:w="17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(1,252,248)</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(1,252,248)</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Bank loan transaction costs</w:t>
            </w:r>
          </w:p>
        </w:tc>
        <w:tc>
          <w:tcPr>
            <w:tcW w:w="17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200,000</w:t>
            </w: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warrant</w:t>
            </w:r>
          </w:p>
        </w:tc>
        <w:tc>
          <w:tcPr>
            <w:tcW w:w="17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54,473</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54,473</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7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2,061,000</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2,061,000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accrual</w:t>
            </w:r>
          </w:p>
        </w:tc>
        <w:tc>
          <w:tcPr>
            <w:tcW w:w="17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327,123</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327,123</w:t>
            </w:r>
          </w:p>
        </w:tc>
      </w:tr>
      <w:tr>
        <w:trPr>
          <w:trHeight w:val="210"/>
        </w:trPr>
        <w:tc>
          <w:tcPr>
            <w:tcW w:w="5160" w:type="dxa"/>
            <w:vAlign w:val="bottom"/>
          </w:tcPr>
          <w:p>
            <w:pPr>
              <w:spacing w:after="0" w:line="202" w:lineRule="exact"/>
              <w:rPr>
                <w:sz w:val="20"/>
                <w:szCs w:val="20"/>
                <w:color w:val="auto"/>
              </w:rPr>
            </w:pPr>
            <w:r>
              <w:rPr>
                <w:rFonts w:ascii="Arial" w:cs="Arial" w:eastAsia="Arial" w:hAnsi="Arial"/>
                <w:sz w:val="18"/>
                <w:szCs w:val="18"/>
                <w:color w:val="auto"/>
              </w:rPr>
              <w:t>Accreted interest</w:t>
            </w:r>
          </w:p>
        </w:tc>
        <w:tc>
          <w:tcPr>
            <w:tcW w:w="17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170,050</w:t>
            </w: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170,050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2017</w:t>
            </w:r>
          </w:p>
        </w:tc>
        <w:tc>
          <w:tcPr>
            <w:tcW w:w="1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50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3,407,484</w:t>
            </w:r>
          </w:p>
        </w:tc>
        <w:tc>
          <w:tcPr>
            <w:tcW w:w="520" w:type="dxa"/>
            <w:vAlign w:val="bottom"/>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24,159,801</w:t>
            </w:r>
          </w:p>
        </w:tc>
        <w:tc>
          <w:tcPr>
            <w:tcW w:w="14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300" w:hanging="292"/>
        <w:spacing w:after="0"/>
        <w:tabs>
          <w:tab w:leader="none" w:pos="3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and capital risk measurement and Fair value measurement</w:t>
      </w:r>
    </w:p>
    <w:p>
      <w:pPr>
        <w:spacing w:after="0" w:line="103" w:lineRule="exact"/>
        <w:rPr>
          <w:rFonts w:ascii="Arial" w:cs="Arial" w:eastAsia="Arial" w:hAnsi="Arial"/>
          <w:sz w:val="18"/>
          <w:szCs w:val="18"/>
          <w:b w:val="1"/>
          <w:bCs w:val="1"/>
          <w:color w:val="auto"/>
        </w:rPr>
      </w:pPr>
    </w:p>
    <w:p>
      <w:pPr>
        <w:ind w:left="460" w:hanging="452"/>
        <w:spacing w:after="0"/>
        <w:tabs>
          <w:tab w:leader="none" w:pos="46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risk management</w:t>
      </w:r>
    </w:p>
    <w:p>
      <w:pPr>
        <w:spacing w:after="0" w:line="126" w:lineRule="exact"/>
        <w:rPr>
          <w:sz w:val="20"/>
          <w:szCs w:val="20"/>
          <w:color w:val="auto"/>
        </w:rPr>
      </w:pPr>
    </w:p>
    <w:p>
      <w:pPr>
        <w:ind w:right="840" w:firstLine="456"/>
        <w:spacing w:after="0" w:line="246" w:lineRule="auto"/>
        <w:rPr>
          <w:sz w:val="20"/>
          <w:szCs w:val="20"/>
          <w:color w:val="auto"/>
        </w:rPr>
      </w:pPr>
      <w:r>
        <w:rPr>
          <w:rFonts w:ascii="Arial" w:cs="Arial" w:eastAsia="Arial" w:hAnsi="Arial"/>
          <w:sz w:val="18"/>
          <w:szCs w:val="18"/>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97"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Group’s objectives when managing capital are to safeguard the ability to continue as a going concern and ensure that sufficient capital is in place to fund the Group’s research and development activities. The Group’s principal method of adjusting the capital available is through issuing new shares or arranging suitable debt financing, including any related warrants. The Group’s share capital and share premium are disclosed in Note 17. The Group’s loans are disclosed in note 18. The Group monitors the availability of capital with regard to its committed and planned forecast future expenditure on an ongoing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23.2. Financial risk management objectives and policies</w:t>
      </w:r>
    </w:p>
    <w:p>
      <w:pPr>
        <w:spacing w:after="0" w:line="126"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Monitoring of financial risk is part of the Board’s ongoing risk management, the effectiveness of which is reviewed annually. Our agreed policies are implemented by the Chief Financial Officer, who submits periodic reports to the Board. We seek to maintain a balance between equity capital and convertible and secured debt to provide sufficient cash resources to execute our business plan. In addition, we maintain a balance between cash held on deposit and short term investments in sterling and other currencies to reduce its exposure to foreign exchange fluctuations in respect of our planned expenditure. During the year, in order to maintain a strong cash runway we completed an equity placing and arranged and drew down a new bank debt facility, which includes an initial interest-only period until September 2018.</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60" w:right="2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Except for the bank loans and the existing convertible loan notes issued in 2016,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22"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The Group’s policy in relation to interest rate risk is to monitor short and medium-term interest rates and to place cash on deposit for periods that optimise the amount of interest earned while maintaining access to sufficient funds to meet day-to-day cash requirements.</w:t>
      </w:r>
    </w:p>
    <w:p>
      <w:pPr>
        <w:spacing w:after="0" w:line="197" w:lineRule="exact"/>
        <w:rPr>
          <w:sz w:val="20"/>
          <w:szCs w:val="20"/>
          <w:color w:val="auto"/>
        </w:rPr>
      </w:pPr>
    </w:p>
    <w:p>
      <w:pPr>
        <w:ind w:right="460" w:firstLine="456"/>
        <w:spacing w:after="0" w:line="246" w:lineRule="auto"/>
        <w:rPr>
          <w:sz w:val="20"/>
          <w:szCs w:val="20"/>
          <w:color w:val="auto"/>
        </w:rPr>
      </w:pPr>
      <w:r>
        <w:rPr>
          <w:rFonts w:ascii="Arial" w:cs="Arial" w:eastAsia="Arial" w:hAnsi="Arial"/>
          <w:sz w:val="18"/>
          <w:szCs w:val="18"/>
          <w:color w:val="auto"/>
        </w:rPr>
        <w:t>The interest payable on both the convertible loan note and on the bank loan is fixed. Consequently, there is no material exposure to interest rate risk in respect of interest payable.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22"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The Group currently has no revenue. The majority of operating costs are denominated in Sterling, Euros and U.S. dollars (“USD”). Foreign exchange risk arises from commercial transactions and recognized assets and liabilities in foreign currencies. In relation to foreign currency risk, the Group’s policy is to hold the majority of its funds in Sterling and to hold sufficient USD to fund planned commitments for the next 12 months on a rolling basis with short term spot purchases to manage commitments in other currencies.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122"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Group’s policy is to place funds with financial institutions which have a minimum long-term credit rating with S&amp;P of A. The Group also allocates a quota to individual institutions in respect of cash deposits and also seeks to diversify its investments where this is consistent with achieving competitive rates of return. It is the Group’s policy to place not more than £10 million with any one investment counterparty and no more than £5m with any one cash deposit counter party.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and liquidity risk</w:t>
      </w:r>
    </w:p>
    <w:p>
      <w:pPr>
        <w:spacing w:after="0" w:line="122"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Credit risk from balances with banks and financial institutions is managed by the Group’s finance department in accordance with the Group’s policy. Investments of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minimise the concentration of risks and therefore mitigate financial loss through a counterparty’s potential failure to make payments.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maximum exposure to credit risk for the components of the balance sheet at December 31, 2017 is the carrying amounts.</w:t>
      </w:r>
    </w:p>
    <w:p>
      <w:pPr>
        <w:spacing w:after="0" w:line="21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2.3 “Going Concern” regarding the Directors’ assessment of liquidity for further information.</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459" w:right="2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23.3.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 hierarchy for liabilities as at December 31,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Fair Value Measurement using</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4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Quoted</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prices in</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rPr>
              <w:t>Significant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active</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rPr>
              <w:t>observable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Significant</w:t>
            </w:r>
          </w:p>
        </w:tc>
      </w:tr>
      <w:tr>
        <w:trPr>
          <w:trHeight w:val="16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markets</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rPr>
              <w:t>inputs</w:t>
            </w:r>
          </w:p>
        </w:tc>
        <w:tc>
          <w:tcPr>
            <w:tcW w:w="24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unobservable</w:t>
            </w:r>
          </w:p>
        </w:tc>
      </w:tr>
      <w:tr>
        <w:trPr>
          <w:trHeight w:val="157"/>
        </w:trPr>
        <w:tc>
          <w:tcPr>
            <w:tcW w:w="4680" w:type="dxa"/>
            <w:vAlign w:val="bottom"/>
          </w:tcPr>
          <w:p>
            <w:pPr>
              <w:spacing w:after="0"/>
              <w:rPr>
                <w:sz w:val="13"/>
                <w:szCs w:val="13"/>
                <w:color w:val="auto"/>
              </w:rPr>
            </w:pPr>
          </w:p>
        </w:tc>
        <w:tc>
          <w:tcPr>
            <w:tcW w:w="1180" w:type="dxa"/>
            <w:vAlign w:val="bottom"/>
          </w:tcPr>
          <w:p>
            <w:pPr>
              <w:ind w:left="60"/>
              <w:spacing w:after="0" w:line="157" w:lineRule="exact"/>
              <w:rPr>
                <w:sz w:val="20"/>
                <w:szCs w:val="20"/>
                <w:color w:val="auto"/>
              </w:rPr>
            </w:pPr>
            <w:r>
              <w:rPr>
                <w:rFonts w:ascii="Arial" w:cs="Arial" w:eastAsia="Arial" w:hAnsi="Arial"/>
                <w:sz w:val="14"/>
                <w:szCs w:val="14"/>
                <w:color w:val="auto"/>
              </w:rPr>
              <w:t>Date of valuation</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260"/>
              <w:spacing w:after="0" w:line="157" w:lineRule="exact"/>
              <w:rPr>
                <w:sz w:val="20"/>
                <w:szCs w:val="20"/>
                <w:color w:val="auto"/>
              </w:rPr>
            </w:pPr>
            <w:r>
              <w:rPr>
                <w:rFonts w:ascii="Arial" w:cs="Arial" w:eastAsia="Arial" w:hAnsi="Arial"/>
                <w:sz w:val="14"/>
                <w:szCs w:val="14"/>
                <w:color w:val="auto"/>
              </w:rPr>
              <w:t>Total</w:t>
            </w:r>
          </w:p>
        </w:tc>
        <w:tc>
          <w:tcPr>
            <w:tcW w:w="300" w:type="dxa"/>
            <w:vAlign w:val="bottom"/>
          </w:tcPr>
          <w:p>
            <w:pPr>
              <w:spacing w:after="0"/>
              <w:rPr>
                <w:sz w:val="13"/>
                <w:szCs w:val="13"/>
                <w:color w:val="auto"/>
              </w:rPr>
            </w:pPr>
          </w:p>
        </w:tc>
        <w:tc>
          <w:tcPr>
            <w:tcW w:w="1120" w:type="dxa"/>
            <w:vAlign w:val="bottom"/>
            <w:gridSpan w:val="2"/>
          </w:tcPr>
          <w:p>
            <w:pPr>
              <w:jc w:val="center"/>
              <w:ind w:right="520"/>
              <w:spacing w:after="0" w:line="157" w:lineRule="exact"/>
              <w:rPr>
                <w:sz w:val="20"/>
                <w:szCs w:val="20"/>
                <w:color w:val="auto"/>
              </w:rPr>
            </w:pPr>
            <w:r>
              <w:rPr>
                <w:rFonts w:ascii="Arial" w:cs="Arial" w:eastAsia="Arial" w:hAnsi="Arial"/>
                <w:sz w:val="14"/>
                <w:szCs w:val="14"/>
                <w:color w:val="auto"/>
              </w:rPr>
              <w:t>(Level 1)</w:t>
            </w: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3"/>
                <w:szCs w:val="13"/>
                <w:color w:val="auto"/>
              </w:rPr>
            </w:pPr>
          </w:p>
        </w:tc>
        <w:tc>
          <w:tcPr>
            <w:tcW w:w="1060" w:type="dxa"/>
            <w:vAlign w:val="bottom"/>
            <w:gridSpan w:val="3"/>
          </w:tcPr>
          <w:p>
            <w:pPr>
              <w:spacing w:after="0" w:line="157" w:lineRule="exact"/>
              <w:rPr>
                <w:sz w:val="20"/>
                <w:szCs w:val="20"/>
                <w:color w:val="auto"/>
              </w:rPr>
            </w:pPr>
            <w:r>
              <w:rPr>
                <w:rFonts w:ascii="Arial" w:cs="Arial" w:eastAsia="Arial" w:hAnsi="Arial"/>
                <w:sz w:val="14"/>
                <w:szCs w:val="14"/>
                <w:color w:val="auto"/>
              </w:rPr>
              <w:t>inputs (Level 3)</w:t>
            </w:r>
          </w:p>
        </w:tc>
      </w:tr>
      <w:tr>
        <w:trPr>
          <w:trHeight w:val="183"/>
        </w:trPr>
        <w:tc>
          <w:tcPr>
            <w:tcW w:w="4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measured at fair value:</w:t>
            </w:r>
          </w:p>
        </w:tc>
        <w:tc>
          <w:tcPr>
            <w:tcW w:w="1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rPr>
              <w:t>Provision for deferred cash consideration (Note 19)</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2,061,000</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2,061,000</w:t>
            </w:r>
          </w:p>
        </w:tc>
      </w:tr>
      <w:tr>
        <w:trPr>
          <w:trHeight w:val="203"/>
        </w:trPr>
        <w:tc>
          <w:tcPr>
            <w:tcW w:w="4680" w:type="dxa"/>
            <w:vAlign w:val="bottom"/>
          </w:tcPr>
          <w:p>
            <w:pPr>
              <w:spacing w:after="0"/>
              <w:rPr>
                <w:sz w:val="17"/>
                <w:szCs w:val="17"/>
                <w:color w:val="auto"/>
              </w:rPr>
            </w:pPr>
          </w:p>
        </w:tc>
        <w:tc>
          <w:tcPr>
            <w:tcW w:w="1180" w:type="dxa"/>
            <w:vAlign w:val="bottom"/>
          </w:tcPr>
          <w:p>
            <w:pPr>
              <w:ind w:left="60"/>
              <w:spacing w:after="0" w:line="203" w:lineRule="exact"/>
              <w:rPr>
                <w:sz w:val="20"/>
                <w:szCs w:val="20"/>
                <w:color w:val="auto"/>
              </w:rPr>
            </w:pPr>
            <w:r>
              <w:rPr>
                <w:rFonts w:ascii="Arial" w:cs="Arial" w:eastAsia="Arial" w:hAnsi="Arial"/>
                <w:sz w:val="18"/>
                <w:szCs w:val="18"/>
                <w:color w:val="auto"/>
              </w:rPr>
              <w:t>2017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 (Note 20)</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1,346,484</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1,346,484</w:t>
            </w:r>
          </w:p>
        </w:tc>
      </w:tr>
      <w:tr>
        <w:trPr>
          <w:trHeight w:val="203"/>
        </w:trPr>
        <w:tc>
          <w:tcPr>
            <w:tcW w:w="468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Liabilities for which fair values are disclosed</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loan (Note 18a)</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1,977,393</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1,977,393</w:t>
            </w:r>
          </w:p>
        </w:tc>
      </w:tr>
      <w:tr>
        <w:trPr>
          <w:trHeight w:val="203"/>
        </w:trPr>
        <w:tc>
          <w:tcPr>
            <w:tcW w:w="468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rPr>
              <w:t>Bank loan (Note 18b)</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w w:val="99"/>
              </w:rPr>
              <w:t>18,774,924</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18,774,924</w:t>
            </w:r>
          </w:p>
        </w:tc>
      </w:tr>
      <w:tr>
        <w:trPr>
          <w:trHeight w:val="217"/>
        </w:trPr>
        <w:tc>
          <w:tcPr>
            <w:tcW w:w="46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 hierarchy for liabilities as at December 31, 2016: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Fair Value Measurement using</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4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Quoted</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prices in</w:t>
            </w: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rPr>
              <w:t>Significant</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color w:val="auto"/>
              </w:rPr>
              <w:t>Significant</w:t>
            </w:r>
          </w:p>
        </w:tc>
      </w:tr>
      <w:tr>
        <w:trPr>
          <w:trHeight w:val="162"/>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active</w:t>
            </w: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rPr>
              <w:t>observable</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color w:val="auto"/>
              </w:rPr>
              <w:t>unobservable</w:t>
            </w:r>
          </w:p>
        </w:tc>
      </w:tr>
      <w:tr>
        <w:trPr>
          <w:trHeight w:val="162"/>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markets</w:t>
            </w: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rPr>
              <w:t>inputs</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color w:val="auto"/>
              </w:rPr>
              <w:t>inputs</w:t>
            </w:r>
          </w:p>
        </w:tc>
      </w:tr>
      <w:tr>
        <w:trPr>
          <w:trHeight w:val="157"/>
        </w:trPr>
        <w:tc>
          <w:tcPr>
            <w:tcW w:w="4860" w:type="dxa"/>
            <w:vAlign w:val="bottom"/>
          </w:tcPr>
          <w:p>
            <w:pPr>
              <w:spacing w:after="0"/>
              <w:rPr>
                <w:sz w:val="13"/>
                <w:szCs w:val="13"/>
                <w:color w:val="auto"/>
              </w:rPr>
            </w:pPr>
          </w:p>
        </w:tc>
        <w:tc>
          <w:tcPr>
            <w:tcW w:w="1200" w:type="dxa"/>
            <w:vAlign w:val="bottom"/>
          </w:tcPr>
          <w:p>
            <w:pPr>
              <w:ind w:left="60"/>
              <w:spacing w:after="0" w:line="157" w:lineRule="exact"/>
              <w:rPr>
                <w:sz w:val="20"/>
                <w:szCs w:val="20"/>
                <w:color w:val="auto"/>
              </w:rPr>
            </w:pPr>
            <w:r>
              <w:rPr>
                <w:rFonts w:ascii="Arial" w:cs="Arial" w:eastAsia="Arial" w:hAnsi="Arial"/>
                <w:sz w:val="14"/>
                <w:szCs w:val="14"/>
                <w:color w:val="auto"/>
              </w:rPr>
              <w:t>Date of valuation</w:t>
            </w:r>
          </w:p>
        </w:tc>
        <w:tc>
          <w:tcPr>
            <w:tcW w:w="560" w:type="dxa"/>
            <w:vAlign w:val="bottom"/>
          </w:tcPr>
          <w:p>
            <w:pPr>
              <w:spacing w:after="0"/>
              <w:rPr>
                <w:sz w:val="13"/>
                <w:szCs w:val="13"/>
                <w:color w:val="auto"/>
              </w:rPr>
            </w:pP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3"/>
                <w:szCs w:val="13"/>
                <w:color w:val="auto"/>
              </w:rPr>
            </w:pPr>
          </w:p>
        </w:tc>
        <w:tc>
          <w:tcPr>
            <w:tcW w:w="1120" w:type="dxa"/>
            <w:vAlign w:val="bottom"/>
            <w:gridSpan w:val="2"/>
          </w:tcPr>
          <w:p>
            <w:pPr>
              <w:jc w:val="center"/>
              <w:ind w:right="560"/>
              <w:spacing w:after="0" w:line="157" w:lineRule="exact"/>
              <w:rPr>
                <w:sz w:val="20"/>
                <w:szCs w:val="20"/>
                <w:color w:val="auto"/>
              </w:rPr>
            </w:pPr>
            <w:r>
              <w:rPr>
                <w:rFonts w:ascii="Arial" w:cs="Arial" w:eastAsia="Arial" w:hAnsi="Arial"/>
                <w:sz w:val="14"/>
                <w:szCs w:val="14"/>
                <w:color w:val="auto"/>
              </w:rPr>
              <w:t>(Level 1)</w:t>
            </w:r>
          </w:p>
        </w:tc>
        <w:tc>
          <w:tcPr>
            <w:tcW w:w="1240" w:type="dxa"/>
            <w:vAlign w:val="bottom"/>
            <w:gridSpan w:val="2"/>
          </w:tcPr>
          <w:p>
            <w:pPr>
              <w:jc w:val="center"/>
              <w:ind w:right="560"/>
              <w:spacing w:after="0" w:line="157" w:lineRule="exact"/>
              <w:rPr>
                <w:sz w:val="20"/>
                <w:szCs w:val="20"/>
                <w:color w:val="auto"/>
              </w:rPr>
            </w:pPr>
            <w:r>
              <w:rPr>
                <w:rFonts w:ascii="Arial" w:cs="Arial" w:eastAsia="Arial" w:hAnsi="Arial"/>
                <w:sz w:val="14"/>
                <w:szCs w:val="14"/>
                <w:color w:val="auto"/>
              </w:rPr>
              <w:t>(Level 2)</w:t>
            </w:r>
          </w:p>
        </w:tc>
        <w:tc>
          <w:tcPr>
            <w:tcW w:w="98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(Level 3)</w:t>
            </w:r>
          </w:p>
        </w:tc>
      </w:tr>
      <w:tr>
        <w:trPr>
          <w:trHeight w:val="183"/>
        </w:trPr>
        <w:tc>
          <w:tcPr>
            <w:tcW w:w="4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for which fair values are disclosed</w:t>
            </w:r>
          </w:p>
        </w:tc>
        <w:tc>
          <w:tcPr>
            <w:tcW w:w="1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Convertible loan (Note 18a)</w:t>
            </w:r>
          </w:p>
        </w:tc>
        <w:tc>
          <w:tcPr>
            <w:tcW w:w="1200" w:type="dxa"/>
            <w:vAlign w:val="bottom"/>
          </w:tcPr>
          <w:p>
            <w:pPr>
              <w:ind w:left="60"/>
              <w:spacing w:after="0" w:line="201" w:lineRule="exact"/>
              <w:rPr>
                <w:sz w:val="20"/>
                <w:szCs w:val="20"/>
                <w:color w:val="auto"/>
              </w:rPr>
            </w:pPr>
            <w:r>
              <w:rPr>
                <w:rFonts w:ascii="Arial" w:cs="Arial" w:eastAsia="Arial" w:hAnsi="Arial"/>
                <w:sz w:val="18"/>
                <w:szCs w:val="18"/>
                <w:color w:val="auto"/>
                <w:w w:val="99"/>
              </w:rPr>
              <w:t>December 31,</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486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2016</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£3,126,526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rPr>
              <w:t>£3,126,526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a comparison, by class, of the carrying amounts and fair values of the Group’s financial instruments: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36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 2016</w:t>
            </w:r>
          </w:p>
        </w:tc>
        <w:tc>
          <w:tcPr>
            <w:tcW w:w="2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2017</w:t>
            </w:r>
          </w:p>
        </w:tc>
      </w:tr>
      <w:tr>
        <w:trPr>
          <w:trHeight w:val="142"/>
        </w:trPr>
        <w:tc>
          <w:tcPr>
            <w:tcW w:w="582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Carrying</w:t>
            </w:r>
          </w:p>
        </w:tc>
        <w:tc>
          <w:tcPr>
            <w:tcW w:w="6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Carrying</w:t>
            </w: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82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Fair value</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58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83"/>
        </w:trPr>
        <w:tc>
          <w:tcPr>
            <w:tcW w:w="58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1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2,061,000</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2,061,000</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1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1,346,484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1,346,484</w:t>
            </w:r>
          </w:p>
        </w:tc>
      </w:tr>
    </w:tbl>
    <w:p>
      <w:pPr>
        <w:spacing w:after="0" w:line="215" w:lineRule="exact"/>
        <w:rPr>
          <w:sz w:val="20"/>
          <w:szCs w:val="20"/>
          <w:color w:val="auto"/>
        </w:rPr>
      </w:pPr>
    </w:p>
    <w:p>
      <w:pPr>
        <w:jc w:val="both"/>
        <w:ind w:right="440"/>
        <w:spacing w:after="0" w:line="246" w:lineRule="auto"/>
        <w:rPr>
          <w:sz w:val="20"/>
          <w:szCs w:val="20"/>
          <w:color w:val="auto"/>
        </w:rPr>
      </w:pPr>
      <w:r>
        <w:rPr>
          <w:rFonts w:ascii="Arial" w:cs="Arial" w:eastAsia="Arial" w:hAnsi="Arial"/>
          <w:sz w:val="18"/>
          <w:szCs w:val="18"/>
          <w:color w:val="auto"/>
        </w:rPr>
        <w:t>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values:</w:t>
      </w:r>
    </w:p>
    <w:p>
      <w:pPr>
        <w:spacing w:after="0" w:line="117" w:lineRule="exact"/>
        <w:rPr>
          <w:sz w:val="20"/>
          <w:szCs w:val="20"/>
          <w:color w:val="auto"/>
        </w:rPr>
      </w:pPr>
    </w:p>
    <w:p>
      <w:pPr>
        <w:ind w:left="900" w:right="4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right="20"/>
        <w:spacing w:after="0" w:line="239" w:lineRule="auto"/>
        <w:rPr>
          <w:sz w:val="20"/>
          <w:szCs w:val="20"/>
          <w:color w:val="auto"/>
        </w:rPr>
      </w:pPr>
      <w:r>
        <w:rPr>
          <w:rFonts w:ascii="Arial" w:cs="Arial" w:eastAsia="Arial" w:hAnsi="Arial"/>
          <w:sz w:val="18"/>
          <w:szCs w:val="18"/>
          <w:color w:val="auto"/>
        </w:rPr>
        <w:t>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07" w:lineRule="exact"/>
        <w:rPr>
          <w:sz w:val="20"/>
          <w:szCs w:val="20"/>
          <w:color w:val="auto"/>
        </w:rPr>
      </w:pPr>
    </w:p>
    <w:p>
      <w:pPr>
        <w:ind w:left="900" w:right="80" w:hanging="325"/>
        <w:spacing w:after="0" w:line="246"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warrant liability is estimated using the Black-Scholes model taking into account appropriate amendments to inputs in respect of volatility and remaining expected life of the warrants, cost of capital, probability of success and interest rates.</w:t>
      </w:r>
    </w:p>
    <w:p>
      <w:pPr>
        <w:spacing w:after="0" w:line="19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significant unobservable inputs used in the fair value measurements categorized within Level 3 of the fair value hierarchy, together with a quantitative sensitivity analysis as at December 31, 2017 and 2016 are as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Range</w:t>
            </w: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unobservable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39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deferred cash consideration</w:t>
            </w:r>
          </w:p>
        </w:tc>
        <w:tc>
          <w:tcPr>
            <w:tcW w:w="8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inputs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DCF</w:t>
            </w: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WACC</w:t>
            </w: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2017: 15.3%</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 increase / (decrease) would result in a</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decrease / (increase) in fair value by £30,000.</w:t>
            </w: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Probability</w:t>
            </w:r>
          </w:p>
        </w:tc>
        <w:tc>
          <w:tcPr>
            <w:tcW w:w="1400" w:type="dxa"/>
            <w:vAlign w:val="bottom"/>
            <w:gridSpan w:val="2"/>
          </w:tcPr>
          <w:p>
            <w:pPr>
              <w:spacing w:after="0"/>
              <w:rPr>
                <w:sz w:val="20"/>
                <w:szCs w:val="20"/>
                <w:color w:val="auto"/>
              </w:rPr>
            </w:pPr>
            <w:r>
              <w:rPr>
                <w:rFonts w:ascii="Arial" w:cs="Arial" w:eastAsia="Arial" w:hAnsi="Arial"/>
                <w:sz w:val="18"/>
                <w:szCs w:val="18"/>
                <w:color w:val="auto"/>
              </w:rPr>
              <w:t>2017: 28 –</w:t>
            </w:r>
          </w:p>
        </w:tc>
        <w:tc>
          <w:tcPr>
            <w:tcW w:w="3980" w:type="dxa"/>
            <w:vAlign w:val="bottom"/>
          </w:tcPr>
          <w:p>
            <w:pPr>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of success</w:t>
            </w:r>
          </w:p>
        </w:tc>
        <w:tc>
          <w:tcPr>
            <w:tcW w:w="1280" w:type="dxa"/>
            <w:vAlign w:val="bottom"/>
          </w:tcPr>
          <w:p>
            <w:pPr>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 (decrease) in fair value by £600,000.</w:t>
            </w:r>
          </w:p>
        </w:tc>
        <w:tc>
          <w:tcPr>
            <w:tcW w:w="0" w:type="dxa"/>
            <w:vAlign w:val="bottom"/>
          </w:tcPr>
          <w:p>
            <w:pPr>
              <w:spacing w:after="0"/>
              <w:rPr>
                <w:sz w:val="1"/>
                <w:szCs w:val="1"/>
                <w:color w:val="auto"/>
              </w:rPr>
            </w:pPr>
          </w:p>
        </w:tc>
      </w:tr>
      <w:tr>
        <w:trPr>
          <w:trHeight w:val="310"/>
        </w:trPr>
        <w:tc>
          <w:tcPr>
            <w:tcW w:w="3680" w:type="dxa"/>
            <w:vAlign w:val="bottom"/>
          </w:tcPr>
          <w:p>
            <w:pPr>
              <w:spacing w:after="0"/>
              <w:rPr>
                <w:sz w:val="20"/>
                <w:szCs w:val="20"/>
                <w:color w:val="auto"/>
              </w:rPr>
            </w:pPr>
            <w:r>
              <w:rPr>
                <w:rFonts w:ascii="Arial" w:cs="Arial" w:eastAsia="Arial" w:hAnsi="Arial"/>
                <w:sz w:val="18"/>
                <w:szCs w:val="18"/>
                <w:b w:val="1"/>
                <w:bCs w:val="1"/>
                <w:color w:val="auto"/>
              </w:rPr>
              <w:t>Warrant liability</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Black</w:t>
            </w: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Risk free</w:t>
            </w:r>
          </w:p>
        </w:tc>
        <w:tc>
          <w:tcPr>
            <w:tcW w:w="1280" w:type="dxa"/>
            <w:vAlign w:val="bottom"/>
          </w:tcPr>
          <w:p>
            <w:pPr>
              <w:spacing w:after="0"/>
              <w:rPr>
                <w:sz w:val="20"/>
                <w:szCs w:val="20"/>
                <w:color w:val="auto"/>
              </w:rPr>
            </w:pPr>
            <w:r>
              <w:rPr>
                <w:rFonts w:ascii="Arial" w:cs="Arial" w:eastAsia="Arial" w:hAnsi="Arial"/>
                <w:sz w:val="18"/>
                <w:szCs w:val="18"/>
                <w:color w:val="auto"/>
              </w:rPr>
              <w:t>2017: 1.25%</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 increase / (decrease) would result in an</w:t>
            </w: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9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Scholes</w:t>
            </w:r>
          </w:p>
        </w:tc>
        <w:tc>
          <w:tcPr>
            <w:tcW w:w="14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interest</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increase / (decrease) of £46,000.</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rate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Volatility</w:t>
            </w:r>
          </w:p>
        </w:tc>
        <w:tc>
          <w:tcPr>
            <w:tcW w:w="1280" w:type="dxa"/>
            <w:vAlign w:val="bottom"/>
          </w:tcPr>
          <w:p>
            <w:pPr>
              <w:spacing w:after="0"/>
              <w:rPr>
                <w:sz w:val="20"/>
                <w:szCs w:val="20"/>
                <w:color w:val="auto"/>
              </w:rPr>
            </w:pPr>
            <w:r>
              <w:rPr>
                <w:rFonts w:ascii="Arial" w:cs="Arial" w:eastAsia="Arial" w:hAnsi="Arial"/>
                <w:sz w:val="18"/>
                <w:szCs w:val="18"/>
                <w:color w:val="auto"/>
              </w:rPr>
              <w:t>2017: 50%</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 (decrease) of £200,000.</w:t>
            </w: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Remaining</w:t>
            </w:r>
          </w:p>
        </w:tc>
        <w:tc>
          <w:tcPr>
            <w:tcW w:w="128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 (decrease) of 365 days would result in</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life</w:t>
            </w:r>
          </w:p>
        </w:tc>
        <w:tc>
          <w:tcPr>
            <w:tcW w:w="1400" w:type="dxa"/>
            <w:vAlign w:val="bottom"/>
            <w:gridSpan w:val="2"/>
          </w:tcPr>
          <w:p>
            <w:pPr>
              <w:spacing w:after="0"/>
              <w:rPr>
                <w:sz w:val="20"/>
                <w:szCs w:val="20"/>
                <w:color w:val="auto"/>
              </w:rPr>
            </w:pPr>
            <w:r>
              <w:rPr>
                <w:rFonts w:ascii="Arial" w:cs="Arial" w:eastAsia="Arial" w:hAnsi="Arial"/>
                <w:sz w:val="18"/>
                <w:szCs w:val="18"/>
                <w:color w:val="auto"/>
              </w:rPr>
              <w:t>3519 days</w:t>
            </w:r>
          </w:p>
        </w:tc>
        <w:tc>
          <w:tcPr>
            <w:tcW w:w="3980" w:type="dxa"/>
            <w:vAlign w:val="bottom"/>
          </w:tcPr>
          <w:p>
            <w:pPr>
              <w:spacing w:after="0"/>
              <w:rPr>
                <w:sz w:val="20"/>
                <w:szCs w:val="20"/>
                <w:color w:val="auto"/>
              </w:rPr>
            </w:pPr>
            <w:r>
              <w:rPr>
                <w:rFonts w:ascii="Arial" w:cs="Arial" w:eastAsia="Arial" w:hAnsi="Arial"/>
                <w:sz w:val="18"/>
                <w:szCs w:val="18"/>
                <w:color w:val="auto"/>
              </w:rPr>
              <w:t>an increase / (decrease) of £54,000.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maturity profile of the Group’s financial liabilities based on contractual undiscounted payments at</w:t>
      </w:r>
    </w:p>
    <w:p>
      <w:pPr>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3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6"/>
          </w:tcPr>
          <w:p>
            <w:pPr>
              <w:ind w:left="40"/>
              <w:spacing w:after="0"/>
              <w:rPr>
                <w:sz w:val="20"/>
                <w:szCs w:val="20"/>
                <w:color w:val="auto"/>
              </w:rPr>
            </w:pPr>
            <w:r>
              <w:rPr>
                <w:rFonts w:ascii="Arial" w:cs="Arial" w:eastAsia="Arial" w:hAnsi="Arial"/>
                <w:sz w:val="14"/>
                <w:szCs w:val="14"/>
                <w:b w:val="1"/>
                <w:bCs w:val="1"/>
                <w:color w:val="auto"/>
              </w:rPr>
              <w:t>Up to 1 year</w:t>
            </w:r>
          </w:p>
        </w:tc>
        <w:tc>
          <w:tcPr>
            <w:tcW w:w="160" w:type="dxa"/>
            <w:vAlign w:val="bottom"/>
          </w:tcPr>
          <w:p>
            <w:pPr>
              <w:spacing w:after="0"/>
              <w:rPr>
                <w:sz w:val="15"/>
                <w:szCs w:val="15"/>
                <w:color w:val="auto"/>
              </w:rPr>
            </w:pPr>
          </w:p>
        </w:tc>
        <w:tc>
          <w:tcPr>
            <w:tcW w:w="11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5"/>
                <w:szCs w:val="15"/>
                <w:color w:val="auto"/>
              </w:rPr>
            </w:pPr>
          </w:p>
        </w:tc>
        <w:tc>
          <w:tcPr>
            <w:tcW w:w="1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3-5 Years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 5 Years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82,600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165,427</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£2,078,815</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£ 2,326,842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206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£3,574,208</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5"/>
          </w:tcPr>
          <w:p>
            <w:pPr>
              <w:jc w:val="right"/>
              <w:ind w:right="199"/>
              <w:spacing w:after="0" w:line="202" w:lineRule="exact"/>
              <w:rPr>
                <w:sz w:val="20"/>
                <w:szCs w:val="20"/>
                <w:color w:val="auto"/>
              </w:rPr>
            </w:pPr>
            <w:r>
              <w:rPr>
                <w:rFonts w:ascii="Arial" w:cs="Arial" w:eastAsia="Arial" w:hAnsi="Arial"/>
                <w:sz w:val="18"/>
                <w:szCs w:val="18"/>
                <w:color w:val="auto"/>
                <w:w w:val="99"/>
              </w:rPr>
              <w:t>£17,793,665</w:t>
            </w:r>
          </w:p>
        </w:tc>
        <w:tc>
          <w:tcPr>
            <w:tcW w:w="2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£2,982,805</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£24,350,678</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743,858</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535,203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£ 1,279,061</w:t>
            </w:r>
          </w:p>
        </w:tc>
      </w:tr>
      <w:tr>
        <w:trPr>
          <w:trHeight w:val="20"/>
        </w:trPr>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4,400,666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18,494,295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5,061,620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27,956,581</w:t>
            </w:r>
          </w:p>
        </w:tc>
      </w:tr>
      <w:tr>
        <w:trPr>
          <w:trHeight w:val="20"/>
        </w:trPr>
        <w:tc>
          <w:tcPr>
            <w:tcW w:w="46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580" w:type="dxa"/>
            <w:vAlign w:val="bottom"/>
            <w:gridSpan w:val="11"/>
          </w:tcPr>
          <w:p>
            <w:pPr>
              <w:spacing w:after="0"/>
              <w:rPr>
                <w:sz w:val="20"/>
                <w:szCs w:val="20"/>
                <w:color w:val="auto"/>
              </w:rPr>
            </w:pPr>
            <w:r>
              <w:rPr>
                <w:rFonts w:ascii="Arial" w:cs="Arial" w:eastAsia="Arial" w:hAnsi="Arial"/>
                <w:sz w:val="18"/>
                <w:szCs w:val="18"/>
                <w:color w:val="auto"/>
              </w:rPr>
              <w:t>The table below summarizes our contractual obligations at December 31, 2016:</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3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8"/>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3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5"/>
          </w:tcPr>
          <w:p>
            <w:pPr>
              <w:ind w:left="300"/>
              <w:spacing w:after="0"/>
              <w:rPr>
                <w:sz w:val="20"/>
                <w:szCs w:val="20"/>
                <w:color w:val="auto"/>
              </w:rPr>
            </w:pPr>
            <w:r>
              <w:rPr>
                <w:rFonts w:ascii="Arial" w:cs="Arial" w:eastAsia="Arial" w:hAnsi="Arial"/>
                <w:sz w:val="14"/>
                <w:szCs w:val="14"/>
                <w:b w:val="1"/>
                <w:bCs w:val="1"/>
                <w:color w:val="auto"/>
              </w:rPr>
              <w:t>Up to 1 year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Over 5 Years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£ 138,543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3,660,559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gridSpan w:val="2"/>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£3,799,102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5"/>
            <w:shd w:val="clear" w:color="auto" w:fill="CCEEFF"/>
          </w:tcPr>
          <w:p>
            <w:pPr>
              <w:ind w:left="300"/>
              <w:spacing w:after="0" w:line="202" w:lineRule="exact"/>
              <w:rPr>
                <w:sz w:val="20"/>
                <w:szCs w:val="20"/>
                <w:color w:val="auto"/>
              </w:rPr>
            </w:pPr>
            <w:r>
              <w:rPr>
                <w:rFonts w:ascii="Arial" w:cs="Arial" w:eastAsia="Arial" w:hAnsi="Arial"/>
                <w:sz w:val="18"/>
                <w:szCs w:val="18"/>
                <w:color w:val="auto"/>
              </w:rPr>
              <w:t>£ 325,920</w:t>
            </w:r>
          </w:p>
        </w:tc>
        <w:tc>
          <w:tcPr>
            <w:tcW w:w="1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651,840</w:t>
            </w:r>
          </w:p>
        </w:tc>
        <w:tc>
          <w:tcPr>
            <w:tcW w:w="1580" w:type="dxa"/>
            <w:vAlign w:val="bottom"/>
            <w:gridSpan w:val="5"/>
            <w:shd w:val="clear" w:color="auto" w:fill="CCEEFF"/>
          </w:tcPr>
          <w:p>
            <w:pPr>
              <w:jc w:val="center"/>
              <w:ind w:left="14"/>
              <w:spacing w:after="0" w:line="202" w:lineRule="exact"/>
              <w:rPr>
                <w:sz w:val="20"/>
                <w:szCs w:val="20"/>
                <w:color w:val="auto"/>
              </w:rPr>
            </w:pPr>
            <w:r>
              <w:rPr>
                <w:rFonts w:ascii="Arial" w:cs="Arial" w:eastAsia="Arial" w:hAnsi="Arial"/>
                <w:sz w:val="18"/>
                <w:szCs w:val="18"/>
                <w:color w:val="auto"/>
              </w:rPr>
              <w:t>£202,736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£1,180,496</w:t>
            </w:r>
          </w:p>
        </w:tc>
      </w:tr>
      <w:tr>
        <w:trPr>
          <w:trHeight w:val="217"/>
        </w:trPr>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5"/>
          </w:tcPr>
          <w:p>
            <w:pPr>
              <w:ind w:left="300"/>
              <w:spacing w:after="0"/>
              <w:rPr>
                <w:sz w:val="20"/>
                <w:szCs w:val="20"/>
                <w:color w:val="auto"/>
              </w:rPr>
            </w:pPr>
            <w:r>
              <w:rPr>
                <w:rFonts w:ascii="Arial" w:cs="Arial" w:eastAsia="Arial" w:hAnsi="Arial"/>
                <w:sz w:val="18"/>
                <w:szCs w:val="18"/>
                <w:color w:val="auto"/>
              </w:rPr>
              <w:t>£ 464,463</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312,399</w:t>
            </w:r>
          </w:p>
        </w:tc>
        <w:tc>
          <w:tcPr>
            <w:tcW w:w="1580" w:type="dxa"/>
            <w:vAlign w:val="bottom"/>
            <w:gridSpan w:val="5"/>
          </w:tcPr>
          <w:p>
            <w:pPr>
              <w:jc w:val="center"/>
              <w:ind w:left="14"/>
              <w:spacing w:after="0"/>
              <w:rPr>
                <w:sz w:val="20"/>
                <w:szCs w:val="20"/>
                <w:color w:val="auto"/>
              </w:rPr>
            </w:pPr>
            <w:r>
              <w:rPr>
                <w:rFonts w:ascii="Arial" w:cs="Arial" w:eastAsia="Arial" w:hAnsi="Arial"/>
                <w:sz w:val="18"/>
                <w:szCs w:val="18"/>
                <w:color w:val="auto"/>
              </w:rPr>
              <w:t>£202,736</w:t>
            </w:r>
          </w:p>
        </w:tc>
        <w:tc>
          <w:tcPr>
            <w:tcW w:w="12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£4,979,598</w:t>
            </w:r>
          </w:p>
        </w:tc>
      </w:tr>
    </w:tbl>
    <w:p>
      <w:pPr>
        <w:spacing w:after="0" w:line="201" w:lineRule="exact"/>
        <w:rPr>
          <w:sz w:val="20"/>
          <w:szCs w:val="20"/>
          <w:color w:val="auto"/>
        </w:rPr>
      </w:pPr>
    </w:p>
    <w:p>
      <w:pPr>
        <w:ind w:right="560" w:firstLine="456"/>
        <w:spacing w:after="0" w:line="246" w:lineRule="auto"/>
        <w:rPr>
          <w:sz w:val="20"/>
          <w:szCs w:val="20"/>
          <w:color w:val="auto"/>
        </w:rPr>
      </w:pPr>
      <w:r>
        <w:rPr>
          <w:rFonts w:ascii="Arial" w:cs="Arial" w:eastAsia="Arial" w:hAnsi="Arial"/>
          <w:sz w:val="18"/>
          <w:szCs w:val="18"/>
          <w:color w:val="auto"/>
        </w:rPr>
        <w:t>We may incur potential payments upon our achievement of clinical, regulatory and commercial milestones, as applicable, or royalty payments that we may be required to make under license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agreements we have entered into with various entities pursuant to which we have in-licensed certain intellectual property, including our license agreements with Novartis and AstraZeneca. Due to the uncertainty of the achievement and timing of the events requiring payment under these agreements, the amounts to be paid by us are not fixed or determinable at this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Share-based payments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charge for employee-related share-based payments under IFRS 2 arises across the following plans:</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2015 Plan</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6,185,067</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2,441,671</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Share Option Plan</w:t>
            </w:r>
          </w:p>
        </w:tc>
        <w:tc>
          <w:tcPr>
            <w:tcW w:w="10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586,291</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LTIP</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298,287</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DBSP</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175,350</w:t>
            </w:r>
          </w:p>
        </w:tc>
        <w:tc>
          <w:tcPr>
            <w:tcW w:w="56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325,649</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6,494,018</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3,651,898</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Plan</w:t>
      </w:r>
    </w:p>
    <w:p>
      <w:pPr>
        <w:spacing w:after="0" w:line="126"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Non-Executive Directors. Share options vest over four years for executive management and employees and over three years for Non-Executive Directors. There are no performance conditions attached to the options issued under the Option Plan. 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205"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less a discount agreed with the Group’s institutional investors. The contractual term of the share options is ten years.</w:t>
      </w:r>
    </w:p>
    <w:p>
      <w:pPr>
        <w:spacing w:after="0" w:line="197"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Of the £6,185,067 expense recognized under the option plan for employee services received during 2016, £298,836 is an accelerated charge relating to 500,000 options which were cancelled on June 9, 2016.</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share options were issued during the year under the 2015 Share Plan.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number and weighted average exercise prices (WAEP) of, and movements in, share options during the</w:t>
      </w:r>
    </w:p>
    <w:p>
      <w:pPr>
        <w:spacing w:after="0"/>
        <w:rPr>
          <w:sz w:val="20"/>
          <w:szCs w:val="20"/>
          <w:color w:val="auto"/>
        </w:rPr>
      </w:pPr>
      <w:r>
        <w:rPr>
          <w:rFonts w:ascii="Arial" w:cs="Arial" w:eastAsia="Arial" w:hAnsi="Arial"/>
          <w:sz w:val="18"/>
          <w:szCs w:val="18"/>
          <w:color w:val="auto"/>
        </w:rPr>
        <w:t>year: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9"/>
              </w:rPr>
              <w:t>WAEP</w:t>
            </w:r>
          </w:p>
        </w:tc>
        <w:tc>
          <w:tcPr>
            <w:tcW w:w="12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3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8,964,394</w:t>
            </w: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9,198,655</w:t>
            </w: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47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1,316,117</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260" w:type="dxa"/>
            <w:vAlign w:val="bottom"/>
          </w:tcPr>
          <w:p>
            <w:pPr>
              <w:spacing w:after="0"/>
              <w:rPr>
                <w:sz w:val="17"/>
                <w:szCs w:val="17"/>
                <w:color w:val="auto"/>
              </w:rPr>
            </w:pP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47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(500,000)</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34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(581,856)</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15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(74,045)</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34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9,198,655</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5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9,124,610</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3460" w:type="dxa"/>
            <w:vAlign w:val="bottom"/>
          </w:tcPr>
          <w:p>
            <w:pPr>
              <w:spacing w:after="0"/>
              <w:rPr>
                <w:sz w:val="17"/>
                <w:szCs w:val="17"/>
                <w:color w:val="auto"/>
              </w:rPr>
            </w:pPr>
          </w:p>
        </w:tc>
        <w:tc>
          <w:tcPr>
            <w:tcW w:w="128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3,115,337</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1580" w:type="dxa"/>
            <w:vAlign w:val="bottom"/>
            <w:gridSpan w:val="3"/>
          </w:tcPr>
          <w:p>
            <w:pPr>
              <w:jc w:val="right"/>
              <w:ind w:right="340"/>
              <w:spacing w:after="0" w:line="196" w:lineRule="exact"/>
              <w:rPr>
                <w:sz w:val="20"/>
                <w:szCs w:val="20"/>
                <w:color w:val="auto"/>
              </w:rPr>
            </w:pPr>
            <w:r>
              <w:rPr>
                <w:rFonts w:ascii="Arial" w:cs="Arial" w:eastAsia="Arial" w:hAnsi="Arial"/>
                <w:sz w:val="18"/>
                <w:szCs w:val="18"/>
                <w:color w:val="auto"/>
              </w:rPr>
              <w:t>5,655,676</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740" w:type="dxa"/>
            <w:vAlign w:val="bottom"/>
            <w:gridSpan w:val="3"/>
          </w:tcPr>
          <w:p>
            <w:pPr>
              <w:jc w:val="right"/>
              <w:ind w:right="2900"/>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firstLine="456"/>
        <w:spacing w:after="0" w:line="246" w:lineRule="auto"/>
        <w:rPr>
          <w:sz w:val="20"/>
          <w:szCs w:val="20"/>
          <w:color w:val="auto"/>
        </w:rPr>
      </w:pPr>
      <w:r>
        <w:rPr>
          <w:rFonts w:ascii="Arial" w:cs="Arial" w:eastAsia="Arial" w:hAnsi="Arial"/>
          <w:sz w:val="18"/>
          <w:szCs w:val="18"/>
          <w:color w:val="auto"/>
        </w:rPr>
        <w:t>The weighted average remaining contractual life for the share options outstanding as at December 31, 2017 was 7.6 years (2016: 8.3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options granted in 2017. The weighted average fair value of options granted during 2016 was £1.29.</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at the end of the year had an exercise price of between £1.29 and £2.21.</w:t>
      </w:r>
    </w:p>
    <w:p>
      <w:pPr>
        <w:spacing w:after="0" w:line="212" w:lineRule="exact"/>
        <w:rPr>
          <w:sz w:val="20"/>
          <w:szCs w:val="20"/>
          <w:color w:val="auto"/>
        </w:rPr>
      </w:pPr>
    </w:p>
    <w:p>
      <w:pPr>
        <w:ind w:right="540" w:firstLine="456"/>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years ended December 31, 2016 and 2017:</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5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9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5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9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1.48–2.07</w:t>
            </w:r>
          </w:p>
        </w:tc>
        <w:tc>
          <w:tcPr>
            <w:tcW w:w="90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1.84–2.21</w:t>
            </w:r>
          </w:p>
        </w:tc>
        <w:tc>
          <w:tcPr>
            <w:tcW w:w="90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Black Scholes</w:t>
            </w:r>
          </w:p>
        </w:tc>
        <w:tc>
          <w:tcPr>
            <w:tcW w:w="9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78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12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Mereo BioPharma Group plc Share Option Plan (“Share Option Plan”) provides for the grant of options to acquire our ordinary shares to employees, executive directors and executive officers. Options may be granted to all eligible employees on commencement of employment and may be granted on a periodic basis after that. 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 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 be settled in cash or by net exercise of the option.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Movements during the period</w:t>
      </w:r>
    </w:p>
    <w:p>
      <w:pPr>
        <w:spacing w:after="0" w:line="126"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Share Option Plan during the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9"/>
              </w:rPr>
              <w:t>WAEP</w:t>
            </w:r>
          </w:p>
        </w:tc>
        <w:tc>
          <w:tcPr>
            <w:tcW w:w="126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82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56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1,593,188</w:t>
            </w:r>
          </w:p>
        </w:tc>
        <w:tc>
          <w:tcPr>
            <w:tcW w:w="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5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(15,000)</w:t>
            </w:r>
          </w:p>
        </w:tc>
        <w:tc>
          <w:tcPr>
            <w:tcW w:w="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5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1,578,188</w:t>
            </w:r>
          </w:p>
        </w:tc>
        <w:tc>
          <w:tcPr>
            <w:tcW w:w="4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3.05</w:t>
            </w:r>
          </w:p>
        </w:tc>
        <w:tc>
          <w:tcPr>
            <w:tcW w:w="0" w:type="dxa"/>
            <w:vAlign w:val="bottom"/>
          </w:tcPr>
          <w:p>
            <w:pPr>
              <w:spacing w:after="0"/>
              <w:rPr>
                <w:sz w:val="1"/>
                <w:szCs w:val="1"/>
                <w:color w:val="auto"/>
              </w:rPr>
            </w:pPr>
          </w:p>
        </w:tc>
      </w:tr>
      <w:tr>
        <w:trPr>
          <w:trHeight w:val="20"/>
        </w:trPr>
        <w:tc>
          <w:tcPr>
            <w:tcW w:w="78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5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132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2017 was 9.4 years.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options granted during the year was £1.85.</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at the end of the year had an exercise price of between £3.03 and £3.23.</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 ended</w:t>
      </w:r>
    </w:p>
    <w:p>
      <w:pPr>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280" w:type="dxa"/>
            <w:vAlign w:val="bottom"/>
          </w:tcPr>
          <w:p>
            <w:pPr>
              <w:spacing w:after="0"/>
              <w:rPr>
                <w:sz w:val="14"/>
                <w:szCs w:val="14"/>
                <w:color w:val="auto"/>
              </w:rPr>
            </w:pPr>
          </w:p>
        </w:tc>
        <w:tc>
          <w:tcPr>
            <w:tcW w:w="2260" w:type="dxa"/>
            <w:vAlign w:val="bottom"/>
            <w:gridSpan w:val="2"/>
          </w:tcPr>
          <w:p>
            <w:pPr>
              <w:jc w:val="center"/>
              <w:ind w:left="124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80" w:type="dxa"/>
            <w:vAlign w:val="bottom"/>
          </w:tcPr>
          <w:p>
            <w:pPr>
              <w:spacing w:after="0"/>
              <w:rPr>
                <w:sz w:val="15"/>
                <w:szCs w:val="15"/>
                <w:color w:val="auto"/>
              </w:rPr>
            </w:pPr>
          </w:p>
        </w:tc>
        <w:tc>
          <w:tcPr>
            <w:tcW w:w="2260" w:type="dxa"/>
            <w:vAlign w:val="bottom"/>
            <w:gridSpan w:val="2"/>
          </w:tcPr>
          <w:p>
            <w:pPr>
              <w:jc w:val="center"/>
              <w:ind w:left="1228"/>
              <w:spacing w:after="0"/>
              <w:rPr>
                <w:sz w:val="20"/>
                <w:szCs w:val="20"/>
                <w:color w:val="auto"/>
              </w:rPr>
            </w:pPr>
            <w:r>
              <w:rPr>
                <w:rFonts w:ascii="Arial" w:cs="Arial" w:eastAsia="Arial" w:hAnsi="Arial"/>
                <w:sz w:val="14"/>
                <w:szCs w:val="14"/>
                <w:b w:val="1"/>
                <w:bCs w:val="1"/>
                <w:color w:val="auto"/>
              </w:rPr>
              <w:t>2016</w:t>
            </w:r>
          </w:p>
        </w:tc>
        <w:tc>
          <w:tcPr>
            <w:tcW w:w="2140" w:type="dxa"/>
            <w:vAlign w:val="bottom"/>
            <w:gridSpan w:val="2"/>
          </w:tcPr>
          <w:p>
            <w:pPr>
              <w:jc w:val="center"/>
              <w:ind w:left="814"/>
              <w:spacing w:after="0"/>
              <w:rPr>
                <w:sz w:val="20"/>
                <w:szCs w:val="20"/>
                <w:color w:val="auto"/>
              </w:rPr>
            </w:pPr>
            <w:r>
              <w:rPr>
                <w:rFonts w:ascii="Arial" w:cs="Arial" w:eastAsia="Arial" w:hAnsi="Arial"/>
                <w:sz w:val="14"/>
                <w:szCs w:val="14"/>
                <w:b w:val="1"/>
                <w:bCs w:val="1"/>
                <w:color w:val="auto"/>
              </w:rPr>
              <w:t>2017</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320" w:type="dxa"/>
            <w:vAlign w:val="bottom"/>
          </w:tcPr>
          <w:p>
            <w:pPr>
              <w:spacing w:after="0"/>
              <w:rPr>
                <w:sz w:val="17"/>
                <w:szCs w:val="17"/>
                <w:color w:val="auto"/>
              </w:rPr>
            </w:pPr>
          </w:p>
        </w:tc>
        <w:tc>
          <w:tcPr>
            <w:tcW w:w="9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814"/>
              <w:spacing w:after="0" w:line="202" w:lineRule="exact"/>
              <w:rPr>
                <w:sz w:val="20"/>
                <w:szCs w:val="20"/>
                <w:color w:val="auto"/>
              </w:rPr>
            </w:pPr>
            <w:r>
              <w:rPr>
                <w:rFonts w:ascii="Arial" w:cs="Arial" w:eastAsia="Arial" w:hAnsi="Arial"/>
                <w:sz w:val="18"/>
                <w:szCs w:val="18"/>
                <w:color w:val="auto"/>
                <w:w w:val="99"/>
              </w:rPr>
              <w:t>1.06-1.33</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814"/>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320" w:type="dxa"/>
            <w:vAlign w:val="bottom"/>
          </w:tcPr>
          <w:p>
            <w:pPr>
              <w:spacing w:after="0"/>
              <w:rPr>
                <w:sz w:val="17"/>
                <w:szCs w:val="17"/>
                <w:color w:val="auto"/>
              </w:rPr>
            </w:pPr>
          </w:p>
        </w:tc>
        <w:tc>
          <w:tcPr>
            <w:tcW w:w="9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814"/>
              <w:spacing w:after="0" w:line="202" w:lineRule="exact"/>
              <w:rPr>
                <w:sz w:val="20"/>
                <w:szCs w:val="20"/>
                <w:color w:val="auto"/>
              </w:rPr>
            </w:pPr>
            <w:r>
              <w:rPr>
                <w:rFonts w:ascii="Arial" w:cs="Arial" w:eastAsia="Arial" w:hAnsi="Arial"/>
                <w:sz w:val="18"/>
                <w:szCs w:val="18"/>
                <w:color w:val="auto"/>
                <w:w w:val="99"/>
              </w:rPr>
              <w:t>3.03-3.23</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794"/>
              <w:spacing w:after="0" w:line="202" w:lineRule="exact"/>
              <w:rPr>
                <w:sz w:val="20"/>
                <w:szCs w:val="20"/>
                <w:color w:val="auto"/>
              </w:rPr>
            </w:pPr>
            <w:r>
              <w:rPr>
                <w:rFonts w:ascii="Arial" w:cs="Arial" w:eastAsia="Arial" w:hAnsi="Arial"/>
                <w:sz w:val="18"/>
                <w:szCs w:val="18"/>
                <w:b w:val="1"/>
                <w:bCs w:val="1"/>
                <w:color w:val="auto"/>
                <w:w w:val="99"/>
              </w:rPr>
              <w:t>Black Scholes</w:t>
            </w:r>
          </w:p>
        </w:tc>
      </w:tr>
    </w:tbl>
    <w:p>
      <w:pPr>
        <w:spacing w:after="0" w:line="215" w:lineRule="exact"/>
        <w:rPr>
          <w:sz w:val="20"/>
          <w:szCs w:val="20"/>
          <w:color w:val="auto"/>
        </w:rPr>
      </w:pPr>
    </w:p>
    <w:p>
      <w:pPr>
        <w:ind w:right="78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126"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Under the Company’s Long Term Incentive Plan (LTIP), initiated in 2016, the Group, at its discretion, may grant nil-cost options to acquire shares to employees. Under the LTIP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202"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The fair value of the LTIP Share Price Element is estimated at the date of grant using a Monte Carlo pricing model, taking into account the terms and conditions upon which the share options were granted.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The fair value of the LTIP Strategic Element is estimated at the date of grant using a Black Scholes pricing model, taking into account the terms and conditions upon which the share options were granted, and the expense recorded is based upon the expected level of achievement of strategic targets.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term of the LTIP options is five years.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 recognized for employee services received during the year to December 31, 2017 was £298,287 (2016: £133,601).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number of, and movements in, LTIP options during the year:</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20" w:type="dxa"/>
            <w:vAlign w:val="bottom"/>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040" w:type="dxa"/>
            <w:vAlign w:val="bottom"/>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5180" w:type="dxa"/>
            <w:vAlign w:val="bottom"/>
          </w:tcPr>
          <w:p>
            <w:pPr>
              <w:spacing w:after="0"/>
              <w:rPr>
                <w:sz w:val="15"/>
                <w:szCs w:val="15"/>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Granted during the year</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1,199,658</w:t>
            </w:r>
          </w:p>
        </w:tc>
        <w:tc>
          <w:tcPr>
            <w:tcW w:w="4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185,950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Cancelled during the year</w:t>
            </w: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during the year</w:t>
            </w: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(234,162)</w:t>
            </w: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965,496</w:t>
            </w: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1,151,446</w:t>
            </w:r>
          </w:p>
        </w:tc>
        <w:tc>
          <w:tcPr>
            <w:tcW w:w="8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360" w:firstLine="456"/>
        <w:spacing w:after="0" w:line="246" w:lineRule="auto"/>
        <w:rPr>
          <w:sz w:val="20"/>
          <w:szCs w:val="20"/>
          <w:color w:val="auto"/>
        </w:rPr>
      </w:pPr>
      <w:r>
        <w:rPr>
          <w:rFonts w:ascii="Arial" w:cs="Arial" w:eastAsia="Arial" w:hAnsi="Arial"/>
          <w:sz w:val="18"/>
          <w:szCs w:val="18"/>
          <w:color w:val="auto"/>
        </w:rPr>
        <w:t>The weighted average remaining contractual life for the LTIP options outstanding as at December 31, 2017 was 2.9 years (2016: 3.7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LTIP options granted during the year was £1.99 (2016: £1.21).</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list the weighted average inputs to the models used for the fair value of LTIP options granted during the years ended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Share Price Element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Year ended</w:t>
            </w: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13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140" w:type="dxa"/>
            <w:vAlign w:val="bottom"/>
            <w:gridSpan w:val="3"/>
          </w:tcPr>
          <w:p>
            <w:pPr>
              <w:jc w:val="center"/>
              <w:ind w:left="20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0.48–0.74</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0.17-0.39</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3–5</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33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ind w:left="340"/>
              <w:spacing w:after="0" w:line="202" w:lineRule="exact"/>
              <w:rPr>
                <w:sz w:val="20"/>
                <w:szCs w:val="20"/>
                <w:color w:val="auto"/>
              </w:rPr>
            </w:pPr>
            <w:r>
              <w:rPr>
                <w:rFonts w:ascii="Arial" w:cs="Arial" w:eastAsia="Arial" w:hAnsi="Arial"/>
                <w:sz w:val="18"/>
                <w:szCs w:val="18"/>
                <w:color w:val="auto"/>
              </w:rPr>
              <w:t>Monte Carlo</w:t>
            </w:r>
          </w:p>
        </w:tc>
        <w:tc>
          <w:tcPr>
            <w:tcW w:w="14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Monte Carlo</w:t>
            </w:r>
          </w:p>
        </w:tc>
      </w:tr>
      <w:tr>
        <w:trPr>
          <w:trHeight w:val="540"/>
        </w:trPr>
        <w:tc>
          <w:tcPr>
            <w:tcW w:w="4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LTIP Strategic Element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rPr>
              <w:t>Year ended</w:t>
            </w: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13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140" w:type="dxa"/>
            <w:vAlign w:val="bottom"/>
            <w:gridSpan w:val="3"/>
          </w:tcPr>
          <w:p>
            <w:pPr>
              <w:jc w:val="center"/>
              <w:ind w:left="153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6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3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0.74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0.39</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31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3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Black Scholes</w:t>
            </w:r>
          </w:p>
        </w:tc>
        <w:tc>
          <w:tcPr>
            <w:tcW w:w="1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Black Scholes</w:t>
            </w:r>
          </w:p>
        </w:tc>
      </w:tr>
      <w:tr>
        <w:trPr>
          <w:trHeight w:val="365"/>
        </w:trPr>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20" w:type="dxa"/>
            <w:vAlign w:val="bottom"/>
            <w:gridSpan w:val="6"/>
          </w:tcPr>
          <w:p>
            <w:pPr>
              <w:ind w:left="580"/>
              <w:spacing w:after="0"/>
              <w:rPr>
                <w:sz w:val="20"/>
                <w:szCs w:val="20"/>
                <w:color w:val="auto"/>
              </w:rPr>
            </w:pPr>
            <w:r>
              <w:rPr>
                <w:rFonts w:ascii="Arial" w:cs="Arial" w:eastAsia="Arial" w:hAnsi="Arial"/>
                <w:sz w:val="18"/>
                <w:szCs w:val="18"/>
                <w:color w:val="auto"/>
              </w:rPr>
              <w:t>F-36</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4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LTIP options the contractual life of the options has been used in calculating the expense for the year.</w:t>
      </w:r>
    </w:p>
    <w:p>
      <w:pPr>
        <w:spacing w:after="0" w:line="197" w:lineRule="exact"/>
        <w:rPr>
          <w:sz w:val="20"/>
          <w:szCs w:val="20"/>
          <w:color w:val="auto"/>
        </w:rPr>
      </w:pPr>
    </w:p>
    <w:p>
      <w:pPr>
        <w:ind w:right="80" w:firstLine="456"/>
        <w:spacing w:after="0" w:line="246" w:lineRule="auto"/>
        <w:rPr>
          <w:sz w:val="20"/>
          <w:szCs w:val="20"/>
          <w:color w:val="auto"/>
        </w:rPr>
      </w:pPr>
      <w:r>
        <w:rPr>
          <w:rFonts w:ascii="Arial" w:cs="Arial" w:eastAsia="Arial" w:hAnsi="Arial"/>
          <w:sz w:val="18"/>
          <w:szCs w:val="18"/>
          <w:color w:val="auto"/>
        </w:rPr>
        <w:t>Volatility is estimated by reference to the share price volatility of a group of comparable companies over a retrospective year equal to the expected life of the LTIP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Bonus Share Plan</w:t>
      </w:r>
    </w:p>
    <w:p>
      <w:pPr>
        <w:spacing w:after="0" w:line="126"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Under the Company’s Deferred Bonus Share Plan (DBSP), 30% of the annual bonus for the executive management team is payable in deferred shares, which are governed by the DBSP rules. At the date of grant of the awards, the monetary bonus amount will be divided by the closing share price to give the number of shares issued to the employee under the DBSP. The number of shares is fixed and not subject to adjustment between the issue date and vesting date. Under the DBSP, awards vest after three years from the grant date of the award. There are no further performance conditions attached to the award, nor any service conditions (including no requirement for continued employment once the awards have been made). The plan does allow for adjustment of awards in the event of a material misstatement of Group’s accounts or fraud or misconduct on the part of an individual. The plan also allows for adjustment of awards in the event there was an error in calculating the vesting of the awards.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the awards are issued at £nil cost they will be satisfied by the issue of shares from the EBT.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number of, and movements in, DBSP options during the year:</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08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880" w:type="dxa"/>
            <w:vAlign w:val="bottom"/>
            <w:gridSpan w:val="3"/>
          </w:tcPr>
          <w:p>
            <w:pPr>
              <w:jc w:val="center"/>
              <w:ind w:left="739"/>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80" w:type="dxa"/>
            <w:vAlign w:val="bottom"/>
          </w:tcPr>
          <w:p>
            <w:pPr>
              <w:spacing w:after="0"/>
              <w:rPr>
                <w:sz w:val="15"/>
                <w:szCs w:val="15"/>
                <w:color w:val="auto"/>
              </w:rPr>
            </w:pPr>
          </w:p>
        </w:tc>
        <w:tc>
          <w:tcPr>
            <w:tcW w:w="272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820" w:type="dxa"/>
            <w:vAlign w:val="bottom"/>
            <w:gridSpan w:val="2"/>
          </w:tcPr>
          <w:p>
            <w:pPr>
              <w:jc w:val="center"/>
              <w:ind w:left="7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17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62,180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Awarded during the year</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100,820</w:t>
            </w:r>
          </w:p>
        </w:tc>
        <w:tc>
          <w:tcPr>
            <w:tcW w:w="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 during the year</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163,000</w:t>
            </w:r>
          </w:p>
        </w:tc>
        <w:tc>
          <w:tcPr>
            <w:tcW w:w="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440" w:firstLine="456"/>
        <w:spacing w:after="0" w:line="246" w:lineRule="auto"/>
        <w:rPr>
          <w:sz w:val="20"/>
          <w:szCs w:val="20"/>
          <w:color w:val="auto"/>
        </w:rPr>
      </w:pPr>
      <w:r>
        <w:rPr>
          <w:rFonts w:ascii="Arial" w:cs="Arial" w:eastAsia="Arial" w:hAnsi="Arial"/>
          <w:sz w:val="18"/>
          <w:szCs w:val="18"/>
          <w:color w:val="auto"/>
        </w:rPr>
        <w:t>The weighted average remaining contractual life for the DBSP options outstanding as at December 31, 2017 was 3.6 years (2016: 4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deferred share bonus plan options granted during the year was £3.23 (2016: £2.80).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Equity Consideration</w:t>
      </w:r>
    </w:p>
    <w:p>
      <w:pPr>
        <w:spacing w:after="0" w:line="12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AZD-9668, with an option to acquire such intellectual property rights following commencement of a pivotal trial and payment of related milestone payments, or the Option, together with the acquisition of certain related assets.</w:t>
      </w:r>
    </w:p>
    <w:p>
      <w:pPr>
        <w:spacing w:after="0" w:line="202" w:lineRule="exact"/>
        <w:rPr>
          <w:sz w:val="20"/>
          <w:szCs w:val="20"/>
          <w:color w:val="auto"/>
        </w:rPr>
      </w:pPr>
    </w:p>
    <w:p>
      <w:pPr>
        <w:ind w:right="660" w:firstLine="456"/>
        <w:spacing w:after="0" w:line="246" w:lineRule="auto"/>
        <w:rPr>
          <w:sz w:val="20"/>
          <w:szCs w:val="20"/>
          <w:color w:val="auto"/>
        </w:rPr>
      </w:pPr>
      <w:r>
        <w:rPr>
          <w:rFonts w:ascii="Arial" w:cs="Arial" w:eastAsia="Arial" w:hAnsi="Arial"/>
          <w:sz w:val="18"/>
          <w:szCs w:val="18"/>
          <w:color w:val="auto"/>
        </w:rPr>
        <w:t>Under the agreement with Astrazeneca, we may issue up to 1,349,693 ordinary shares which are dependent on achieving certain milestones.</w:t>
      </w:r>
    </w:p>
    <w:p>
      <w:pPr>
        <w:spacing w:after="0" w:line="197" w:lineRule="exact"/>
        <w:rPr>
          <w:sz w:val="20"/>
          <w:szCs w:val="20"/>
          <w:color w:val="auto"/>
        </w:rPr>
      </w:pPr>
    </w:p>
    <w:p>
      <w:pPr>
        <w:ind w:right="760" w:firstLine="456"/>
        <w:spacing w:after="0" w:line="246" w:lineRule="auto"/>
        <w:rPr>
          <w:sz w:val="20"/>
          <w:szCs w:val="20"/>
          <w:color w:val="auto"/>
        </w:rPr>
      </w:pPr>
      <w:r>
        <w:rPr>
          <w:rFonts w:ascii="Arial" w:cs="Arial" w:eastAsia="Arial" w:hAnsi="Arial"/>
          <w:sz w:val="18"/>
          <w:szCs w:val="18"/>
          <w:color w:val="auto"/>
        </w:rPr>
        <w:t>In respect of milestones that are probable, we have accounted for, but not yet issued, 429,448 ordinary shares which have been measured at fair value, being £3.10, giving a total of £1,331,288.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commitments—Group as lessee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rentals payable under non-cancellable operating leases as at December 31, 2017 are as follows:</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90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590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41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Within one year</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325,920</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743,858</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After one year but not more than three years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651,840</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535,203</w:t>
            </w:r>
          </w:p>
        </w:tc>
        <w:tc>
          <w:tcPr>
            <w:tcW w:w="8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After three years but not more than five years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202,736</w:t>
            </w:r>
          </w:p>
        </w:tc>
        <w:tc>
          <w:tcPr>
            <w:tcW w:w="5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10"/>
        </w:trPr>
        <w:tc>
          <w:tcPr>
            <w:tcW w:w="5900" w:type="dxa"/>
            <w:vAlign w:val="bottom"/>
          </w:tcPr>
          <w:p>
            <w:pPr>
              <w:spacing w:after="0" w:line="202" w:lineRule="exact"/>
              <w:rPr>
                <w:sz w:val="20"/>
                <w:szCs w:val="20"/>
                <w:color w:val="auto"/>
              </w:rPr>
            </w:pPr>
            <w:r>
              <w:rPr>
                <w:rFonts w:ascii="Arial" w:cs="Arial" w:eastAsia="Arial" w:hAnsi="Arial"/>
                <w:sz w:val="18"/>
                <w:szCs w:val="18"/>
                <w:color w:val="auto"/>
              </w:rPr>
              <w:t>More than five years</w:t>
            </w:r>
          </w:p>
        </w:tc>
        <w:tc>
          <w:tcPr>
            <w:tcW w:w="106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3"/>
        </w:trPr>
        <w:tc>
          <w:tcPr>
            <w:tcW w:w="59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1,180,496</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1,279,061</w:t>
            </w:r>
          </w:p>
        </w:tc>
        <w:tc>
          <w:tcPr>
            <w:tcW w:w="80" w:type="dxa"/>
            <w:vAlign w:val="bottom"/>
            <w:shd w:val="clear" w:color="auto" w:fill="CCEEFF"/>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The Group has entered into a lease for its premises at Fourth Floor, 1 Cavendish Place, London W1G 0QF. The term of the lease agreement is from August 17, 2015 through to August 16, 2025. The total lease expense for the year ended December 31, 2017 was £293,328 (2016:£293,328).</w:t>
      </w:r>
    </w:p>
    <w:p>
      <w:pPr>
        <w:spacing w:after="0" w:line="203"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premises comprise approximately 4,000 square feet. The principal rent for the premises is £162,960 per annum through December 16, 2016 and £325,920 per annum thereafter, subject to increase on August 17, 2020 based on the open market value of the premises (the “Principal Rent”). In addition to the Principal Rent, the Group is responsible for value added tax on the Principal Rent and certain insurance costs and service charges incurred by the landlord.</w:t>
      </w:r>
    </w:p>
    <w:p>
      <w:pPr>
        <w:spacing w:after="0" w:line="202"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The Group may break the lease agreement on August 16, 2020 by providing six months’ prior written notice to the landlord. If the Group does not exercise its break option, the landlord will decrease by 50% the Principal Rent for the period from August 16, 2020 through to April 15, 2021.</w:t>
      </w:r>
    </w:p>
    <w:p>
      <w:pPr>
        <w:spacing w:after="0" w:line="203" w:lineRule="exact"/>
        <w:rPr>
          <w:sz w:val="20"/>
          <w:szCs w:val="20"/>
          <w:color w:val="auto"/>
        </w:rPr>
      </w:pPr>
    </w:p>
    <w:p>
      <w:pPr>
        <w:ind w:right="120" w:firstLine="456"/>
        <w:spacing w:after="0" w:line="246" w:lineRule="auto"/>
        <w:rPr>
          <w:sz w:val="20"/>
          <w:szCs w:val="20"/>
          <w:color w:val="auto"/>
        </w:rPr>
      </w:pPr>
      <w:r>
        <w:rPr>
          <w:rFonts w:ascii="Arial" w:cs="Arial" w:eastAsia="Arial" w:hAnsi="Arial"/>
          <w:sz w:val="18"/>
          <w:szCs w:val="18"/>
          <w:color w:val="auto"/>
        </w:rPr>
        <w:t>The Group has entered into a lease for six High Resolution peripheral quantitative computed tomography (HRpQCT) scanners for use in its ongoing clinical studies.</w:t>
      </w:r>
    </w:p>
    <w:p>
      <w:pPr>
        <w:spacing w:after="0" w:line="197" w:lineRule="exact"/>
        <w:rPr>
          <w:sz w:val="20"/>
          <w:szCs w:val="20"/>
          <w:color w:val="auto"/>
        </w:rPr>
      </w:pPr>
    </w:p>
    <w:p>
      <w:pPr>
        <w:ind w:right="380" w:firstLine="456"/>
        <w:spacing w:after="0"/>
        <w:rPr>
          <w:sz w:val="20"/>
          <w:szCs w:val="20"/>
          <w:color w:val="auto"/>
        </w:rPr>
      </w:pPr>
      <w:r>
        <w:rPr>
          <w:rFonts w:ascii="Arial" w:cs="Arial" w:eastAsia="Arial" w:hAnsi="Arial"/>
          <w:sz w:val="18"/>
          <w:szCs w:val="18"/>
          <w:color w:val="auto"/>
        </w:rPr>
        <w:t>Each scanner has a lease term of 12 months from the date on which delivery of that scanner occurred. The Company has the right to extend the lease period for a further six months at any point during the lease term. This option may be exercised in respect of any of the individual scanners and does not have to be exercised in respect of all the scanners.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leases—Group as lessee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did not have any leasing arrangements classifying as finance leases at December 31, 2017.</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commitments</w:t>
      </w:r>
    </w:p>
    <w:p>
      <w:pPr>
        <w:spacing w:after="0" w:line="126"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Each of Mereo BioPharma 1 Ltd, Mereo BioPharma 2 Ltd and Mereo BioPharma 3 Ltd issued to Novartis loan notes (the Novartis notes) (which were assigned by Novartis to the Company in exchange for ordinary shares pursuant to the Subscription Agreement) and each of Mereo BioPharma 1 Ltd,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Mereo BioPharma 2 Ltd and Mereo BioPharma 3 Ltd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Mereo BioPharma 2 and Mereo BioPharma 3 under the respective Purchase Agreements.</w:t>
      </w:r>
    </w:p>
    <w:p>
      <w:pPr>
        <w:spacing w:after="0" w:line="202"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Each of Mereo BioPharma 1 Ltd, Mereo BioPharma 2 Ltd and Mereo BioPharma 3 Ltd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Ltd, Mereo BioPharma 2 Ltd and Mereo BioPharma 3 Ltd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205" w:lineRule="exact"/>
        <w:rPr>
          <w:sz w:val="20"/>
          <w:szCs w:val="20"/>
          <w:color w:val="auto"/>
        </w:rPr>
      </w:pPr>
    </w:p>
    <w:p>
      <w:pPr>
        <w:ind w:right="20" w:firstLine="456"/>
        <w:spacing w:after="0" w:line="234"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AZD-9668, with an option to acquire such intellectual property rights following commencement of a pivotal trial and payment of related milestone payments, or the Option, together with the acquisition of certain related assets. Upon entering into the License Agreement, we made a payment of $3.0 million and issued 490,798 ordinary shares to AstraZeneca, for an aggregate upfront payment equal to</w:t>
      </w:r>
    </w:p>
    <w:p>
      <w:pPr>
        <w:spacing w:after="0" w:line="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$5.0 million. In connection with certain development and regulatory milestones, we have agreed to make payments of up to $115.5 million in the aggregate and issue additional ordinary shares to AstraZeneca for licensed products containing AZD-9668. In addition, we have agreed to make payments to AstraZeneca based on specified commercial milestones of the product. In the event that we sub-license AZD-9668,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w:t>
      </w:r>
    </w:p>
    <w:p>
      <w:pPr>
        <w:spacing w:after="0" w:line="206"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Related party disclosures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transactions have been entered into with related parties for the year ended December 31, 2016 and 2017.</w:t>
      </w:r>
    </w:p>
    <w:p>
      <w:pPr>
        <w:spacing w:after="0" w:line="212"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Novartis Pharma AG (“Novartis”) holds shares in the Company at December 31, 2016. On June 3, 2016, the Group issued 3,463,563 £1 unsecured convertible loan notes (the Novartis Notes) to Novartis and received £3,463,563 from Novartis in consideration (Note 19).</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purchased goods and services from Novartis in the year as set out below:</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7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900" w:type="dxa"/>
            <w:vAlign w:val="bottom"/>
          </w:tcPr>
          <w:p>
            <w:pPr>
              <w:spacing w:after="0"/>
              <w:rPr>
                <w:sz w:val="14"/>
                <w:szCs w:val="14"/>
                <w:color w:val="auto"/>
              </w:rPr>
            </w:pPr>
          </w:p>
        </w:tc>
        <w:tc>
          <w:tcPr>
            <w:tcW w:w="2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4"/>
                <w:szCs w:val="14"/>
                <w:color w:val="auto"/>
              </w:rPr>
            </w:pPr>
          </w:p>
        </w:tc>
        <w:tc>
          <w:tcPr>
            <w:tcW w:w="960" w:type="dxa"/>
            <w:vAlign w:val="bottom"/>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4900" w:type="dxa"/>
            <w:vAlign w:val="bottom"/>
          </w:tcPr>
          <w:p>
            <w:pPr>
              <w:spacing w:after="0"/>
              <w:rPr>
                <w:sz w:val="15"/>
                <w:szCs w:val="15"/>
                <w:color w:val="auto"/>
              </w:rPr>
            </w:pPr>
          </w:p>
        </w:tc>
        <w:tc>
          <w:tcPr>
            <w:tcW w:w="21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96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Manufacture and supply of clinical trial material</w:t>
            </w:r>
          </w:p>
        </w:tc>
        <w:tc>
          <w:tcPr>
            <w:tcW w:w="1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968,219</w:t>
            </w: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4,610,106</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outstanding to be paid to Novartis at December 31, 2017 was £nil (2016: £35,249).</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purchases from related parties are made on terms equivalent to those that prevail in arm’s length transactions.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Standards issued but not yet effective</w:t>
      </w:r>
    </w:p>
    <w:p>
      <w:pPr>
        <w:spacing w:after="0" w:line="126"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standards and interpretations that were issued, but not yet effective, up to the date of issuance of the Group’s financial statements are disclosed below. The Group intends to adopt these standards, if applicable, when they become effective.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9 Financial Instruments</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IFRS 9 applies to reporting periods on or after January 1, 2018. The Group is currently assessing the impact of IFRS 9 and plans to adopt the new standard on the required effective date.</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IFRS 15 Revenue from Contracts with Customers</w:t>
      </w:r>
    </w:p>
    <w:p>
      <w:pPr>
        <w:spacing w:after="0" w:line="126" w:lineRule="exact"/>
        <w:rPr>
          <w:sz w:val="20"/>
          <w:szCs w:val="20"/>
          <w:color w:val="auto"/>
        </w:rPr>
      </w:pPr>
    </w:p>
    <w:p>
      <w:pPr>
        <w:jc w:val="both"/>
        <w:ind w:right="220" w:firstLine="456"/>
        <w:spacing w:after="0" w:line="239" w:lineRule="auto"/>
        <w:rPr>
          <w:sz w:val="20"/>
          <w:szCs w:val="20"/>
          <w:color w:val="auto"/>
        </w:rPr>
      </w:pPr>
      <w:r>
        <w:rPr>
          <w:rFonts w:ascii="Arial" w:cs="Arial" w:eastAsia="Arial" w:hAnsi="Arial"/>
          <w:sz w:val="18"/>
          <w:szCs w:val="18"/>
          <w:color w:val="auto"/>
        </w:rPr>
        <w:t>IFRS 15 “Revenue from Contracts with Customers” (“IFRS 15”) was issued in May 2014 and establishes a new five-step model that will apply to revenue arising from contracts with customers. Under IFRS 15 revenue is recognized at an amount that reflects the consideration to which an entity expects to be entitled in exchange for transferring goods or services to a customer. The principles in IFRS 15 provide a more structured approach to measuring and recognising revenue.</w:t>
      </w:r>
    </w:p>
    <w:p>
      <w:pPr>
        <w:spacing w:after="0" w:line="20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new revenue standard is applicable to all entities and will supersede all current revenue recognition requirements under IFRS. Either a full or modified retrospective application is required for annual periods beginning on or after January 1, 2018 with early adoption permitted. As the Group is not currently, nor will it for the foreseeable future, generating revenues, IFRS 15 will be adopted when the Group has an arrangement within the scope of the standard.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16 Leases</w:t>
      </w:r>
    </w:p>
    <w:p>
      <w:pPr>
        <w:spacing w:after="0" w:line="126"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IFRS 16 “Leases” (“IFRS 16”) specifies how an IFRS reporter will recognise, measure, present and disclose leases. The standard provides a single lessee accounting model, requiring lessees to recognise assets and liabilities for all leases unless the lease term is twelve months or less or the underlying asset has a low value. Lessors continue to classify leases as operating or finance, with IFRS 16’s approach to lessor accounting substantially unchanged from its predecessor, IAS 17 “Leases”.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16 was issued in January 2016 and applies to annual reporting periods beginning on or after January 1, 2019.</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is currently assessing the impact of IFRS 16 and plans to adopt the new standard on the required effective date.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standards</w:t>
      </w:r>
    </w:p>
    <w:p>
      <w:pPr>
        <w:spacing w:after="0" w:line="126"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The following standards and interpretations, applicable for annual periods beginning on or after January 1, 2017, are not expected to have any material impact on the results of the Group or the presentation of the financial statements:</w:t>
      </w:r>
    </w:p>
    <w:p>
      <w:pPr>
        <w:spacing w:after="0" w:line="102" w:lineRule="exact"/>
        <w:rPr>
          <w:sz w:val="20"/>
          <w:szCs w:val="20"/>
          <w:color w:val="auto"/>
        </w:rPr>
      </w:pPr>
    </w:p>
    <w:p>
      <w:pPr>
        <w:ind w:left="900" w:right="60" w:hanging="325"/>
        <w:spacing w:after="0" w:line="246"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IFRS 10 “Consolidated Financial Statements”—Amendments regarding the sale or contribution of assets between an investor and its associate or joint venture and amendments regarding the application of the consolidation exception</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IFRS 11 “Joint Arrangements”—Amendments regarding the accounting for acquisitions of an interest in a joint operation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IFRS 12 “Disclosure of Interests in Other Entities”—Amendments regarding the application of the consolidation exception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IFRS 14 “Regulatory Deferral Accounts”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1 “Presentation of Financial Statements”—Amendments resulting from the disclosure initiative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7 “Statement of Cash Flows”—Amendments resulting from the disclosure initiative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12 “Income Taxes”—Amendments to recognition of deferred tax assets for unrealised losses</w:t>
      </w:r>
    </w:p>
    <w:p>
      <w:pPr>
        <w:spacing w:after="0" w:line="117"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16 “Property, Plant and Equipment” (“IAS 16”)—Amendments regarding the clarification of acceptable methods of depreciation and amortisation and amendments bringing bearer plants into the scope of IAS 16</w:t>
      </w:r>
    </w:p>
    <w:p>
      <w:pPr>
        <w:spacing w:after="0" w:line="102" w:lineRule="exact"/>
        <w:rPr>
          <w:rFonts w:ascii="Arial" w:cs="Arial" w:eastAsia="Arial" w:hAnsi="Arial"/>
          <w:sz w:val="18"/>
          <w:szCs w:val="18"/>
          <w:color w:val="auto"/>
        </w:rPr>
      </w:pPr>
    </w:p>
    <w:p>
      <w:pPr>
        <w:ind w:left="900" w:right="400" w:hanging="325"/>
        <w:spacing w:after="0" w:line="246"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27 “Separate Financial Statements (as amended in 2011)”—Amendments reinstating the equity method as an accounting option for investments in subsidiaries, joint ventures and associates in an entity’s separate financial statements</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28 “Investments in Associates and Joint Ventures”—Amendments regarding the application of the consolidation exception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38 “Intangible Assets”—Amendments regarding the clarification of acceptable methods of depreciation and amortisation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41 “Agriculture”—Amendments bringing bearer plants into the scope of IAS 16</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Amendments resulting from September 2014 Annual Improvements to IFRSs: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IFRS 2 “Classification and Measurement of Share-based Payment” Transactions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IFRS 5 “Non-current Assets Held for Sale and Discontinued Operations”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IFRS 7 “Financial Instruments: Disclosures”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IFRIC Interpretation 22 “Foreign Currency Transactions and Advance Consideration”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19 “Employee Benefits”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IAS 34 “Interim Financial Reporting”</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80"/>
          </w:cols>
          <w:pgMar w:left="240" w:top="460" w:right="3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auto"/>
        </w:rPr>
        <w:t>Ordinary Shares</w:t>
      </w:r>
    </w:p>
    <w:p>
      <w:pPr>
        <w:spacing w:after="0" w:line="42" w:lineRule="exact"/>
        <w:rPr>
          <w:sz w:val="20"/>
          <w:szCs w:val="20"/>
          <w:color w:val="auto"/>
        </w:rPr>
      </w:pPr>
    </w:p>
    <w:p>
      <w:pPr>
        <w:ind w:left="3420"/>
        <w:spacing w:after="0"/>
        <w:rPr>
          <w:sz w:val="20"/>
          <w:szCs w:val="20"/>
          <w:color w:val="auto"/>
        </w:rPr>
      </w:pPr>
      <w:r>
        <w:rPr>
          <w:rFonts w:ascii="Arial" w:cs="Arial" w:eastAsia="Arial" w:hAnsi="Arial"/>
          <w:sz w:val="25"/>
          <w:szCs w:val="25"/>
          <w:b w:val="1"/>
          <w:bCs w:val="1"/>
          <w:color w:val="auto"/>
        </w:rPr>
        <w:t>(including Ordinary Shares in the form</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auto"/>
        </w:rPr>
        <w:t>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2603500</wp:posOffset>
            </wp:positionV>
            <wp:extent cx="6997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657225</wp:posOffset>
            </wp:positionV>
            <wp:extent cx="2470150" cy="900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177165</wp:posOffset>
            </wp:positionV>
            <wp:extent cx="6997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tabs>
          <w:tab w:leader="none" w:pos="3380" w:val="left"/>
          <w:tab w:leader="none" w:pos="838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BMO Capital Markets</w:t>
      </w:r>
      <w:r>
        <w:rPr>
          <w:sz w:val="20"/>
          <w:szCs w:val="20"/>
          <w:color w:val="auto"/>
        </w:rPr>
        <w:tab/>
      </w:r>
      <w:r>
        <w:rPr>
          <w:rFonts w:ascii="Arial" w:cs="Arial" w:eastAsia="Arial" w:hAnsi="Arial"/>
          <w:sz w:val="28"/>
          <w:szCs w:val="28"/>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250825</wp:posOffset>
            </wp:positionV>
            <wp:extent cx="18268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250190</wp:posOffset>
            </wp:positionV>
            <wp:extent cx="18268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Cantor Fitzgerald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 2018</w:t>
      </w:r>
    </w:p>
    <w:p>
      <w:pPr>
        <w:spacing w:after="0" w:line="200" w:lineRule="exact"/>
        <w:rPr>
          <w:sz w:val="20"/>
          <w:szCs w:val="20"/>
          <w:color w:val="auto"/>
        </w:rPr>
      </w:pPr>
    </w:p>
    <w:p>
      <w:pPr>
        <w:spacing w:after="0" w:line="34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4"/>
          <w:szCs w:val="14"/>
          <w:color w:val="auto"/>
        </w:rPr>
        <w:t>Until</w:t>
      </w:r>
      <w:r>
        <w:rPr>
          <w:sz w:val="20"/>
          <w:szCs w:val="20"/>
          <w:color w:val="auto"/>
        </w:rPr>
        <w:tab/>
      </w:r>
      <w:r>
        <w:rPr>
          <w:rFonts w:ascii="Arial" w:cs="Arial" w:eastAsia="Arial" w:hAnsi="Arial"/>
          <w:sz w:val="14"/>
          <w:szCs w:val="14"/>
          <w:color w:val="auto"/>
        </w:rPr>
        <w:t>, 2018 (25 days after the date of this prospectus), all dealers that buy, sell or trade ADSs or ordinary shares, whether or not participating in the global offering,</w:t>
      </w:r>
    </w:p>
    <w:p>
      <w:pPr>
        <w:spacing w:after="0" w:line="1"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1220"/>
          </w:cols>
          <w:pgMar w:left="240" w:top="460"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Members of the registrant’s board of directors have the benefit of the following indemnification provisions in the registrant’s Articles of</w:t>
      </w:r>
    </w:p>
    <w:p>
      <w:pPr>
        <w:ind w:left="200"/>
        <w:spacing w:after="0"/>
        <w:rPr>
          <w:sz w:val="20"/>
          <w:szCs w:val="20"/>
          <w:color w:val="auto"/>
        </w:rPr>
      </w:pPr>
      <w:r>
        <w:rPr>
          <w:rFonts w:ascii="Arial" w:cs="Arial" w:eastAsia="Arial" w:hAnsi="Arial"/>
          <w:sz w:val="18"/>
          <w:szCs w:val="18"/>
          <w:color w:val="auto"/>
        </w:rPr>
        <w:t>Association: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Current and former members of the registrant’s board of directors may be indemnified for:</w:t>
      </w:r>
    </w:p>
    <w:p>
      <w:pPr>
        <w:spacing w:after="0" w:line="104" w:lineRule="exact"/>
        <w:rPr>
          <w:sz w:val="20"/>
          <w:szCs w:val="20"/>
          <w:color w:val="auto"/>
        </w:rPr>
      </w:pPr>
    </w:p>
    <w:p>
      <w:pPr>
        <w:ind w:left="540" w:right="140" w:firstLine="315"/>
        <w:spacing w:after="0" w:line="246" w:lineRule="auto"/>
        <w:tabs>
          <w:tab w:leader="none" w:pos="113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liability incurred by that director in connection with any negligence, default, breach of duty, or breach of trust in relation to the registrant or an associated company;</w:t>
      </w:r>
    </w:p>
    <w:p>
      <w:pPr>
        <w:spacing w:after="0" w:line="7" w:lineRule="exact"/>
        <w:rPr>
          <w:rFonts w:ascii="Arial" w:cs="Arial" w:eastAsia="Arial" w:hAnsi="Arial"/>
          <w:sz w:val="18"/>
          <w:szCs w:val="18"/>
          <w:color w:val="auto"/>
        </w:rPr>
      </w:pPr>
    </w:p>
    <w:p>
      <w:pPr>
        <w:ind w:left="540" w:right="140" w:firstLine="315"/>
        <w:spacing w:after="0" w:line="246" w:lineRule="auto"/>
        <w:tabs>
          <w:tab w:leader="none" w:pos="113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liability incurred by that director in connection with the activities of the registrant or an associated company in its capacity as a trustee of an occupational pension scheme; and</w:t>
      </w:r>
    </w:p>
    <w:p>
      <w:pPr>
        <w:spacing w:after="0" w:line="21" w:lineRule="exact"/>
        <w:rPr>
          <w:rFonts w:ascii="Arial" w:cs="Arial" w:eastAsia="Arial" w:hAnsi="Arial"/>
          <w:sz w:val="18"/>
          <w:szCs w:val="18"/>
          <w:color w:val="auto"/>
        </w:rPr>
      </w:pPr>
    </w:p>
    <w:p>
      <w:pPr>
        <w:ind w:left="1120" w:hanging="265"/>
        <w:spacing w:after="0"/>
        <w:tabs>
          <w:tab w:leader="none" w:pos="11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other liability incurred by that director as an officer of the registrant or an associated company.</w:t>
      </w:r>
    </w:p>
    <w:p>
      <w:pPr>
        <w:spacing w:after="0" w:line="21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addition, members of the registrant’s board of directors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the U.S.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Share Capital</w:t>
      </w:r>
    </w:p>
    <w:p>
      <w:pPr>
        <w:spacing w:after="0" w:line="225" w:lineRule="exact"/>
        <w:rPr>
          <w:sz w:val="20"/>
          <w:szCs w:val="20"/>
          <w:color w:val="auto"/>
        </w:rPr>
      </w:pPr>
    </w:p>
    <w:p>
      <w:pPr>
        <w:ind w:left="960" w:hanging="432"/>
        <w:spacing w:after="0"/>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March 10, 2015, the registrant issued an ordinary share of nominal value £1 to its founder for aggregate consideration of £1.</w:t>
      </w:r>
    </w:p>
    <w:p>
      <w:pPr>
        <w:spacing w:after="0" w:line="26" w:lineRule="exact"/>
        <w:rPr>
          <w:rFonts w:ascii="MS PGothic" w:cs="MS PGothic" w:eastAsia="MS PGothic" w:hAnsi="MS PGothic"/>
          <w:sz w:val="25"/>
          <w:szCs w:val="25"/>
          <w:color w:val="auto"/>
          <w:vertAlign w:val="superscript"/>
        </w:rPr>
      </w:pPr>
    </w:p>
    <w:p>
      <w:pPr>
        <w:ind w:left="960" w:right="960" w:hanging="432"/>
        <w:spacing w:after="0" w:line="218" w:lineRule="auto"/>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21, 2015, the registrant issued 4,999 ordinary shares of nominal value £1 each to its founders for aggregate consideration of £4,999.</w:t>
      </w:r>
    </w:p>
    <w:p>
      <w:pPr>
        <w:spacing w:after="0" w:line="27"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29, 2015, the registrant effected subdivision of its 5,000 ordinary shares at a 1:1,000 ratio, resulting in there being 5,000,000 ordinary shares of nominal value £0.001 each.</w:t>
      </w:r>
    </w:p>
    <w:p>
      <w:pPr>
        <w:spacing w:after="0" w:line="27" w:lineRule="exact"/>
        <w:rPr>
          <w:rFonts w:ascii="MS PGothic" w:cs="MS PGothic" w:eastAsia="MS PGothic" w:hAnsi="MS PGothic"/>
          <w:sz w:val="25"/>
          <w:szCs w:val="25"/>
          <w:color w:val="auto"/>
          <w:vertAlign w:val="superscript"/>
        </w:rPr>
      </w:pPr>
    </w:p>
    <w:p>
      <w:pPr>
        <w:jc w:val="both"/>
        <w:ind w:left="960" w:hanging="432"/>
        <w:spacing w:after="0" w:line="218" w:lineRule="auto"/>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29, 2015, the registrant issued 14,740,296 ordinary shares of nominal value £0.001 each to new investors for aggregate consideration of £20.0 million in cash and the assignment to the registrant of loan notes in an aggregate amount of £25.8 million.</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November 27, 2015, the registrant issued 39,480,592 ordinary shares of nominal value £0.001 each to existing investors in connection with a recapitalization of the registrant. Following such issuance, the ordinary shares of the registrant were consolidated at a 3:1 ratio, resulting in there being 19,740,296 ordinary shares of nominal value £0.003 per ordinary share.</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9, 2016, the registrant issued 44,600,502 ordinary shares of nominal value £0.003 each to new and existing investors for aggregate consideration of £84.0 million.</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3, 2017, the registrant issued 5,042,017 ordinary shares of nominal value £0.003 each to new and existing investors for aggregate consideration of £15.0 million.</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26, 2017, the registrant issued 1,221,361 ordinary shares of nominal value £0.003 each upon the conversion of £1.4 million of unsecured convertible loan notes.</w:t>
      </w:r>
    </w:p>
    <w:p>
      <w:pPr>
        <w:spacing w:after="0" w:line="27" w:lineRule="exact"/>
        <w:rPr>
          <w:rFonts w:ascii="MS PGothic" w:cs="MS PGothic" w:eastAsia="MS PGothic" w:hAnsi="MS PGothic"/>
          <w:sz w:val="25"/>
          <w:szCs w:val="25"/>
          <w:color w:val="auto"/>
          <w:vertAlign w:val="superscript"/>
        </w:rPr>
      </w:pPr>
    </w:p>
    <w:p>
      <w:pPr>
        <w:ind w:left="960" w:right="820" w:hanging="432"/>
        <w:spacing w:after="0" w:line="218" w:lineRule="auto"/>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31, 2017, the registrant issued 490,798 ordinary shares of nominal value £0.003 each to a new investor in connection with a licensing agreement.</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60"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June 3, 2016, the registrant issued 3,463,563 unsecured convertible loan notes for aggregate consideration of £3,463,563.</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Options</w:t>
      </w:r>
    </w:p>
    <w:p>
      <w:pPr>
        <w:spacing w:after="0" w:line="85"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From its inception in March 2015 through December 31, 2015, the registrant granted stock options to purchase an aggregate of 8,964,394 ordinary shares with exercise prices of £1.29 per ordinary share to certain employees, senior management, and directors in connection with services provided to the registrant by such parties.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From January 1, 2016 through December 31, 2016, the registrant granted stock options to purchase an aggregate of 2,515,775 ordinary shares with exercise prices ranging from nil to £2.21 per ordinary share to certain employees, senior management, and directors in connection with services provided to the registrant by such parties.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From January 1, 2017 through December 31, 2017, the registrant granted stock options to purchase an aggregate of 1,841,318 ordinary shares with exercise prices ranging from nil to £3.23 per ordinary share to certain employees, senior management, and directors in connection with services provided to the registrant by such parties.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August 21, 2017, the registrant issued warrants to purchase 363,156 ordinary shares at an exercise price of £3.029 each.</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December 29, 2017, the registrant issued warrants to purchase 333,334 ordinary shares at an exercise price of £3.300 each.</w:t>
      </w:r>
    </w:p>
    <w:p>
      <w:pPr>
        <w:spacing w:after="0" w:line="21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All of the foregoing issuances of share capital, notes, options, and warrants were made outside of the United States pursuant to Regulation S or to U.S. entities pursuant to Section 4(a)(2) of the Securities Act of 1933, as amended, or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statements</w:t>
      </w:r>
    </w:p>
    <w:p>
      <w:pPr>
        <w:spacing w:after="0" w:line="212" w:lineRule="exact"/>
        <w:rPr>
          <w:sz w:val="20"/>
          <w:szCs w:val="20"/>
          <w:color w:val="auto"/>
        </w:rPr>
      </w:pPr>
    </w:p>
    <w:p>
      <w:pPr>
        <w:ind w:left="200" w:right="100" w:firstLine="334"/>
        <w:spacing w:after="0" w:line="271" w:lineRule="auto"/>
        <w:tabs>
          <w:tab w:leader="none" w:pos="80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200" w:right="220" w:firstLine="334"/>
        <w:spacing w:after="0" w:line="271" w:lineRule="auto"/>
        <w:tabs>
          <w:tab w:leader="none" w:pos="80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261" w:lineRule="exact"/>
        <w:rPr>
          <w:sz w:val="20"/>
          <w:szCs w:val="20"/>
          <w:color w:val="auto"/>
        </w:rPr>
      </w:pPr>
    </w:p>
    <w:p>
      <w:pPr>
        <w:ind w:left="960" w:right="360" w:hanging="432"/>
        <w:spacing w:after="0"/>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27" w:lineRule="exact"/>
        <w:rPr>
          <w:rFonts w:ascii="Arial" w:cs="Arial" w:eastAsia="Arial" w:hAnsi="Arial"/>
          <w:sz w:val="18"/>
          <w:szCs w:val="18"/>
          <w:color w:val="auto"/>
        </w:rPr>
      </w:pPr>
    </w:p>
    <w:p>
      <w:pPr>
        <w:ind w:left="960" w:hanging="432"/>
        <w:spacing w:after="0" w:line="237" w:lineRule="auto"/>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60"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spacing w:after="0"/>
        <w:rPr>
          <w:sz w:val="20"/>
          <w:szCs w:val="20"/>
          <w:color w:val="auto"/>
        </w:rPr>
      </w:pPr>
      <w:r>
        <w:rPr>
          <w:rFonts w:ascii="Arial" w:cs="Arial" w:eastAsia="Arial" w:hAnsi="Arial"/>
          <w:sz w:val="18"/>
          <w:szCs w:val="18"/>
          <w:color w:val="auto"/>
        </w:rPr>
        <w:t>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7" w:lineRule="exact"/>
        <w:rPr>
          <w:sz w:val="20"/>
          <w:szCs w:val="20"/>
          <w:color w:val="auto"/>
        </w:rPr>
      </w:pPr>
    </w:p>
    <w:p>
      <w:pPr>
        <w:ind w:left="960" w:hanging="432"/>
        <w:spacing w:after="0"/>
        <w:tabs>
          <w:tab w:leader="none" w:pos="9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400" w:hanging="426"/>
        <w:spacing w:after="0" w:line="239" w:lineRule="auto"/>
        <w:tabs>
          <w:tab w:leader="none" w:pos="14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6" w:lineRule="exact"/>
        <w:rPr>
          <w:rFonts w:ascii="Arial" w:cs="Arial" w:eastAsia="Arial" w:hAnsi="Arial"/>
          <w:sz w:val="18"/>
          <w:szCs w:val="18"/>
          <w:color w:val="auto"/>
        </w:rPr>
      </w:pPr>
    </w:p>
    <w:p>
      <w:pPr>
        <w:ind w:left="1400" w:hanging="426"/>
        <w:spacing w:after="0"/>
        <w:tabs>
          <w:tab w:leader="none" w:pos="14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4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500" w:type="dxa"/>
            <w:vAlign w:val="bottom"/>
          </w:tcPr>
          <w:p>
            <w:pPr>
              <w:spacing w:after="0"/>
              <w:rPr>
                <w:sz w:val="24"/>
                <w:szCs w:val="24"/>
                <w:color w:val="auto"/>
              </w:rPr>
            </w:pPr>
          </w:p>
        </w:tc>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4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11"/>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Articles of Association, as currently in effect</w:t>
            </w:r>
          </w:p>
        </w:tc>
        <w:tc>
          <w:tcPr>
            <w:tcW w:w="0" w:type="dxa"/>
            <w:vAlign w:val="bottom"/>
          </w:tcPr>
          <w:p>
            <w:pPr>
              <w:spacing w:after="0"/>
              <w:rPr>
                <w:sz w:val="1"/>
                <w:szCs w:val="1"/>
                <w:color w:val="auto"/>
              </w:rPr>
            </w:pPr>
          </w:p>
        </w:tc>
      </w:tr>
      <w:tr>
        <w:trPr>
          <w:trHeight w:val="311"/>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311"/>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311"/>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Form of Warrant Instrument</w:t>
            </w:r>
          </w:p>
        </w:tc>
        <w:tc>
          <w:tcPr>
            <w:tcW w:w="0" w:type="dxa"/>
            <w:vAlign w:val="bottom"/>
          </w:tcPr>
          <w:p>
            <w:pPr>
              <w:spacing w:after="0"/>
              <w:rPr>
                <w:sz w:val="1"/>
                <w:szCs w:val="1"/>
                <w:color w:val="auto"/>
              </w:rPr>
            </w:pPr>
          </w:p>
        </w:tc>
      </w:tr>
      <w:tr>
        <w:trPr>
          <w:trHeight w:val="311"/>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Underlease by and between the registrant and O&amp;H (Cavendish Place) Limited, dated August 17, 2015</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w w:val="98"/>
              </w:rPr>
              <w:t>10.2#**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July 29, 2015, between the registrant and Denise Scots-Knight</w:t>
            </w:r>
          </w:p>
        </w:tc>
        <w:tc>
          <w:tcPr>
            <w:tcW w:w="0" w:type="dxa"/>
            <w:vAlign w:val="bottom"/>
          </w:tcPr>
          <w:p>
            <w:pPr>
              <w:spacing w:after="0"/>
              <w:rPr>
                <w:sz w:val="1"/>
                <w:szCs w:val="1"/>
                <w:color w:val="auto"/>
              </w:rPr>
            </w:pPr>
          </w:p>
        </w:tc>
      </w:tr>
      <w:tr>
        <w:trPr>
          <w:trHeight w:val="296"/>
        </w:trPr>
        <w:tc>
          <w:tcPr>
            <w:tcW w:w="600" w:type="dxa"/>
            <w:vAlign w:val="bottom"/>
            <w:gridSpan w:val="3"/>
          </w:tcPr>
          <w:p>
            <w:pPr>
              <w:spacing w:after="0"/>
              <w:rPr>
                <w:sz w:val="20"/>
                <w:szCs w:val="20"/>
                <w:color w:val="auto"/>
              </w:rPr>
            </w:pPr>
            <w:r>
              <w:rPr>
                <w:rFonts w:ascii="Arial" w:cs="Arial" w:eastAsia="Arial" w:hAnsi="Arial"/>
                <w:sz w:val="18"/>
                <w:szCs w:val="18"/>
                <w:color w:val="auto"/>
                <w:w w:val="98"/>
              </w:rPr>
              <w:t>10.3#**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w w:val="99"/>
              </w:rPr>
              <w:t>Contract of Employment, dated July 29, 2015, and Deed of Amendment, dated November 24, 2017, between the registrant</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and Alastair MacKinnon</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w w:val="98"/>
              </w:rPr>
              <w:t>10.4#**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July 29, 2015, between the registrant and Charles Sermon</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w w:val="98"/>
              </w:rPr>
              <w:t>10.5#**</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November 7, 2016, between the registrant and Richard Jones</w:t>
            </w:r>
          </w:p>
        </w:tc>
        <w:tc>
          <w:tcPr>
            <w:tcW w:w="0" w:type="dxa"/>
            <w:vAlign w:val="bottom"/>
          </w:tcPr>
          <w:p>
            <w:pPr>
              <w:spacing w:after="0"/>
              <w:rPr>
                <w:sz w:val="1"/>
                <w:szCs w:val="1"/>
                <w:color w:val="auto"/>
              </w:rPr>
            </w:pPr>
          </w:p>
        </w:tc>
      </w:tr>
      <w:tr>
        <w:trPr>
          <w:trHeight w:val="296"/>
        </w:trPr>
        <w:tc>
          <w:tcPr>
            <w:tcW w:w="600" w:type="dxa"/>
            <w:vAlign w:val="bottom"/>
            <w:gridSpan w:val="3"/>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w w:val="99"/>
              </w:rPr>
              <w:t>Consultancy Agreement, dated February 1, 2018, by and among the registrant, John Richard &amp; Associates, LLC, and John</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Richard</w:t>
            </w:r>
          </w:p>
        </w:tc>
        <w:tc>
          <w:tcPr>
            <w:tcW w:w="0" w:type="dxa"/>
            <w:vAlign w:val="bottom"/>
          </w:tcPr>
          <w:p>
            <w:pPr>
              <w:spacing w:after="0"/>
              <w:rPr>
                <w:sz w:val="1"/>
                <w:szCs w:val="1"/>
                <w:color w:val="auto"/>
              </w:rPr>
            </w:pPr>
          </w:p>
        </w:tc>
      </w:tr>
      <w:tr>
        <w:trPr>
          <w:trHeight w:val="311"/>
        </w:trPr>
        <w:tc>
          <w:tcPr>
            <w:tcW w:w="640" w:type="dxa"/>
            <w:vAlign w:val="bottom"/>
            <w:gridSpan w:val="4"/>
          </w:tcPr>
          <w:p>
            <w:pPr>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February 26, 2018, between the registrant and John Richard</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w w:val="98"/>
              </w:rPr>
              <w:t>10.7#**</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Dr. Peter Fellner</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w w:val="98"/>
              </w:rPr>
              <w:t>10.8#**</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Frank Armstrong</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w w:val="98"/>
              </w:rPr>
              <w:t>10.9#**</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Peter Bains</w:t>
            </w:r>
          </w:p>
        </w:tc>
        <w:tc>
          <w:tcPr>
            <w:tcW w:w="0" w:type="dxa"/>
            <w:vAlign w:val="bottom"/>
          </w:tcPr>
          <w:p>
            <w:pPr>
              <w:spacing w:after="0"/>
              <w:rPr>
                <w:sz w:val="1"/>
                <w:szCs w:val="1"/>
                <w:color w:val="auto"/>
              </w:rPr>
            </w:pPr>
          </w:p>
        </w:tc>
      </w:tr>
      <w:tr>
        <w:trPr>
          <w:trHeight w:val="311"/>
        </w:trPr>
        <w:tc>
          <w:tcPr>
            <w:tcW w:w="960" w:type="dxa"/>
            <w:vAlign w:val="bottom"/>
            <w:gridSpan w:val="5"/>
          </w:tcPr>
          <w:p>
            <w:pPr>
              <w:spacing w:after="0"/>
              <w:rPr>
                <w:sz w:val="20"/>
                <w:szCs w:val="20"/>
                <w:color w:val="auto"/>
              </w:rPr>
            </w:pPr>
            <w:r>
              <w:rPr>
                <w:rFonts w:ascii="Arial" w:cs="Arial" w:eastAsia="Arial" w:hAnsi="Arial"/>
                <w:sz w:val="18"/>
                <w:szCs w:val="18"/>
                <w:color w:val="auto"/>
              </w:rPr>
              <w:t>10.10#**</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October 28, 2015, between the registrant and Paul Blackburn</w:t>
            </w:r>
          </w:p>
        </w:tc>
        <w:tc>
          <w:tcPr>
            <w:tcW w:w="0" w:type="dxa"/>
            <w:vAlign w:val="bottom"/>
          </w:tcPr>
          <w:p>
            <w:pPr>
              <w:spacing w:after="0"/>
              <w:rPr>
                <w:sz w:val="1"/>
                <w:szCs w:val="1"/>
                <w:color w:val="auto"/>
              </w:rPr>
            </w:pPr>
          </w:p>
        </w:tc>
      </w:tr>
      <w:tr>
        <w:trPr>
          <w:trHeight w:val="311"/>
        </w:trPr>
        <w:tc>
          <w:tcPr>
            <w:tcW w:w="960" w:type="dxa"/>
            <w:vAlign w:val="bottom"/>
            <w:gridSpan w:val="5"/>
          </w:tcPr>
          <w:p>
            <w:pPr>
              <w:spacing w:after="0"/>
              <w:rPr>
                <w:sz w:val="20"/>
                <w:szCs w:val="20"/>
                <w:color w:val="auto"/>
              </w:rPr>
            </w:pPr>
            <w:r>
              <w:rPr>
                <w:rFonts w:ascii="Arial" w:cs="Arial" w:eastAsia="Arial" w:hAnsi="Arial"/>
                <w:sz w:val="18"/>
                <w:szCs w:val="18"/>
                <w:color w:val="auto"/>
              </w:rPr>
              <w:t>10.11#**</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Anders Ekblom</w:t>
            </w:r>
          </w:p>
        </w:tc>
        <w:tc>
          <w:tcPr>
            <w:tcW w:w="0" w:type="dxa"/>
            <w:vAlign w:val="bottom"/>
          </w:tcPr>
          <w:p>
            <w:pPr>
              <w:spacing w:after="0"/>
              <w:rPr>
                <w:sz w:val="1"/>
                <w:szCs w:val="1"/>
                <w:color w:val="auto"/>
              </w:rPr>
            </w:pPr>
          </w:p>
        </w:tc>
      </w:tr>
      <w:tr>
        <w:trPr>
          <w:trHeight w:val="311"/>
        </w:trPr>
        <w:tc>
          <w:tcPr>
            <w:tcW w:w="960" w:type="dxa"/>
            <w:vAlign w:val="bottom"/>
            <w:gridSpan w:val="5"/>
          </w:tcPr>
          <w:p>
            <w:pPr>
              <w:spacing w:after="0"/>
              <w:rPr>
                <w:sz w:val="20"/>
                <w:szCs w:val="20"/>
                <w:color w:val="auto"/>
              </w:rPr>
            </w:pPr>
            <w:r>
              <w:rPr>
                <w:rFonts w:ascii="Arial" w:cs="Arial" w:eastAsia="Arial" w:hAnsi="Arial"/>
                <w:sz w:val="18"/>
                <w:szCs w:val="18"/>
                <w:color w:val="auto"/>
              </w:rPr>
              <w:t>10.12#**</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Kunal Kashyap</w:t>
            </w:r>
          </w:p>
        </w:tc>
        <w:tc>
          <w:tcPr>
            <w:tcW w:w="0" w:type="dxa"/>
            <w:vAlign w:val="bottom"/>
          </w:tcPr>
          <w:p>
            <w:pPr>
              <w:spacing w:after="0"/>
              <w:rPr>
                <w:sz w:val="1"/>
                <w:szCs w:val="1"/>
                <w:color w:val="auto"/>
              </w:rPr>
            </w:pPr>
          </w:p>
        </w:tc>
      </w:tr>
      <w:tr>
        <w:trPr>
          <w:trHeight w:val="311"/>
        </w:trPr>
        <w:tc>
          <w:tcPr>
            <w:tcW w:w="960" w:type="dxa"/>
            <w:vAlign w:val="bottom"/>
            <w:gridSpan w:val="5"/>
          </w:tcPr>
          <w:p>
            <w:pPr>
              <w:spacing w:after="0"/>
              <w:rPr>
                <w:sz w:val="20"/>
                <w:szCs w:val="20"/>
                <w:color w:val="auto"/>
              </w:rPr>
            </w:pPr>
            <w:r>
              <w:rPr>
                <w:rFonts w:ascii="Arial" w:cs="Arial" w:eastAsia="Arial" w:hAnsi="Arial"/>
                <w:sz w:val="18"/>
                <w:szCs w:val="18"/>
                <w:color w:val="auto"/>
              </w:rPr>
              <w:t>10.13#**</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Rules of the Mereo BioPharma Group plc Share Option Scheme, as adopted March 4, 2016 and amended April 4, 2017</w:t>
            </w:r>
          </w:p>
        </w:tc>
        <w:tc>
          <w:tcPr>
            <w:tcW w:w="0" w:type="dxa"/>
            <w:vAlign w:val="bottom"/>
          </w:tcPr>
          <w:p>
            <w:pPr>
              <w:spacing w:after="0"/>
              <w:rPr>
                <w:sz w:val="1"/>
                <w:szCs w:val="1"/>
                <w:color w:val="auto"/>
              </w:rPr>
            </w:pPr>
          </w:p>
        </w:tc>
      </w:tr>
      <w:tr>
        <w:trPr>
          <w:trHeight w:val="311"/>
        </w:trPr>
        <w:tc>
          <w:tcPr>
            <w:tcW w:w="960" w:type="dxa"/>
            <w:vAlign w:val="bottom"/>
            <w:gridSpan w:val="5"/>
          </w:tcPr>
          <w:p>
            <w:pPr>
              <w:spacing w:after="0"/>
              <w:rPr>
                <w:sz w:val="20"/>
                <w:szCs w:val="20"/>
                <w:color w:val="auto"/>
              </w:rPr>
            </w:pPr>
            <w:r>
              <w:rPr>
                <w:rFonts w:ascii="Arial" w:cs="Arial" w:eastAsia="Arial" w:hAnsi="Arial"/>
                <w:sz w:val="18"/>
                <w:szCs w:val="18"/>
                <w:color w:val="auto"/>
              </w:rPr>
              <w:t>10.14#**</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Scheme Rules of Mereo BioPharma Group Limited Share Option Scheme, as adopted July 8, 2015</w:t>
            </w:r>
          </w:p>
        </w:tc>
        <w:tc>
          <w:tcPr>
            <w:tcW w:w="0" w:type="dxa"/>
            <w:vAlign w:val="bottom"/>
          </w:tcPr>
          <w:p>
            <w:pPr>
              <w:spacing w:after="0"/>
              <w:rPr>
                <w:sz w:val="1"/>
                <w:szCs w:val="1"/>
                <w:color w:val="auto"/>
              </w:rPr>
            </w:pPr>
          </w:p>
        </w:tc>
      </w:tr>
      <w:tr>
        <w:trPr>
          <w:trHeight w:val="311"/>
        </w:trPr>
        <w:tc>
          <w:tcPr>
            <w:tcW w:w="960" w:type="dxa"/>
            <w:vAlign w:val="bottom"/>
            <w:gridSpan w:val="5"/>
          </w:tcPr>
          <w:p>
            <w:pPr>
              <w:spacing w:after="0"/>
              <w:rPr>
                <w:sz w:val="20"/>
                <w:szCs w:val="20"/>
                <w:color w:val="auto"/>
              </w:rPr>
            </w:pPr>
            <w:r>
              <w:rPr>
                <w:rFonts w:ascii="Arial" w:cs="Arial" w:eastAsia="Arial" w:hAnsi="Arial"/>
                <w:sz w:val="18"/>
                <w:szCs w:val="18"/>
                <w:color w:val="auto"/>
              </w:rPr>
              <w:t>10.15#**</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Rules of the Mereo BioPharma Group plc Long Term Incentive Plan, as adopted June 9, 2016</w:t>
            </w:r>
          </w:p>
        </w:tc>
        <w:tc>
          <w:tcPr>
            <w:tcW w:w="0" w:type="dxa"/>
            <w:vAlign w:val="bottom"/>
          </w:tcPr>
          <w:p>
            <w:pPr>
              <w:spacing w:after="0"/>
              <w:rPr>
                <w:sz w:val="1"/>
                <w:szCs w:val="1"/>
                <w:color w:val="auto"/>
              </w:rPr>
            </w:pPr>
          </w:p>
        </w:tc>
      </w:tr>
      <w:tr>
        <w:trPr>
          <w:trHeight w:val="311"/>
        </w:trPr>
        <w:tc>
          <w:tcPr>
            <w:tcW w:w="960" w:type="dxa"/>
            <w:vAlign w:val="bottom"/>
            <w:gridSpan w:val="5"/>
          </w:tcPr>
          <w:p>
            <w:pPr>
              <w:spacing w:after="0"/>
              <w:rPr>
                <w:sz w:val="20"/>
                <w:szCs w:val="20"/>
                <w:color w:val="auto"/>
              </w:rPr>
            </w:pPr>
            <w:r>
              <w:rPr>
                <w:rFonts w:ascii="Arial" w:cs="Arial" w:eastAsia="Arial" w:hAnsi="Arial"/>
                <w:sz w:val="18"/>
                <w:szCs w:val="18"/>
                <w:color w:val="auto"/>
              </w:rPr>
              <w:t>10.16#**</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Rules of the Mereo BioPharma Group plc Deferred Bonus Share Plan, as adopted June 9, 2016</w:t>
            </w:r>
          </w:p>
        </w:tc>
        <w:tc>
          <w:tcPr>
            <w:tcW w:w="0" w:type="dxa"/>
            <w:vAlign w:val="bottom"/>
          </w:tcPr>
          <w:p>
            <w:pPr>
              <w:spacing w:after="0"/>
              <w:rPr>
                <w:sz w:val="1"/>
                <w:szCs w:val="1"/>
                <w:color w:val="auto"/>
              </w:rPr>
            </w:pPr>
          </w:p>
        </w:tc>
      </w:tr>
      <w:tr>
        <w:trPr>
          <w:trHeight w:val="296"/>
        </w:trPr>
        <w:tc>
          <w:tcPr>
            <w:tcW w:w="960" w:type="dxa"/>
            <w:vAlign w:val="bottom"/>
            <w:gridSpan w:val="5"/>
          </w:tcPr>
          <w:p>
            <w:pPr>
              <w:spacing w:after="0"/>
              <w:rPr>
                <w:sz w:val="20"/>
                <w:szCs w:val="20"/>
                <w:color w:val="auto"/>
              </w:rPr>
            </w:pPr>
            <w:r>
              <w:rPr>
                <w:rFonts w:ascii="Arial" w:cs="Arial" w:eastAsia="Arial" w:hAnsi="Arial"/>
                <w:sz w:val="18"/>
                <w:szCs w:val="18"/>
                <w:color w:val="auto"/>
              </w:rPr>
              <w:t>10.17†**</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BCT197 Asset Purchase Agreement, dated July 28, 2015, by and between Mereo BioPharma 1 Limited and Novartis</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Pharma AG</w:t>
            </w:r>
          </w:p>
        </w:tc>
        <w:tc>
          <w:tcPr>
            <w:tcW w:w="0" w:type="dxa"/>
            <w:vAlign w:val="bottom"/>
          </w:tcPr>
          <w:p>
            <w:pPr>
              <w:spacing w:after="0"/>
              <w:rPr>
                <w:sz w:val="1"/>
                <w:szCs w:val="1"/>
                <w:color w:val="auto"/>
              </w:rPr>
            </w:pPr>
          </w:p>
        </w:tc>
      </w:tr>
      <w:tr>
        <w:trPr>
          <w:trHeight w:val="296"/>
        </w:trPr>
        <w:tc>
          <w:tcPr>
            <w:tcW w:w="960" w:type="dxa"/>
            <w:vAlign w:val="bottom"/>
            <w:gridSpan w:val="5"/>
          </w:tcPr>
          <w:p>
            <w:pPr>
              <w:spacing w:after="0"/>
              <w:rPr>
                <w:sz w:val="20"/>
                <w:szCs w:val="20"/>
                <w:color w:val="auto"/>
              </w:rPr>
            </w:pPr>
            <w:r>
              <w:rPr>
                <w:rFonts w:ascii="Arial" w:cs="Arial" w:eastAsia="Arial" w:hAnsi="Arial"/>
                <w:sz w:val="18"/>
                <w:szCs w:val="18"/>
                <w:color w:val="auto"/>
              </w:rPr>
              <w:t>10.18†**</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BGS649 Asset Purchase Agreement, dated July 28, 2015, by and between Mereo BioPharma 2 Limited and Novartis</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Pharma AG</w:t>
            </w:r>
          </w:p>
        </w:tc>
        <w:tc>
          <w:tcPr>
            <w:tcW w:w="0" w:type="dxa"/>
            <w:vAlign w:val="bottom"/>
          </w:tcPr>
          <w:p>
            <w:pPr>
              <w:spacing w:after="0"/>
              <w:rPr>
                <w:sz w:val="1"/>
                <w:szCs w:val="1"/>
                <w:color w:val="auto"/>
              </w:rPr>
            </w:pPr>
          </w:p>
        </w:tc>
      </w:tr>
      <w:tr>
        <w:trPr>
          <w:trHeight w:val="296"/>
        </w:trPr>
        <w:tc>
          <w:tcPr>
            <w:tcW w:w="960" w:type="dxa"/>
            <w:vAlign w:val="bottom"/>
            <w:gridSpan w:val="5"/>
          </w:tcPr>
          <w:p>
            <w:pPr>
              <w:spacing w:after="0"/>
              <w:rPr>
                <w:sz w:val="20"/>
                <w:szCs w:val="20"/>
                <w:color w:val="auto"/>
              </w:rPr>
            </w:pPr>
            <w:r>
              <w:rPr>
                <w:rFonts w:ascii="Arial" w:cs="Arial" w:eastAsia="Arial" w:hAnsi="Arial"/>
                <w:sz w:val="18"/>
                <w:szCs w:val="18"/>
                <w:color w:val="auto"/>
              </w:rPr>
              <w:t>10.19†**</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BPS804 Asset Purchase Agreement, dated July 28, 2015, by and between Mereo BioPharma 3 Limited and Novartis</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Pharma AG</w:t>
            </w:r>
          </w:p>
        </w:tc>
        <w:tc>
          <w:tcPr>
            <w:tcW w:w="0" w:type="dxa"/>
            <w:vAlign w:val="bottom"/>
          </w:tcPr>
          <w:p>
            <w:pPr>
              <w:spacing w:after="0"/>
              <w:rPr>
                <w:sz w:val="1"/>
                <w:szCs w:val="1"/>
                <w:color w:val="auto"/>
              </w:rPr>
            </w:pPr>
          </w:p>
        </w:tc>
      </w:tr>
      <w:tr>
        <w:trPr>
          <w:trHeight w:val="311"/>
        </w:trPr>
        <w:tc>
          <w:tcPr>
            <w:tcW w:w="960" w:type="dxa"/>
            <w:vAlign w:val="bottom"/>
            <w:gridSpan w:val="5"/>
          </w:tcPr>
          <w:p>
            <w:pPr>
              <w:spacing w:after="0"/>
              <w:rPr>
                <w:sz w:val="20"/>
                <w:szCs w:val="20"/>
                <w:color w:val="auto"/>
              </w:rPr>
            </w:pPr>
            <w:r>
              <w:rPr>
                <w:rFonts w:ascii="Arial" w:cs="Arial" w:eastAsia="Arial" w:hAnsi="Arial"/>
                <w:sz w:val="18"/>
                <w:szCs w:val="18"/>
                <w:color w:val="auto"/>
              </w:rPr>
              <w:t>10.20†**</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Sublicense Agreement, dated July 29, 2015, by and between Mereo BioPharma 3 Limited and Novartis Pharma AG</w:t>
            </w: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50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39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020" w:type="dxa"/>
            <w:vAlign w:val="bottom"/>
            <w:gridSpan w:val="5"/>
          </w:tcPr>
          <w:p>
            <w:pPr>
              <w:spacing w:after="0"/>
              <w:rPr>
                <w:sz w:val="20"/>
                <w:szCs w:val="20"/>
                <w:color w:val="auto"/>
              </w:rPr>
            </w:pPr>
            <w:r>
              <w:rPr>
                <w:rFonts w:ascii="Arial" w:cs="Arial" w:eastAsia="Arial" w:hAnsi="Arial"/>
                <w:sz w:val="18"/>
                <w:szCs w:val="18"/>
                <w:color w:val="auto"/>
              </w:rPr>
              <w:t>10.21†**</w:t>
            </w: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Exclusive License and Option Agreement, dated October 28, 2017, by and between Mereo BioPharma 4 Limited and</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AstraZeneca AB</w:t>
            </w:r>
          </w:p>
        </w:tc>
        <w:tc>
          <w:tcPr>
            <w:tcW w:w="0" w:type="dxa"/>
            <w:vAlign w:val="bottom"/>
          </w:tcPr>
          <w:p>
            <w:pPr>
              <w:spacing w:after="0"/>
              <w:rPr>
                <w:sz w:val="1"/>
                <w:szCs w:val="1"/>
                <w:color w:val="auto"/>
              </w:rPr>
            </w:pPr>
          </w:p>
        </w:tc>
      </w:tr>
      <w:tr>
        <w:trPr>
          <w:trHeight w:val="296"/>
        </w:trPr>
        <w:tc>
          <w:tcPr>
            <w:tcW w:w="600" w:type="dxa"/>
            <w:vAlign w:val="bottom"/>
            <w:gridSpan w:val="3"/>
          </w:tcPr>
          <w:p>
            <w:pPr>
              <w:spacing w:after="0"/>
              <w:rPr>
                <w:sz w:val="20"/>
                <w:szCs w:val="20"/>
                <w:color w:val="auto"/>
              </w:rPr>
            </w:pPr>
            <w:r>
              <w:rPr>
                <w:rFonts w:ascii="Arial" w:cs="Arial" w:eastAsia="Arial" w:hAnsi="Arial"/>
                <w:sz w:val="18"/>
                <w:szCs w:val="18"/>
                <w:color w:val="auto"/>
                <w:w w:val="98"/>
              </w:rPr>
              <w:t>10.22**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w w:val="99"/>
              </w:rPr>
              <w:t>Loan Agreement, dated August 7, 2017, by and among the registrant, as borrower, the guarantors party thereto, Silicon</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Valley Bank, as a lender, and Kreos Capital V (UK) Limited, as a lender, agent and security agent</w:t>
            </w:r>
          </w:p>
        </w:tc>
        <w:tc>
          <w:tcPr>
            <w:tcW w:w="0" w:type="dxa"/>
            <w:vAlign w:val="bottom"/>
          </w:tcPr>
          <w:p>
            <w:pPr>
              <w:spacing w:after="0"/>
              <w:rPr>
                <w:sz w:val="1"/>
                <w:szCs w:val="1"/>
                <w:color w:val="auto"/>
              </w:rPr>
            </w:pPr>
          </w:p>
        </w:tc>
      </w:tr>
      <w:tr>
        <w:trPr>
          <w:trHeight w:val="311"/>
        </w:trPr>
        <w:tc>
          <w:tcPr>
            <w:tcW w:w="640" w:type="dxa"/>
            <w:vAlign w:val="bottom"/>
            <w:gridSpan w:val="4"/>
          </w:tcPr>
          <w:p>
            <w:pPr>
              <w:spacing w:after="0"/>
              <w:rPr>
                <w:sz w:val="20"/>
                <w:szCs w:val="20"/>
                <w:color w:val="auto"/>
              </w:rPr>
            </w:pPr>
            <w:r>
              <w:rPr>
                <w:rFonts w:ascii="Arial" w:cs="Arial" w:eastAsia="Arial" w:hAnsi="Arial"/>
                <w:sz w:val="18"/>
                <w:szCs w:val="18"/>
                <w:color w:val="auto"/>
                <w:w w:val="99"/>
              </w:rPr>
              <w:t>10.23#*</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Form of Deed of Indemnity for board members</w:t>
            </w:r>
          </w:p>
        </w:tc>
        <w:tc>
          <w:tcPr>
            <w:tcW w:w="0" w:type="dxa"/>
            <w:vAlign w:val="bottom"/>
          </w:tcPr>
          <w:p>
            <w:pPr>
              <w:spacing w:after="0"/>
              <w:rPr>
                <w:sz w:val="1"/>
                <w:szCs w:val="1"/>
                <w:color w:val="auto"/>
              </w:rPr>
            </w:pPr>
          </w:p>
        </w:tc>
      </w:tr>
      <w:tr>
        <w:trPr>
          <w:trHeight w:val="296"/>
        </w:trPr>
        <w:tc>
          <w:tcPr>
            <w:tcW w:w="600" w:type="dxa"/>
            <w:vAlign w:val="bottom"/>
            <w:gridSpan w:val="3"/>
          </w:tcPr>
          <w:p>
            <w:pPr>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Convertible Loan Note Instrument relating to Mereo BioPharma Group plc, dated June 3, 2016, by the registrant,</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including Deeds of Amendment thereto, between the registrant and Novartis Pharma AG</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Powers of Attorney (included on signature page to the registration statement)</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Request for Waiver from Requirements of Form 20-F, Item 8.A.4, dated January 18,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right="8440" w:firstLine="4"/>
        <w:spacing w:after="0" w:line="298" w:lineRule="auto"/>
        <w:tabs>
          <w:tab w:leader="none" w:pos="52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be filed by amendment. ** Previously filed.</w:t>
      </w:r>
    </w:p>
    <w:p>
      <w:pPr>
        <w:spacing w:after="0" w:line="1" w:lineRule="exact"/>
        <w:rPr>
          <w:sz w:val="20"/>
          <w:szCs w:val="20"/>
          <w:color w:val="auto"/>
        </w:rPr>
      </w:pPr>
    </w:p>
    <w:p>
      <w:pPr>
        <w:ind w:left="520" w:hanging="316"/>
        <w:spacing w:after="0" w:line="246" w:lineRule="auto"/>
        <w:tabs>
          <w:tab w:leader="none" w:pos="5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filed separately with the SEC.</w:t>
      </w:r>
    </w:p>
    <w:p>
      <w:pPr>
        <w:spacing w:after="0" w:line="21" w:lineRule="exact"/>
        <w:rPr>
          <w:sz w:val="20"/>
          <w:szCs w:val="20"/>
          <w:color w:val="auto"/>
        </w:rPr>
      </w:pPr>
    </w:p>
    <w:p>
      <w:pPr>
        <w:ind w:left="520" w:hanging="316"/>
        <w:spacing w:after="0"/>
        <w:tabs>
          <w:tab w:leader="none" w:pos="5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Indicates senior management contract or compensatory plan.</w:t>
      </w:r>
    </w:p>
    <w:p>
      <w:pPr>
        <w:sectPr>
          <w:pgSz w:w="11900" w:h="16838" w:orient="portrait"/>
          <w:cols w:equalWidth="0" w:num="1">
            <w:col w:w="11080"/>
          </w:cols>
          <w:pgMar w:left="240" w:top="460" w:right="5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200" w:right="20" w:firstLine="331"/>
        <w:spacing w:after="0" w:line="23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6560" w:type="dxa"/>
            <w:vAlign w:val="bottom"/>
          </w:tcPr>
          <w:p>
            <w:pPr>
              <w:spacing w:after="0"/>
              <w:rPr>
                <w:sz w:val="20"/>
                <w:szCs w:val="20"/>
                <w:color w:val="auto"/>
              </w:rPr>
            </w:pPr>
            <w:r>
              <w:rPr>
                <w:rFonts w:ascii="Arial" w:cs="Arial" w:eastAsia="Arial" w:hAnsi="Arial"/>
                <w:sz w:val="18"/>
                <w:szCs w:val="18"/>
                <w:color w:val="auto"/>
              </w:rPr>
              <w:t>by the undersigned, thereunto duly authorized, in London, the United Kingdom on</w:t>
            </w:r>
          </w:p>
        </w:tc>
        <w:tc>
          <w:tcPr>
            <w:tcW w:w="4480" w:type="dxa"/>
            <w:vAlign w:val="bottom"/>
            <w:gridSpan w:val="3"/>
          </w:tcPr>
          <w:p>
            <w:pPr>
              <w:ind w:left="780"/>
              <w:spacing w:after="0"/>
              <w:rPr>
                <w:sz w:val="20"/>
                <w:szCs w:val="20"/>
                <w:color w:val="auto"/>
              </w:rPr>
            </w:pPr>
            <w:r>
              <w:rPr>
                <w:rFonts w:ascii="Arial" w:cs="Arial" w:eastAsia="Arial" w:hAnsi="Arial"/>
                <w:sz w:val="18"/>
                <w:szCs w:val="18"/>
                <w:color w:val="auto"/>
              </w:rPr>
              <w:t>, 2018.</w:t>
            </w:r>
          </w:p>
        </w:tc>
      </w:tr>
      <w:tr>
        <w:trPr>
          <w:trHeight w:val="446"/>
        </w:trPr>
        <w:tc>
          <w:tcPr>
            <w:tcW w:w="6560" w:type="dxa"/>
            <w:vAlign w:val="bottom"/>
          </w:tcPr>
          <w:p>
            <w:pPr>
              <w:spacing w:after="0"/>
              <w:rPr>
                <w:sz w:val="24"/>
                <w:szCs w:val="24"/>
                <w:color w:val="auto"/>
              </w:rPr>
            </w:pPr>
          </w:p>
        </w:tc>
        <w:tc>
          <w:tcPr>
            <w:tcW w:w="4480" w:type="dxa"/>
            <w:vAlign w:val="bottom"/>
            <w:gridSpan w:val="3"/>
          </w:tcPr>
          <w:p>
            <w:pPr>
              <w:ind w:left="60"/>
              <w:spacing w:after="0"/>
              <w:rPr>
                <w:sz w:val="20"/>
                <w:szCs w:val="20"/>
                <w:color w:val="auto"/>
              </w:rPr>
            </w:pPr>
            <w:r>
              <w:rPr>
                <w:rFonts w:ascii="Arial" w:cs="Arial" w:eastAsia="Arial" w:hAnsi="Arial"/>
                <w:sz w:val="18"/>
                <w:szCs w:val="18"/>
                <w:color w:val="auto"/>
              </w:rPr>
              <w:t>MEREO BIOPHARMA GROUP PLC</w:t>
            </w:r>
          </w:p>
        </w:tc>
      </w:tr>
      <w:tr>
        <w:trPr>
          <w:trHeight w:val="405"/>
        </w:trPr>
        <w:tc>
          <w:tcPr>
            <w:tcW w:w="656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By:</w:t>
            </w:r>
          </w:p>
        </w:tc>
        <w:tc>
          <w:tcPr>
            <w:tcW w:w="6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09"/>
        </w:trPr>
        <w:tc>
          <w:tcPr>
            <w:tcW w:w="656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Name:</w:t>
            </w:r>
          </w:p>
        </w:tc>
        <w:tc>
          <w:tcPr>
            <w:tcW w:w="3420" w:type="dxa"/>
            <w:vAlign w:val="bottom"/>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56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Denise Scots-Knight and Richard Jones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w:t>
      </w:r>
    </w:p>
    <w:tbl>
      <w:tblPr>
        <w:tblLayout w:type="fixed"/>
        <w:tblInd w:w="200" w:type="dxa"/>
        <w:tblCellMar>
          <w:top w:w="0" w:type="dxa"/>
          <w:left w:w="0" w:type="dxa"/>
          <w:bottom w:w="0" w:type="dxa"/>
          <w:right w:w="0" w:type="dxa"/>
        </w:tblCellMar>
      </w:tblPr>
      <w:tr>
        <w:trPr>
          <w:trHeight w:val="217"/>
        </w:trPr>
        <w:tc>
          <w:tcPr>
            <w:tcW w:w="1320" w:type="dxa"/>
            <w:vAlign w:val="bottom"/>
            <w:gridSpan w:val="2"/>
          </w:tcPr>
          <w:p>
            <w:pPr>
              <w:spacing w:after="0"/>
              <w:rPr>
                <w:sz w:val="20"/>
                <w:szCs w:val="20"/>
                <w:color w:val="auto"/>
              </w:rPr>
            </w:pPr>
            <w:r>
              <w:rPr>
                <w:rFonts w:ascii="Arial" w:cs="Arial" w:eastAsia="Arial" w:hAnsi="Arial"/>
                <w:sz w:val="18"/>
                <w:szCs w:val="18"/>
                <w:color w:val="auto"/>
              </w:rPr>
              <w:t>persons on</w:t>
            </w:r>
          </w:p>
        </w:tc>
        <w:tc>
          <w:tcPr>
            <w:tcW w:w="4300" w:type="dxa"/>
            <w:vAlign w:val="bottom"/>
            <w:gridSpan w:val="3"/>
          </w:tcPr>
          <w:p>
            <w:pPr>
              <w:ind w:left="420"/>
              <w:spacing w:after="0"/>
              <w:rPr>
                <w:sz w:val="20"/>
                <w:szCs w:val="20"/>
                <w:color w:val="auto"/>
              </w:rPr>
            </w:pPr>
            <w:r>
              <w:rPr>
                <w:rFonts w:ascii="Arial" w:cs="Arial" w:eastAsia="Arial" w:hAnsi="Arial"/>
                <w:sz w:val="18"/>
                <w:szCs w:val="18"/>
                <w:color w:val="auto"/>
              </w:rPr>
              <w:t>, 2018 in the capacities indicated: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05"/>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280" w:type="dxa"/>
            <w:vAlign w:val="bottom"/>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4"/>
                <w:szCs w:val="14"/>
                <w:b w:val="1"/>
                <w:bCs w:val="1"/>
                <w:color w:val="auto"/>
              </w:rPr>
              <w:t>Title</w:t>
            </w: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4"/>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71"/>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Denise Scots-Knight, Ph.D.</w:t>
            </w:r>
          </w:p>
        </w:tc>
        <w:tc>
          <w:tcPr>
            <w:tcW w:w="4580" w:type="dxa"/>
            <w:vAlign w:val="bottom"/>
            <w:gridSpan w:val="3"/>
          </w:tcPr>
          <w:p>
            <w:pPr>
              <w:jc w:val="center"/>
              <w:ind w:left="351"/>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w w:val="99"/>
              </w:rPr>
              <w:t>Chief Financial Officer and Member of the Board</w:t>
            </w:r>
          </w:p>
        </w:tc>
      </w:tr>
      <w:tr>
        <w:trPr>
          <w:trHeight w:val="183"/>
        </w:trPr>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00" w:type="dxa"/>
            <w:vAlign w:val="bottom"/>
            <w:gridSpan w:val="3"/>
          </w:tcPr>
          <w:p>
            <w:pPr>
              <w:jc w:val="center"/>
              <w:ind w:right="660"/>
              <w:spacing w:after="0" w:line="182" w:lineRule="exact"/>
              <w:rPr>
                <w:sz w:val="20"/>
                <w:szCs w:val="20"/>
                <w:color w:val="auto"/>
              </w:rPr>
            </w:pPr>
            <w:r>
              <w:rPr>
                <w:rFonts w:ascii="Arial" w:cs="Arial" w:eastAsia="Arial" w:hAnsi="Arial"/>
                <w:sz w:val="18"/>
                <w:szCs w:val="18"/>
                <w:color w:val="auto"/>
              </w:rPr>
              <w:t>Richard Jones</w:t>
            </w:r>
          </w:p>
        </w:tc>
        <w:tc>
          <w:tcPr>
            <w:tcW w:w="4580" w:type="dxa"/>
            <w:vAlign w:val="bottom"/>
            <w:gridSpan w:val="3"/>
          </w:tcPr>
          <w:p>
            <w:pPr>
              <w:jc w:val="center"/>
              <w:ind w:left="351"/>
              <w:spacing w:after="0" w:line="182" w:lineRule="exact"/>
              <w:rPr>
                <w:sz w:val="20"/>
                <w:szCs w:val="20"/>
                <w:color w:val="auto"/>
              </w:rPr>
            </w:pPr>
            <w:r>
              <w:rPr>
                <w:rFonts w:ascii="Arial" w:cs="Arial" w:eastAsia="Arial" w:hAnsi="Arial"/>
                <w:sz w:val="18"/>
                <w:szCs w:val="18"/>
                <w:color w:val="auto"/>
              </w:rPr>
              <w:t>(Principal Financial Officer and Principal Accounting</w:t>
            </w:r>
          </w:p>
        </w:tc>
      </w:tr>
      <w:tr>
        <w:trPr>
          <w:trHeight w:val="217"/>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w w:val="98"/>
              </w:rPr>
              <w:t>Officer)</w:t>
            </w:r>
          </w:p>
        </w:tc>
      </w:tr>
      <w:tr>
        <w:trPr>
          <w:trHeight w:val="405"/>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Chairman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8"/>
              </w:rPr>
              <w:t>Peter Fellner, Ph.D.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Frank Armstrong, MBChB</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8"/>
              </w:rPr>
              <w:t>Peter Bains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Paul Blackburn</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Anders Ekblom, M.D., Ph.D.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Kunal Kashyap</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ectPr>
          <w:pgSz w:w="11900" w:h="16838" w:orient="portrait"/>
          <w:cols w:equalWidth="0" w:num="1">
            <w:col w:w="11240"/>
          </w:cols>
          <w:pgMar w:left="240" w:top="460" w:right="41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w:t>
      </w:r>
    </w:p>
    <w:tbl>
      <w:tblPr>
        <w:tblLayout w:type="fixed"/>
        <w:tblInd w:w="200" w:type="dxa"/>
        <w:tblCellMar>
          <w:top w:w="0" w:type="dxa"/>
          <w:left w:w="0" w:type="dxa"/>
          <w:bottom w:w="0" w:type="dxa"/>
          <w:right w:w="0" w:type="dxa"/>
        </w:tblCellMar>
      </w:tblP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United States of Mereo BioPharma Group plc has signed this registration statement on</w:t>
            </w:r>
          </w:p>
        </w:tc>
        <w:tc>
          <w:tcPr>
            <w:tcW w:w="4080" w:type="dxa"/>
            <w:vAlign w:val="bottom"/>
            <w:gridSpan w:val="2"/>
          </w:tcPr>
          <w:p>
            <w:pPr>
              <w:jc w:val="right"/>
              <w:ind w:right="2740"/>
              <w:spacing w:after="0"/>
              <w:rPr>
                <w:sz w:val="20"/>
                <w:szCs w:val="20"/>
                <w:color w:val="auto"/>
              </w:rPr>
            </w:pPr>
            <w:r>
              <w:rPr>
                <w:rFonts w:ascii="Arial" w:cs="Arial" w:eastAsia="Arial" w:hAnsi="Arial"/>
                <w:sz w:val="18"/>
                <w:szCs w:val="18"/>
                <w:color w:val="auto"/>
              </w:rPr>
              <w:t>, 2018.</w:t>
            </w:r>
          </w:p>
        </w:tc>
      </w:tr>
      <w:tr>
        <w:trPr>
          <w:trHeight w:val="432"/>
        </w:trPr>
        <w:tc>
          <w:tcPr>
            <w:tcW w:w="6960" w:type="dxa"/>
            <w:vAlign w:val="bottom"/>
          </w:tcPr>
          <w:p>
            <w:pPr>
              <w:ind w:left="66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09"/>
        </w:trPr>
        <w:tc>
          <w:tcPr>
            <w:tcW w:w="6960" w:type="dxa"/>
            <w:vAlign w:val="bottom"/>
          </w:tcPr>
          <w:p>
            <w:pPr>
              <w:spacing w:after="0"/>
              <w:rPr>
                <w:sz w:val="18"/>
                <w:szCs w:val="18"/>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Name:</w:t>
            </w:r>
          </w:p>
        </w:tc>
      </w:tr>
      <w:tr>
        <w:trPr>
          <w:trHeight w:val="217"/>
        </w:trPr>
        <w:tc>
          <w:tcPr>
            <w:tcW w:w="6960" w:type="dxa"/>
            <w:vAlign w:val="bottom"/>
          </w:tcPr>
          <w:p>
            <w:pPr>
              <w:spacing w:after="0"/>
              <w:rPr>
                <w:sz w:val="18"/>
                <w:szCs w:val="18"/>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240"/>
          </w:cols>
          <w:pgMar w:left="240" w:top="459" w:right="41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10.6</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MEREO BIOPHARMA GROUP PLC</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JOHN RICHARD AND</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JOHN RICHARD &amp; ASSOCIATES, LLC</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CONSULTANCY AGREEMENT</w:t>
      </w:r>
    </w:p>
    <w:p>
      <w:pPr>
        <w:sectPr>
          <w:pgSz w:w="11900" w:h="16838" w:orient="portrait"/>
          <w:cols w:equalWidth="0" w:num="1">
            <w:col w:w="10220"/>
          </w:cols>
          <w:pgMar w:left="1440" w:top="121" w:right="2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CONSULTANCY AGREEMENT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consultancy agreement (this “Agreement”) has been entered into this 1st day of February 2018 and shall replace the agreement between the Parties dated 17 January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27" w:lineRule="exact"/>
        <w:rPr>
          <w:sz w:val="20"/>
          <w:szCs w:val="20"/>
          <w:color w:val="auto"/>
        </w:rPr>
      </w:pPr>
    </w:p>
    <w:p>
      <w:pPr>
        <w:ind w:left="460" w:right="20" w:hanging="452"/>
        <w:spacing w:after="0" w:line="282"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company registered in England and Wales, having its registered address at One Cavendish Place, London, W1G OQF</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the “Company”); and</w:t>
      </w:r>
    </w:p>
    <w:p>
      <w:pPr>
        <w:spacing w:after="0" w:line="67" w:lineRule="exact"/>
        <w:rPr>
          <w:rFonts w:ascii="Arial" w:cs="Arial" w:eastAsia="Arial" w:hAnsi="Arial"/>
          <w:sz w:val="18"/>
          <w:szCs w:val="18"/>
          <w:color w:val="auto"/>
        </w:rPr>
      </w:pPr>
    </w:p>
    <w:p>
      <w:pPr>
        <w:ind w:left="460" w:right="120" w:hanging="452"/>
        <w:spacing w:after="0" w:line="282"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John Richard &amp; Associates, LLC, </w:t>
      </w:r>
      <w:r>
        <w:rPr>
          <w:rFonts w:ascii="Arial" w:cs="Arial" w:eastAsia="Arial" w:hAnsi="Arial"/>
          <w:sz w:val="18"/>
          <w:szCs w:val="18"/>
          <w:color w:val="auto"/>
        </w:rPr>
        <w:t>a company organised under the laws of Georgia, having its registered address at 21 West Andrews Drive, Atlanta,</w:t>
      </w:r>
      <w:r>
        <w:rPr>
          <w:rFonts w:ascii="Arial" w:cs="Arial" w:eastAsia="Arial" w:hAnsi="Arial"/>
          <w:sz w:val="18"/>
          <w:szCs w:val="18"/>
          <w:b w:val="1"/>
          <w:bCs w:val="1"/>
          <w:color w:val="auto"/>
        </w:rPr>
        <w:t xml:space="preserve"> </w:t>
      </w:r>
      <w:r>
        <w:rPr>
          <w:rFonts w:ascii="Arial" w:cs="Arial" w:eastAsia="Arial" w:hAnsi="Arial"/>
          <w:sz w:val="18"/>
          <w:szCs w:val="18"/>
          <w:color w:val="auto"/>
        </w:rPr>
        <w:t>GA 30305, USA (hereinafter referred to as the “Consultant”).</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John Richard of </w:t>
      </w:r>
      <w:r>
        <w:rPr>
          <w:rFonts w:ascii="Arial" w:cs="Arial" w:eastAsia="Arial" w:hAnsi="Arial"/>
          <w:sz w:val="18"/>
          <w:szCs w:val="18"/>
          <w:color w:val="auto"/>
        </w:rPr>
        <w:t>21 West Andrews Drive, Atlanta, GA 30305, USA (hereinafter referred to as the “Executive”)</w:t>
      </w:r>
    </w:p>
    <w:p>
      <w:pPr>
        <w:spacing w:after="0" w:line="121" w:lineRule="exact"/>
        <w:rPr>
          <w:rFonts w:ascii="Arial" w:cs="Arial" w:eastAsia="Arial" w:hAnsi="Arial"/>
          <w:sz w:val="18"/>
          <w:szCs w:val="18"/>
          <w:color w:val="auto"/>
        </w:rPr>
      </w:pPr>
    </w:p>
    <w:p>
      <w:pPr>
        <w:ind w:left="460" w:right="1320"/>
        <w:spacing w:after="0" w:line="483" w:lineRule="auto"/>
        <w:rPr>
          <w:rFonts w:ascii="Arial" w:cs="Arial" w:eastAsia="Arial" w:hAnsi="Arial"/>
          <w:sz w:val="18"/>
          <w:szCs w:val="18"/>
          <w:color w:val="auto"/>
        </w:rPr>
      </w:pPr>
      <w:r>
        <w:rPr>
          <w:rFonts w:ascii="Arial" w:cs="Arial" w:eastAsia="Arial" w:hAnsi="Arial"/>
          <w:sz w:val="16"/>
          <w:szCs w:val="16"/>
          <w:color w:val="auto"/>
        </w:rPr>
        <w:t>The Company, the Executive and the Consultant are hereinafter collectively referred to as the “Parties”, or individually as “Party”. “Associates” means the Company and/or any other subsidiary, holding company or subsidiary of a holding company of the Company.</w:t>
      </w:r>
    </w:p>
    <w:p>
      <w:pPr>
        <w:spacing w:after="0" w:line="160"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Company conducts pharmaceutical licensing, development, and commercialization.</w:t>
      </w:r>
    </w:p>
    <w:p>
      <w:pPr>
        <w:spacing w:after="0" w:line="131" w:lineRule="exact"/>
        <w:rPr>
          <w:sz w:val="20"/>
          <w:szCs w:val="20"/>
          <w:color w:val="auto"/>
        </w:rPr>
      </w:pPr>
    </w:p>
    <w:p>
      <w:pPr>
        <w:ind w:left="460" w:right="40" w:hanging="445"/>
        <w:spacing w:after="0" w:line="277" w:lineRule="auto"/>
        <w:tabs>
          <w:tab w:leader="none" w:pos="440" w:val="left"/>
        </w:tabs>
        <w:rPr>
          <w:sz w:val="20"/>
          <w:szCs w:val="20"/>
          <w:color w:val="auto"/>
        </w:rPr>
      </w:pPr>
      <w:r>
        <w:rPr>
          <w:rFonts w:ascii="Arial" w:cs="Arial" w:eastAsia="Arial" w:hAnsi="Arial"/>
          <w:sz w:val="18"/>
          <w:szCs w:val="18"/>
          <w:color w:val="auto"/>
        </w:rPr>
        <w:t>1.2</w:t>
        <w:tab/>
        <w:t>The Parties have agreed to enter into this Agreement concerning consultancy services related to business development, strategic advice, and transaction management.</w:t>
      </w:r>
    </w:p>
    <w:p>
      <w:pPr>
        <w:spacing w:after="0" w:line="315"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the Services</w:t>
      </w:r>
    </w:p>
    <w:p>
      <w:pPr>
        <w:spacing w:after="0" w:line="135" w:lineRule="exact"/>
        <w:rPr>
          <w:sz w:val="20"/>
          <w:szCs w:val="20"/>
          <w:color w:val="auto"/>
        </w:rPr>
      </w:pPr>
    </w:p>
    <w:p>
      <w:pPr>
        <w:jc w:val="both"/>
        <w:ind w:left="460" w:right="80" w:hanging="445"/>
        <w:spacing w:after="0" w:line="264" w:lineRule="auto"/>
        <w:tabs>
          <w:tab w:leader="none" w:pos="440" w:val="left"/>
        </w:tabs>
        <w:rPr>
          <w:sz w:val="20"/>
          <w:szCs w:val="20"/>
          <w:color w:val="auto"/>
        </w:rPr>
      </w:pPr>
      <w:r>
        <w:rPr>
          <w:rFonts w:ascii="Arial" w:cs="Arial" w:eastAsia="Arial" w:hAnsi="Arial"/>
          <w:sz w:val="18"/>
          <w:szCs w:val="18"/>
          <w:color w:val="auto"/>
        </w:rPr>
        <w:t>2.1</w:t>
        <w:tab/>
        <w:t xml:space="preserve">The Consultant shall provide the services of the Executive to the Company and the Consultant shall perform consultancy services (the “Services”) for the Company in accordance with the terms and conditions of this Agreement and the specification set out in </w:t>
      </w:r>
      <w:r>
        <w:rPr>
          <w:rFonts w:ascii="Arial" w:cs="Arial" w:eastAsia="Arial" w:hAnsi="Arial"/>
          <w:sz w:val="18"/>
          <w:szCs w:val="18"/>
          <w:u w:val="single" w:color="auto"/>
          <w:color w:val="auto"/>
        </w:rPr>
        <w:t>Appendix 1</w:t>
      </w:r>
      <w:r>
        <w:rPr>
          <w:rFonts w:ascii="Arial" w:cs="Arial" w:eastAsia="Arial" w:hAnsi="Arial"/>
          <w:sz w:val="18"/>
          <w:szCs w:val="18"/>
          <w:color w:val="auto"/>
        </w:rPr>
        <w:t>. The Consultant shall perform the Services to the extent either requested by the Company or otherwise beneficial to the Company.</w:t>
      </w:r>
    </w:p>
    <w:p>
      <w:pPr>
        <w:spacing w:after="0" w:line="87"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2.2</w:t>
        <w:tab/>
        <w:t>The Consultant’s relationship with the Company is that of an independent contractor and the Consultant will operate from its own business premises for the purposes of this Agreement.</w:t>
      </w:r>
    </w:p>
    <w:p>
      <w:pPr>
        <w:sectPr>
          <w:pgSz w:w="11900" w:h="16838" w:orient="portrait"/>
          <w:cols w:equalWidth="0" w:num="1">
            <w:col w:w="11400"/>
          </w:cols>
          <w:pgMar w:left="240" w:top="270" w:right="259" w:bottom="1440" w:gutter="0" w:footer="0" w:header="0"/>
        </w:sectPr>
      </w:pPr>
    </w:p>
    <w:bookmarkStart w:id="267" w:name="page268"/>
    <w:bookmarkEnd w:id="267"/>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Remuneration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xml:space="preserve">In exchange for the Services, the Company will pay the Consultant as outlined in </w:t>
      </w:r>
      <w:r>
        <w:rPr>
          <w:rFonts w:ascii="Arial" w:cs="Arial" w:eastAsia="Arial" w:hAnsi="Arial"/>
          <w:sz w:val="16"/>
          <w:szCs w:val="16"/>
          <w:u w:val="single" w:color="auto"/>
          <w:color w:val="auto"/>
        </w:rPr>
        <w:t>Appendix 2</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Payment shall be made not later than thirty (30) days following receipt of an invoice addressed to the Company or its Associates.</w:t>
      </w:r>
    </w:p>
    <w:p>
      <w:pPr>
        <w:spacing w:after="0" w:line="370"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Parties shall at all times co-operate and communicate with each other in conjunction with the performance of the Services.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Consultant represents, warrants and undertakes to the Company and its Associates that it shall :</w:t>
      </w:r>
    </w:p>
    <w:p>
      <w:pPr>
        <w:spacing w:after="0" w:line="131"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Perform and procure the Executive perform the Services with all reasonable care and skill and in a professional manner;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 engage any sub-contractors without the Company’s consent;</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performing the Services the Consultant and the Executive will not infringe the rights of or breach any of their respective obligations to any third party and the Consultant and the Executive will use all reasonable endeavours to comply with any relevant laws and regulations relating to the business of the Company;</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advise the Company as soon as it becomes aware, whether at the date of this Agreement or at any time afterwards that the provision of the Services by it could result in a conflict of interest for the Consultant and/or the Executive;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procure that the Executive shall provide the Company with such information regarding the Services as the Company may reasonably require;</w:t>
      </w:r>
    </w:p>
    <w:p>
      <w:pPr>
        <w:spacing w:after="0" w:line="393"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Cap on Liability</w:t>
      </w:r>
    </w:p>
    <w:p>
      <w:pPr>
        <w:spacing w:after="0" w:line="135" w:lineRule="exact"/>
        <w:rPr>
          <w:sz w:val="20"/>
          <w:szCs w:val="20"/>
          <w:color w:val="auto"/>
        </w:rPr>
      </w:pPr>
    </w:p>
    <w:p>
      <w:pPr>
        <w:ind w:left="460" w:right="120" w:hanging="445"/>
        <w:spacing w:after="0" w:line="259" w:lineRule="auto"/>
        <w:tabs>
          <w:tab w:leader="none" w:pos="440" w:val="left"/>
        </w:tabs>
        <w:rPr>
          <w:sz w:val="20"/>
          <w:szCs w:val="20"/>
          <w:color w:val="auto"/>
        </w:rPr>
      </w:pPr>
      <w:r>
        <w:rPr>
          <w:rFonts w:ascii="Arial" w:cs="Arial" w:eastAsia="Arial" w:hAnsi="Arial"/>
          <w:sz w:val="18"/>
          <w:szCs w:val="18"/>
          <w:color w:val="auto"/>
        </w:rPr>
        <w:t>5.1</w:t>
        <w:tab/>
        <w:t>The Company shall indemnify, defend and hold harmless Consultant from and against any liability, damage, loss or expense incurred by or imposed upon such Consultant in connection with any claims, suits, actions, demand or judgements arising out of performance of the Services except to the extent that such liability, damage, loss or expense occurs from any negligent act or omission, breach of contract or failure to follow applicable laws by the Consultant or the Executive.</w:t>
      </w:r>
    </w:p>
    <w:p>
      <w:pPr>
        <w:spacing w:after="0" w:line="92"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5.2</w:t>
        <w:tab/>
        <w:t>The maximum aggregate liability of the Consultant to the Company under this Agreement shall not exceed the total amount of remuneration paid by the Company to the Consultant under this Agreement.</w:t>
      </w:r>
    </w:p>
    <w:p>
      <w:pPr>
        <w:sectPr>
          <w:pgSz w:w="11900" w:h="16838" w:orient="portrait"/>
          <w:cols w:equalWidth="0" w:num="1">
            <w:col w:w="11400"/>
          </w:cols>
          <w:pgMar w:left="240" w:top="270" w:right="259" w:bottom="1440" w:gutter="0" w:footer="0" w:header="0"/>
        </w:sectPr>
      </w:pPr>
    </w:p>
    <w:bookmarkStart w:id="268" w:name="page269"/>
    <w:bookmarkEnd w:id="268"/>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 Rights</w:t>
      </w:r>
    </w:p>
    <w:p>
      <w:pPr>
        <w:spacing w:after="0" w:line="135" w:lineRule="exact"/>
        <w:rPr>
          <w:sz w:val="20"/>
          <w:szCs w:val="20"/>
          <w:color w:val="auto"/>
        </w:rPr>
      </w:pPr>
    </w:p>
    <w:p>
      <w:pPr>
        <w:ind w:left="460" w:right="300" w:hanging="445"/>
        <w:spacing w:after="0" w:line="259" w:lineRule="auto"/>
        <w:tabs>
          <w:tab w:leader="none" w:pos="440" w:val="left"/>
        </w:tabs>
        <w:rPr>
          <w:sz w:val="20"/>
          <w:szCs w:val="20"/>
          <w:color w:val="auto"/>
        </w:rPr>
      </w:pPr>
      <w:r>
        <w:rPr>
          <w:rFonts w:ascii="Arial" w:cs="Arial" w:eastAsia="Arial" w:hAnsi="Arial"/>
          <w:sz w:val="18"/>
          <w:szCs w:val="18"/>
          <w:color w:val="auto"/>
        </w:rPr>
        <w:t>6.1</w:t>
        <w:tab/>
        <w:t>All intellectual property rights—irrespective of form -, including but not limited to patents and copyrights and the result of know-how, that arise in connection with the performance of the Services shall – without additional remuneration – become and remain the property of the Company. The Company shall furthermore be entitled to freely develop or modify such intellectual property rights as well as to sublicense and transfer such intellectual property rights to a third party.</w:t>
      </w:r>
    </w:p>
    <w:p>
      <w:pPr>
        <w:spacing w:after="0" w:line="92"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6.2</w:t>
        <w:tab/>
        <w:t>All material and results—irrespective of form—that the Consultant produces in connection with performance of the Services shall – without additional remuneration – become and remain the property of the Company.</w:t>
      </w:r>
    </w:p>
    <w:p>
      <w:pPr>
        <w:spacing w:after="0" w:line="76" w:lineRule="exact"/>
        <w:rPr>
          <w:sz w:val="20"/>
          <w:szCs w:val="20"/>
          <w:color w:val="auto"/>
        </w:rPr>
      </w:pPr>
    </w:p>
    <w:p>
      <w:pPr>
        <w:ind w:left="460" w:right="140" w:hanging="445"/>
        <w:spacing w:after="0" w:line="264" w:lineRule="auto"/>
        <w:tabs>
          <w:tab w:leader="none" w:pos="440" w:val="left"/>
        </w:tabs>
        <w:rPr>
          <w:sz w:val="20"/>
          <w:szCs w:val="20"/>
          <w:color w:val="auto"/>
        </w:rPr>
      </w:pPr>
      <w:r>
        <w:rPr>
          <w:rFonts w:ascii="Arial" w:cs="Arial" w:eastAsia="Arial" w:hAnsi="Arial"/>
          <w:sz w:val="18"/>
          <w:szCs w:val="18"/>
          <w:color w:val="auto"/>
        </w:rPr>
        <w:t>6.3</w:t>
        <w:tab/>
        <w:t>The Consultant agrees and undertakes to execute all such deeds and documents that, in the Company’s sole discretion, are necessary or desirable in order for the Company to be able to protect, register, maintain and in any other way be able to fully enjoy the Company’s rights referred to under this Section 6.</w:t>
      </w:r>
    </w:p>
    <w:p>
      <w:pPr>
        <w:spacing w:after="0" w:line="87" w:lineRule="exact"/>
        <w:rPr>
          <w:sz w:val="20"/>
          <w:szCs w:val="20"/>
          <w:color w:val="auto"/>
        </w:rPr>
      </w:pPr>
    </w:p>
    <w:p>
      <w:pPr>
        <w:ind w:left="460" w:right="240" w:hanging="445"/>
        <w:spacing w:after="0" w:line="277" w:lineRule="auto"/>
        <w:tabs>
          <w:tab w:leader="none" w:pos="440" w:val="left"/>
        </w:tabs>
        <w:rPr>
          <w:sz w:val="20"/>
          <w:szCs w:val="20"/>
          <w:color w:val="auto"/>
        </w:rPr>
      </w:pPr>
      <w:r>
        <w:rPr>
          <w:rFonts w:ascii="Arial" w:cs="Arial" w:eastAsia="Arial" w:hAnsi="Arial"/>
          <w:sz w:val="18"/>
          <w:szCs w:val="18"/>
          <w:color w:val="auto"/>
        </w:rPr>
        <w:t>6.4</w:t>
        <w:tab/>
        <w:t>During the term of the Agreement, as well as after the termination thereof, the Consultant shall not be entitled to, either directly or indirectly, utilise material, results or rights covered by sections 6.1 and 6.2 above, unless the Company has agreed thereto in writing.</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The Consultant undertakes to return all material, documentation and other property of the Company at the termination of the Agreement.</w:t>
      </w:r>
    </w:p>
    <w:p>
      <w:pPr>
        <w:spacing w:after="0" w:line="131"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6.6</w:t>
        <w:tab/>
        <w:t>Without prejudice to the generality of the remaining provisions of this clause 6, in consideration of the Company entering into this Agreement, the Consultant and the Executive assign to the Company for all purposes the copyright and (to the extent capable of assignment under this sub-clause) any and all other intellectual property rights in or relating to the materials and results that the Consultant produces in connection with performance of the Services</w:t>
      </w:r>
    </w:p>
    <w:p>
      <w:pPr>
        <w:spacing w:after="0" w:line="331"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35" w:lineRule="exact"/>
        <w:rPr>
          <w:sz w:val="20"/>
          <w:szCs w:val="20"/>
          <w:color w:val="auto"/>
        </w:rPr>
      </w:pPr>
    </w:p>
    <w:p>
      <w:pPr>
        <w:ind w:left="460" w:right="40" w:hanging="445"/>
        <w:spacing w:after="0" w:line="286" w:lineRule="auto"/>
        <w:tabs>
          <w:tab w:leader="none" w:pos="440" w:val="left"/>
        </w:tabs>
        <w:rPr>
          <w:sz w:val="20"/>
          <w:szCs w:val="20"/>
          <w:color w:val="auto"/>
        </w:rPr>
      </w:pPr>
      <w:r>
        <w:rPr>
          <w:rFonts w:ascii="Arial" w:cs="Arial" w:eastAsia="Arial" w:hAnsi="Arial"/>
          <w:sz w:val="18"/>
          <w:szCs w:val="18"/>
          <w:i w:val="1"/>
          <w:iCs w:val="1"/>
          <w:color w:val="auto"/>
        </w:rPr>
        <w:t>7.1</w:t>
      </w:r>
      <w:r>
        <w:rPr>
          <w:sz w:val="20"/>
          <w:szCs w:val="20"/>
          <w:color w:val="auto"/>
        </w:rPr>
        <w:tab/>
      </w:r>
      <w:r>
        <w:rPr>
          <w:rFonts w:ascii="Arial" w:cs="Arial" w:eastAsia="Arial" w:hAnsi="Arial"/>
          <w:sz w:val="17"/>
          <w:szCs w:val="17"/>
          <w:color w:val="auto"/>
        </w:rPr>
        <w:t>This Agreement shall take effect on 1 February 2018 and will remain in effect until 31 January 2019 whereupon the Agreement shall terminate automatically and without notice unless either of the Parties has terminated the Agreement prior to the end of the term of the Agreement, by providing written notice of 6 months. However, sections 6, 8, and 16 shall remain in effect following the termination of this Agreement.</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Company shall be entitled to terminate this Agreement immediately where the Consultant:</w:t>
      </w:r>
    </w:p>
    <w:p>
      <w:pPr>
        <w:spacing w:after="0" w:line="131"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has neglected its duties with respect to the Services;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has committed a material breach of the Agreement; or</w:t>
      </w:r>
    </w:p>
    <w:p>
      <w:pPr>
        <w:sectPr>
          <w:pgSz w:w="11900" w:h="16838" w:orient="portrait"/>
          <w:cols w:equalWidth="0" w:num="1">
            <w:col w:w="11320"/>
          </w:cols>
          <w:pgMar w:left="240" w:top="270" w:right="339" w:bottom="1440" w:gutter="0" w:footer="0" w:header="0"/>
        </w:sectPr>
      </w:pPr>
    </w:p>
    <w:bookmarkStart w:id="269" w:name="page270"/>
    <w:bookmarkEnd w:id="269"/>
    <w:p>
      <w:pPr>
        <w:ind w:left="900" w:right="200" w:hanging="446"/>
        <w:spacing w:after="0" w:line="308"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Consultant shall at any time be prevented by the Executive’s illness or accident or other incapacity from providing his services under this Agreement for a period of two consecutive months or for more than 60 working days in any consecutive 12 months; or</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is declared bankrupt, submits an application for a company reorganisation order, enters into liquidation, suspends its payments or is otherwise deemed insolvent.</w:t>
      </w:r>
    </w:p>
    <w:p>
      <w:pPr>
        <w:spacing w:after="0" w:line="62"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The Consultant shall be entitled to receive any outstanding remuneration payable with respect to the Services provided prior to termination of the Agreement.</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Consultant shall be entitled to terminate the Agreement forthwith if the Company:</w:t>
      </w:r>
    </w:p>
    <w:p>
      <w:pPr>
        <w:spacing w:after="0" w:line="131" w:lineRule="exact"/>
        <w:rPr>
          <w:sz w:val="20"/>
          <w:szCs w:val="20"/>
          <w:color w:val="auto"/>
        </w:rPr>
      </w:pPr>
    </w:p>
    <w:p>
      <w:pPr>
        <w:ind w:left="900" w:hanging="446"/>
        <w:spacing w:after="0"/>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has committed a material breach of the Agreement; or</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is declared bankrupt, submits an application for a company reorganisation order, enters into liquidation, suspends its payments or is otherwise deemed insolvent.</w:t>
      </w:r>
    </w:p>
    <w:p>
      <w:pPr>
        <w:spacing w:after="0" w:line="62"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The Consultant shall be entitled to receive any outstanding remuneration payable with respect to the Services provided prior to termination of the Agreement.</w:t>
      </w:r>
    </w:p>
    <w:p>
      <w:pPr>
        <w:spacing w:after="0" w:line="315"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460" w:hanging="445"/>
        <w:spacing w:after="0" w:line="257"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 xml:space="preserve">Definition of Confidential Information. </w:t>
      </w:r>
      <w:r>
        <w:rPr>
          <w:rFonts w:ascii="Arial" w:cs="Arial" w:eastAsia="Arial" w:hAnsi="Arial"/>
          <w:sz w:val="18"/>
          <w:szCs w:val="18"/>
          <w:color w:val="auto"/>
        </w:rPr>
        <w:t>“Confidential Information” as used in this Agreement shall mean any and all technical and non-technical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information related to the current, future and proposed products and services of the Company, its suppliers and customers, and includes, without limitation, its respective information concerning research, experimental work, development, design details and specifications, engineering, financial information, procurement requirements, purchasing manufacturing, customer lists, business forecasts, sales and merchandising and marketing plans and information.</w:t>
      </w:r>
    </w:p>
    <w:p>
      <w:pPr>
        <w:spacing w:after="0" w:line="94" w:lineRule="exact"/>
        <w:rPr>
          <w:sz w:val="20"/>
          <w:szCs w:val="20"/>
          <w:color w:val="auto"/>
        </w:rPr>
      </w:pPr>
    </w:p>
    <w:p>
      <w:pPr>
        <w:ind w:left="460" w:right="80" w:hanging="445"/>
        <w:spacing w:after="0" w:line="255"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 xml:space="preserve">Nondisclosure and Nonuse Obligations. </w:t>
      </w:r>
      <w:r>
        <w:rPr>
          <w:rFonts w:ascii="Arial" w:cs="Arial" w:eastAsia="Arial" w:hAnsi="Arial"/>
          <w:sz w:val="18"/>
          <w:szCs w:val="18"/>
          <w:color w:val="auto"/>
        </w:rPr>
        <w:t>Consultant and the Executive will use the Confidential Information solely to perform the Services for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benefit of the Company. Consultant agrees that Consultant and Executive shall treat all Confidential Information of the Company with the same degree of care as Consultant accords to Consultant’s own Confidential Information, and Consultant represents that Consultant exercises reasonable care to protect Consultant’s own Confidential Information. Consultant will immediately give notice to the Company of any unauthorized use or disclosure of the Confidential Information. Consultant agrees to assist the Company in remedying any such unauthorized use or disclosure of the Confidential Information.</w:t>
      </w:r>
    </w:p>
    <w:p>
      <w:pPr>
        <w:sectPr>
          <w:pgSz w:w="11900" w:h="16838" w:orient="portrait"/>
          <w:cols w:equalWidth="0" w:num="1">
            <w:col w:w="11400"/>
          </w:cols>
          <w:pgMar w:left="240" w:top="274" w:right="259" w:bottom="1440" w:gutter="0" w:footer="0" w:header="0"/>
        </w:sectPr>
      </w:pPr>
    </w:p>
    <w:bookmarkStart w:id="270" w:name="page271"/>
    <w:bookmarkEnd w:id="270"/>
    <w:p>
      <w:pPr>
        <w:ind w:left="452" w:hanging="445"/>
        <w:spacing w:after="0" w:line="255"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w:t>
      </w:r>
      <w:r>
        <w:rPr>
          <w:sz w:val="20"/>
          <w:szCs w:val="20"/>
          <w:color w:val="auto"/>
        </w:rPr>
        <w:tab/>
      </w:r>
      <w:r>
        <w:rPr>
          <w:rFonts w:ascii="Arial" w:cs="Arial" w:eastAsia="Arial" w:hAnsi="Arial"/>
          <w:sz w:val="18"/>
          <w:szCs w:val="18"/>
          <w:u w:val="single" w:color="auto"/>
          <w:color w:val="auto"/>
        </w:rPr>
        <w:t xml:space="preserve">Exclusions from Nondisclosure and Nonuse Obligations. </w:t>
      </w:r>
      <w:r>
        <w:rPr>
          <w:rFonts w:ascii="Arial" w:cs="Arial" w:eastAsia="Arial" w:hAnsi="Arial"/>
          <w:sz w:val="18"/>
          <w:szCs w:val="18"/>
          <w:color w:val="auto"/>
        </w:rPr>
        <w:t>Consultant’s obligations under Section 8.2 with respect to any portion of Confidential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Information shall not apply to any information that (a) was in the public domain at or subsequent to the time it was communicated to Consultant by the disclosing party through no fault of Consultant, (b) was rightfully in Consultant’s possession at or subsequent to the time it was communicated to Consultant by the disclosing party, (c) is disclosed at any time to Consultant from a third party having the legal right to disclose it, (d) was developed by Consultant independently of and without reference to any information communicated to Consultant by the disclosing party, or (e) is being disclosed by Consultant in response to a valid order by a court or other governmental body, or otherwise as required by law, or as necessary to establish the rights of either party under this Agreement.</w:t>
      </w:r>
    </w:p>
    <w:p>
      <w:pPr>
        <w:spacing w:after="0" w:line="95" w:lineRule="exact"/>
        <w:rPr>
          <w:sz w:val="20"/>
          <w:szCs w:val="20"/>
          <w:color w:val="auto"/>
        </w:rPr>
      </w:pPr>
    </w:p>
    <w:p>
      <w:pPr>
        <w:ind w:left="452" w:right="60" w:hanging="445"/>
        <w:spacing w:after="0" w:line="276" w:lineRule="auto"/>
        <w:tabs>
          <w:tab w:leader="none" w:pos="432"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Upon written request by the Company ar any time and in any event upon termination of this Agreement the Consultant and the Executive shall and the Consultant shall procure that the Executive shall (subject to any applicable legal requirements) (i) immediately deliver to the Company all Confidential Information which is capable of delivery or (ii) destroy or permanently erase all Confidential Information, (iii) immediately deliver up all materials, documents, papers, records and other property of the Company or any Associate or any of their resective customers, clients, investors or suppliers in its or his possession or under its or his control and shall not retain any copies thereof.</w:t>
      </w:r>
    </w:p>
    <w:p>
      <w:pPr>
        <w:spacing w:after="0" w:line="317" w:lineRule="exact"/>
        <w:rPr>
          <w:sz w:val="20"/>
          <w:szCs w:val="20"/>
          <w:color w:val="auto"/>
        </w:rPr>
      </w:pPr>
    </w:p>
    <w:p>
      <w:pPr>
        <w:ind w:left="452" w:hanging="452"/>
        <w:spacing w:after="0"/>
        <w:tabs>
          <w:tab w:leader="none" w:pos="45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121" w:lineRule="exact"/>
        <w:rPr>
          <w:rFonts w:ascii="Arial" w:cs="Arial" w:eastAsia="Arial" w:hAnsi="Arial"/>
          <w:sz w:val="18"/>
          <w:szCs w:val="18"/>
          <w:b w:val="1"/>
          <w:bCs w:val="1"/>
          <w:color w:val="auto"/>
        </w:rPr>
      </w:pPr>
    </w:p>
    <w:p>
      <w:pPr>
        <w:ind w:left="452"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Consultant performs services for several clients as part of its consultancy business. The Consultant, however, undertakes not to and shall procure that the Executive shall not take on any new assignments that are competing with the activities of the Company without prior written consent from the Company. Should the Company not give such consent, the Consultant may not accept the assignment during the term of the Agreement.</w:t>
      </w:r>
    </w:p>
    <w:p>
      <w:pPr>
        <w:spacing w:after="0" w:line="291" w:lineRule="exact"/>
        <w:rPr>
          <w:sz w:val="20"/>
          <w:szCs w:val="20"/>
          <w:color w:val="auto"/>
        </w:rPr>
      </w:pPr>
    </w:p>
    <w:p>
      <w:pPr>
        <w:ind w:left="452" w:hanging="452"/>
        <w:spacing w:after="0"/>
        <w:tabs>
          <w:tab w:leader="none" w:pos="452"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Supplements</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Agreement may only be amended or supplemented by an instrument in writing duly executed by or on behalf of the Parties.</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the Agreement</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Agreement shall not be assignable by either of the Parties without the prior written consent of the other Party.</w:t>
      </w:r>
    </w:p>
    <w:p>
      <w:pPr>
        <w:sectPr>
          <w:pgSz w:w="11900" w:h="16838" w:orient="portrait"/>
          <w:cols w:equalWidth="0" w:num="1">
            <w:col w:w="11412"/>
          </w:cols>
          <w:pgMar w:left="248" w:top="274" w:right="239" w:bottom="1440" w:gutter="0" w:footer="0" w:header="0"/>
        </w:sectPr>
      </w:pPr>
    </w:p>
    <w:bookmarkStart w:id="271" w:name="page272"/>
    <w:bookmarkEnd w:id="271"/>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r>
        <w:rPr>
          <w:sz w:val="20"/>
          <w:szCs w:val="20"/>
          <w:color w:val="auto"/>
        </w:rPr>
        <w:tab/>
      </w:r>
      <w:r>
        <w:rPr>
          <w:rFonts w:ascii="Arial" w:cs="Arial" w:eastAsia="Arial" w:hAnsi="Arial"/>
          <w:sz w:val="18"/>
          <w:szCs w:val="18"/>
          <w:b w:val="1"/>
          <w:bCs w:val="1"/>
          <w:color w:val="auto"/>
        </w:rPr>
        <w:t>Waiver</w:t>
      </w:r>
    </w:p>
    <w:p>
      <w:pPr>
        <w:spacing w:after="0" w:line="131" w:lineRule="exact"/>
        <w:rPr>
          <w:sz w:val="20"/>
          <w:szCs w:val="20"/>
          <w:color w:val="auto"/>
        </w:rPr>
      </w:pPr>
    </w:p>
    <w:p>
      <w:pPr>
        <w:ind w:left="460" w:right="20" w:hanging="445"/>
        <w:spacing w:after="0" w:line="314"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No failure or delay on the part of either party to exercise any right or remedy under this Agreement shall be construed or operate as a waiver thereof nor</w:t>
      </w:r>
      <w:r>
        <w:rPr>
          <w:rFonts w:ascii="Arial" w:cs="Arial" w:eastAsia="Arial" w:hAnsi="Arial"/>
          <w:sz w:val="16"/>
          <w:szCs w:val="16"/>
          <w:b w:val="1"/>
          <w:bCs w:val="1"/>
          <w:color w:val="auto"/>
        </w:rPr>
        <w:t xml:space="preserve"> </w:t>
      </w:r>
      <w:r>
        <w:rPr>
          <w:rFonts w:ascii="Arial" w:cs="Arial" w:eastAsia="Arial" w:hAnsi="Arial"/>
          <w:sz w:val="16"/>
          <w:szCs w:val="16"/>
          <w:color w:val="auto"/>
        </w:rPr>
        <w:t>shall any single or partial exercise of any right or remedy under this Agreement preclude the exercise of any other right or remedy as the case may be. The rights and remedies provided in the Agreement are cumulative and are not exclusive of any rights or remedies provided by law.</w:t>
      </w:r>
    </w:p>
    <w:p>
      <w:pPr>
        <w:spacing w:after="0" w:line="291"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Third Parties</w:t>
      </w:r>
    </w:p>
    <w:p>
      <w:pPr>
        <w:spacing w:after="0" w:line="121"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Except as expressly stated in this Agreement, a person who is not a party to this Agreement may not enforce any of its terms under the Contracts (Rights of Third Parties) Act 1999.</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4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accordance with English law. Each of the Parties submits to the exclusive jurisdiction of the English courts for all purposes relating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w w:val="92"/>
              </w:rPr>
              <w:t>This Agreement has been duly executed in two (2) original counterparts.</w:t>
            </w:r>
          </w:p>
        </w:tc>
        <w:tc>
          <w:tcPr>
            <w:tcW w:w="74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554"/>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c>
          <w:tcPr>
            <w:tcW w:w="7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39"/>
        </w:trPr>
        <w:tc>
          <w:tcPr>
            <w:tcW w:w="5340" w:type="dxa"/>
            <w:vAlign w:val="bottom"/>
          </w:tcPr>
          <w:p>
            <w:pPr>
              <w:spacing w:after="0"/>
              <w:rPr>
                <w:sz w:val="20"/>
                <w:szCs w:val="20"/>
                <w:color w:val="auto"/>
              </w:rPr>
            </w:pPr>
            <w:r>
              <w:rPr>
                <w:rFonts w:ascii="Arial" w:cs="Arial" w:eastAsia="Arial" w:hAnsi="Arial"/>
                <w:sz w:val="18"/>
                <w:szCs w:val="18"/>
                <w:color w:val="auto"/>
              </w:rPr>
              <w:t>Date:  26 February 2018</w:t>
            </w:r>
          </w:p>
        </w:tc>
        <w:tc>
          <w:tcPr>
            <w:tcW w:w="7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Date:  22 February 2018</w:t>
            </w:r>
          </w:p>
        </w:tc>
      </w:tr>
      <w:tr>
        <w:trPr>
          <w:trHeight w:val="446"/>
        </w:trPr>
        <w:tc>
          <w:tcPr>
            <w:tcW w:w="5340" w:type="dxa"/>
            <w:vAlign w:val="bottom"/>
          </w:tcPr>
          <w:p>
            <w:pPr>
              <w:spacing w:after="0"/>
              <w:rPr>
                <w:sz w:val="20"/>
                <w:szCs w:val="20"/>
                <w:color w:val="auto"/>
              </w:rPr>
            </w:pPr>
            <w:r>
              <w:rPr>
                <w:rFonts w:ascii="Arial" w:cs="Arial" w:eastAsia="Arial" w:hAnsi="Arial"/>
                <w:sz w:val="18"/>
                <w:szCs w:val="18"/>
                <w:color w:val="auto"/>
              </w:rPr>
              <w:t>MEREO BIOPHARMA</w:t>
            </w:r>
          </w:p>
        </w:tc>
        <w:tc>
          <w:tcPr>
            <w:tcW w:w="7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John Richard &amp; Associates, LLC</w:t>
            </w: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GROUP PLC</w:t>
            </w:r>
          </w:p>
        </w:tc>
        <w:tc>
          <w:tcPr>
            <w:tcW w:w="7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32"/>
        </w:trPr>
        <w:tc>
          <w:tcPr>
            <w:tcW w:w="5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Date:</w:t>
            </w:r>
          </w:p>
        </w:tc>
      </w:tr>
      <w:tr>
        <w:trPr>
          <w:trHeight w:val="432"/>
        </w:trPr>
        <w:tc>
          <w:tcPr>
            <w:tcW w:w="5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22 February 2018</w:t>
            </w:r>
          </w:p>
        </w:tc>
      </w:tr>
      <w:tr>
        <w:trPr>
          <w:trHeight w:val="446"/>
        </w:trPr>
        <w:tc>
          <w:tcPr>
            <w:tcW w:w="5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John P. Richard</w:t>
            </w:r>
          </w:p>
        </w:tc>
      </w:tr>
      <w:tr>
        <w:trPr>
          <w:trHeight w:val="432"/>
        </w:trPr>
        <w:tc>
          <w:tcPr>
            <w:tcW w:w="5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Richard</w:t>
            </w:r>
          </w:p>
        </w:tc>
      </w:tr>
    </w:tbl>
    <w:p>
      <w:pPr>
        <w:sectPr>
          <w:pgSz w:w="11900" w:h="16838" w:orient="portrait"/>
          <w:cols w:equalWidth="0" w:num="1">
            <w:col w:w="11420"/>
          </w:cols>
          <w:pgMar w:left="240" w:top="270" w:right="2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1 - Services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Services consist of business development, strategic advice, and transaction management including but not limited to the following tasks:</w:t>
      </w:r>
    </w:p>
    <w:p>
      <w:pPr>
        <w:spacing w:after="0" w:line="158" w:lineRule="exact"/>
        <w:rPr>
          <w:sz w:val="20"/>
          <w:szCs w:val="20"/>
          <w:color w:val="auto"/>
        </w:rPr>
      </w:pPr>
    </w:p>
    <w:p>
      <w:pPr>
        <w:ind w:left="900" w:hanging="325"/>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Advisor to the Company’s management team on business development strategies.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Preparation and attendance in face to face as well as telephone conferences with the Company’s management and various companies on potential business opportunities.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coordination with the Company’s management team, negotiation of structure and terms of business transactions involving Company products and potential in-licensing/acquisition opportunities.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Meetings with legal and other advisors in relation to business opportunities (face to face as well as telephone conferences).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Attendance at key conferences as agreed with the senior management of the Company</w:t>
      </w:r>
    </w:p>
    <w:p>
      <w:pPr>
        <w:sectPr>
          <w:pgSz w:w="11900" w:h="16838" w:orient="portrait"/>
          <w:cols w:equalWidth="0" w:num="1">
            <w:col w:w="11360"/>
          </w:cols>
          <w:pgMar w:left="240" w:top="270" w:right="29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2 – Remuneration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Retainer: The Company will pay Consultant a retainer of $25,550 per month.</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Parties also agree that upon achievement of agreed upon goals, Consultant will be eligible for a one off discretionary payment payable by the Company to the Consultant in respect of the preceding twelve month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shall reimburse the Consultant for reasonable costs incurred, such as travel expenses arising from the Consultant’s performance of the Services conducted in accordance with the Company’s instructions. Any costs exceeding USD five hundred ($500) are not payable unless approved by the Company in writing in advance.</w:t>
      </w:r>
    </w:p>
    <w:p>
      <w:pPr>
        <w:sectPr>
          <w:pgSz w:w="11900" w:h="16838" w:orient="portrait"/>
          <w:cols w:equalWidth="0" w:num="1">
            <w:col w:w="11420"/>
          </w:cols>
          <w:pgMar w:left="240" w:top="270"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10.6.1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CONTRACT OF EMPLOYMENT dated 26 February 2018 is made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60" w:right="420" w:hanging="452"/>
        <w:spacing w:after="0" w:line="282"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MEREO BIOPHARMA GROUP PLC</w:t>
      </w:r>
      <w:r>
        <w:rPr>
          <w:rFonts w:ascii="Arial" w:cs="Arial" w:eastAsia="Arial" w:hAnsi="Arial"/>
          <w:sz w:val="18"/>
          <w:szCs w:val="18"/>
          <w:color w:val="auto"/>
        </w:rPr>
        <w:t>, (a company incorporated in England and Wales and registered under number 9481161,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is at Fourth Floor, 1 Cavendish Place, London W1G 0QF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 xml:space="preserve">JOHN RICHARD, </w:t>
      </w:r>
      <w:r>
        <w:rPr>
          <w:rFonts w:ascii="Arial" w:cs="Arial" w:eastAsia="Arial" w:hAnsi="Arial"/>
          <w:sz w:val="18"/>
          <w:szCs w:val="18"/>
          <w:color w:val="auto"/>
        </w:rPr>
        <w:t>21 West Andrews Drive, Atlanta, GA 30305, USA</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Contract sets out the terms and conditions of your employment with the Company at the date of this Contract and supersedes all previous arrangements or agreements whether oral or in writing between you and the Company in relation to the matters dealt with in it.</w:t>
      </w:r>
    </w:p>
    <w:p>
      <w:pPr>
        <w:spacing w:after="0" w:line="315"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definitions and rules of interpretation in this clause 1 apply in this Contract.</w:t>
      </w:r>
    </w:p>
    <w:p>
      <w:pPr>
        <w:spacing w:after="0" w:line="12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Appointment</w:t>
      </w:r>
      <w:r>
        <w:rPr>
          <w:rFonts w:ascii="Arial" w:cs="Arial" w:eastAsia="Arial" w:hAnsi="Arial"/>
          <w:sz w:val="16"/>
          <w:szCs w:val="16"/>
          <w:color w:val="auto"/>
        </w:rPr>
        <w:t>: the employment of the Employee by the Company on the terms of this Contract.</w:t>
      </w:r>
    </w:p>
    <w:p>
      <w:pPr>
        <w:spacing w:after="0" w:line="1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Associated Employer</w:t>
      </w:r>
      <w:r>
        <w:rPr>
          <w:rFonts w:ascii="Arial" w:cs="Arial" w:eastAsia="Arial" w:hAnsi="Arial"/>
          <w:sz w:val="16"/>
          <w:szCs w:val="16"/>
          <w:color w:val="auto"/>
        </w:rPr>
        <w:t>: has the meaning given to it in the Employment Rights Act 1996.</w:t>
      </w:r>
    </w:p>
    <w:p>
      <w:pPr>
        <w:spacing w:after="0" w:line="1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Board</w:t>
      </w:r>
      <w:r>
        <w:rPr>
          <w:rFonts w:ascii="Arial" w:cs="Arial" w:eastAsia="Arial" w:hAnsi="Arial"/>
          <w:sz w:val="16"/>
          <w:szCs w:val="16"/>
          <w:color w:val="auto"/>
        </w:rPr>
        <w:t>: the board of directors of the Company (including any committee of the board duly appointed by it).</w:t>
      </w:r>
    </w:p>
    <w:p>
      <w:pPr>
        <w:spacing w:after="0" w:line="1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 xml:space="preserve">Commencement Date: </w:t>
      </w:r>
      <w:r>
        <w:rPr>
          <w:rFonts w:ascii="Arial" w:cs="Arial" w:eastAsia="Arial" w:hAnsi="Arial"/>
          <w:sz w:val="16"/>
          <w:szCs w:val="16"/>
          <w:color w:val="auto"/>
        </w:rPr>
        <w:t>1 January 2018</w:t>
      </w:r>
    </w:p>
    <w:p>
      <w:pPr>
        <w:spacing w:after="0" w:line="1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b w:val="1"/>
          <w:bCs w:val="1"/>
          <w:color w:val="auto"/>
        </w:rPr>
        <w:t>Confidential Information</w:t>
      </w:r>
      <w:r>
        <w:rPr>
          <w:rFonts w:ascii="Arial" w:cs="Arial" w:eastAsia="Arial" w:hAnsi="Arial"/>
          <w:sz w:val="17"/>
          <w:szCs w:val="17"/>
          <w:color w:val="auto"/>
        </w:rPr>
        <w:t>: all of</w:t>
      </w:r>
    </w:p>
    <w:p>
      <w:pPr>
        <w:spacing w:after="0" w:line="135" w:lineRule="exact"/>
        <w:rPr>
          <w:sz w:val="20"/>
          <w:szCs w:val="20"/>
          <w:color w:val="auto"/>
        </w:rPr>
      </w:pPr>
    </w:p>
    <w:p>
      <w:pPr>
        <w:ind w:left="1940" w:right="40" w:hanging="798"/>
        <w:spacing w:after="0" w:line="312" w:lineRule="auto"/>
        <w:tabs>
          <w:tab w:leader="none" w:pos="19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financial information relating to the Company and any Group Company including (but not limited to) management accounts, sales forecasts, dividend forecasts, profit and loss accounts and balance sheets, draft accounts, results, order schedules, profit margins, pricing strategies and other information regarding the performance or future performance of the Company or any Group Company;</w:t>
      </w:r>
    </w:p>
    <w:p>
      <w:pPr>
        <w:spacing w:after="0" w:line="52" w:lineRule="exact"/>
        <w:rPr>
          <w:rFonts w:ascii="Arial" w:cs="Arial" w:eastAsia="Arial" w:hAnsi="Arial"/>
          <w:sz w:val="16"/>
          <w:szCs w:val="16"/>
          <w:color w:val="auto"/>
        </w:rPr>
      </w:pPr>
    </w:p>
    <w:p>
      <w:pPr>
        <w:ind w:left="1940" w:right="240" w:hanging="798"/>
        <w:spacing w:after="0" w:line="264" w:lineRule="auto"/>
        <w:tabs>
          <w:tab w:leader="none" w:pos="19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client or customer lists and contact lists, details of the terms of business with, the fees and commissions charged to or by and the requirements of customers or clients, prospective customers or clients, buyers, and suppliers of the Company or any Group Company;</w:t>
      </w:r>
    </w:p>
    <w:p>
      <w:pPr>
        <w:spacing w:after="0" w:line="86" w:lineRule="exact"/>
        <w:rPr>
          <w:rFonts w:ascii="Arial" w:cs="Arial" w:eastAsia="Arial" w:hAnsi="Arial"/>
          <w:sz w:val="18"/>
          <w:szCs w:val="18"/>
          <w:color w:val="auto"/>
        </w:rPr>
      </w:pPr>
    </w:p>
    <w:p>
      <w:pPr>
        <w:ind w:left="1940" w:right="100" w:hanging="798"/>
        <w:spacing w:after="0" w:line="308" w:lineRule="auto"/>
        <w:tabs>
          <w:tab w:leader="none" w:pos="19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any information relating to expansion plans, business strategy, marketing plans, and presentations, tenders, projects, joint ventures or acquisitions and developments contemplated, offered or undertaken by the Company or any Group Company;</w:t>
      </w:r>
    </w:p>
    <w:p>
      <w:pPr>
        <w:spacing w:after="0" w:line="79" w:lineRule="exact"/>
        <w:rPr>
          <w:rFonts w:ascii="Arial" w:cs="Arial" w:eastAsia="Arial" w:hAnsi="Arial"/>
          <w:sz w:val="17"/>
          <w:szCs w:val="17"/>
          <w:color w:val="auto"/>
        </w:rPr>
      </w:pPr>
    </w:p>
    <w:p>
      <w:pPr>
        <w:ind w:left="5660" w:hanging="96"/>
        <w:spacing w:after="0"/>
        <w:tabs>
          <w:tab w:leader="none" w:pos="56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121" w:right="239" w:bottom="1440" w:gutter="0" w:footer="0" w:header="0"/>
        </w:sectPr>
      </w:pPr>
    </w:p>
    <w:bookmarkStart w:id="275" w:name="page276"/>
    <w:bookmarkEnd w:id="275"/>
    <w:p>
      <w:pPr>
        <w:ind w:left="1480" w:right="500" w:hanging="798"/>
        <w:spacing w:after="0" w:line="277" w:lineRule="auto"/>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details of the employees, officers and workers of and consultants to the Company or any Group Company their job skills and capabilities and of the remuneration and other benefits paid to them;</w:t>
      </w:r>
    </w:p>
    <w:p>
      <w:pPr>
        <w:spacing w:after="0" w:line="75" w:lineRule="exact"/>
        <w:rPr>
          <w:rFonts w:ascii="Arial" w:cs="Arial" w:eastAsia="Arial" w:hAnsi="Arial"/>
          <w:sz w:val="18"/>
          <w:szCs w:val="18"/>
          <w:color w:val="auto"/>
        </w:rPr>
      </w:pPr>
    </w:p>
    <w:p>
      <w:pPr>
        <w:ind w:left="1480" w:hanging="798"/>
        <w:spacing w:after="0" w:line="312" w:lineRule="auto"/>
        <w:tabs>
          <w:tab w:leader="none" w:pos="14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copies or details of and information relating to Know-how, research activities, inventions, creative briefs, ideas, computer programs (whether in source code or object code) secret processes, designs and formulae or other intellectual property acquired, developed, licensed, undertaken, commissioned or produced by or on behalf of the Company or any Group Company;</w:t>
      </w:r>
    </w:p>
    <w:p>
      <w:pPr>
        <w:spacing w:after="0" w:line="52" w:lineRule="exact"/>
        <w:rPr>
          <w:rFonts w:ascii="Arial" w:cs="Arial" w:eastAsia="Arial" w:hAnsi="Arial"/>
          <w:sz w:val="16"/>
          <w:szCs w:val="16"/>
          <w:color w:val="auto"/>
        </w:rPr>
      </w:pPr>
    </w:p>
    <w:p>
      <w:pPr>
        <w:ind w:left="1480" w:right="240" w:hanging="798"/>
        <w:spacing w:after="0" w:line="277" w:lineRule="auto"/>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confidential reports or research commissioned by or provided to the Company or any Group Company and any trade secrets and confidential transactions of the Company or any Group Company;</w:t>
      </w:r>
    </w:p>
    <w:p>
      <w:pPr>
        <w:spacing w:after="0" w:line="75" w:lineRule="exact"/>
        <w:rPr>
          <w:rFonts w:ascii="Arial" w:cs="Arial" w:eastAsia="Arial" w:hAnsi="Arial"/>
          <w:sz w:val="18"/>
          <w:szCs w:val="18"/>
          <w:color w:val="auto"/>
        </w:rPr>
      </w:pPr>
    </w:p>
    <w:p>
      <w:pPr>
        <w:ind w:left="1480" w:right="120" w:hanging="798"/>
        <w:spacing w:after="0" w:line="308" w:lineRule="auto"/>
        <w:tabs>
          <w:tab w:leader="none" w:pos="14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key metric information such as details of website page hits, visitors, visits, orders per day, total order volumes, average order size, volumes of goods shipped or held in stock, customer acquisition costs, repeat rates and word of mouth rates;</w:t>
      </w:r>
    </w:p>
    <w:p>
      <w:pPr>
        <w:spacing w:after="0" w:line="51" w:lineRule="exact"/>
        <w:rPr>
          <w:rFonts w:ascii="Arial" w:cs="Arial" w:eastAsia="Arial" w:hAnsi="Arial"/>
          <w:sz w:val="17"/>
          <w:szCs w:val="17"/>
          <w:color w:val="auto"/>
        </w:rPr>
      </w:pPr>
    </w:p>
    <w:p>
      <w:pPr>
        <w:ind w:left="1480" w:right="80" w:hanging="798"/>
        <w:spacing w:after="0" w:line="259" w:lineRule="auto"/>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details of any marketing, development, pre-selling or other exploitation of any intellectual property or other rights of the Company or any Group Company, any proposed options or agreements to purchase, licence or otherwise exploit any intellectual property of the Company or any Group Company and any intellectual property which is under consideration for development by the Company or any Group Company,</w:t>
      </w:r>
    </w:p>
    <w:p>
      <w:pPr>
        <w:spacing w:after="0" w:line="92" w:lineRule="exact"/>
        <w:rPr>
          <w:rFonts w:ascii="Arial" w:cs="Arial" w:eastAsia="Arial" w:hAnsi="Arial"/>
          <w:sz w:val="18"/>
          <w:szCs w:val="18"/>
          <w:color w:val="auto"/>
        </w:rPr>
      </w:pPr>
    </w:p>
    <w:p>
      <w:pPr>
        <w:ind w:left="1480" w:hanging="798"/>
        <w:spacing w:after="0"/>
        <w:tabs>
          <w:tab w:leader="none" w:pos="14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details of any advertising, marketing or promotional campaign which the Company or any Group Company is to conduct; and</w:t>
      </w:r>
    </w:p>
    <w:p>
      <w:pPr>
        <w:spacing w:after="0" w:line="142" w:lineRule="exact"/>
        <w:rPr>
          <w:rFonts w:ascii="Arial" w:cs="Arial" w:eastAsia="Arial" w:hAnsi="Arial"/>
          <w:sz w:val="17"/>
          <w:szCs w:val="17"/>
          <w:color w:val="auto"/>
        </w:rPr>
      </w:pPr>
    </w:p>
    <w:p>
      <w:pPr>
        <w:ind w:left="1480" w:right="60" w:hanging="798"/>
        <w:spacing w:after="0" w:line="342" w:lineRule="auto"/>
        <w:tabs>
          <w:tab w:leader="none" w:pos="14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information which you ought reasonably to know is confidential and any information which has been given to the Company or any Group Company in confidence by agents, buyers, clients, consultants, customers, suppliers or other persons.</w:t>
      </w:r>
    </w:p>
    <w:p>
      <w:pPr>
        <w:spacing w:after="0" w:line="25" w:lineRule="exact"/>
        <w:rPr>
          <w:sz w:val="20"/>
          <w:szCs w:val="20"/>
          <w:color w:val="auto"/>
        </w:rPr>
      </w:pPr>
    </w:p>
    <w:p>
      <w:pPr>
        <w:ind w:left="660" w:right="160" w:hanging="674"/>
        <w:spacing w:after="0" w:line="313" w:lineRule="auto"/>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b w:val="1"/>
          <w:bCs w:val="1"/>
          <w:color w:val="auto"/>
        </w:rPr>
        <w:t xml:space="preserve">Documents: </w:t>
      </w:r>
      <w:r>
        <w:rPr>
          <w:rFonts w:ascii="Arial" w:cs="Arial" w:eastAsia="Arial" w:hAnsi="Arial"/>
          <w:sz w:val="17"/>
          <w:szCs w:val="17"/>
          <w:color w:val="auto"/>
        </w:rPr>
        <w:t>documents, manuals, disks, memory, notebooks, tapes (including copies) or any other medium, whether or not eye-readable, 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information (whether confidential or otherwise) may from time to time be referred to, written or recorded.</w:t>
      </w:r>
    </w:p>
    <w:p>
      <w:pPr>
        <w:spacing w:after="0" w:line="44" w:lineRule="exact"/>
        <w:rPr>
          <w:sz w:val="20"/>
          <w:szCs w:val="20"/>
          <w:color w:val="auto"/>
        </w:rPr>
      </w:pPr>
    </w:p>
    <w:p>
      <w:pPr>
        <w:ind w:left="660" w:right="60" w:hanging="674"/>
        <w:spacing w:after="0" w:line="282" w:lineRule="auto"/>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b w:val="1"/>
          <w:bCs w:val="1"/>
          <w:color w:val="auto"/>
        </w:rPr>
        <w:t>Group Company</w:t>
      </w:r>
      <w:r>
        <w:rPr>
          <w:rFonts w:ascii="Arial" w:cs="Arial" w:eastAsia="Arial" w:hAnsi="Arial"/>
          <w:sz w:val="18"/>
          <w:szCs w:val="18"/>
          <w:color w:val="auto"/>
        </w:rPr>
        <w:t>: the Company, its Subsidiaries or Holding Companies from time to time and any Subsidiary of any Holding Company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60"/>
          </w:cols>
          <w:pgMar w:left="700" w:top="274" w:right="239" w:bottom="1440" w:gutter="0" w:footer="0" w:header="0"/>
        </w:sectPr>
      </w:pPr>
    </w:p>
    <w:bookmarkStart w:id="276" w:name="page277"/>
    <w:bookmarkEnd w:id="276"/>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1.1.8</w:t>
      </w:r>
      <w:r>
        <w:rPr>
          <w:sz w:val="20"/>
          <w:szCs w:val="20"/>
          <w:color w:val="auto"/>
        </w:rPr>
        <w:tab/>
      </w:r>
      <w:r>
        <w:rPr>
          <w:rFonts w:ascii="Arial" w:cs="Arial" w:eastAsia="Arial" w:hAnsi="Arial"/>
          <w:sz w:val="16"/>
          <w:szCs w:val="16"/>
          <w:b w:val="1"/>
          <w:bCs w:val="1"/>
          <w:color w:val="auto"/>
        </w:rPr>
        <w:t>Incapacity</w:t>
      </w:r>
      <w:r>
        <w:rPr>
          <w:rFonts w:ascii="Arial" w:cs="Arial" w:eastAsia="Arial" w:hAnsi="Arial"/>
          <w:sz w:val="16"/>
          <w:szCs w:val="16"/>
          <w:color w:val="auto"/>
        </w:rPr>
        <w:t>: any sickness, injury or other medical disorder or condition which prevents the Employee from carrying out his duties.</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 xml:space="preserve">Key Employee: </w:t>
      </w:r>
      <w:r>
        <w:rPr>
          <w:rFonts w:ascii="Arial" w:cs="Arial" w:eastAsia="Arial" w:hAnsi="Arial"/>
          <w:sz w:val="16"/>
          <w:szCs w:val="16"/>
          <w:color w:val="auto"/>
        </w:rPr>
        <w:t>any employee or contractor who is or was (in the Period) employed or engaged to your knowledge:</w:t>
      </w:r>
    </w:p>
    <w:p>
      <w:pPr>
        <w:spacing w:after="0" w:line="135" w:lineRule="exact"/>
        <w:rPr>
          <w:sz w:val="20"/>
          <w:szCs w:val="20"/>
          <w:color w:val="auto"/>
        </w:rPr>
      </w:pPr>
    </w:p>
    <w:p>
      <w:pPr>
        <w:ind w:left="1480" w:hanging="798"/>
        <w:spacing w:after="0"/>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management grade; or</w:t>
      </w:r>
    </w:p>
    <w:p>
      <w:pPr>
        <w:spacing w:after="0" w:line="130" w:lineRule="exact"/>
        <w:rPr>
          <w:rFonts w:ascii="Arial" w:cs="Arial" w:eastAsia="Arial" w:hAnsi="Arial"/>
          <w:sz w:val="18"/>
          <w:szCs w:val="18"/>
          <w:color w:val="auto"/>
        </w:rPr>
      </w:pPr>
    </w:p>
    <w:p>
      <w:pPr>
        <w:ind w:left="1480" w:hanging="798"/>
        <w:spacing w:after="0"/>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a senior capacity; or</w:t>
      </w:r>
    </w:p>
    <w:p>
      <w:pPr>
        <w:spacing w:after="0" w:line="130" w:lineRule="exact"/>
        <w:rPr>
          <w:rFonts w:ascii="Arial" w:cs="Arial" w:eastAsia="Arial" w:hAnsi="Arial"/>
          <w:sz w:val="18"/>
          <w:szCs w:val="18"/>
          <w:color w:val="auto"/>
        </w:rPr>
      </w:pPr>
    </w:p>
    <w:p>
      <w:pPr>
        <w:ind w:left="1480" w:right="140" w:hanging="798"/>
        <w:spacing w:after="0" w:line="277" w:lineRule="auto"/>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a capacity in which he has access to or obtained Confidential Information and in respect of whom you exercised control or had managerial responsibility.</w:t>
      </w:r>
    </w:p>
    <w:p>
      <w:pPr>
        <w:spacing w:after="0" w:line="72" w:lineRule="exact"/>
        <w:rPr>
          <w:sz w:val="20"/>
          <w:szCs w:val="20"/>
          <w:color w:val="auto"/>
        </w:rPr>
      </w:pPr>
    </w:p>
    <w:p>
      <w:pPr>
        <w:ind w:left="660" w:hanging="674"/>
        <w:spacing w:after="0" w:line="261" w:lineRule="auto"/>
        <w:tabs>
          <w:tab w:leader="none" w:pos="64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8"/>
          <w:szCs w:val="18"/>
          <w:b w:val="1"/>
          <w:bCs w:val="1"/>
          <w:color w:val="auto"/>
        </w:rPr>
        <w:t xml:space="preserve">Know-how: </w:t>
      </w:r>
      <w:r>
        <w:rPr>
          <w:rFonts w:ascii="Arial" w:cs="Arial" w:eastAsia="Arial" w:hAnsi="Arial"/>
          <w:sz w:val="18"/>
          <w:szCs w:val="18"/>
          <w:color w:val="auto"/>
        </w:rPr>
        <w:t>information (including without limitation that comprised in formulae, specifications, designs, drawings, component lists,</w:t>
      </w:r>
      <w:r>
        <w:rPr>
          <w:rFonts w:ascii="Arial" w:cs="Arial" w:eastAsia="Arial" w:hAnsi="Arial"/>
          <w:sz w:val="18"/>
          <w:szCs w:val="18"/>
          <w:b w:val="1"/>
          <w:bCs w:val="1"/>
          <w:color w:val="auto"/>
        </w:rPr>
        <w:t xml:space="preserve"> </w:t>
      </w:r>
      <w:r>
        <w:rPr>
          <w:rFonts w:ascii="Arial" w:cs="Arial" w:eastAsia="Arial" w:hAnsi="Arial"/>
          <w:sz w:val="18"/>
          <w:szCs w:val="18"/>
          <w:color w:val="auto"/>
        </w:rPr>
        <w:t>databases, software (or pre-cursor documents), databases, manuals, instructions and catalogues) held in whatever form relating to the creation, production or supply of any products or services by the Company or any Group Company, or by or to any of the suppliers, customers, partners or joint ventures of such company.</w:t>
      </w:r>
    </w:p>
    <w:p>
      <w:pPr>
        <w:spacing w:after="0" w:line="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b w:val="1"/>
          <w:bCs w:val="1"/>
          <w:color w:val="auto"/>
        </w:rPr>
        <w:t>Manager</w:t>
      </w:r>
      <w:r>
        <w:rPr>
          <w:rFonts w:ascii="Arial" w:cs="Arial" w:eastAsia="Arial" w:hAnsi="Arial"/>
          <w:sz w:val="16"/>
          <w:szCs w:val="16"/>
          <w:color w:val="auto"/>
        </w:rPr>
        <w:t>: Denise Scots-Knight, CEO</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b w:val="1"/>
          <w:bCs w:val="1"/>
          <w:color w:val="auto"/>
        </w:rPr>
        <w:t xml:space="preserve">Period: </w:t>
      </w:r>
      <w:r>
        <w:rPr>
          <w:rFonts w:ascii="Arial" w:cs="Arial" w:eastAsia="Arial" w:hAnsi="Arial"/>
          <w:sz w:val="16"/>
          <w:szCs w:val="16"/>
          <w:color w:val="auto"/>
        </w:rPr>
        <w:t>the period of 6 months immediately prior to the Termination Date.</w:t>
      </w:r>
    </w:p>
    <w:p>
      <w:pPr>
        <w:spacing w:after="0" w:line="131" w:lineRule="exact"/>
        <w:rPr>
          <w:sz w:val="20"/>
          <w:szCs w:val="20"/>
          <w:color w:val="auto"/>
        </w:rPr>
      </w:pPr>
    </w:p>
    <w:p>
      <w:pPr>
        <w:ind w:left="660" w:right="320" w:hanging="674"/>
        <w:spacing w:after="0" w:line="266" w:lineRule="auto"/>
        <w:tabs>
          <w:tab w:leader="none" w:pos="64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b w:val="1"/>
          <w:bCs w:val="1"/>
          <w:color w:val="auto"/>
        </w:rPr>
        <w:t xml:space="preserve">Permitted Interest: </w:t>
      </w:r>
      <w:r>
        <w:rPr>
          <w:rFonts w:ascii="Arial" w:cs="Arial" w:eastAsia="Arial" w:hAnsi="Arial"/>
          <w:sz w:val="18"/>
          <w:szCs w:val="18"/>
          <w:color w:val="auto"/>
        </w:rPr>
        <w:t>an interest in any class of shares or other securities of any company which are traded on a recognised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which amount to not more than 3% of such class of issued shares or securities and an interest in any units of any authorised unit trust.</w:t>
      </w:r>
    </w:p>
    <w:p>
      <w:pPr>
        <w:spacing w:after="0" w:line="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b w:val="1"/>
          <w:bCs w:val="1"/>
          <w:color w:val="auto"/>
        </w:rPr>
        <w:t xml:space="preserve">Restricted Area: </w:t>
      </w:r>
      <w:r>
        <w:rPr>
          <w:rFonts w:ascii="Arial" w:cs="Arial" w:eastAsia="Arial" w:hAnsi="Arial"/>
          <w:sz w:val="16"/>
          <w:szCs w:val="16"/>
          <w:color w:val="auto"/>
        </w:rPr>
        <w:t>England, Scotland, Wales or Northern Ireland.</w:t>
      </w:r>
    </w:p>
    <w:p>
      <w:pPr>
        <w:spacing w:after="0" w:line="131" w:lineRule="exact"/>
        <w:rPr>
          <w:sz w:val="20"/>
          <w:szCs w:val="20"/>
          <w:color w:val="auto"/>
        </w:rPr>
      </w:pPr>
    </w:p>
    <w:p>
      <w:pPr>
        <w:ind w:left="660" w:right="60" w:hanging="674"/>
        <w:spacing w:after="0" w:line="261" w:lineRule="auto"/>
        <w:tabs>
          <w:tab w:leader="none" w:pos="64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8"/>
          <w:szCs w:val="18"/>
          <w:b w:val="1"/>
          <w:bCs w:val="1"/>
          <w:color w:val="auto"/>
        </w:rPr>
        <w:t xml:space="preserve">Restricted Business: </w:t>
      </w:r>
      <w:r>
        <w:rPr>
          <w:rFonts w:ascii="Arial" w:cs="Arial" w:eastAsia="Arial" w:hAnsi="Arial"/>
          <w:sz w:val="18"/>
          <w:szCs w:val="18"/>
          <w:color w:val="auto"/>
        </w:rPr>
        <w:t>any business whether for profit or not-for-profit that has a significant commercial activity in pharmaceuticals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one or more active ingredients that are similar (in drug target specificity and function in relation to modulating that target) to pharmaceutical candidates or products researched, developed or commercialised by the Company at the date of an individual’s termination of service with the Company in which the Employee has a material involvement.</w:t>
      </w:r>
    </w:p>
    <w:p>
      <w:pPr>
        <w:spacing w:after="0" w:line="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b w:val="1"/>
          <w:bCs w:val="1"/>
          <w:color w:val="auto"/>
        </w:rPr>
        <w:t>SSP</w:t>
      </w:r>
      <w:r>
        <w:rPr>
          <w:rFonts w:ascii="Arial" w:cs="Arial" w:eastAsia="Arial" w:hAnsi="Arial"/>
          <w:sz w:val="16"/>
          <w:szCs w:val="16"/>
          <w:color w:val="auto"/>
        </w:rPr>
        <w:t>: statutory sick pay.</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b w:val="1"/>
          <w:bCs w:val="1"/>
          <w:color w:val="auto"/>
        </w:rPr>
        <w:t>Staff Handbook</w:t>
      </w:r>
      <w:r>
        <w:rPr>
          <w:rFonts w:ascii="Arial" w:cs="Arial" w:eastAsia="Arial" w:hAnsi="Arial"/>
          <w:sz w:val="16"/>
          <w:szCs w:val="16"/>
          <w:color w:val="auto"/>
        </w:rPr>
        <w:t>: the Company’s staff handbook as amended from time to time.</w:t>
      </w:r>
    </w:p>
    <w:p>
      <w:pPr>
        <w:spacing w:after="0" w:line="16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20"/>
          </w:cols>
          <w:pgMar w:left="700" w:top="270" w:right="279" w:bottom="1440" w:gutter="0" w:footer="0" w:header="0"/>
        </w:sectPr>
      </w:pPr>
    </w:p>
    <w:bookmarkStart w:id="277" w:name="page278"/>
    <w:bookmarkEnd w:id="277"/>
    <w:p>
      <w:pPr>
        <w:ind w:left="920" w:right="100" w:hanging="458"/>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1.1.18</w:t>
      </w:r>
      <w:r>
        <w:rPr>
          <w:rFonts w:ascii="Arial" w:cs="Arial" w:eastAsia="Arial" w:hAnsi="Arial"/>
          <w:sz w:val="17"/>
          <w:szCs w:val="17"/>
          <w:b w:val="1"/>
          <w:bCs w:val="1"/>
          <w:color w:val="auto"/>
        </w:rPr>
        <w:t>Subsidiary and Holding Company</w:t>
      </w:r>
      <w:r>
        <w:rPr>
          <w:rFonts w:ascii="Arial" w:cs="Arial" w:eastAsia="Arial" w:hAnsi="Arial"/>
          <w:sz w:val="17"/>
          <w:szCs w:val="17"/>
          <w:color w:val="auto"/>
        </w:rPr>
        <w:t>: in relation to a company mean “subsidiary” and “holding company” as defined in section 1159 of the Companies Act 2006 and a company shall be treated, for the purposes only of the membership requirement contained in subsections 1159(1)(b) and (c), as a member of another company even if its shares in that other company are registered in the name of (a) another person (or its nominee), whether by way of security or in connection with the taking of security, or (b) a nominee.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1.1.19</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the date of termination or expiration of this Contract.</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headings in this Contract are inserted for convenience only and shall not affect its construction.</w:t>
      </w:r>
    </w:p>
    <w:p>
      <w:pPr>
        <w:spacing w:after="0" w:line="131" w:lineRule="exact"/>
        <w:rPr>
          <w:sz w:val="20"/>
          <w:szCs w:val="20"/>
          <w:color w:val="auto"/>
        </w:rPr>
      </w:pPr>
    </w:p>
    <w:p>
      <w:pPr>
        <w:ind w:left="460" w:right="140" w:hanging="445"/>
        <w:spacing w:after="0" w:line="277" w:lineRule="auto"/>
        <w:tabs>
          <w:tab w:leader="none" w:pos="440" w:val="left"/>
        </w:tabs>
        <w:rPr>
          <w:sz w:val="20"/>
          <w:szCs w:val="20"/>
          <w:color w:val="auto"/>
        </w:rPr>
      </w:pPr>
      <w:r>
        <w:rPr>
          <w:rFonts w:ascii="Arial" w:cs="Arial" w:eastAsia="Arial" w:hAnsi="Arial"/>
          <w:sz w:val="18"/>
          <w:szCs w:val="18"/>
          <w:color w:val="auto"/>
        </w:rPr>
        <w:t>1.3</w:t>
        <w:tab/>
        <w:t>A reference to a particular law is a reference to it as it is in force for the time being taking account of any amendment, extension, or re-enactment and includes any subordinate legislation for the time being in force made under it.</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Unless the context otherwise requires, words in the singular include the plural and in the plural include the singular.</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schedules to this Contract form part of (and are incorporated into) this Contract.</w:t>
      </w:r>
    </w:p>
    <w:p>
      <w:pPr>
        <w:spacing w:after="0" w:line="370"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Term of Appointment</w:t>
      </w:r>
    </w:p>
    <w:p>
      <w:pPr>
        <w:spacing w:after="0" w:line="135" w:lineRule="exact"/>
        <w:rPr>
          <w:sz w:val="20"/>
          <w:szCs w:val="20"/>
          <w:color w:val="auto"/>
        </w:rPr>
      </w:pPr>
    </w:p>
    <w:p>
      <w:pPr>
        <w:ind w:left="460" w:right="60" w:hanging="445"/>
        <w:spacing w:after="0" w:line="342"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Appointment shall commence on the Commencement Date and shall continue, subject to the remaining terms of this Contract, until terminated by either party giving the other not less than 6 months’ prior notice (or the statutory minimum notice, whichever is the greater) in writing.</w:t>
      </w:r>
    </w:p>
    <w:p>
      <w:pPr>
        <w:spacing w:after="0" w:line="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[This clause intentionally blank].</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No employment with a previous employer counts towards the Employee’s period of continuous employment with the Company.</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Employee consents to the transfer of his employment under this Contract to an Associated Employer at any time during the Appointment.</w:t>
      </w:r>
    </w:p>
    <w:p>
      <w:pPr>
        <w:spacing w:after="0" w:line="370"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Warranties</w:t>
      </w:r>
    </w:p>
    <w:p>
      <w:pPr>
        <w:spacing w:after="0" w:line="135" w:lineRule="exact"/>
        <w:rPr>
          <w:sz w:val="20"/>
          <w:szCs w:val="20"/>
          <w:color w:val="auto"/>
        </w:rPr>
      </w:pPr>
    </w:p>
    <w:p>
      <w:pPr>
        <w:ind w:left="460" w:right="20" w:hanging="445"/>
        <w:spacing w:after="0" w:line="277" w:lineRule="auto"/>
        <w:tabs>
          <w:tab w:leader="none" w:pos="440" w:val="left"/>
        </w:tabs>
        <w:rPr>
          <w:sz w:val="20"/>
          <w:szCs w:val="20"/>
          <w:color w:val="auto"/>
        </w:rPr>
      </w:pPr>
      <w:r>
        <w:rPr>
          <w:rFonts w:ascii="Arial" w:cs="Arial" w:eastAsia="Arial" w:hAnsi="Arial"/>
          <w:sz w:val="18"/>
          <w:szCs w:val="18"/>
          <w:color w:val="auto"/>
        </w:rPr>
        <w:t>3.1</w:t>
        <w:tab/>
        <w:t>You represent and warrant to the Company that, by entering into this Contract or performing any of your obligations under it, you will not be in breach of any court order or any express or implied terms of any contract or other obligation binding on you.</w:t>
      </w:r>
    </w:p>
    <w:p>
      <w:pPr>
        <w:spacing w:after="0" w:line="76" w:lineRule="exact"/>
        <w:rPr>
          <w:sz w:val="20"/>
          <w:szCs w:val="20"/>
          <w:color w:val="auto"/>
        </w:rPr>
      </w:pPr>
    </w:p>
    <w:p>
      <w:pPr>
        <w:ind w:left="460" w:hanging="445"/>
        <w:spacing w:after="0" w:line="342"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You represent and warrant to the Company that you are not bound by or subject to any agreement, arrangement, court order, obligation or undertaking which in any way restricts or prohibits you from entering into this Contract or from performing your duties for the Company as set out in this Contract.</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40"/>
          </w:cols>
          <w:pgMar w:left="240" w:top="270" w:right="319" w:bottom="1440" w:gutter="0" w:footer="0" w:header="0"/>
        </w:sectPr>
      </w:pPr>
    </w:p>
    <w:bookmarkStart w:id="278" w:name="page279"/>
    <w:bookmarkEnd w:id="278"/>
    <w:p>
      <w:pPr>
        <w:ind w:left="460" w:right="160" w:hanging="445"/>
        <w:spacing w:after="0" w:line="277"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w:t>
        <w:tab/>
        <w:t>You warrant that you are entitled to work in the UK without any additional approvals and will notify the Company immediately if you cease to be so entitled at any time during the Appointment.</w:t>
      </w:r>
    </w:p>
    <w:p>
      <w:pPr>
        <w:spacing w:after="0" w:line="315"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Job Title and Reporting</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Your job title is Head of Corporate Development and you will report to the Manager or such other person as may be authorised by the Company and notified to you.</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Job Description and Duties</w:t>
      </w:r>
    </w:p>
    <w:p>
      <w:pPr>
        <w:spacing w:after="0" w:line="135" w:lineRule="exact"/>
        <w:rPr>
          <w:sz w:val="20"/>
          <w:szCs w:val="20"/>
          <w:color w:val="auto"/>
        </w:rPr>
      </w:pPr>
    </w:p>
    <w:p>
      <w:pPr>
        <w:jc w:val="both"/>
        <w:ind w:left="460" w:right="180" w:hanging="445"/>
        <w:spacing w:after="0" w:line="286"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Your main tasks and responsibilities are set out in the written job description at Schedule I. The Company reserves the right to require you to change your job title and/or job description and/or reporting structure or to require you to perform a different job or different or additional duties consistent with your status and any such change will not constitute a change of the terms and conditions of your employment.</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You must perform your job to the best of your ability and to comply with any duties implied by law.</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During the Appointment you shall:</w:t>
      </w:r>
    </w:p>
    <w:p>
      <w:pPr>
        <w:spacing w:after="0" w:line="131" w:lineRule="exact"/>
        <w:rPr>
          <w:sz w:val="20"/>
          <w:szCs w:val="20"/>
          <w:color w:val="auto"/>
        </w:rPr>
      </w:pPr>
    </w:p>
    <w:p>
      <w:pPr>
        <w:ind w:left="1120" w:right="200" w:hanging="674"/>
        <w:spacing w:after="0" w:line="277" w:lineRule="auto"/>
        <w:tabs>
          <w:tab w:leader="none" w:pos="110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unless prevented by Incapacity, devote substantially the whole of your time, attention and abilities to the business of the Company and any Group Company of which you are an officer or consultant;</w:t>
      </w:r>
    </w:p>
    <w:p>
      <w:pPr>
        <w:spacing w:after="0" w:line="76" w:lineRule="exact"/>
        <w:rPr>
          <w:sz w:val="20"/>
          <w:szCs w:val="20"/>
          <w:color w:val="auto"/>
        </w:rPr>
      </w:pPr>
    </w:p>
    <w:p>
      <w:pPr>
        <w:ind w:left="1120" w:right="300" w:hanging="674"/>
        <w:spacing w:after="0" w:line="277" w:lineRule="auto"/>
        <w:tabs>
          <w:tab w:leader="none" w:pos="110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diligently exercise such powers and perform such duties as may from time to time be assigned to you by the Company together with such person or persons as the Company may appoint to act jointly with you;</w:t>
      </w:r>
    </w:p>
    <w:p>
      <w:pPr>
        <w:spacing w:after="0" w:line="76"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6"/>
          <w:szCs w:val="16"/>
          <w:color w:val="auto"/>
        </w:rPr>
        <w:t>comply with all reasonable and lawful directions given to you by the Company;</w:t>
      </w:r>
    </w:p>
    <w:p>
      <w:pPr>
        <w:spacing w:after="0" w:line="131" w:lineRule="exact"/>
        <w:rPr>
          <w:sz w:val="20"/>
          <w:szCs w:val="20"/>
          <w:color w:val="auto"/>
        </w:rPr>
      </w:pPr>
    </w:p>
    <w:p>
      <w:pPr>
        <w:ind w:left="1120" w:right="100" w:hanging="674"/>
        <w:spacing w:after="0" w:line="277" w:lineRule="auto"/>
        <w:tabs>
          <w:tab w:leader="none" w:pos="110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8"/>
          <w:szCs w:val="18"/>
          <w:color w:val="auto"/>
        </w:rPr>
        <w:t>promptly make such reports to your Manager in connection with the affairs of any Group Company on such matters and at such times as are reasonably required;</w:t>
      </w:r>
    </w:p>
    <w:p>
      <w:pPr>
        <w:spacing w:after="0" w:line="76" w:lineRule="exact"/>
        <w:rPr>
          <w:sz w:val="20"/>
          <w:szCs w:val="20"/>
          <w:color w:val="auto"/>
        </w:rPr>
      </w:pPr>
    </w:p>
    <w:p>
      <w:pPr>
        <w:ind w:left="1120" w:hanging="674"/>
        <w:spacing w:after="0" w:line="277" w:lineRule="auto"/>
        <w:tabs>
          <w:tab w:leader="none" w:pos="1100"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8"/>
          <w:szCs w:val="18"/>
          <w:color w:val="auto"/>
        </w:rPr>
        <w:t>report your own wrongdoing and any wrongdoing or proposed wrongdoing of any other employee or director of any Group Company to your Manager immediately on becoming aware of it;</w:t>
      </w:r>
    </w:p>
    <w:p>
      <w:pPr>
        <w:spacing w:after="0" w:line="76"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5.3.6</w:t>
      </w:r>
      <w:r>
        <w:rPr>
          <w:sz w:val="20"/>
          <w:szCs w:val="20"/>
          <w:color w:val="auto"/>
        </w:rPr>
        <w:tab/>
      </w:r>
      <w:r>
        <w:rPr>
          <w:rFonts w:ascii="Arial" w:cs="Arial" w:eastAsia="Arial" w:hAnsi="Arial"/>
          <w:sz w:val="16"/>
          <w:szCs w:val="16"/>
          <w:color w:val="auto"/>
        </w:rPr>
        <w:t>use your best endeavours to promote, protect, develop and extend the business of any Group Company; and</w:t>
      </w:r>
    </w:p>
    <w:p>
      <w:pPr>
        <w:spacing w:after="0" w:line="131" w:lineRule="exact"/>
        <w:rPr>
          <w:sz w:val="20"/>
          <w:szCs w:val="20"/>
          <w:color w:val="auto"/>
        </w:rPr>
      </w:pPr>
    </w:p>
    <w:p>
      <w:pPr>
        <w:ind w:left="1120" w:right="460" w:hanging="674"/>
        <w:spacing w:after="0" w:line="308" w:lineRule="auto"/>
        <w:tabs>
          <w:tab w:leader="none" w:pos="1100" w:val="left"/>
        </w:tabs>
        <w:rPr>
          <w:sz w:val="20"/>
          <w:szCs w:val="20"/>
          <w:color w:val="auto"/>
        </w:rPr>
      </w:pPr>
      <w:r>
        <w:rPr>
          <w:rFonts w:ascii="Arial" w:cs="Arial" w:eastAsia="Arial" w:hAnsi="Arial"/>
          <w:sz w:val="18"/>
          <w:szCs w:val="18"/>
          <w:color w:val="auto"/>
        </w:rPr>
        <w:t>5.3.7</w:t>
      </w:r>
      <w:r>
        <w:rPr>
          <w:sz w:val="20"/>
          <w:szCs w:val="20"/>
          <w:color w:val="auto"/>
        </w:rPr>
        <w:tab/>
      </w:r>
      <w:r>
        <w:rPr>
          <w:rFonts w:ascii="Arial" w:cs="Arial" w:eastAsia="Arial" w:hAnsi="Arial"/>
          <w:sz w:val="17"/>
          <w:szCs w:val="17"/>
          <w:color w:val="auto"/>
        </w:rPr>
        <w:t>consent to the Company monitoring and recording any use that you make of the Company’s electronic communications systems for the purpose of ensuring that the Company’s rules are being complied with and for legitimate business purposes.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20"/>
          </w:cols>
          <w:pgMar w:left="240" w:top="274" w:right="339" w:bottom="1440" w:gutter="0" w:footer="0" w:header="0"/>
        </w:sectPr>
      </w:pPr>
    </w:p>
    <w:bookmarkStart w:id="279" w:name="page280"/>
    <w:bookmarkEnd w:id="27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5.4</w:t>
      </w:r>
      <w:r>
        <w:rPr>
          <w:sz w:val="20"/>
          <w:szCs w:val="20"/>
          <w:color w:val="auto"/>
        </w:rPr>
        <w:tab/>
      </w:r>
      <w:r>
        <w:rPr>
          <w:rFonts w:ascii="Arial" w:cs="Arial" w:eastAsia="Arial" w:hAnsi="Arial"/>
          <w:sz w:val="16"/>
          <w:szCs w:val="16"/>
          <w:color w:val="auto"/>
        </w:rPr>
        <w:t>You shall comply with the Company’s anti-corruption and bribery policy and related procedures at all times.</w:t>
      </w:r>
    </w:p>
    <w:p>
      <w:pPr>
        <w:spacing w:after="0" w:line="131"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5.5</w:t>
        <w:tab/>
        <w:t>You shall comply with any rules, policies and procedures set out in the Staff Handbook. The Staff Handbook does not form part of this Contract and the Company may amend it at any time. To the extent that there is any conflict between the terms of this Contract and the Staff Handbook, this Contract shall prevail.</w:t>
      </w:r>
    </w:p>
    <w:p>
      <w:pPr>
        <w:spacing w:after="0" w:line="87" w:lineRule="exact"/>
        <w:rPr>
          <w:sz w:val="20"/>
          <w:szCs w:val="20"/>
          <w:color w:val="auto"/>
        </w:rPr>
      </w:pPr>
    </w:p>
    <w:p>
      <w:pPr>
        <w:ind w:left="460" w:right="500" w:hanging="445"/>
        <w:spacing w:after="0" w:line="264" w:lineRule="auto"/>
        <w:tabs>
          <w:tab w:leader="none" w:pos="440" w:val="left"/>
        </w:tabs>
        <w:rPr>
          <w:sz w:val="20"/>
          <w:szCs w:val="20"/>
          <w:color w:val="auto"/>
        </w:rPr>
      </w:pPr>
      <w:r>
        <w:rPr>
          <w:rFonts w:ascii="Arial" w:cs="Arial" w:eastAsia="Arial" w:hAnsi="Arial"/>
          <w:sz w:val="18"/>
          <w:szCs w:val="18"/>
          <w:color w:val="auto"/>
        </w:rPr>
        <w:t>5.6</w:t>
        <w:tab/>
        <w:t>All documents, manuals, hardware and software provided for your use by the Company, and any data or documents (including copies) produced, maintained or stored on the Company’s computer systems or other electronic equipment (including mobile phones), remain the property of the Company.</w:t>
      </w:r>
    </w:p>
    <w:p>
      <w:pPr>
        <w:spacing w:after="0" w:line="326"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Location</w:t>
      </w:r>
    </w:p>
    <w:p>
      <w:pPr>
        <w:spacing w:after="0" w:line="135" w:lineRule="exact"/>
        <w:rPr>
          <w:sz w:val="20"/>
          <w:szCs w:val="20"/>
          <w:color w:val="auto"/>
        </w:rPr>
      </w:pPr>
    </w:p>
    <w:p>
      <w:pPr>
        <w:ind w:left="460" w:right="360" w:hanging="445"/>
        <w:spacing w:after="0" w:line="277" w:lineRule="auto"/>
        <w:tabs>
          <w:tab w:leader="none" w:pos="440" w:val="left"/>
        </w:tabs>
        <w:rPr>
          <w:sz w:val="20"/>
          <w:szCs w:val="20"/>
          <w:color w:val="auto"/>
        </w:rPr>
      </w:pPr>
      <w:r>
        <w:rPr>
          <w:rFonts w:ascii="Arial" w:cs="Arial" w:eastAsia="Arial" w:hAnsi="Arial"/>
          <w:sz w:val="18"/>
          <w:szCs w:val="18"/>
          <w:color w:val="auto"/>
        </w:rPr>
        <w:t>6.1</w:t>
        <w:tab/>
        <w:t>Your normal place of work is the Company’s offices at 1 Cavendish Place, London W1G 0QF or such other place as the Company may reasonably determine for the proper performance and exercise of your duties.</w:t>
      </w:r>
    </w:p>
    <w:p>
      <w:pPr>
        <w:spacing w:after="0" w:line="76" w:lineRule="exact"/>
        <w:rPr>
          <w:sz w:val="20"/>
          <w:szCs w:val="20"/>
          <w:color w:val="auto"/>
        </w:rPr>
      </w:pPr>
    </w:p>
    <w:p>
      <w:pPr>
        <w:jc w:val="both"/>
        <w:ind w:left="460" w:right="240" w:hanging="445"/>
        <w:spacing w:after="0" w:line="264" w:lineRule="auto"/>
        <w:tabs>
          <w:tab w:leader="none" w:pos="440" w:val="left"/>
        </w:tabs>
        <w:rPr>
          <w:sz w:val="20"/>
          <w:szCs w:val="20"/>
          <w:color w:val="auto"/>
        </w:rPr>
      </w:pPr>
      <w:r>
        <w:rPr>
          <w:rFonts w:ascii="Arial" w:cs="Arial" w:eastAsia="Arial" w:hAnsi="Arial"/>
          <w:sz w:val="18"/>
          <w:szCs w:val="18"/>
          <w:color w:val="auto"/>
        </w:rPr>
        <w:t>6.2</w:t>
        <w:tab/>
        <w:t>The Company may require you to perform services for any Group Company wherever situated and without further fees or remuneration and to enter into any separate agreement(s) with such Group Company for such purpose and any duties that you may have under this Contract will be deemed to extend to such Group Company.</w:t>
      </w:r>
    </w:p>
    <w:p>
      <w:pPr>
        <w:spacing w:after="0" w:line="87" w:lineRule="exact"/>
        <w:rPr>
          <w:sz w:val="20"/>
          <w:szCs w:val="20"/>
          <w:color w:val="auto"/>
        </w:rPr>
      </w:pPr>
    </w:p>
    <w:p>
      <w:pPr>
        <w:ind w:left="460" w:right="60" w:hanging="445"/>
        <w:spacing w:after="0" w:line="277" w:lineRule="auto"/>
        <w:tabs>
          <w:tab w:leader="none" w:pos="440" w:val="left"/>
        </w:tabs>
        <w:rPr>
          <w:sz w:val="20"/>
          <w:szCs w:val="20"/>
          <w:color w:val="auto"/>
        </w:rPr>
      </w:pPr>
      <w:r>
        <w:rPr>
          <w:rFonts w:ascii="Arial" w:cs="Arial" w:eastAsia="Arial" w:hAnsi="Arial"/>
          <w:sz w:val="18"/>
          <w:szCs w:val="18"/>
          <w:color w:val="auto"/>
        </w:rPr>
        <w:t>6.3</w:t>
        <w:tab/>
        <w:t>You agree to travel on any Group Company’s business (both within the United Kingdom and abroad) as may be required for the proper performance of your duties under the Appointment.</w:t>
      </w:r>
    </w:p>
    <w:p>
      <w:pPr>
        <w:spacing w:after="0" w:line="315"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Hours of Work</w:t>
      </w:r>
    </w:p>
    <w:p>
      <w:pPr>
        <w:spacing w:after="0" w:line="135" w:lineRule="exact"/>
        <w:rPr>
          <w:sz w:val="20"/>
          <w:szCs w:val="20"/>
          <w:color w:val="auto"/>
        </w:rPr>
      </w:pPr>
    </w:p>
    <w:p>
      <w:pPr>
        <w:jc w:val="center"/>
        <w:ind w:right="380"/>
        <w:spacing w:after="0"/>
        <w:tabs>
          <w:tab w:leader="none" w:pos="2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Your normal working hours are from 09:00 to 17:00 for a week day, excluding public and bank holidays of England and Wales, together with such</w:t>
      </w:r>
    </w:p>
    <w:p>
      <w:pPr>
        <w:spacing w:after="0" w:line="23" w:lineRule="exact"/>
        <w:rPr>
          <w:sz w:val="20"/>
          <w:szCs w:val="20"/>
          <w:color w:val="auto"/>
        </w:rPr>
      </w:pPr>
    </w:p>
    <w:p>
      <w:pPr>
        <w:ind w:left="460" w:right="840"/>
        <w:spacing w:after="0" w:line="261" w:lineRule="auto"/>
        <w:rPr>
          <w:sz w:val="20"/>
          <w:szCs w:val="20"/>
          <w:color w:val="auto"/>
        </w:rPr>
      </w:pPr>
      <w:r>
        <w:rPr>
          <w:rFonts w:ascii="Arial" w:cs="Arial" w:eastAsia="Arial" w:hAnsi="Arial"/>
          <w:sz w:val="18"/>
          <w:szCs w:val="18"/>
          <w:color w:val="auto"/>
        </w:rPr>
        <w:t>additional hours, on week days (including public and bank holidays of England and Wales) or weekends, as may be necessary for the proper performance of your duties.</w:t>
      </w:r>
    </w:p>
    <w:p>
      <w:pPr>
        <w:spacing w:after="0" w:line="85" w:lineRule="exact"/>
        <w:rPr>
          <w:sz w:val="20"/>
          <w:szCs w:val="20"/>
          <w:color w:val="auto"/>
        </w:rPr>
      </w:pPr>
    </w:p>
    <w:p>
      <w:pPr>
        <w:ind w:left="460" w:right="20" w:hanging="445"/>
        <w:spacing w:after="0" w:line="266" w:lineRule="auto"/>
        <w:tabs>
          <w:tab w:leader="none" w:pos="440" w:val="left"/>
        </w:tabs>
        <w:rPr>
          <w:sz w:val="20"/>
          <w:szCs w:val="20"/>
          <w:color w:val="auto"/>
        </w:rPr>
      </w:pPr>
      <w:r>
        <w:rPr>
          <w:rFonts w:ascii="Arial" w:cs="Arial" w:eastAsia="Arial" w:hAnsi="Arial"/>
          <w:sz w:val="18"/>
          <w:szCs w:val="18"/>
          <w:color w:val="auto"/>
        </w:rPr>
        <w:t>7.2</w:t>
        <w:tab/>
        <w:t>Regulation 4(1) of the Working Time Regulations 1998 (the “</w:t>
      </w:r>
      <w:r>
        <w:rPr>
          <w:rFonts w:ascii="Arial" w:cs="Arial" w:eastAsia="Arial" w:hAnsi="Arial"/>
          <w:sz w:val="18"/>
          <w:szCs w:val="18"/>
          <w:b w:val="1"/>
          <w:bCs w:val="1"/>
          <w:color w:val="auto"/>
        </w:rPr>
        <w:t>WTR</w:t>
      </w:r>
      <w:r>
        <w:rPr>
          <w:rFonts w:ascii="Arial" w:cs="Arial" w:eastAsia="Arial" w:hAnsi="Arial"/>
          <w:sz w:val="18"/>
          <w:szCs w:val="18"/>
          <w:color w:val="auto"/>
        </w:rPr>
        <w:t>”) provides that a worker’s average working time, including overtime, must not exceed 48 hours for each seven-day period (to be averaged over a period of 17 weeks) unless the worker agrees that this regulation will not apply to his or her employment.</w:t>
      </w:r>
    </w:p>
    <w:p>
      <w:pPr>
        <w:spacing w:after="0" w:line="72" w:lineRule="exact"/>
        <w:rPr>
          <w:sz w:val="20"/>
          <w:szCs w:val="20"/>
          <w:color w:val="auto"/>
        </w:rPr>
      </w:pPr>
    </w:p>
    <w:p>
      <w:pPr>
        <w:jc w:val="both"/>
        <w:ind w:left="460" w:right="140"/>
        <w:spacing w:after="0" w:line="286" w:lineRule="auto"/>
        <w:rPr>
          <w:sz w:val="20"/>
          <w:szCs w:val="20"/>
          <w:color w:val="auto"/>
        </w:rPr>
      </w:pPr>
      <w:r>
        <w:rPr>
          <w:rFonts w:ascii="Arial" w:cs="Arial" w:eastAsia="Arial" w:hAnsi="Arial"/>
          <w:sz w:val="17"/>
          <w:szCs w:val="17"/>
          <w:color w:val="auto"/>
        </w:rPr>
        <w:t>You acknowledge that you hold an executive position with certain autonomous decision taking powers and therefore are not subject to regulation 4(1) of the Working Time Regulations 1998 but without prejudice to that you accept that by signing this Contract you have agreed that, insofar as it would apply to your employment with the Company, regulation 4(1) of the Working Time Regulations 1998 shall not apply.</w:t>
      </w:r>
    </w:p>
    <w:p>
      <w:pPr>
        <w:spacing w:after="0" w:line="71" w:lineRule="exact"/>
        <w:rPr>
          <w:sz w:val="20"/>
          <w:szCs w:val="20"/>
          <w:color w:val="auto"/>
        </w:rPr>
      </w:pPr>
    </w:p>
    <w:p>
      <w:pPr>
        <w:ind w:left="460" w:right="200" w:hanging="445"/>
        <w:spacing w:after="0" w:line="277" w:lineRule="auto"/>
        <w:tabs>
          <w:tab w:leader="none" w:pos="440" w:val="left"/>
        </w:tabs>
        <w:rPr>
          <w:sz w:val="20"/>
          <w:szCs w:val="20"/>
          <w:color w:val="auto"/>
        </w:rPr>
      </w:pPr>
      <w:r>
        <w:rPr>
          <w:rFonts w:ascii="Arial" w:cs="Arial" w:eastAsia="Arial" w:hAnsi="Arial"/>
          <w:sz w:val="18"/>
          <w:szCs w:val="18"/>
          <w:color w:val="auto"/>
        </w:rPr>
        <w:t>7.3</w:t>
        <w:tab/>
        <w:t>At any time during the Appointment, you or the Company may give three months’ prior written notice that the opt-out of clause 7.2 should no longer apply and it will cease to apply with effect from the expiry of the said notice.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280" w:name="page281"/>
    <w:bookmarkEnd w:id="28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7.4</w:t>
      </w:r>
      <w:r>
        <w:rPr>
          <w:sz w:val="20"/>
          <w:szCs w:val="20"/>
          <w:color w:val="auto"/>
        </w:rPr>
        <w:tab/>
      </w:r>
      <w:r>
        <w:rPr>
          <w:rFonts w:ascii="Arial" w:cs="Arial" w:eastAsia="Arial" w:hAnsi="Arial"/>
          <w:sz w:val="16"/>
          <w:szCs w:val="16"/>
          <w:color w:val="auto"/>
        </w:rPr>
        <w:t>You will comply with any requests made or measures imposed to enable the Company and/or you to monitor and record your working time.</w:t>
      </w:r>
    </w:p>
    <w:p>
      <w:pPr>
        <w:spacing w:after="0" w:line="370"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Salary</w:t>
      </w:r>
    </w:p>
    <w:p>
      <w:pPr>
        <w:spacing w:after="0" w:line="131" w:lineRule="exact"/>
        <w:rPr>
          <w:sz w:val="20"/>
          <w:szCs w:val="20"/>
          <w:color w:val="auto"/>
        </w:rPr>
      </w:pPr>
    </w:p>
    <w:p>
      <w:pPr>
        <w:jc w:val="both"/>
        <w:ind w:left="460" w:right="100" w:hanging="445"/>
        <w:spacing w:after="0" w:line="266" w:lineRule="auto"/>
        <w:tabs>
          <w:tab w:leader="none" w:pos="440" w:val="left"/>
        </w:tabs>
        <w:rPr>
          <w:sz w:val="20"/>
          <w:szCs w:val="20"/>
          <w:color w:val="auto"/>
        </w:rPr>
      </w:pPr>
      <w:r>
        <w:rPr>
          <w:rFonts w:ascii="Arial" w:cs="Arial" w:eastAsia="Arial" w:hAnsi="Arial"/>
          <w:sz w:val="18"/>
          <w:szCs w:val="18"/>
          <w:color w:val="auto"/>
        </w:rPr>
        <w:t>8.1</w:t>
        <w:tab/>
        <w:t xml:space="preserve">Your salary is £3,900 per month based on working one day a week for the Company (the </w:t>
      </w:r>
      <w:r>
        <w:rPr>
          <w:rFonts w:ascii="Arial" w:cs="Arial" w:eastAsia="Arial" w:hAnsi="Arial"/>
          <w:sz w:val="18"/>
          <w:szCs w:val="18"/>
          <w:b w:val="1"/>
          <w:bCs w:val="1"/>
          <w:color w:val="auto"/>
        </w:rPr>
        <w:t>“Salary”</w:t>
      </w:r>
      <w:r>
        <w:rPr>
          <w:rFonts w:ascii="Arial" w:cs="Arial" w:eastAsia="Arial" w:hAnsi="Arial"/>
          <w:sz w:val="18"/>
          <w:szCs w:val="18"/>
          <w:color w:val="auto"/>
        </w:rPr>
        <w:t>), less statutory and voluntary deduction. The Salary shall accrue from day to day and be payable by equal monthly instalments in the equivalent amount of US Dollars in arrears on the last business day of each calendar month directly into your bank or building society account.</w:t>
      </w:r>
    </w:p>
    <w:p>
      <w:pPr>
        <w:spacing w:after="0" w:line="86" w:lineRule="exact"/>
        <w:rPr>
          <w:sz w:val="20"/>
          <w:szCs w:val="20"/>
          <w:color w:val="auto"/>
        </w:rPr>
      </w:pPr>
    </w:p>
    <w:p>
      <w:pPr>
        <w:ind w:left="460" w:right="500" w:hanging="445"/>
        <w:spacing w:after="0" w:line="277" w:lineRule="auto"/>
        <w:tabs>
          <w:tab w:leader="none" w:pos="440" w:val="left"/>
        </w:tabs>
        <w:rPr>
          <w:sz w:val="20"/>
          <w:szCs w:val="20"/>
          <w:color w:val="auto"/>
        </w:rPr>
      </w:pPr>
      <w:r>
        <w:rPr>
          <w:rFonts w:ascii="Arial" w:cs="Arial" w:eastAsia="Arial" w:hAnsi="Arial"/>
          <w:sz w:val="18"/>
          <w:szCs w:val="18"/>
          <w:color w:val="auto"/>
        </w:rPr>
        <w:t>8.2</w:t>
        <w:tab/>
        <w:t>You will receive no additional payment for any overtime worked. Your Salary will include any director’s, company secretary’s and other fees and emoluments due to you as an officer of the Company or of any Group Company.</w:t>
      </w:r>
    </w:p>
    <w:p>
      <w:pPr>
        <w:spacing w:after="0" w:line="76" w:lineRule="exact"/>
        <w:rPr>
          <w:sz w:val="20"/>
          <w:szCs w:val="20"/>
          <w:color w:val="auto"/>
        </w:rPr>
      </w:pPr>
    </w:p>
    <w:p>
      <w:pPr>
        <w:jc w:val="both"/>
        <w:ind w:left="460" w:right="260" w:hanging="445"/>
        <w:spacing w:after="0" w:line="264" w:lineRule="auto"/>
        <w:tabs>
          <w:tab w:leader="none" w:pos="440" w:val="left"/>
        </w:tabs>
        <w:rPr>
          <w:sz w:val="20"/>
          <w:szCs w:val="20"/>
          <w:color w:val="auto"/>
        </w:rPr>
      </w:pPr>
      <w:r>
        <w:rPr>
          <w:rFonts w:ascii="Arial" w:cs="Arial" w:eastAsia="Arial" w:hAnsi="Arial"/>
          <w:sz w:val="18"/>
          <w:szCs w:val="18"/>
          <w:color w:val="auto"/>
        </w:rPr>
        <w:t>8.3</w:t>
        <w:tab/>
        <w:t>Your Salary will be reviewed by your Manager annually, the first such review taking effect from 1 January 2019 and may be increased from time to time at the Company’s discretion without affecting the other terms of the Appointment. There is no obligation to award an increase. There will be no review of the Salary after notice has been given by either party to terminate the Appointment.</w:t>
      </w:r>
    </w:p>
    <w:p>
      <w:pPr>
        <w:spacing w:after="0" w:line="87" w:lineRule="exact"/>
        <w:rPr>
          <w:sz w:val="20"/>
          <w:szCs w:val="20"/>
          <w:color w:val="auto"/>
        </w:rPr>
      </w:pPr>
    </w:p>
    <w:p>
      <w:pPr>
        <w:ind w:left="460" w:hanging="445"/>
        <w:spacing w:after="0" w:line="276" w:lineRule="auto"/>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If you are invited to participate in any employees’ share scheme (as defined in section 1166 of the Companies Act 2006) and accept, your membership shall be governed exclusively by the rules of the relevant scheme from time to time. Your rights and obligations under this Contract shall not be affected by your participation in the scheme or any right which you may have to participate in it and you shall have no claim for compensation or damages under or in connection with this Contract in consequence of the termination of the Appointment for any reason whatsoever insofar as the termination of the Appointment may end your participation or reduce the value of awards you may receive under it.</w:t>
      </w:r>
    </w:p>
    <w:p>
      <w:pPr>
        <w:spacing w:after="0" w:line="78" w:lineRule="exact"/>
        <w:rPr>
          <w:sz w:val="20"/>
          <w:szCs w:val="20"/>
          <w:color w:val="auto"/>
        </w:rPr>
      </w:pPr>
    </w:p>
    <w:p>
      <w:pPr>
        <w:ind w:left="460" w:right="200" w:hanging="445"/>
        <w:spacing w:after="0" w:line="264" w:lineRule="auto"/>
        <w:tabs>
          <w:tab w:leader="none" w:pos="440" w:val="left"/>
        </w:tabs>
        <w:rPr>
          <w:sz w:val="20"/>
          <w:szCs w:val="20"/>
          <w:color w:val="auto"/>
        </w:rPr>
      </w:pPr>
      <w:r>
        <w:rPr>
          <w:rFonts w:ascii="Arial" w:cs="Arial" w:eastAsia="Arial" w:hAnsi="Arial"/>
          <w:sz w:val="18"/>
          <w:szCs w:val="18"/>
          <w:color w:val="auto"/>
        </w:rPr>
        <w:t>8.5</w:t>
        <w:tab/>
        <w:t>You authorise the Company to deduct from your Salary any sums which you may owe the Company including without limitation any overpayment of salary or expenses, any debt or loans or any other sum or sums which may be required to be authorised pursuant to Section 13 of the Employment Rights Act 1996.</w:t>
      </w:r>
    </w:p>
    <w:p>
      <w:pPr>
        <w:spacing w:after="0" w:line="326"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Discretionary Bonus</w:t>
      </w:r>
    </w:p>
    <w:p>
      <w:pPr>
        <w:spacing w:after="0" w:line="135" w:lineRule="exact"/>
        <w:rPr>
          <w:sz w:val="20"/>
          <w:szCs w:val="20"/>
          <w:color w:val="auto"/>
        </w:rPr>
      </w:pPr>
    </w:p>
    <w:p>
      <w:pPr>
        <w:ind w:left="460" w:right="80" w:hanging="445"/>
        <w:spacing w:after="0" w:line="264" w:lineRule="auto"/>
        <w:tabs>
          <w:tab w:leader="none" w:pos="440" w:val="left"/>
        </w:tabs>
        <w:rPr>
          <w:sz w:val="20"/>
          <w:szCs w:val="20"/>
          <w:color w:val="auto"/>
        </w:rPr>
      </w:pPr>
      <w:r>
        <w:rPr>
          <w:rFonts w:ascii="Arial" w:cs="Arial" w:eastAsia="Arial" w:hAnsi="Arial"/>
          <w:sz w:val="18"/>
          <w:szCs w:val="18"/>
          <w:color w:val="auto"/>
        </w:rPr>
        <w:t>9.1</w:t>
        <w:tab/>
        <w:t>You may be considered for a discretionary bonus in relation to each calendar year. The payment of any discretionary bonus is not guaranteed under this Contract and your eligibility for a discretionary bonus shall be assessed in accordance with and subject to the terms of the Company’s performance related discretionary bonus scheme.</w:t>
      </w:r>
    </w:p>
    <w:p>
      <w:pPr>
        <w:spacing w:after="0" w:line="87" w:lineRule="exact"/>
        <w:rPr>
          <w:sz w:val="20"/>
          <w:szCs w:val="20"/>
          <w:color w:val="auto"/>
        </w:rPr>
      </w:pPr>
    </w:p>
    <w:p>
      <w:pPr>
        <w:ind w:left="460" w:right="480" w:hanging="445"/>
        <w:spacing w:after="0" w:line="277" w:lineRule="auto"/>
        <w:tabs>
          <w:tab w:leader="none" w:pos="440" w:val="left"/>
        </w:tabs>
        <w:rPr>
          <w:sz w:val="20"/>
          <w:szCs w:val="20"/>
          <w:color w:val="auto"/>
        </w:rPr>
      </w:pPr>
      <w:r>
        <w:rPr>
          <w:rFonts w:ascii="Arial" w:cs="Arial" w:eastAsia="Arial" w:hAnsi="Arial"/>
          <w:sz w:val="18"/>
          <w:szCs w:val="18"/>
          <w:color w:val="auto"/>
        </w:rPr>
        <w:t>9.2</w:t>
        <w:tab/>
        <w:t>The terms of the discretionary bonus scheme are determined by the Company in its absolute discretion and the Company is entitled in its absolute discretion to change the terms of this scheme from year to year.</w:t>
      </w:r>
    </w:p>
    <w:p>
      <w:pPr>
        <w:spacing w:after="0" w:line="76" w:lineRule="exact"/>
        <w:rPr>
          <w:sz w:val="20"/>
          <w:szCs w:val="20"/>
          <w:color w:val="auto"/>
        </w:rPr>
      </w:pPr>
    </w:p>
    <w:p>
      <w:pPr>
        <w:ind w:left="460" w:right="200" w:hanging="445"/>
        <w:spacing w:after="0" w:line="277" w:lineRule="auto"/>
        <w:tabs>
          <w:tab w:leader="none" w:pos="440" w:val="left"/>
        </w:tabs>
        <w:rPr>
          <w:sz w:val="20"/>
          <w:szCs w:val="20"/>
          <w:color w:val="auto"/>
        </w:rPr>
      </w:pPr>
      <w:r>
        <w:rPr>
          <w:rFonts w:ascii="Arial" w:cs="Arial" w:eastAsia="Arial" w:hAnsi="Arial"/>
          <w:sz w:val="18"/>
          <w:szCs w:val="18"/>
          <w:color w:val="auto"/>
        </w:rPr>
        <w:t>9.3</w:t>
        <w:tab/>
        <w:t>The amount of the discretionary bonus, if any, in any particular calendar year shall be determined by the Company in its sole discretion. Payment of a bonus in one calendar year does not entitle you to receive a bonus in respect of any other calendar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4" w:right="239" w:bottom="1440" w:gutter="0" w:footer="0" w:header="0"/>
        </w:sectPr>
      </w:pPr>
    </w:p>
    <w:bookmarkStart w:id="281" w:name="page282"/>
    <w:bookmarkEnd w:id="28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w:t>
      </w:r>
      <w:r>
        <w:rPr>
          <w:sz w:val="20"/>
          <w:szCs w:val="20"/>
          <w:color w:val="auto"/>
        </w:rPr>
        <w:tab/>
      </w:r>
      <w:r>
        <w:rPr>
          <w:rFonts w:ascii="Arial" w:cs="Arial" w:eastAsia="Arial" w:hAnsi="Arial"/>
          <w:sz w:val="16"/>
          <w:szCs w:val="16"/>
          <w:color w:val="auto"/>
        </w:rPr>
        <w:t>If you commence employment part way through the calendar year any sum calculated in accordance with clause 9.2 shall be pro-rated, as appropriate.</w:t>
      </w:r>
    </w:p>
    <w:p>
      <w:pPr>
        <w:spacing w:after="0" w:line="131" w:lineRule="exact"/>
        <w:rPr>
          <w:sz w:val="20"/>
          <w:szCs w:val="20"/>
          <w:color w:val="auto"/>
        </w:rPr>
      </w:pPr>
    </w:p>
    <w:p>
      <w:pPr>
        <w:ind w:left="460" w:right="780" w:hanging="445"/>
        <w:spacing w:after="0" w:line="277" w:lineRule="auto"/>
        <w:tabs>
          <w:tab w:leader="none" w:pos="440" w:val="left"/>
        </w:tabs>
        <w:rPr>
          <w:sz w:val="20"/>
          <w:szCs w:val="20"/>
          <w:color w:val="auto"/>
        </w:rPr>
      </w:pPr>
      <w:r>
        <w:rPr>
          <w:rFonts w:ascii="Arial" w:cs="Arial" w:eastAsia="Arial" w:hAnsi="Arial"/>
          <w:sz w:val="18"/>
          <w:szCs w:val="18"/>
          <w:color w:val="auto"/>
        </w:rPr>
        <w:t>9.5</w:t>
        <w:tab/>
        <w:t>If you are working your period of notice (given by either you or the Company) at the date any bonus is payable to you, or the Appointment is terminated prior to that date, no bonus or pro-rata bonus shall be payable.</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Any discretionary bonus payable in accordance with this clause 9 shall not be pensionable.</w:t>
      </w:r>
    </w:p>
    <w:p>
      <w:pPr>
        <w:spacing w:after="0" w:line="370"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35" w:lineRule="exact"/>
        <w:rPr>
          <w:sz w:val="20"/>
          <w:szCs w:val="20"/>
          <w:color w:val="auto"/>
        </w:rPr>
      </w:pPr>
    </w:p>
    <w:p>
      <w:pPr>
        <w:jc w:val="both"/>
        <w:ind w:left="460" w:right="540" w:hanging="445"/>
        <w:spacing w:after="0" w:line="264" w:lineRule="auto"/>
        <w:rPr>
          <w:sz w:val="20"/>
          <w:szCs w:val="20"/>
          <w:color w:val="auto"/>
        </w:rPr>
      </w:pPr>
      <w:r>
        <w:rPr>
          <w:rFonts w:ascii="Arial" w:cs="Arial" w:eastAsia="Arial" w:hAnsi="Arial"/>
          <w:sz w:val="18"/>
          <w:szCs w:val="18"/>
          <w:color w:val="auto"/>
        </w:rPr>
        <w:t>10.1 The Company will reimburse (or procure the reimbursement of) all expenses properly, necessarily and reasonably incurred by you in the proper performance of your duties, provided that on request you will provide the Company with such VAT receipts, invoices or other evidence of actual payment of such expenses as the Company may reasonably require.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10.2  You shall comply with the Company’s expenses policy as set out in the Staff Handbook from time to time.</w:t>
      </w:r>
    </w:p>
    <w:p>
      <w:pPr>
        <w:spacing w:after="0" w:line="131" w:lineRule="exact"/>
        <w:rPr>
          <w:sz w:val="20"/>
          <w:szCs w:val="20"/>
          <w:color w:val="auto"/>
        </w:rPr>
      </w:pPr>
    </w:p>
    <w:p>
      <w:pPr>
        <w:ind w:left="460" w:right="280" w:hanging="445"/>
        <w:spacing w:after="0" w:line="342" w:lineRule="auto"/>
        <w:rPr>
          <w:sz w:val="20"/>
          <w:szCs w:val="20"/>
          <w:color w:val="auto"/>
        </w:rPr>
      </w:pPr>
      <w:r>
        <w:rPr>
          <w:rFonts w:ascii="Arial" w:cs="Arial" w:eastAsia="Arial" w:hAnsi="Arial"/>
          <w:sz w:val="16"/>
          <w:szCs w:val="16"/>
          <w:color w:val="auto"/>
        </w:rPr>
        <w:t>10.3 Any expenses charged to a Company credit card must be documented in accordance with Company procedures and approved by the Chief Financial Officer within one month of the date that the credit card statement is received. No personal expenditure may be charged to Company credit cards.</w:t>
      </w:r>
    </w:p>
    <w:p>
      <w:pPr>
        <w:spacing w:after="0" w:line="268"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Other Employment</w:t>
      </w:r>
    </w:p>
    <w:p>
      <w:pPr>
        <w:spacing w:after="0" w:line="135" w:lineRule="exact"/>
        <w:rPr>
          <w:sz w:val="20"/>
          <w:szCs w:val="20"/>
          <w:color w:val="auto"/>
        </w:rPr>
      </w:pPr>
    </w:p>
    <w:p>
      <w:pPr>
        <w:ind w:left="460" w:hanging="445"/>
        <w:spacing w:after="0" w:line="272" w:lineRule="auto"/>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Without the prior written approval of the Board, you may not, whether directly or indirectly, undertake any other job (including voluntary work) or carry on a business, of whatever kind, during your hours of work for the Company. Without the prior written approval of the Board, you may not, whether directly or indirectly, undertake any other job (including voluntary work) or carry on a business, of whatever kind, outside Company hours if in the reasonable opinion of the Company this is likely to affect your work performance for the Company and you will promptly disclose to the Company sufficient details of any such job or business in order for the Company to consider whether it is likely to affect your work performance. Nothing in this clause 11.1 will prevent you from holding a Permitted Interest (as defined below) or continuing with your consultancy with John Richard &amp; Associates, LLC. or the directorships of the companies and partnerships listed in Schedule 2 ;</w:t>
      </w:r>
    </w:p>
    <w:p>
      <w:pPr>
        <w:spacing w:after="0" w:line="83" w:lineRule="exact"/>
        <w:rPr>
          <w:sz w:val="20"/>
          <w:szCs w:val="20"/>
          <w:color w:val="auto"/>
        </w:rPr>
      </w:pPr>
    </w:p>
    <w:p>
      <w:pPr>
        <w:ind w:left="460" w:right="220" w:hanging="445"/>
        <w:spacing w:after="0" w:line="342"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You may not at any time during the period of your employment by the Company without the prior written consent of the Chief Executive Officer engage, whether directly or indirectly, in any business or employment which is similar to or in any way connected with the business of the Company.</w:t>
      </w:r>
    </w:p>
    <w:p>
      <w:pPr>
        <w:spacing w:after="0" w:line="268"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Holidays</w:t>
      </w:r>
    </w:p>
    <w:p>
      <w:pPr>
        <w:spacing w:after="0" w:line="135" w:lineRule="exact"/>
        <w:rPr>
          <w:sz w:val="20"/>
          <w:szCs w:val="20"/>
          <w:color w:val="auto"/>
        </w:rPr>
      </w:pPr>
    </w:p>
    <w:p>
      <w:pPr>
        <w:ind w:left="460" w:right="360" w:hanging="445"/>
        <w:spacing w:after="0" w:line="308" w:lineRule="auto"/>
        <w:rPr>
          <w:sz w:val="20"/>
          <w:szCs w:val="20"/>
          <w:color w:val="auto"/>
        </w:rPr>
      </w:pPr>
      <w:r>
        <w:rPr>
          <w:rFonts w:ascii="Arial" w:cs="Arial" w:eastAsia="Arial" w:hAnsi="Arial"/>
          <w:sz w:val="17"/>
          <w:szCs w:val="17"/>
          <w:color w:val="auto"/>
        </w:rPr>
        <w:t>12.1 In addition to the usual public and bank holidays of England and Wales, you shall be entitled to 5 days’ paid holiday in each complete holiday year worked (and pro rata for any holiday year worked in part) to be taken at such time or times as shall be agreed by your Manager.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74" w:right="2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  The holiday year runs from 1 January each year to the following 31 December.</w:t>
      </w:r>
    </w:p>
    <w:p>
      <w:pPr>
        <w:spacing w:after="0" w:line="131" w:lineRule="exact"/>
        <w:rPr>
          <w:sz w:val="20"/>
          <w:szCs w:val="20"/>
          <w:color w:val="auto"/>
        </w:rPr>
      </w:pPr>
    </w:p>
    <w:p>
      <w:pPr>
        <w:ind w:left="460" w:right="460" w:hanging="445"/>
        <w:spacing w:after="0" w:line="277" w:lineRule="auto"/>
        <w:rPr>
          <w:sz w:val="20"/>
          <w:szCs w:val="20"/>
          <w:color w:val="auto"/>
        </w:rPr>
      </w:pPr>
      <w:r>
        <w:rPr>
          <w:rFonts w:ascii="Arial" w:cs="Arial" w:eastAsia="Arial" w:hAnsi="Arial"/>
          <w:sz w:val="18"/>
          <w:szCs w:val="18"/>
          <w:color w:val="auto"/>
        </w:rPr>
        <w:t>12.3 Although the Company will agree to your proposed holiday dates wherever possible, it reserves the right to withhold approval where necessary to protect the interests of the business.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12.4  The Company reserves the right to require you to take holiday on certain days to be determined by the Company of up to five days in each holiday year.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notify you of any such requirement prior to the commencement of each holiday year.</w:t>
      </w:r>
    </w:p>
    <w:p>
      <w:pPr>
        <w:spacing w:after="0" w:line="116" w:lineRule="exact"/>
        <w:rPr>
          <w:sz w:val="20"/>
          <w:szCs w:val="20"/>
          <w:color w:val="auto"/>
        </w:rPr>
      </w:pPr>
    </w:p>
    <w:p>
      <w:pPr>
        <w:jc w:val="both"/>
        <w:ind w:left="460" w:right="40" w:hanging="445"/>
        <w:spacing w:after="0" w:line="286" w:lineRule="auto"/>
        <w:rPr>
          <w:sz w:val="20"/>
          <w:szCs w:val="20"/>
          <w:color w:val="auto"/>
        </w:rPr>
      </w:pPr>
      <w:r>
        <w:rPr>
          <w:rFonts w:ascii="Arial" w:cs="Arial" w:eastAsia="Arial" w:hAnsi="Arial"/>
          <w:sz w:val="17"/>
          <w:szCs w:val="17"/>
          <w:color w:val="auto"/>
        </w:rPr>
        <w:t>12.5 On termination of the Appointment you shall be entitled to be paid in lieu of holiday accrued but untaken in the holiday year in which termination takes place. Your entitlement to holiday will be calculated on the basis that each day of paid holiday is equal to 1/52 of your salary. Alternatively, you will be required to repay to the Company pay for any holiday taken in excess of your entitlement at the same rate.</w:t>
      </w:r>
    </w:p>
    <w:p>
      <w:pPr>
        <w:spacing w:after="0" w:line="71" w:lineRule="exact"/>
        <w:rPr>
          <w:sz w:val="20"/>
          <w:szCs w:val="20"/>
          <w:color w:val="auto"/>
        </w:rPr>
      </w:pPr>
    </w:p>
    <w:p>
      <w:pPr>
        <w:ind w:left="460" w:right="220" w:hanging="445"/>
        <w:spacing w:after="0" w:line="277" w:lineRule="auto"/>
        <w:rPr>
          <w:sz w:val="20"/>
          <w:szCs w:val="20"/>
          <w:color w:val="auto"/>
        </w:rPr>
      </w:pPr>
      <w:r>
        <w:rPr>
          <w:rFonts w:ascii="Arial" w:cs="Arial" w:eastAsia="Arial" w:hAnsi="Arial"/>
          <w:sz w:val="18"/>
          <w:szCs w:val="18"/>
          <w:color w:val="auto"/>
        </w:rPr>
        <w:t>12.6 If in any year you are not employed for the complete holiday year (for example, in the years in which you join and leave the Company), your holiday entitlement will be calculated pro rata based on the number of complete months worked during the relevant holiday year.</w:t>
      </w:r>
    </w:p>
    <w:p>
      <w:pPr>
        <w:spacing w:after="0" w:line="76" w:lineRule="exact"/>
        <w:rPr>
          <w:sz w:val="20"/>
          <w:szCs w:val="20"/>
          <w:color w:val="auto"/>
        </w:rPr>
      </w:pPr>
    </w:p>
    <w:p>
      <w:pPr>
        <w:ind w:left="460" w:hanging="445"/>
        <w:spacing w:after="0" w:line="277" w:lineRule="auto"/>
        <w:rPr>
          <w:sz w:val="20"/>
          <w:szCs w:val="20"/>
          <w:color w:val="auto"/>
        </w:rPr>
      </w:pPr>
      <w:r>
        <w:rPr>
          <w:rFonts w:ascii="Arial" w:cs="Arial" w:eastAsia="Arial" w:hAnsi="Arial"/>
          <w:sz w:val="18"/>
          <w:szCs w:val="18"/>
          <w:color w:val="auto"/>
        </w:rPr>
        <w:t>12.7 The Company may require you to take any outstanding holiday entitlement during your notice period or during any period of garden leave as referred to in clause 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12.8  The holiday year is also the leave year for parental leave purposes.</w:t>
      </w:r>
    </w:p>
    <w:p>
      <w:pPr>
        <w:spacing w:after="0" w:line="370"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Sickness or Other Absence</w:t>
      </w:r>
    </w:p>
    <w:p>
      <w:pPr>
        <w:spacing w:after="0" w:line="135" w:lineRule="exact"/>
        <w:rPr>
          <w:sz w:val="20"/>
          <w:szCs w:val="20"/>
          <w:color w:val="auto"/>
        </w:rPr>
      </w:pPr>
    </w:p>
    <w:p>
      <w:pPr>
        <w:ind w:left="460" w:right="380" w:hanging="445"/>
        <w:spacing w:after="0" w:line="277" w:lineRule="auto"/>
        <w:rPr>
          <w:sz w:val="20"/>
          <w:szCs w:val="20"/>
          <w:color w:val="auto"/>
        </w:rPr>
      </w:pPr>
      <w:r>
        <w:rPr>
          <w:rFonts w:ascii="Arial" w:cs="Arial" w:eastAsia="Arial" w:hAnsi="Arial"/>
          <w:sz w:val="18"/>
          <w:szCs w:val="18"/>
          <w:color w:val="auto"/>
        </w:rPr>
        <w:t>13.1 If you are absent from work for any reason and your absence has not previously been authorised by your Manager you, or someone on your behalf, must inform your Manager by 10.00 am on each day of absence.</w:t>
      </w:r>
    </w:p>
    <w:p>
      <w:pPr>
        <w:spacing w:after="0" w:line="76" w:lineRule="exact"/>
        <w:rPr>
          <w:sz w:val="20"/>
          <w:szCs w:val="20"/>
          <w:color w:val="auto"/>
        </w:rPr>
      </w:pPr>
    </w:p>
    <w:p>
      <w:pPr>
        <w:ind w:left="460" w:right="200" w:hanging="445"/>
        <w:spacing w:after="0" w:line="277" w:lineRule="auto"/>
        <w:rPr>
          <w:sz w:val="20"/>
          <w:szCs w:val="20"/>
          <w:color w:val="auto"/>
        </w:rPr>
      </w:pPr>
      <w:r>
        <w:rPr>
          <w:rFonts w:ascii="Arial" w:cs="Arial" w:eastAsia="Arial" w:hAnsi="Arial"/>
          <w:sz w:val="18"/>
          <w:szCs w:val="18"/>
          <w:color w:val="auto"/>
        </w:rPr>
        <w:t>13.2 Any unauthorised absence must be properly explained and in the case of an absence of uncertain duration you must keep the Company informed on a daily basis until you have provided the Company with a medical certificate.</w:t>
      </w:r>
    </w:p>
    <w:p>
      <w:pPr>
        <w:spacing w:after="0" w:line="76" w:lineRule="exact"/>
        <w:rPr>
          <w:sz w:val="20"/>
          <w:szCs w:val="20"/>
          <w:color w:val="auto"/>
        </w:rPr>
      </w:pPr>
    </w:p>
    <w:p>
      <w:pPr>
        <w:jc w:val="both"/>
        <w:ind w:left="460" w:right="160" w:hanging="445"/>
        <w:spacing w:after="0" w:line="264" w:lineRule="auto"/>
        <w:rPr>
          <w:sz w:val="20"/>
          <w:szCs w:val="20"/>
          <w:color w:val="auto"/>
        </w:rPr>
      </w:pPr>
      <w:r>
        <w:rPr>
          <w:rFonts w:ascii="Arial" w:cs="Arial" w:eastAsia="Arial" w:hAnsi="Arial"/>
          <w:sz w:val="18"/>
          <w:szCs w:val="18"/>
          <w:color w:val="auto"/>
        </w:rPr>
        <w:t>13.3 If you are absent from work due to sickness or injury which continues for more than seven days (including weekends) you must provide the Company with a medical certificate on or before the eighth day of sickness or injury. Thereafter medical certificates must be provided to the Company to cover any continued absence.</w:t>
      </w:r>
    </w:p>
    <w:p>
      <w:pPr>
        <w:spacing w:after="0" w:line="87" w:lineRule="exact"/>
        <w:rPr>
          <w:sz w:val="20"/>
          <w:szCs w:val="20"/>
          <w:color w:val="auto"/>
        </w:rPr>
      </w:pPr>
    </w:p>
    <w:p>
      <w:pPr>
        <w:ind w:left="460" w:right="140" w:hanging="445"/>
        <w:spacing w:after="0" w:line="259" w:lineRule="auto"/>
        <w:rPr>
          <w:sz w:val="20"/>
          <w:szCs w:val="20"/>
          <w:color w:val="auto"/>
        </w:rPr>
      </w:pPr>
      <w:r>
        <w:rPr>
          <w:rFonts w:ascii="Arial" w:cs="Arial" w:eastAsia="Arial" w:hAnsi="Arial"/>
          <w:sz w:val="18"/>
          <w:szCs w:val="18"/>
          <w:color w:val="auto"/>
        </w:rPr>
        <w:t>13.4 Immediately following your return to work after any period of absence which has not previously been authorised by your Manager you are required to complete a Self-Certification form stating the date of and the reason for your absence, including details of sickness on non-working days as this information is required by the Company for calculating Statutory Sick Pay entitlement. Self-Certification forms will be retained in the Company’s records.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283" w:name="page284"/>
    <w:bookmarkEnd w:id="283"/>
    <w:p>
      <w:pPr>
        <w:ind w:left="580" w:right="12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13.5</w:t>
        <w:tab/>
        <w:t>Failure to comply with the above procedures may result in disciplinary action and/or the loss of Company sick pay (referred to below) and may also disqualify you from receiving Statutory Sick Pay.</w:t>
      </w:r>
    </w:p>
    <w:p>
      <w:pPr>
        <w:spacing w:after="0" w:line="76" w:lineRule="exact"/>
        <w:rPr>
          <w:sz w:val="20"/>
          <w:szCs w:val="20"/>
          <w:color w:val="auto"/>
        </w:rPr>
      </w:pPr>
    </w:p>
    <w:p>
      <w:pPr>
        <w:ind w:left="580" w:right="120" w:hanging="566"/>
        <w:spacing w:after="0" w:line="277" w:lineRule="auto"/>
        <w:tabs>
          <w:tab w:leader="none" w:pos="560" w:val="left"/>
        </w:tabs>
        <w:rPr>
          <w:sz w:val="20"/>
          <w:szCs w:val="20"/>
          <w:color w:val="auto"/>
        </w:rPr>
      </w:pPr>
      <w:r>
        <w:rPr>
          <w:rFonts w:ascii="Arial" w:cs="Arial" w:eastAsia="Arial" w:hAnsi="Arial"/>
          <w:sz w:val="18"/>
          <w:szCs w:val="18"/>
          <w:color w:val="auto"/>
        </w:rPr>
        <w:t>13.6</w:t>
        <w:tab/>
        <w:t>Your “qualifying days” for Statutory Sick Pay purposes are those days of the week on which you are due to work in accordance with this contract of employment.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You shall:</w:t>
      </w:r>
    </w:p>
    <w:p>
      <w:pPr>
        <w:spacing w:after="0" w:line="131" w:lineRule="exact"/>
        <w:rPr>
          <w:sz w:val="20"/>
          <w:szCs w:val="20"/>
          <w:color w:val="auto"/>
        </w:rPr>
      </w:pPr>
    </w:p>
    <w:p>
      <w:pPr>
        <w:ind w:left="1380" w:right="40" w:hanging="796"/>
        <w:spacing w:after="0" w:line="277" w:lineRule="auto"/>
        <w:tabs>
          <w:tab w:leader="none" w:pos="1360" w:val="left"/>
        </w:tabs>
        <w:rPr>
          <w:sz w:val="20"/>
          <w:szCs w:val="20"/>
          <w:color w:val="auto"/>
        </w:rPr>
      </w:pPr>
      <w:r>
        <w:rPr>
          <w:rFonts w:ascii="Arial" w:cs="Arial" w:eastAsia="Arial" w:hAnsi="Arial"/>
          <w:sz w:val="18"/>
          <w:szCs w:val="18"/>
          <w:color w:val="auto"/>
        </w:rPr>
        <w:t>13.7.1</w:t>
      </w:r>
      <w:r>
        <w:rPr>
          <w:sz w:val="20"/>
          <w:szCs w:val="20"/>
          <w:color w:val="auto"/>
        </w:rPr>
        <w:tab/>
      </w:r>
      <w:r>
        <w:rPr>
          <w:rFonts w:ascii="Arial" w:cs="Arial" w:eastAsia="Arial" w:hAnsi="Arial"/>
          <w:sz w:val="18"/>
          <w:szCs w:val="18"/>
          <w:color w:val="auto"/>
        </w:rPr>
        <w:t>agree to consent to a medical examination (at the Company’s expense) by a doctor nominated by the Company or your GP or any relevant consultant at any time should the Company so require; and</w:t>
      </w:r>
    </w:p>
    <w:p>
      <w:pPr>
        <w:spacing w:after="0" w:line="76" w:lineRule="exact"/>
        <w:rPr>
          <w:sz w:val="20"/>
          <w:szCs w:val="20"/>
          <w:color w:val="auto"/>
        </w:rPr>
      </w:pPr>
    </w:p>
    <w:p>
      <w:pPr>
        <w:ind w:left="1380" w:right="440" w:hanging="796"/>
        <w:spacing w:after="0" w:line="277" w:lineRule="auto"/>
        <w:tabs>
          <w:tab w:leader="none" w:pos="1360" w:val="left"/>
        </w:tabs>
        <w:rPr>
          <w:sz w:val="20"/>
          <w:szCs w:val="20"/>
          <w:color w:val="auto"/>
        </w:rPr>
      </w:pPr>
      <w:r>
        <w:rPr>
          <w:rFonts w:ascii="Arial" w:cs="Arial" w:eastAsia="Arial" w:hAnsi="Arial"/>
          <w:sz w:val="18"/>
          <w:szCs w:val="18"/>
          <w:color w:val="auto"/>
        </w:rPr>
        <w:t>13.7.2</w:t>
      </w:r>
      <w:r>
        <w:rPr>
          <w:sz w:val="20"/>
          <w:szCs w:val="20"/>
          <w:color w:val="auto"/>
        </w:rPr>
        <w:tab/>
      </w:r>
      <w:r>
        <w:rPr>
          <w:rFonts w:ascii="Arial" w:cs="Arial" w:eastAsia="Arial" w:hAnsi="Arial"/>
          <w:sz w:val="18"/>
          <w:szCs w:val="18"/>
          <w:color w:val="auto"/>
        </w:rPr>
        <w:t>authorise such medical practitioner to disclose to or discuss with the Company (or its medical adviser) any matters arising from such examination.</w:t>
      </w:r>
    </w:p>
    <w:p>
      <w:pPr>
        <w:spacing w:after="0" w:line="76"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13.8</w:t>
        <w:tab/>
        <w:t>The rights of the Company to terminate the Appointment under the terms of this Contract apply even when such termination would or might cause you to forfeit any entitlement to sick pay, payments under the medical scheme, or other benefits.</w:t>
      </w:r>
    </w:p>
    <w:p>
      <w:pPr>
        <w:spacing w:after="0" w:line="315" w:lineRule="exact"/>
        <w:rPr>
          <w:sz w:val="20"/>
          <w:szCs w:val="20"/>
          <w:color w:val="auto"/>
        </w:rPr>
      </w:pPr>
    </w:p>
    <w:p>
      <w:pPr>
        <w:ind w:left="580" w:hanging="572"/>
        <w:spacing w:after="0"/>
        <w:tabs>
          <w:tab w:leader="none" w:pos="5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Sick Pay</w:t>
      </w:r>
    </w:p>
    <w:p>
      <w:pPr>
        <w:spacing w:after="0" w:line="135" w:lineRule="exact"/>
        <w:rPr>
          <w:sz w:val="20"/>
          <w:szCs w:val="20"/>
          <w:color w:val="auto"/>
        </w:rPr>
      </w:pPr>
    </w:p>
    <w:p>
      <w:pPr>
        <w:ind w:left="580" w:hanging="566"/>
        <w:spacing w:after="0" w:line="257" w:lineRule="auto"/>
        <w:tabs>
          <w:tab w:leader="none" w:pos="560" w:val="left"/>
        </w:tabs>
        <w:rPr>
          <w:sz w:val="20"/>
          <w:szCs w:val="20"/>
          <w:color w:val="auto"/>
        </w:rPr>
      </w:pPr>
      <w:r>
        <w:rPr>
          <w:rFonts w:ascii="Arial" w:cs="Arial" w:eastAsia="Arial" w:hAnsi="Arial"/>
          <w:sz w:val="18"/>
          <w:szCs w:val="18"/>
          <w:color w:val="auto"/>
        </w:rPr>
        <w:t>14.1</w:t>
        <w:tab/>
        <w:t>Provided that you have complied with the Company’s notification and certification procedures and general terms relating to sickness absence referred to in clause 13 above and that you have completed three months of continuous service prior to the start of the period of sickness, you will be entitled to be paid your normal basic pay for periods of sickness absence up to a maximum of 10 working days in aggregate in any calendar year. Any payments made thereafter will be at the sole discretion of the Company. Payments of sick pay include Statutory Sick Pay and will be reduced by any state sickness benefit you may be entitled to receive.</w:t>
      </w:r>
    </w:p>
    <w:p>
      <w:pPr>
        <w:spacing w:after="0" w:line="94" w:lineRule="exact"/>
        <w:rPr>
          <w:sz w:val="20"/>
          <w:szCs w:val="20"/>
          <w:color w:val="auto"/>
        </w:rPr>
      </w:pPr>
    </w:p>
    <w:p>
      <w:pPr>
        <w:ind w:left="580" w:right="20" w:hanging="566"/>
        <w:spacing w:after="0" w:line="257" w:lineRule="auto"/>
        <w:tabs>
          <w:tab w:leader="none" w:pos="560" w:val="left"/>
        </w:tabs>
        <w:rPr>
          <w:sz w:val="20"/>
          <w:szCs w:val="20"/>
          <w:color w:val="auto"/>
        </w:rPr>
      </w:pPr>
      <w:r>
        <w:rPr>
          <w:rFonts w:ascii="Arial" w:cs="Arial" w:eastAsia="Arial" w:hAnsi="Arial"/>
          <w:sz w:val="18"/>
          <w:szCs w:val="18"/>
          <w:color w:val="auto"/>
        </w:rPr>
        <w:t>14.2</w:t>
        <w:tab/>
        <w:t>If you are absent from work due to the actionable negligence, nuisance or breach of any statutory duty on the part of a third party in respect of which damages are or may be recoverable, you shall immediately notify your Manager of that fact and of any claim, compromise, settlement or judgment made or awarded in connection with it and all relevant particulars that the Company may reasonably require. In such circumstances any Company sick pay will be paid as a loan which, if required by the Company, you must repay to the Company if you recover damages in respect of your absence from work.</w:t>
      </w:r>
    </w:p>
    <w:p>
      <w:pPr>
        <w:spacing w:after="0" w:line="94" w:lineRule="exact"/>
        <w:rPr>
          <w:sz w:val="20"/>
          <w:szCs w:val="20"/>
          <w:color w:val="auto"/>
        </w:rPr>
      </w:pPr>
    </w:p>
    <w:p>
      <w:pPr>
        <w:ind w:left="580" w:right="20" w:hanging="566"/>
        <w:spacing w:after="0" w:line="277" w:lineRule="auto"/>
        <w:tabs>
          <w:tab w:leader="none" w:pos="560" w:val="left"/>
        </w:tabs>
        <w:rPr>
          <w:sz w:val="20"/>
          <w:szCs w:val="20"/>
          <w:color w:val="auto"/>
        </w:rPr>
      </w:pPr>
      <w:r>
        <w:rPr>
          <w:rFonts w:ascii="Arial" w:cs="Arial" w:eastAsia="Arial" w:hAnsi="Arial"/>
          <w:sz w:val="18"/>
          <w:szCs w:val="18"/>
          <w:color w:val="auto"/>
        </w:rPr>
        <w:t>14.3</w:t>
        <w:tab/>
        <w:t>The Company reserves the right to withhold payment of Company sick pay if you fail to comply with the provisions of clause 13 or if you are subject to disciplinary proceedings.</w:t>
      </w:r>
    </w:p>
    <w:p>
      <w:pPr>
        <w:spacing w:after="0" w:line="315" w:lineRule="exact"/>
        <w:rPr>
          <w:sz w:val="20"/>
          <w:szCs w:val="20"/>
          <w:color w:val="auto"/>
        </w:rPr>
      </w:pPr>
    </w:p>
    <w:p>
      <w:pPr>
        <w:ind w:left="580" w:hanging="572"/>
        <w:spacing w:after="0"/>
        <w:tabs>
          <w:tab w:leader="none" w:pos="5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Other Benefits</w:t>
      </w:r>
    </w:p>
    <w:p>
      <w:pPr>
        <w:spacing w:after="0" w:line="131" w:lineRule="exact"/>
        <w:rPr>
          <w:sz w:val="20"/>
          <w:szCs w:val="20"/>
          <w:color w:val="auto"/>
        </w:rPr>
      </w:pPr>
    </w:p>
    <w:p>
      <w:pPr>
        <w:ind w:left="580" w:right="40" w:hanging="566"/>
        <w:spacing w:after="0" w:line="266" w:lineRule="auto"/>
        <w:tabs>
          <w:tab w:leader="none" w:pos="5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b w:val="1"/>
          <w:bCs w:val="1"/>
          <w:color w:val="auto"/>
        </w:rPr>
        <w:t xml:space="preserve">Pension. </w:t>
      </w:r>
      <w:r>
        <w:rPr>
          <w:rFonts w:ascii="Arial" w:cs="Arial" w:eastAsia="Arial" w:hAnsi="Arial"/>
          <w:sz w:val="18"/>
          <w:szCs w:val="18"/>
          <w:color w:val="auto"/>
        </w:rPr>
        <w:t>You are eligible to join the Company’s group personal pension scheme. Membership of and benefits under the scheme are strictly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rules of the scheme as amended from time to time. The Company expressly reserves the right in its discretion to amend or terminate the pension scheme. The Company</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60"/>
          </w:cols>
          <w:pgMar w:left="240" w:top="274" w:right="299" w:bottom="1440" w:gutter="0" w:footer="0" w:header="0"/>
        </w:sectPr>
      </w:pPr>
    </w:p>
    <w:bookmarkStart w:id="284" w:name="page285"/>
    <w:bookmarkEnd w:id="284"/>
    <w:p>
      <w:pPr>
        <w:ind w:left="580"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contribute to the Company’s pension scheme an amount equal to 10% of your Salary provided that you contribute 4% or more to that scheme, subject to the annual allowance set by HM Revenue &amp; Customs from time to time not being exceeded. In the event that you exceed the annual allowance set by HM Revenue &amp; Customs in any fiscal year or maximum lifetime allowance, the Company may, at your request, pay a pro-rata amount equal to 10% of your basic salary in lieu of a pension contribution to you as an allowance, subject to deduction of income tax and national insurance contributions, you certifying and, at the request of the Company, providing evidence satisfactory to the Company that you have exceeded such annual allowance for the applicable fiscal year or the maximum lifetime allowance and, if necessary, you opting out of auto enrolment. Any pension contribution or allowance shall be paid in equal monthly instalments in arrears.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Company will comply with the employer pension duties in respect of your employment in accordance with Part I of the Pensions Act 2008.</w:t>
      </w:r>
    </w:p>
    <w:p>
      <w:pPr>
        <w:spacing w:after="0" w:line="131" w:lineRule="exact"/>
        <w:rPr>
          <w:sz w:val="20"/>
          <w:szCs w:val="20"/>
          <w:color w:val="auto"/>
        </w:rPr>
      </w:pPr>
    </w:p>
    <w:p>
      <w:pPr>
        <w:ind w:left="580" w:right="160" w:hanging="566"/>
        <w:spacing w:after="0" w:line="264" w:lineRule="auto"/>
        <w:tabs>
          <w:tab w:leader="none" w:pos="560" w:val="left"/>
        </w:tabs>
        <w:rPr>
          <w:sz w:val="20"/>
          <w:szCs w:val="20"/>
          <w:color w:val="auto"/>
        </w:rPr>
      </w:pPr>
      <w:r>
        <w:rPr>
          <w:rFonts w:ascii="Arial" w:cs="Arial" w:eastAsia="Arial" w:hAnsi="Arial"/>
          <w:sz w:val="18"/>
          <w:szCs w:val="18"/>
          <w:color w:val="auto"/>
        </w:rPr>
        <w:t>15.3</w:t>
        <w:tab/>
        <w:t>Subject to the rules and eligibility requirements of each scheme from time to time in force and to your health not being such as to prevent the Company (or the relevant Group Company) from being able to obtain cover on reasonable terms, you will be entitled to participate in the following schemes:</w:t>
      </w:r>
    </w:p>
    <w:p>
      <w:pPr>
        <w:spacing w:after="0" w:line="83" w:lineRule="exact"/>
        <w:rPr>
          <w:sz w:val="20"/>
          <w:szCs w:val="20"/>
          <w:color w:val="auto"/>
        </w:rPr>
      </w:pPr>
    </w:p>
    <w:p>
      <w:pPr>
        <w:ind w:left="1380" w:hanging="796"/>
        <w:spacing w:after="0" w:line="282" w:lineRule="auto"/>
        <w:tabs>
          <w:tab w:leader="none" w:pos="136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8"/>
          <w:szCs w:val="18"/>
          <w:b w:val="1"/>
          <w:bCs w:val="1"/>
          <w:color w:val="auto"/>
        </w:rPr>
        <w:t xml:space="preserve">Medical Scheme. </w:t>
      </w:r>
      <w:r>
        <w:rPr>
          <w:rFonts w:ascii="Arial" w:cs="Arial" w:eastAsia="Arial" w:hAnsi="Arial"/>
          <w:sz w:val="18"/>
          <w:szCs w:val="18"/>
          <w:color w:val="auto"/>
        </w:rPr>
        <w:t>You and your immediate family shall be entitled to participate in the medical insurance scheme maintained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by the Company for the benefit of employees.</w:t>
      </w:r>
    </w:p>
    <w:p>
      <w:pPr>
        <w:spacing w:after="0" w:line="67"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6"/>
          <w:szCs w:val="16"/>
          <w:b w:val="1"/>
          <w:bCs w:val="1"/>
          <w:color w:val="auto"/>
        </w:rPr>
        <w:t xml:space="preserve">Life Assurance Scheme. </w:t>
      </w:r>
      <w:r>
        <w:rPr>
          <w:rFonts w:ascii="Arial" w:cs="Arial" w:eastAsia="Arial" w:hAnsi="Arial"/>
          <w:sz w:val="16"/>
          <w:szCs w:val="16"/>
          <w:color w:val="auto"/>
        </w:rPr>
        <w:t>The Company shall maintain for you life assurance of four times your Salary.</w:t>
      </w:r>
    </w:p>
    <w:p>
      <w:pPr>
        <w:spacing w:after="0" w:line="135" w:lineRule="exact"/>
        <w:rPr>
          <w:sz w:val="20"/>
          <w:szCs w:val="20"/>
          <w:color w:val="auto"/>
        </w:rPr>
      </w:pPr>
    </w:p>
    <w:p>
      <w:pPr>
        <w:ind w:left="580" w:right="20" w:hanging="566"/>
        <w:spacing w:after="0" w:line="342" w:lineRule="auto"/>
        <w:tabs>
          <w:tab w:leader="none" w:pos="5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Any benefits that may from time to time be provided by the Company to you or your family that are not expressly referred to in this Contract shall be provided at the entire discretion of the Company and, unless so agreed in writing, shall not form part of your terms and conditions of employment.</w:t>
      </w:r>
    </w:p>
    <w:p>
      <w:pPr>
        <w:spacing w:after="0" w:line="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Participation in any insurance or assurance scheme provided for you under this Contract:</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15.5.1</w:t>
      </w:r>
      <w:r>
        <w:rPr>
          <w:sz w:val="20"/>
          <w:szCs w:val="20"/>
          <w:color w:val="auto"/>
        </w:rPr>
        <w:tab/>
      </w:r>
      <w:r>
        <w:rPr>
          <w:rFonts w:ascii="Arial" w:cs="Arial" w:eastAsia="Arial" w:hAnsi="Arial"/>
          <w:sz w:val="16"/>
          <w:szCs w:val="16"/>
          <w:color w:val="auto"/>
        </w:rPr>
        <w:t>is absolutely subject to its terms and conditions from time to time in force;</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15.5.2</w:t>
      </w:r>
      <w:r>
        <w:rPr>
          <w:sz w:val="20"/>
          <w:szCs w:val="20"/>
          <w:color w:val="auto"/>
        </w:rPr>
        <w:tab/>
      </w:r>
      <w:r>
        <w:rPr>
          <w:rFonts w:ascii="Arial" w:cs="Arial" w:eastAsia="Arial" w:hAnsi="Arial"/>
          <w:sz w:val="16"/>
          <w:szCs w:val="16"/>
          <w:color w:val="auto"/>
        </w:rPr>
        <w:t>is conditional on you satisfying any applicable requirements of the insurers;</w:t>
      </w:r>
    </w:p>
    <w:p>
      <w:pPr>
        <w:spacing w:after="0" w:line="131" w:lineRule="exact"/>
        <w:rPr>
          <w:sz w:val="20"/>
          <w:szCs w:val="20"/>
          <w:color w:val="auto"/>
        </w:rPr>
      </w:pPr>
    </w:p>
    <w:p>
      <w:pPr>
        <w:ind w:left="1380" w:right="200" w:hanging="796"/>
        <w:spacing w:after="0" w:line="277" w:lineRule="auto"/>
        <w:tabs>
          <w:tab w:leader="none" w:pos="1360" w:val="left"/>
        </w:tabs>
        <w:rPr>
          <w:sz w:val="20"/>
          <w:szCs w:val="20"/>
          <w:color w:val="auto"/>
        </w:rPr>
      </w:pPr>
      <w:r>
        <w:rPr>
          <w:rFonts w:ascii="Arial" w:cs="Arial" w:eastAsia="Arial" w:hAnsi="Arial"/>
          <w:sz w:val="18"/>
          <w:szCs w:val="18"/>
          <w:color w:val="auto"/>
        </w:rPr>
        <w:t>15.5.3</w:t>
      </w:r>
      <w:r>
        <w:rPr>
          <w:sz w:val="20"/>
          <w:szCs w:val="20"/>
          <w:color w:val="auto"/>
        </w:rPr>
        <w:tab/>
      </w:r>
      <w:r>
        <w:rPr>
          <w:rFonts w:ascii="Arial" w:cs="Arial" w:eastAsia="Arial" w:hAnsi="Arial"/>
          <w:sz w:val="18"/>
          <w:szCs w:val="18"/>
          <w:color w:val="auto"/>
        </w:rPr>
        <w:t>is subject to you and any insured dependants satisfying the normal underwriting requirements of the relevant insurance provider and the relevant premium being at a rate which the Company considers reasonable; and</w:t>
      </w:r>
    </w:p>
    <w:p>
      <w:pPr>
        <w:spacing w:after="0" w:line="7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15.5.4</w:t>
      </w:r>
      <w:r>
        <w:rPr>
          <w:sz w:val="20"/>
          <w:szCs w:val="20"/>
          <w:color w:val="auto"/>
        </w:rPr>
        <w:tab/>
      </w:r>
      <w:r>
        <w:rPr>
          <w:rFonts w:ascii="Arial" w:cs="Arial" w:eastAsia="Arial" w:hAnsi="Arial"/>
          <w:sz w:val="16"/>
          <w:szCs w:val="16"/>
          <w:color w:val="auto"/>
        </w:rPr>
        <w:t>will end when you attain whichever is the greater of the age of 65 and the state pensionable age.</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60"/>
          </w:cols>
          <w:pgMar w:left="240" w:top="274" w:right="299" w:bottom="1440" w:gutter="0" w:footer="0" w:header="0"/>
        </w:sectPr>
      </w:pPr>
    </w:p>
    <w:bookmarkStart w:id="285" w:name="page286"/>
    <w:bookmarkEnd w:id="285"/>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15.6</w:t>
        <w:tab/>
        <w:t>The Company reserves the right at any time, on three months’ written notice, to withdraw any insurance or other benefits set out in this clause 15 or to amend the terms on which they are provided. If an insurance provider refuses for any reason to provide insurance benefit to you under any insurance scheme the Company shall not be liable to provide you with any replacement benefit of the same or similar kind or to pay any compensation in lieu of such benefit.</w:t>
      </w:r>
    </w:p>
    <w:p>
      <w:pPr>
        <w:spacing w:after="0" w:line="92" w:lineRule="exact"/>
        <w:rPr>
          <w:sz w:val="20"/>
          <w:szCs w:val="20"/>
          <w:color w:val="auto"/>
        </w:rPr>
      </w:pPr>
    </w:p>
    <w:p>
      <w:pPr>
        <w:ind w:left="580" w:right="320" w:hanging="566"/>
        <w:spacing w:after="0" w:line="276" w:lineRule="auto"/>
        <w:tabs>
          <w:tab w:leader="none" w:pos="56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7"/>
          <w:szCs w:val="17"/>
          <w:color w:val="auto"/>
        </w:rPr>
        <w:t>You may be required, at the request and expense of the Company, to submit to a medical examination by a medical practitioner nominated by the Company to support applications for insurance set out in this clause 15 or any other insurance schemes required by the Company, and you hereby authorise such medical practitioner to disclose to or discuss with the Company’s medical adviser and/or the relevant insurer’s medical adviser any matters arising from such examination and the Company’s medical adviser may notify the Board of any serious matter if, in his opinion, it might materially adversely affect your health or the proper discharge of your duties.</w:t>
      </w:r>
    </w:p>
    <w:p>
      <w:pPr>
        <w:spacing w:after="0" w:line="317" w:lineRule="exact"/>
        <w:rPr>
          <w:sz w:val="20"/>
          <w:szCs w:val="20"/>
          <w:color w:val="auto"/>
        </w:rPr>
      </w:pPr>
    </w:p>
    <w:p>
      <w:pPr>
        <w:ind w:left="580" w:hanging="572"/>
        <w:spacing w:after="0"/>
        <w:tabs>
          <w:tab w:leader="none" w:pos="5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left="580" w:right="540" w:hanging="566"/>
        <w:spacing w:after="0" w:line="277" w:lineRule="auto"/>
        <w:tabs>
          <w:tab w:leader="none" w:pos="560" w:val="left"/>
        </w:tabs>
        <w:rPr>
          <w:sz w:val="20"/>
          <w:szCs w:val="20"/>
          <w:color w:val="auto"/>
        </w:rPr>
      </w:pPr>
      <w:r>
        <w:rPr>
          <w:rFonts w:ascii="Arial" w:cs="Arial" w:eastAsia="Arial" w:hAnsi="Arial"/>
          <w:sz w:val="18"/>
          <w:szCs w:val="18"/>
          <w:color w:val="auto"/>
        </w:rPr>
        <w:t>16.1</w:t>
        <w:tab/>
        <w:t>You agree and acknowledge that during the course of your employment and in pursuance of the discharge of your duties you will make, create, produce and generate intellectual property rights, including Inventions.</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Inventions</w:t>
      </w:r>
    </w:p>
    <w:p>
      <w:pPr>
        <w:spacing w:after="0" w:line="131" w:lineRule="exact"/>
        <w:rPr>
          <w:sz w:val="20"/>
          <w:szCs w:val="20"/>
          <w:color w:val="auto"/>
        </w:rPr>
      </w:pPr>
    </w:p>
    <w:p>
      <w:pPr>
        <w:ind w:left="1380" w:right="420" w:hanging="796"/>
        <w:spacing w:after="0" w:line="286" w:lineRule="auto"/>
        <w:tabs>
          <w:tab w:leader="none" w:pos="136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7"/>
          <w:szCs w:val="17"/>
          <w:color w:val="auto"/>
        </w:rPr>
        <w:t>If while employed by the Company you (whether alone or with any other person) make, produce or are responsible for any invention, discovery, process, business idea, or method of any description that relates to or could be used in any business of the Company (“</w:t>
      </w:r>
      <w:r>
        <w:rPr>
          <w:rFonts w:ascii="Arial" w:cs="Arial" w:eastAsia="Arial" w:hAnsi="Arial"/>
          <w:sz w:val="17"/>
          <w:szCs w:val="17"/>
          <w:b w:val="1"/>
          <w:bCs w:val="1"/>
          <w:color w:val="auto"/>
        </w:rPr>
        <w:t>an</w:t>
      </w:r>
      <w:r>
        <w:rPr>
          <w:rFonts w:ascii="Arial" w:cs="Arial" w:eastAsia="Arial" w:hAnsi="Arial"/>
          <w:sz w:val="17"/>
          <w:szCs w:val="17"/>
          <w:color w:val="auto"/>
        </w:rPr>
        <w:t xml:space="preserve"> </w:t>
      </w:r>
      <w:r>
        <w:rPr>
          <w:rFonts w:ascii="Arial" w:cs="Arial" w:eastAsia="Arial" w:hAnsi="Arial"/>
          <w:sz w:val="17"/>
          <w:szCs w:val="17"/>
          <w:b w:val="1"/>
          <w:bCs w:val="1"/>
          <w:color w:val="auto"/>
        </w:rPr>
        <w:t>Invention</w:t>
      </w:r>
      <w:r>
        <w:rPr>
          <w:rFonts w:ascii="Arial" w:cs="Arial" w:eastAsia="Arial" w:hAnsi="Arial"/>
          <w:sz w:val="17"/>
          <w:szCs w:val="17"/>
          <w:color w:val="auto"/>
        </w:rPr>
        <w:t>”), you shall promptly give to a Director of the Company full written details thereof.</w:t>
      </w:r>
    </w:p>
    <w:p>
      <w:pPr>
        <w:spacing w:after="0" w:line="71" w:lineRule="exact"/>
        <w:rPr>
          <w:sz w:val="20"/>
          <w:szCs w:val="20"/>
          <w:color w:val="auto"/>
        </w:rPr>
      </w:pPr>
    </w:p>
    <w:p>
      <w:pPr>
        <w:ind w:left="1380" w:right="80" w:hanging="796"/>
        <w:spacing w:after="0" w:line="259" w:lineRule="auto"/>
        <w:tabs>
          <w:tab w:leader="none" w:pos="136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8"/>
          <w:szCs w:val="18"/>
          <w:color w:val="auto"/>
        </w:rPr>
        <w:t>If the Invention is a patentable invention within the meaning of Section 1 of the Patents Act 1977 and, according to the provisions of Section 39 of that Act it belongs to you (“</w:t>
      </w:r>
      <w:r>
        <w:rPr>
          <w:rFonts w:ascii="Arial" w:cs="Arial" w:eastAsia="Arial" w:hAnsi="Arial"/>
          <w:sz w:val="18"/>
          <w:szCs w:val="18"/>
          <w:b w:val="1"/>
          <w:bCs w:val="1"/>
          <w:color w:val="auto"/>
        </w:rPr>
        <w:t>Personal Invention</w:t>
      </w:r>
      <w:r>
        <w:rPr>
          <w:rFonts w:ascii="Arial" w:cs="Arial" w:eastAsia="Arial" w:hAnsi="Arial"/>
          <w:sz w:val="18"/>
          <w:szCs w:val="18"/>
          <w:color w:val="auto"/>
        </w:rPr>
        <w:t>”), you shall if so requested by the Company no later than six months from disclosure to the Company pursuant to sub-clause 16.2.1 above, negotiate with the Company in good faith for the assignment or licence of your rights in that Invention to the Company for further consideration.</w:t>
      </w:r>
    </w:p>
    <w:p>
      <w:pPr>
        <w:spacing w:after="0" w:line="88" w:lineRule="exact"/>
        <w:rPr>
          <w:sz w:val="20"/>
          <w:szCs w:val="20"/>
          <w:color w:val="auto"/>
        </w:rPr>
      </w:pPr>
    </w:p>
    <w:p>
      <w:pPr>
        <w:ind w:left="1380" w:right="80" w:hanging="796"/>
        <w:spacing w:after="0" w:line="272" w:lineRule="auto"/>
        <w:tabs>
          <w:tab w:leader="none" w:pos="1360"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7"/>
          <w:szCs w:val="17"/>
          <w:color w:val="auto"/>
        </w:rPr>
        <w:t>Any Invention created in the course of your employment by the Company shall belong to the Company (“</w:t>
      </w:r>
      <w:r>
        <w:rPr>
          <w:rFonts w:ascii="Arial" w:cs="Arial" w:eastAsia="Arial" w:hAnsi="Arial"/>
          <w:sz w:val="17"/>
          <w:szCs w:val="17"/>
          <w:b w:val="1"/>
          <w:bCs w:val="1"/>
          <w:color w:val="auto"/>
        </w:rPr>
        <w:t>Company Inventions</w:t>
      </w:r>
      <w:r>
        <w:rPr>
          <w:rFonts w:ascii="Arial" w:cs="Arial" w:eastAsia="Arial" w:hAnsi="Arial"/>
          <w:sz w:val="17"/>
          <w:szCs w:val="17"/>
          <w:color w:val="auto"/>
        </w:rPr>
        <w:t>”). Any and all intellectual property rights in or relating to any and all such Company Inventions shall be owned by the Company. You hereby irrevocably assign to the Company (by way of present assignment of present and future rights) with full title guarantee absolutely and free from all encumbrances all right, title and interest in and to all intellectual property rights in or relating to Company Inventions and all materials embodying such rights to the fullest extent permitted by law together with all accrued rights of action in respect of any infringement of such rights. Insofar as they do not so vest automatically by operation of law or under this Contract, you shall hold all such rights and inventions on trust for the exclusive benefit of the Company, and shall not transfer them to a third party or encumber them and shall on demand assign them to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74" w:right="259" w:bottom="1440" w:gutter="0" w:footer="0" w:header="0"/>
        </w:sectPr>
      </w:pPr>
    </w:p>
    <w:bookmarkStart w:id="286" w:name="page287"/>
    <w:bookmarkEnd w:id="286"/>
    <w:p>
      <w:pPr>
        <w:ind w:left="1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without payment or other condition. You shall execute (both during and after the termination of your employment) all documents and do all things necessary to substantiate the Company’s rights in Company Inventions and to obtain registration or protection thereof in the Company’s name in any country.</w:t>
      </w:r>
    </w:p>
    <w:p>
      <w:pPr>
        <w:spacing w:after="0" w:line="87" w:lineRule="exact"/>
        <w:rPr>
          <w:sz w:val="20"/>
          <w:szCs w:val="20"/>
          <w:color w:val="auto"/>
        </w:rPr>
      </w:pPr>
    </w:p>
    <w:p>
      <w:pPr>
        <w:ind w:left="1380" w:right="80" w:hanging="796"/>
        <w:spacing w:after="0" w:line="273" w:lineRule="auto"/>
        <w:tabs>
          <w:tab w:leader="none" w:pos="1360" w:val="left"/>
        </w:tabs>
        <w:rPr>
          <w:sz w:val="20"/>
          <w:szCs w:val="20"/>
          <w:color w:val="auto"/>
        </w:rPr>
      </w:pPr>
      <w:r>
        <w:rPr>
          <w:rFonts w:ascii="Arial" w:cs="Arial" w:eastAsia="Arial" w:hAnsi="Arial"/>
          <w:sz w:val="18"/>
          <w:szCs w:val="18"/>
          <w:color w:val="auto"/>
        </w:rPr>
        <w:t>16.2.4</w:t>
      </w:r>
      <w:r>
        <w:rPr>
          <w:sz w:val="20"/>
          <w:szCs w:val="20"/>
          <w:color w:val="auto"/>
        </w:rPr>
        <w:tab/>
      </w:r>
      <w:r>
        <w:rPr>
          <w:rFonts w:ascii="Arial" w:cs="Arial" w:eastAsia="Arial" w:hAnsi="Arial"/>
          <w:sz w:val="17"/>
          <w:szCs w:val="17"/>
          <w:color w:val="auto"/>
        </w:rPr>
        <w:t>Save for the disclosure to the Company as provided above or, in the case of a Personal Invention only, as required for the purpose of obtaining patent protection for the Personal Invention, you shall keep all details of any Invention confidential to yourself and any solicitor, counsel or patent agent instructed by you and you shall not use any Company Invention for any purpose. You shall not without the Company’s prior written consent apply for a patent in any country in relation to any Company Invention and shall promptly inform the Company if you apply for a patent in any country for a Personal Invention. Notwithstanding the foregoing, you shall not include any Confidential Information in any application for a patent for a Personal Invention.</w:t>
      </w:r>
    </w:p>
    <w:p>
      <w:pPr>
        <w:spacing w:after="0" w:line="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Copyright and other rights</w:t>
      </w:r>
    </w:p>
    <w:p>
      <w:pPr>
        <w:spacing w:after="0" w:line="131" w:lineRule="exact"/>
        <w:rPr>
          <w:sz w:val="20"/>
          <w:szCs w:val="20"/>
          <w:color w:val="auto"/>
        </w:rPr>
      </w:pPr>
    </w:p>
    <w:p>
      <w:pPr>
        <w:ind w:left="1380" w:right="20" w:hanging="796"/>
        <w:spacing w:after="0" w:line="271" w:lineRule="auto"/>
        <w:tabs>
          <w:tab w:leader="none" w:pos="1360" w:val="left"/>
        </w:tabs>
        <w:rPr>
          <w:sz w:val="20"/>
          <w:szCs w:val="20"/>
          <w:color w:val="auto"/>
        </w:rPr>
      </w:pPr>
      <w:r>
        <w:rPr>
          <w:rFonts w:ascii="Arial" w:cs="Arial" w:eastAsia="Arial" w:hAnsi="Arial"/>
          <w:sz w:val="18"/>
          <w:szCs w:val="18"/>
          <w:color w:val="auto"/>
        </w:rPr>
        <w:t>16.3.1</w:t>
      </w:r>
      <w:r>
        <w:rPr>
          <w:sz w:val="20"/>
          <w:szCs w:val="20"/>
          <w:color w:val="auto"/>
        </w:rPr>
        <w:tab/>
      </w:r>
      <w:r>
        <w:rPr>
          <w:rFonts w:ascii="Arial" w:cs="Arial" w:eastAsia="Arial" w:hAnsi="Arial"/>
          <w:sz w:val="17"/>
          <w:szCs w:val="17"/>
          <w:color w:val="auto"/>
        </w:rPr>
        <w:t>If while employed by the Company you, whether on your own or with any other person, create any copyright work or design (including without limitation any literary, dramatic, musical or artistic work, and any film, sound recording, cable programme, broadcast, typographical arrangement of a published edition, computer program, adaptation or design document) or any database or any other work or matter of any description (other than an Invention) capable of protection under copyright, design right, trademarks, database rights or other intellectual or industrial and commercial property laws of any country, that relates to or could be used in the business of the Company, (a “</w:t>
      </w:r>
      <w:r>
        <w:rPr>
          <w:rFonts w:ascii="Arial" w:cs="Arial" w:eastAsia="Arial" w:hAnsi="Arial"/>
          <w:sz w:val="17"/>
          <w:szCs w:val="17"/>
          <w:b w:val="1"/>
          <w:bCs w:val="1"/>
          <w:color w:val="auto"/>
        </w:rPr>
        <w:t>Protected Work</w:t>
      </w:r>
      <w:r>
        <w:rPr>
          <w:rFonts w:ascii="Arial" w:cs="Arial" w:eastAsia="Arial" w:hAnsi="Arial"/>
          <w:sz w:val="17"/>
          <w:szCs w:val="17"/>
          <w:color w:val="auto"/>
        </w:rPr>
        <w:t>”), you shall promptly disclose to the Chief Financial Officer or General Counsel full details thereof in writing and shall if requested by the Company deliver to it all copies or representations of the Protected Work in any material form but shall otherwise keep the Protected Work confidential and not use it for any purpose other than for the Company.</w:t>
      </w:r>
    </w:p>
    <w:p>
      <w:pPr>
        <w:spacing w:after="0" w:line="84" w:lineRule="exact"/>
        <w:rPr>
          <w:sz w:val="20"/>
          <w:szCs w:val="20"/>
          <w:color w:val="auto"/>
        </w:rPr>
      </w:pPr>
    </w:p>
    <w:p>
      <w:pPr>
        <w:ind w:left="1380" w:right="120" w:hanging="796"/>
        <w:spacing w:after="0" w:line="277" w:lineRule="auto"/>
        <w:tabs>
          <w:tab w:leader="none" w:pos="1360" w:val="left"/>
        </w:tabs>
        <w:rPr>
          <w:sz w:val="20"/>
          <w:szCs w:val="20"/>
          <w:color w:val="auto"/>
        </w:rPr>
      </w:pPr>
      <w:r>
        <w:rPr>
          <w:rFonts w:ascii="Arial" w:cs="Arial" w:eastAsia="Arial" w:hAnsi="Arial"/>
          <w:sz w:val="18"/>
          <w:szCs w:val="18"/>
          <w:color w:val="auto"/>
        </w:rPr>
        <w:t>16.3.2</w:t>
      </w:r>
      <w:r>
        <w:rPr>
          <w:sz w:val="20"/>
          <w:szCs w:val="20"/>
          <w:color w:val="auto"/>
        </w:rPr>
        <w:tab/>
      </w:r>
      <w:r>
        <w:rPr>
          <w:rFonts w:ascii="Arial" w:cs="Arial" w:eastAsia="Arial" w:hAnsi="Arial"/>
          <w:sz w:val="18"/>
          <w:szCs w:val="18"/>
          <w:color w:val="auto"/>
        </w:rPr>
        <w:t>All proprietary rights in any Protected Work created by you in the course of your employment by the Company shall automatically vest in the Company.</w:t>
      </w:r>
    </w:p>
    <w:p>
      <w:pPr>
        <w:spacing w:after="0" w:line="76" w:lineRule="exact"/>
        <w:rPr>
          <w:sz w:val="20"/>
          <w:szCs w:val="20"/>
          <w:color w:val="auto"/>
        </w:rPr>
      </w:pPr>
    </w:p>
    <w:p>
      <w:pPr>
        <w:ind w:left="1380" w:right="100" w:hanging="796"/>
        <w:spacing w:after="0" w:line="273" w:lineRule="auto"/>
        <w:tabs>
          <w:tab w:leader="none" w:pos="1360" w:val="left"/>
        </w:tabs>
        <w:rPr>
          <w:sz w:val="20"/>
          <w:szCs w:val="20"/>
          <w:color w:val="auto"/>
        </w:rPr>
      </w:pPr>
      <w:r>
        <w:rPr>
          <w:rFonts w:ascii="Arial" w:cs="Arial" w:eastAsia="Arial" w:hAnsi="Arial"/>
          <w:sz w:val="18"/>
          <w:szCs w:val="18"/>
          <w:color w:val="auto"/>
        </w:rPr>
        <w:t>16.3.3</w:t>
      </w:r>
      <w:r>
        <w:rPr>
          <w:sz w:val="20"/>
          <w:szCs w:val="20"/>
          <w:color w:val="auto"/>
        </w:rPr>
        <w:tab/>
      </w:r>
      <w:r>
        <w:rPr>
          <w:rFonts w:ascii="Arial" w:cs="Arial" w:eastAsia="Arial" w:hAnsi="Arial"/>
          <w:sz w:val="17"/>
          <w:szCs w:val="17"/>
          <w:color w:val="auto"/>
        </w:rPr>
        <w:t>To the extent that the Company is not already the owner of the copyright, design rights, trade marks, database rights and other intellectual or industrial and commercial property rights (“</w:t>
      </w:r>
      <w:r>
        <w:rPr>
          <w:rFonts w:ascii="Arial" w:cs="Arial" w:eastAsia="Arial" w:hAnsi="Arial"/>
          <w:sz w:val="17"/>
          <w:szCs w:val="17"/>
          <w:b w:val="1"/>
          <w:bCs w:val="1"/>
          <w:color w:val="auto"/>
        </w:rPr>
        <w:t>the Rights</w:t>
      </w:r>
      <w:r>
        <w:rPr>
          <w:rFonts w:ascii="Arial" w:cs="Arial" w:eastAsia="Arial" w:hAnsi="Arial"/>
          <w:sz w:val="17"/>
          <w:szCs w:val="17"/>
          <w:color w:val="auto"/>
        </w:rPr>
        <w:t>”) in a Protected Work pursuant to clause 16.3.2 you shall hold the Protected Work and the Rights on trust for the Company and shall assign without payment or any other condition (and, in the case of the UK copyright, design rights, trade marks and database rights hereby assign by way of future assignment of copyright, design right, trademarks and database rights respectively), the Protected Work and all Rights therein in all countries of the world to the Company absolutely together with all accrued rights of action in respect of any infringement of the same.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4" w:right="239" w:bottom="1440" w:gutter="0" w:footer="0" w:header="0"/>
        </w:sectPr>
      </w:pPr>
    </w:p>
    <w:bookmarkStart w:id="287" w:name="page288"/>
    <w:bookmarkEnd w:id="287"/>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16.4</w:t>
        <w:tab/>
        <w:t>You shall, without charge to but at the cost of the Company, execute all documents and do all acts, things and matters beneficial to, required or necessary (both during and after the termination of your employment) to vest rights in the Company (or its successors), or substantiate the Company’s (or its successor’s) rights, in any Company Inventions, the Rights and Protected Works and to obtain protection for the Company Inventions, Rights and Protected Works in the Company’s (or its successor’s) name in any country.</w:t>
      </w:r>
    </w:p>
    <w:p>
      <w:pPr>
        <w:spacing w:after="0" w:line="92" w:lineRule="exact"/>
        <w:rPr>
          <w:sz w:val="20"/>
          <w:szCs w:val="20"/>
          <w:color w:val="auto"/>
        </w:rPr>
      </w:pPr>
    </w:p>
    <w:p>
      <w:pPr>
        <w:jc w:val="both"/>
        <w:ind w:left="580" w:right="100" w:hanging="566"/>
        <w:spacing w:after="0" w:line="264" w:lineRule="auto"/>
        <w:tabs>
          <w:tab w:leader="none" w:pos="560" w:val="left"/>
        </w:tabs>
        <w:rPr>
          <w:sz w:val="20"/>
          <w:szCs w:val="20"/>
          <w:color w:val="auto"/>
        </w:rPr>
      </w:pPr>
      <w:r>
        <w:rPr>
          <w:rFonts w:ascii="Arial" w:cs="Arial" w:eastAsia="Arial" w:hAnsi="Arial"/>
          <w:sz w:val="18"/>
          <w:szCs w:val="18"/>
          <w:color w:val="auto"/>
        </w:rPr>
        <w:t>16.5</w:t>
        <w:tab/>
        <w:t>To the extent permitted by law, you hereby irrevocably and unconditionally waive any and all moral rights conferred by Chapter IV of the Copyright Designs and Patents Act 1988 or any rights of a similar nature under laws now or in the future in force in any other jurisdiction in and to any and all Protected Work, such waiver being given in favour of the Company, its successors in title and assigns.</w:t>
      </w:r>
    </w:p>
    <w:p>
      <w:pPr>
        <w:spacing w:after="0" w:line="87" w:lineRule="exact"/>
        <w:rPr>
          <w:sz w:val="20"/>
          <w:szCs w:val="20"/>
          <w:color w:val="auto"/>
        </w:rPr>
      </w:pPr>
    </w:p>
    <w:p>
      <w:pPr>
        <w:jc w:val="both"/>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16.6</w:t>
        <w:tab/>
        <w:t>You hereby irrevocably appoint the Company to be your attorney to execute and do any such instrument or thing and generally to use your name for the purpose of giving the Company or its nominee the benefit of this clause 16 and acknowledge in favour of a third party that a certificate in writing signed by any Director or the Company Secretary that any instrument or act falls within the authority conferred by this clause 16 shall be conclusive evidence that such is the case.</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The provisions of this clause 16 will not be affected by the termination of this Contract for whatever reason and will continue after it ends.</w:t>
      </w:r>
    </w:p>
    <w:p>
      <w:pPr>
        <w:spacing w:after="0" w:line="248" w:lineRule="exact"/>
        <w:rPr>
          <w:sz w:val="20"/>
          <w:szCs w:val="20"/>
          <w:color w:val="auto"/>
        </w:rPr>
      </w:pPr>
    </w:p>
    <w:p>
      <w:pPr>
        <w:ind w:left="580" w:hanging="572"/>
        <w:spacing w:after="0"/>
        <w:tabs>
          <w:tab w:leader="none" w:pos="58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580" w:right="760" w:hanging="566"/>
        <w:spacing w:after="0" w:line="277" w:lineRule="auto"/>
        <w:tabs>
          <w:tab w:leader="none" w:pos="560" w:val="left"/>
        </w:tabs>
        <w:rPr>
          <w:sz w:val="20"/>
          <w:szCs w:val="20"/>
          <w:color w:val="auto"/>
        </w:rPr>
      </w:pPr>
      <w:r>
        <w:rPr>
          <w:rFonts w:ascii="Arial" w:cs="Arial" w:eastAsia="Arial" w:hAnsi="Arial"/>
          <w:sz w:val="18"/>
          <w:szCs w:val="18"/>
          <w:color w:val="auto"/>
        </w:rPr>
        <w:t>17.1</w:t>
        <w:tab/>
        <w:t>You acknowledge that in the course of the Appointment you will have access to Confidential Information. You therefore agree to accept the restrictions in this clause 17.</w:t>
      </w:r>
    </w:p>
    <w:p>
      <w:pPr>
        <w:spacing w:after="0" w:line="76" w:lineRule="exact"/>
        <w:rPr>
          <w:sz w:val="20"/>
          <w:szCs w:val="20"/>
          <w:color w:val="auto"/>
        </w:rPr>
      </w:pPr>
    </w:p>
    <w:p>
      <w:pPr>
        <w:jc w:val="both"/>
        <w:ind w:left="580" w:right="20" w:hanging="566"/>
        <w:spacing w:after="0" w:line="264" w:lineRule="auto"/>
        <w:tabs>
          <w:tab w:leader="none" w:pos="560" w:val="left"/>
        </w:tabs>
        <w:rPr>
          <w:sz w:val="20"/>
          <w:szCs w:val="20"/>
          <w:color w:val="auto"/>
        </w:rPr>
      </w:pPr>
      <w:r>
        <w:rPr>
          <w:rFonts w:ascii="Arial" w:cs="Arial" w:eastAsia="Arial" w:hAnsi="Arial"/>
          <w:sz w:val="18"/>
          <w:szCs w:val="18"/>
          <w:color w:val="auto"/>
        </w:rPr>
        <w:t>17.2</w:t>
        <w:tab/>
        <w:t>You shall not (except in the proper course of your duties), either during the Appointment or at any time after its termination (however arising), use or disclose to any person, company or other organisation whatsoever (and shall use your best endeavours to prevent the publication or disclosure of) any Confidential Information. This shall not apply to:</w:t>
      </w:r>
    </w:p>
    <w:p>
      <w:pPr>
        <w:spacing w:after="0" w:line="87"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17.2.1</w:t>
      </w:r>
      <w:r>
        <w:rPr>
          <w:sz w:val="20"/>
          <w:szCs w:val="20"/>
          <w:color w:val="auto"/>
        </w:rPr>
        <w:tab/>
      </w:r>
      <w:r>
        <w:rPr>
          <w:rFonts w:ascii="Arial" w:cs="Arial" w:eastAsia="Arial" w:hAnsi="Arial"/>
          <w:sz w:val="16"/>
          <w:szCs w:val="16"/>
          <w:color w:val="auto"/>
        </w:rPr>
        <w:t>any use or disclosure authorised by the Board in writing or required by law;</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17.2.2</w:t>
      </w:r>
      <w:r>
        <w:rPr>
          <w:sz w:val="20"/>
          <w:szCs w:val="20"/>
          <w:color w:val="auto"/>
        </w:rPr>
        <w:tab/>
      </w:r>
      <w:r>
        <w:rPr>
          <w:rFonts w:ascii="Arial" w:cs="Arial" w:eastAsia="Arial" w:hAnsi="Arial"/>
          <w:sz w:val="16"/>
          <w:szCs w:val="16"/>
          <w:color w:val="auto"/>
        </w:rPr>
        <w:t>any information which is already in, or comes into, the public domain other than through your unauthorised disclosure; or</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17.2.3</w:t>
      </w:r>
      <w:r>
        <w:rPr>
          <w:sz w:val="20"/>
          <w:szCs w:val="20"/>
          <w:color w:val="auto"/>
        </w:rPr>
        <w:tab/>
      </w:r>
      <w:r>
        <w:rPr>
          <w:rFonts w:ascii="Arial" w:cs="Arial" w:eastAsia="Arial" w:hAnsi="Arial"/>
          <w:sz w:val="16"/>
          <w:szCs w:val="16"/>
          <w:color w:val="auto"/>
        </w:rPr>
        <w:t>any protected disclosure within the meaning of section 43A of the Employment Rights Act 1996.</w:t>
      </w:r>
    </w:p>
    <w:p>
      <w:pPr>
        <w:spacing w:after="0" w:line="131" w:lineRule="exact"/>
        <w:rPr>
          <w:sz w:val="20"/>
          <w:szCs w:val="20"/>
          <w:color w:val="auto"/>
        </w:rPr>
      </w:pPr>
    </w:p>
    <w:p>
      <w:pPr>
        <w:jc w:val="both"/>
        <w:ind w:left="580" w:right="40" w:hanging="566"/>
        <w:spacing w:after="0" w:line="342" w:lineRule="auto"/>
        <w:tabs>
          <w:tab w:leader="none" w:pos="5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You agree that the restrictions set out in this clause 17 are without prejudice to any other duties of confidentiality owed to the Company or any Group Company whether express or implied and that they shall survive the termination of this Contract for whatever reason and will continue after it ends.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80"/>
          </w:cols>
          <w:pgMar w:left="240" w:top="274" w:right="279" w:bottom="1440" w:gutter="0" w:footer="0" w:header="0"/>
        </w:sectPr>
      </w:pPr>
    </w:p>
    <w:bookmarkStart w:id="288" w:name="page289"/>
    <w:bookmarkEnd w:id="288"/>
    <w:p>
      <w:pPr>
        <w:ind w:left="580" w:hanging="572"/>
        <w:spacing w:after="0"/>
        <w:tabs>
          <w:tab w:leader="none" w:pos="5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You or the Company may terminate the Appointment on written notice of 6 months.</w:t>
      </w:r>
    </w:p>
    <w:p>
      <w:pPr>
        <w:spacing w:after="0" w:line="131" w:lineRule="exact"/>
        <w:rPr>
          <w:sz w:val="20"/>
          <w:szCs w:val="20"/>
          <w:color w:val="auto"/>
        </w:rPr>
      </w:pPr>
    </w:p>
    <w:p>
      <w:pPr>
        <w:ind w:left="580" w:right="20" w:hanging="566"/>
        <w:spacing w:after="0" w:line="255" w:lineRule="auto"/>
        <w:tabs>
          <w:tab w:leader="none" w:pos="560" w:val="left"/>
        </w:tabs>
        <w:rPr>
          <w:sz w:val="20"/>
          <w:szCs w:val="20"/>
          <w:color w:val="auto"/>
        </w:rPr>
      </w:pPr>
      <w:r>
        <w:rPr>
          <w:rFonts w:ascii="Arial" w:cs="Arial" w:eastAsia="Arial" w:hAnsi="Arial"/>
          <w:sz w:val="18"/>
          <w:szCs w:val="18"/>
          <w:color w:val="auto"/>
        </w:rPr>
        <w:t>18.2</w:t>
        <w:tab/>
        <w:t>The Company shall be entitled at its sole and absolute discretion lawfully to terminate your employment at any time and with immediate effect by written notification to you and to pay within one month following the date of such termination a payment in lieu of notice (PILON) to you. For the avoidance of doubt, the termination of your employment shall be effective on such written notification and shall not be deferred until the PILON is paid. The total PILON will be equal to the basic salary due under clause 8.1 which you would have been entitled to receive under this Contract during the notice period referred to at clause 2.2 or 18.1 (or, if notice has already been given, during the remainder of such notice period) (subject to statutory deductions)</w:t>
      </w:r>
    </w:p>
    <w:p>
      <w:pPr>
        <w:spacing w:after="0" w:line="99" w:lineRule="exact"/>
        <w:rPr>
          <w:sz w:val="20"/>
          <w:szCs w:val="20"/>
          <w:color w:val="auto"/>
        </w:rPr>
      </w:pPr>
    </w:p>
    <w:p>
      <w:pPr>
        <w:ind w:left="580" w:right="60" w:hanging="566"/>
        <w:spacing w:after="0" w:line="264" w:lineRule="auto"/>
        <w:tabs>
          <w:tab w:leader="none" w:pos="560" w:val="left"/>
        </w:tabs>
        <w:rPr>
          <w:sz w:val="20"/>
          <w:szCs w:val="20"/>
          <w:color w:val="auto"/>
        </w:rPr>
      </w:pPr>
      <w:r>
        <w:rPr>
          <w:rFonts w:ascii="Arial" w:cs="Arial" w:eastAsia="Arial" w:hAnsi="Arial"/>
          <w:sz w:val="18"/>
          <w:szCs w:val="18"/>
          <w:color w:val="auto"/>
        </w:rPr>
        <w:t>18.3</w:t>
        <w:tab/>
        <w:t>On termination of the Appointment, for whatever reason, you shall not be entitled to any compensation for the loss of any rights or benefits under any share option, bonus, long-term incentive plan or other profit sharing scheme operated by the Company or any Group Company in which you may participate.</w:t>
      </w:r>
    </w:p>
    <w:p>
      <w:pPr>
        <w:spacing w:after="0" w:line="87" w:lineRule="exact"/>
        <w:rPr>
          <w:sz w:val="20"/>
          <w:szCs w:val="20"/>
          <w:color w:val="auto"/>
        </w:rPr>
      </w:pPr>
    </w:p>
    <w:p>
      <w:pPr>
        <w:ind w:left="580" w:hanging="566"/>
        <w:spacing w:after="0" w:line="272" w:lineRule="auto"/>
        <w:tabs>
          <w:tab w:leader="none" w:pos="56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7"/>
          <w:szCs w:val="17"/>
          <w:color w:val="auto"/>
        </w:rPr>
        <w:t>Upon the termination of your employment with the Company for whatever reason or after notice having been served at the request of the Company or if you shall cease for any reason to be a director or officer of the Company, you shall forthwith, if so required by the Company resign without any claim for compensation or damages from any office or appointment held by you in the Company or in any Group Company, and of all other companies of which he shall have been appointed a director or officer by the Company or Group Company by virtue of any right of nomination vested in such member. You hereby irrevocably authorise the Company to appoint such person in your place and on your behalf to do all such things and execute all such documents which you are obliged to execute and do under this Contract (including without limitation those documents which may be necessary for, or incidental to, your resignation from office).</w:t>
      </w:r>
    </w:p>
    <w:p>
      <w:pPr>
        <w:spacing w:after="0" w:line="83" w:lineRule="exact"/>
        <w:rPr>
          <w:sz w:val="20"/>
          <w:szCs w:val="20"/>
          <w:color w:val="auto"/>
        </w:rPr>
      </w:pPr>
    </w:p>
    <w:p>
      <w:pPr>
        <w:ind w:left="580" w:right="100" w:hanging="566"/>
        <w:spacing w:after="0" w:line="277" w:lineRule="auto"/>
        <w:tabs>
          <w:tab w:leader="none" w:pos="560" w:val="left"/>
        </w:tabs>
        <w:rPr>
          <w:sz w:val="20"/>
          <w:szCs w:val="20"/>
          <w:color w:val="auto"/>
        </w:rPr>
      </w:pPr>
      <w:r>
        <w:rPr>
          <w:rFonts w:ascii="Arial" w:cs="Arial" w:eastAsia="Arial" w:hAnsi="Arial"/>
          <w:sz w:val="18"/>
          <w:szCs w:val="18"/>
          <w:color w:val="auto"/>
        </w:rPr>
        <w:t>18.5</w:t>
        <w:tab/>
        <w:t>You agree that during any period of notice given by either party, you will give to the Company or such person nominated by it all such assistance and co-operation in effecting a smooth and orderly handover of your duties as the Company may reasonably require.</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The Company may at its absolute discretion during any period of notice given by either party:</w:t>
      </w:r>
    </w:p>
    <w:p>
      <w:pPr>
        <w:spacing w:after="0" w:line="131" w:lineRule="exact"/>
        <w:rPr>
          <w:sz w:val="20"/>
          <w:szCs w:val="20"/>
          <w:color w:val="auto"/>
        </w:rPr>
      </w:pPr>
    </w:p>
    <w:p>
      <w:pPr>
        <w:ind w:left="1380" w:right="400" w:hanging="796"/>
        <w:spacing w:after="0" w:line="308" w:lineRule="auto"/>
        <w:tabs>
          <w:tab w:leader="none" w:pos="1360" w:val="left"/>
        </w:tabs>
        <w:rPr>
          <w:sz w:val="20"/>
          <w:szCs w:val="20"/>
          <w:color w:val="auto"/>
        </w:rPr>
      </w:pPr>
      <w:r>
        <w:rPr>
          <w:rFonts w:ascii="Arial" w:cs="Arial" w:eastAsia="Arial" w:hAnsi="Arial"/>
          <w:sz w:val="18"/>
          <w:szCs w:val="18"/>
          <w:color w:val="auto"/>
        </w:rPr>
        <w:t>18.6.1</w:t>
      </w:r>
      <w:r>
        <w:rPr>
          <w:sz w:val="20"/>
          <w:szCs w:val="20"/>
          <w:color w:val="auto"/>
        </w:rPr>
        <w:tab/>
      </w:r>
      <w:r>
        <w:rPr>
          <w:rFonts w:ascii="Arial" w:cs="Arial" w:eastAsia="Arial" w:hAnsi="Arial"/>
          <w:sz w:val="17"/>
          <w:szCs w:val="17"/>
          <w:color w:val="auto"/>
        </w:rPr>
        <w:t>appoint a person to perform your duties jointly with you or, during any period of garden leave pursuant to clause 20 and/or during any period of suspension pursuant to clause 24.2, to perform all or some of your duties in your place; and/or</w:t>
      </w:r>
    </w:p>
    <w:p>
      <w:pPr>
        <w:spacing w:after="0" w:line="52" w:lineRule="exact"/>
        <w:rPr>
          <w:sz w:val="20"/>
          <w:szCs w:val="20"/>
          <w:color w:val="auto"/>
        </w:rPr>
      </w:pPr>
    </w:p>
    <w:p>
      <w:pPr>
        <w:ind w:left="1380" w:right="140" w:hanging="796"/>
        <w:spacing w:after="0" w:line="277" w:lineRule="auto"/>
        <w:tabs>
          <w:tab w:leader="none" w:pos="1360" w:val="left"/>
        </w:tabs>
        <w:rPr>
          <w:sz w:val="20"/>
          <w:szCs w:val="20"/>
          <w:color w:val="auto"/>
        </w:rPr>
      </w:pPr>
      <w:r>
        <w:rPr>
          <w:rFonts w:ascii="Arial" w:cs="Arial" w:eastAsia="Arial" w:hAnsi="Arial"/>
          <w:sz w:val="18"/>
          <w:szCs w:val="18"/>
          <w:color w:val="auto"/>
        </w:rPr>
        <w:t>18.6.2</w:t>
      </w:r>
      <w:r>
        <w:rPr>
          <w:sz w:val="20"/>
          <w:szCs w:val="20"/>
          <w:color w:val="auto"/>
        </w:rPr>
        <w:tab/>
      </w:r>
      <w:r>
        <w:rPr>
          <w:rFonts w:ascii="Arial" w:cs="Arial" w:eastAsia="Arial" w:hAnsi="Arial"/>
          <w:sz w:val="18"/>
          <w:szCs w:val="18"/>
          <w:color w:val="auto"/>
        </w:rPr>
        <w:t>suspend or cancel your access to the Company’s IT and telephone systems including, but not limited to, voicemail, email, internet and the Company’s intranet.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70" w:right="239" w:bottom="1440" w:gutter="0" w:footer="0" w:header="0"/>
        </w:sectPr>
      </w:pPr>
    </w:p>
    <w:bookmarkStart w:id="289" w:name="page290"/>
    <w:bookmarkEnd w:id="289"/>
    <w:p>
      <w:pPr>
        <w:ind w:left="580" w:hanging="572"/>
        <w:spacing w:after="0"/>
        <w:tabs>
          <w:tab w:leader="none" w:pos="5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Termination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The Company is entitled to terminate the Appointment by summary notice in writing and without payment in lieu of notice if you:</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color w:val="auto"/>
        </w:rPr>
        <w:t>are guilty of any gross misconduct affecting the business of any Group Company;</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19.1.2</w:t>
      </w:r>
      <w:r>
        <w:rPr>
          <w:sz w:val="20"/>
          <w:szCs w:val="20"/>
          <w:color w:val="auto"/>
        </w:rPr>
        <w:tab/>
      </w:r>
      <w:r>
        <w:rPr>
          <w:rFonts w:ascii="Arial" w:cs="Arial" w:eastAsia="Arial" w:hAnsi="Arial"/>
          <w:sz w:val="16"/>
          <w:szCs w:val="16"/>
          <w:color w:val="auto"/>
        </w:rPr>
        <w:t>commit any serious breach or repeated or continued (after warning) any material breach of your obligations under this Contract;</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19.1.3</w:t>
      </w:r>
      <w:r>
        <w:rPr>
          <w:sz w:val="20"/>
          <w:szCs w:val="20"/>
          <w:color w:val="auto"/>
        </w:rPr>
        <w:tab/>
      </w:r>
      <w:r>
        <w:rPr>
          <w:rFonts w:ascii="Arial" w:cs="Arial" w:eastAsia="Arial" w:hAnsi="Arial"/>
          <w:sz w:val="16"/>
          <w:szCs w:val="16"/>
          <w:color w:val="auto"/>
        </w:rPr>
        <w:t>commit (by commission or omission) any act which brings or would tend to bring the Company or any Group Company into disrepute;</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19.1.4</w:t>
      </w:r>
      <w:r>
        <w:rPr>
          <w:sz w:val="20"/>
          <w:szCs w:val="20"/>
          <w:color w:val="auto"/>
        </w:rPr>
        <w:tab/>
      </w:r>
      <w:r>
        <w:rPr>
          <w:rFonts w:ascii="Arial" w:cs="Arial" w:eastAsia="Arial" w:hAnsi="Arial"/>
          <w:sz w:val="16"/>
          <w:szCs w:val="16"/>
          <w:color w:val="auto"/>
        </w:rPr>
        <w:t>fail to perform your duties to a satisfactory standard after having received a written warning from the Company relating to the same;</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19.1.5</w:t>
      </w:r>
      <w:r>
        <w:rPr>
          <w:sz w:val="20"/>
          <w:szCs w:val="20"/>
          <w:color w:val="auto"/>
        </w:rPr>
        <w:tab/>
      </w:r>
      <w:r>
        <w:rPr>
          <w:rFonts w:ascii="Arial" w:cs="Arial" w:eastAsia="Arial" w:hAnsi="Arial"/>
          <w:sz w:val="16"/>
          <w:szCs w:val="16"/>
          <w:color w:val="auto"/>
        </w:rPr>
        <w:t>are guilty of any dishonesty, gross misconduct or wilful neglect of duty;</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19.1.6</w:t>
      </w:r>
      <w:r>
        <w:rPr>
          <w:sz w:val="20"/>
          <w:szCs w:val="20"/>
          <w:color w:val="auto"/>
        </w:rPr>
        <w:tab/>
      </w:r>
      <w:r>
        <w:rPr>
          <w:rFonts w:ascii="Arial" w:cs="Arial" w:eastAsia="Arial" w:hAnsi="Arial"/>
          <w:sz w:val="16"/>
          <w:szCs w:val="16"/>
          <w:color w:val="auto"/>
        </w:rPr>
        <w:t>damage Company property maliciously;</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19.1.7</w:t>
      </w:r>
      <w:r>
        <w:rPr>
          <w:sz w:val="20"/>
          <w:szCs w:val="20"/>
          <w:color w:val="auto"/>
        </w:rPr>
        <w:tab/>
      </w:r>
      <w:r>
        <w:rPr>
          <w:rFonts w:ascii="Arial" w:cs="Arial" w:eastAsia="Arial" w:hAnsi="Arial"/>
          <w:sz w:val="16"/>
          <w:szCs w:val="16"/>
          <w:color w:val="auto"/>
        </w:rPr>
        <w:t>falsify attendance or sickness or other records;</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19.1.8</w:t>
      </w:r>
      <w:r>
        <w:rPr>
          <w:sz w:val="20"/>
          <w:szCs w:val="20"/>
          <w:color w:val="auto"/>
        </w:rPr>
        <w:tab/>
      </w:r>
      <w:r>
        <w:rPr>
          <w:rFonts w:ascii="Arial" w:cs="Arial" w:eastAsia="Arial" w:hAnsi="Arial"/>
          <w:sz w:val="16"/>
          <w:szCs w:val="16"/>
          <w:color w:val="auto"/>
        </w:rPr>
        <w:t>falsify any data during the course of your employment;</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19.1.9</w:t>
      </w:r>
      <w:r>
        <w:rPr>
          <w:sz w:val="20"/>
          <w:szCs w:val="20"/>
          <w:color w:val="auto"/>
        </w:rPr>
        <w:tab/>
      </w:r>
      <w:r>
        <w:rPr>
          <w:rFonts w:ascii="Arial" w:cs="Arial" w:eastAsia="Arial" w:hAnsi="Arial"/>
          <w:sz w:val="16"/>
          <w:szCs w:val="16"/>
          <w:color w:val="auto"/>
        </w:rPr>
        <w:t>conduct yourself in a manner materially adverse to the interests of the Company or any Group Company;</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19.1.10</w:t>
      </w:r>
      <w:r>
        <w:rPr>
          <w:sz w:val="20"/>
          <w:szCs w:val="20"/>
          <w:color w:val="auto"/>
        </w:rPr>
        <w:tab/>
      </w:r>
      <w:r>
        <w:rPr>
          <w:rFonts w:ascii="Arial" w:cs="Arial" w:eastAsia="Arial" w:hAnsi="Arial"/>
          <w:sz w:val="16"/>
          <w:szCs w:val="16"/>
          <w:color w:val="auto"/>
        </w:rPr>
        <w:t>are, in the reasonable opinion of the Board, negligent and incompetent in the performance of your duties;</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19.1.11</w:t>
      </w:r>
      <w:r>
        <w:rPr>
          <w:sz w:val="20"/>
          <w:szCs w:val="20"/>
          <w:color w:val="auto"/>
        </w:rPr>
        <w:tab/>
      </w:r>
      <w:r>
        <w:rPr>
          <w:rFonts w:ascii="Arial" w:cs="Arial" w:eastAsia="Arial" w:hAnsi="Arial"/>
          <w:sz w:val="16"/>
          <w:szCs w:val="16"/>
          <w:color w:val="auto"/>
        </w:rPr>
        <w:t>have a bankruptcy order made against you or enter into a voluntary arrangement within the meaning of section 253 Insolvency Act 1986;</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19.1.12</w:t>
      </w:r>
      <w:r>
        <w:rPr>
          <w:sz w:val="20"/>
          <w:szCs w:val="20"/>
          <w:color w:val="auto"/>
        </w:rPr>
        <w:tab/>
      </w:r>
      <w:r>
        <w:rPr>
          <w:rFonts w:ascii="Arial" w:cs="Arial" w:eastAsia="Arial" w:hAnsi="Arial"/>
          <w:sz w:val="16"/>
          <w:szCs w:val="16"/>
          <w:color w:val="auto"/>
        </w:rPr>
        <w:t>consume or distribute narcotics on Company premises;</w:t>
      </w:r>
    </w:p>
    <w:p>
      <w:pPr>
        <w:spacing w:after="0" w:line="131" w:lineRule="exact"/>
        <w:rPr>
          <w:sz w:val="20"/>
          <w:szCs w:val="20"/>
          <w:color w:val="auto"/>
        </w:rPr>
      </w:pPr>
    </w:p>
    <w:p>
      <w:pPr>
        <w:ind w:left="1380" w:right="220" w:hanging="796"/>
        <w:spacing w:after="0" w:line="277" w:lineRule="auto"/>
        <w:tabs>
          <w:tab w:leader="none" w:pos="1360" w:val="left"/>
        </w:tabs>
        <w:rPr>
          <w:sz w:val="20"/>
          <w:szCs w:val="20"/>
          <w:color w:val="auto"/>
        </w:rPr>
      </w:pPr>
      <w:r>
        <w:rPr>
          <w:rFonts w:ascii="Arial" w:cs="Arial" w:eastAsia="Arial" w:hAnsi="Arial"/>
          <w:sz w:val="18"/>
          <w:szCs w:val="18"/>
          <w:color w:val="auto"/>
        </w:rPr>
        <w:t>19.1.13</w:t>
        <w:tab/>
        <w:t>are convicted of any criminal offence (other than an offence under any road traffic legislation in the United Kingdom or elsewhere for which a fine or non-custodial penalty is imposed) whether or not in the course of your employment;</w:t>
      </w:r>
    </w:p>
    <w:p>
      <w:pPr>
        <w:spacing w:after="0" w:line="76" w:lineRule="exact"/>
        <w:rPr>
          <w:sz w:val="20"/>
          <w:szCs w:val="20"/>
          <w:color w:val="auto"/>
        </w:rPr>
      </w:pPr>
    </w:p>
    <w:p>
      <w:pPr>
        <w:jc w:val="center"/>
        <w:ind w:right="-259"/>
        <w:spacing w:after="0"/>
        <w:tabs>
          <w:tab w:leader="none" w:pos="240" w:val="left"/>
        </w:tabs>
        <w:rPr>
          <w:sz w:val="20"/>
          <w:szCs w:val="20"/>
          <w:color w:val="auto"/>
        </w:rPr>
      </w:pPr>
      <w:r>
        <w:rPr>
          <w:rFonts w:ascii="Arial" w:cs="Arial" w:eastAsia="Arial" w:hAnsi="Arial"/>
          <w:sz w:val="18"/>
          <w:szCs w:val="18"/>
          <w:color w:val="auto"/>
        </w:rPr>
        <w:t>19.1.14</w:t>
      </w:r>
      <w:r>
        <w:rPr>
          <w:sz w:val="20"/>
          <w:szCs w:val="20"/>
          <w:color w:val="auto"/>
        </w:rPr>
        <w:tab/>
      </w:r>
      <w:r>
        <w:rPr>
          <w:rFonts w:ascii="Arial" w:cs="Arial" w:eastAsia="Arial" w:hAnsi="Arial"/>
          <w:sz w:val="16"/>
          <w:szCs w:val="16"/>
          <w:color w:val="auto"/>
        </w:rPr>
        <w:t>are, in the opinion of a medical practitioner who is treating you, physically or mentally incapable of performing your duties and may</w:t>
      </w:r>
    </w:p>
    <w:p>
      <w:pPr>
        <w:spacing w:after="0" w:line="23" w:lineRule="exact"/>
        <w:rPr>
          <w:sz w:val="20"/>
          <w:szCs w:val="20"/>
          <w:color w:val="auto"/>
        </w:rPr>
      </w:pPr>
    </w:p>
    <w:p>
      <w:pPr>
        <w:ind w:left="580" w:right="1100" w:firstLine="797"/>
        <w:spacing w:after="0" w:line="383" w:lineRule="auto"/>
        <w:rPr>
          <w:sz w:val="20"/>
          <w:szCs w:val="20"/>
          <w:color w:val="auto"/>
        </w:rPr>
      </w:pPr>
      <w:r>
        <w:rPr>
          <w:rFonts w:ascii="Arial" w:cs="Arial" w:eastAsia="Arial" w:hAnsi="Arial"/>
          <w:sz w:val="18"/>
          <w:szCs w:val="18"/>
          <w:color w:val="auto"/>
        </w:rPr>
        <w:t>remain so for more than three months and the medical practitioner has given a medical opinion to the Board to that effect; 19.1.15 cease to be eligible to work in the United Kingdom;</w:t>
      </w:r>
    </w:p>
    <w:p>
      <w:pPr>
        <w:ind w:left="580"/>
        <w:spacing w:after="0"/>
        <w:tabs>
          <w:tab w:leader="none" w:pos="1360" w:val="left"/>
        </w:tabs>
        <w:rPr>
          <w:sz w:val="20"/>
          <w:szCs w:val="20"/>
          <w:color w:val="auto"/>
        </w:rPr>
      </w:pPr>
      <w:r>
        <w:rPr>
          <w:rFonts w:ascii="Arial" w:cs="Arial" w:eastAsia="Arial" w:hAnsi="Arial"/>
          <w:sz w:val="18"/>
          <w:szCs w:val="18"/>
          <w:color w:val="auto"/>
        </w:rPr>
        <w:t>19.1.16</w:t>
      </w:r>
      <w:r>
        <w:rPr>
          <w:sz w:val="20"/>
          <w:szCs w:val="20"/>
          <w:color w:val="auto"/>
        </w:rPr>
        <w:tab/>
      </w:r>
      <w:r>
        <w:rPr>
          <w:rFonts w:ascii="Arial" w:cs="Arial" w:eastAsia="Arial" w:hAnsi="Arial"/>
          <w:sz w:val="16"/>
          <w:szCs w:val="16"/>
          <w:color w:val="auto"/>
        </w:rPr>
        <w:t>knowingly commit any deliberate act which amounts to discrimination, victimisation or harassment on any unlawful ground;</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19.1.17</w:t>
      </w:r>
      <w:r>
        <w:rPr>
          <w:sz w:val="20"/>
          <w:szCs w:val="20"/>
          <w:color w:val="auto"/>
        </w:rPr>
        <w:tab/>
      </w:r>
      <w:r>
        <w:rPr>
          <w:rFonts w:ascii="Arial" w:cs="Arial" w:eastAsia="Arial" w:hAnsi="Arial"/>
          <w:sz w:val="16"/>
          <w:szCs w:val="16"/>
          <w:color w:val="auto"/>
        </w:rPr>
        <w:t>are in breach of the Company’s anti-corruption and bribery policy and related procedures;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240"/>
          </w:cols>
          <w:pgMar w:left="240" w:top="270" w:right="419" w:bottom="1440" w:gutter="0" w:footer="0" w:header="0"/>
        </w:sectPr>
      </w:pPr>
    </w:p>
    <w:bookmarkStart w:id="290" w:name="page291"/>
    <w:bookmarkEnd w:id="290"/>
    <w:p>
      <w:pPr>
        <w:ind w:left="580"/>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19.1.18</w:t>
      </w:r>
      <w:r>
        <w:rPr>
          <w:sz w:val="20"/>
          <w:szCs w:val="20"/>
          <w:color w:val="auto"/>
        </w:rPr>
        <w:tab/>
      </w:r>
      <w:r>
        <w:rPr>
          <w:rFonts w:ascii="Arial" w:cs="Arial" w:eastAsia="Arial" w:hAnsi="Arial"/>
          <w:sz w:val="16"/>
          <w:szCs w:val="16"/>
          <w:color w:val="auto"/>
        </w:rPr>
        <w:t>are guilty of a serious breach of any rules issued by the Company from time to time regarding its electronic communications systems;</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19.1.19</w:t>
      </w:r>
      <w:r>
        <w:rPr>
          <w:sz w:val="20"/>
          <w:szCs w:val="20"/>
          <w:color w:val="auto"/>
        </w:rPr>
        <w:tab/>
      </w:r>
      <w:r>
        <w:rPr>
          <w:rFonts w:ascii="Arial" w:cs="Arial" w:eastAsia="Arial" w:hAnsi="Arial"/>
          <w:sz w:val="16"/>
          <w:szCs w:val="16"/>
          <w:color w:val="auto"/>
        </w:rPr>
        <w:t>are unable by reason of Incapacity to perform his duties under this Contract for an aggregate period of 26 weeks in any 52-week period; or</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19.1.20</w:t>
      </w:r>
      <w:r>
        <w:rPr>
          <w:sz w:val="20"/>
          <w:szCs w:val="20"/>
          <w:color w:val="auto"/>
        </w:rPr>
        <w:tab/>
      </w:r>
      <w:r>
        <w:rPr>
          <w:rFonts w:ascii="Arial" w:cs="Arial" w:eastAsia="Arial" w:hAnsi="Arial"/>
          <w:sz w:val="16"/>
          <w:szCs w:val="16"/>
          <w:color w:val="auto"/>
        </w:rPr>
        <w:t>commit any other offence of a similar gravity to the examples under this clause 19.1, which are neither exclusive nor exhaustive.</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Any delay by the Company in exercising such right of termination shall not constitute a waiver of that right.</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19.3</w:t>
        <w:tab/>
        <w:t>The termination by the Company of the Appointment pursuant to this clause 19 will be without prejudice to any claim that the Company may have for damages arising from any breach of this Contract by you that gives rise to such termination.</w:t>
      </w:r>
    </w:p>
    <w:p>
      <w:pPr>
        <w:spacing w:after="0" w:line="315" w:lineRule="exact"/>
        <w:rPr>
          <w:sz w:val="20"/>
          <w:szCs w:val="20"/>
          <w:color w:val="auto"/>
        </w:rPr>
      </w:pPr>
    </w:p>
    <w:p>
      <w:pPr>
        <w:ind w:left="580" w:hanging="572"/>
        <w:spacing w:after="0"/>
        <w:tabs>
          <w:tab w:leader="none" w:pos="5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Garden Leave</w:t>
      </w:r>
    </w:p>
    <w:p>
      <w:pPr>
        <w:spacing w:after="0" w:line="135" w:lineRule="exact"/>
        <w:rPr>
          <w:sz w:val="20"/>
          <w:szCs w:val="20"/>
          <w:color w:val="auto"/>
        </w:rPr>
      </w:pPr>
    </w:p>
    <w:p>
      <w:pPr>
        <w:ind w:left="580" w:right="300" w:hanging="566"/>
        <w:spacing w:after="0" w:line="312" w:lineRule="auto"/>
        <w:tabs>
          <w:tab w:leader="none" w:pos="5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After notice of termination has been given by either party pursuant to clause 18 provided that the Company continues to provide you with your normal Salary and benefits under this Contract until the Appointment terminates, the Company may at its absolute discretion without breaking the terms of this contract or giving rise to any claim against the Company for all or part of your notice period place you on garden leave and:-</w:t>
      </w:r>
    </w:p>
    <w:p>
      <w:pPr>
        <w:spacing w:after="0" w:line="52"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exclude you from the premises of the Company and any Group Company; and/or</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6"/>
          <w:szCs w:val="16"/>
          <w:color w:val="auto"/>
        </w:rPr>
        <w:t>require you to carry out specified duties other than your normal duties or to carry out no duties; and/or</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withdraw any powers vested in you; and/or</w:t>
      </w:r>
    </w:p>
    <w:p>
      <w:pPr>
        <w:spacing w:after="0" w:line="131" w:lineRule="exact"/>
        <w:rPr>
          <w:sz w:val="20"/>
          <w:szCs w:val="20"/>
          <w:color w:val="auto"/>
        </w:rPr>
      </w:pPr>
    </w:p>
    <w:p>
      <w:pPr>
        <w:ind w:left="1380" w:right="280" w:hanging="796"/>
        <w:spacing w:after="0" w:line="277" w:lineRule="auto"/>
        <w:tabs>
          <w:tab w:leader="none" w:pos="136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instruct you not to communicate orally or in writing with suppliers, customers, employees, agents/or representatives of the Company or any Group Company until the Appointment has terminated.</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During any period of garden leave you shall:</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6"/>
          <w:szCs w:val="16"/>
          <w:color w:val="auto"/>
        </w:rPr>
        <w:t>continue to receive your Salary and all contractual benefits in the usual way and subject to the terms of any benefit arrangement;</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remain an employee of the Company and bound by the terms of your contract of employment with the Company;</w:t>
      </w:r>
    </w:p>
    <w:p>
      <w:pPr>
        <w:spacing w:after="0" w:line="131" w:lineRule="exact"/>
        <w:rPr>
          <w:sz w:val="20"/>
          <w:szCs w:val="20"/>
          <w:color w:val="auto"/>
        </w:rPr>
      </w:pPr>
    </w:p>
    <w:p>
      <w:pPr>
        <w:ind w:left="1380" w:right="360" w:hanging="796"/>
        <w:spacing w:after="0" w:line="277" w:lineRule="auto"/>
        <w:tabs>
          <w:tab w:leader="none" w:pos="136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not, without the prior written consent of your Manager, attend your place of work or any other premises of the Company or any Group Company;</w:t>
      </w:r>
    </w:p>
    <w:p>
      <w:pPr>
        <w:spacing w:after="0" w:line="76" w:lineRule="exact"/>
        <w:rPr>
          <w:sz w:val="20"/>
          <w:szCs w:val="20"/>
          <w:color w:val="auto"/>
        </w:rPr>
      </w:pPr>
    </w:p>
    <w:p>
      <w:pPr>
        <w:ind w:left="1380" w:right="380" w:hanging="796"/>
        <w:spacing w:after="0" w:line="264" w:lineRule="auto"/>
        <w:tabs>
          <w:tab w:leader="none" w:pos="1360" w:val="left"/>
        </w:tabs>
        <w:rPr>
          <w:sz w:val="20"/>
          <w:szCs w:val="20"/>
          <w:color w:val="auto"/>
        </w:rPr>
      </w:pPr>
      <w:r>
        <w:rPr>
          <w:rFonts w:ascii="Arial" w:cs="Arial" w:eastAsia="Arial" w:hAnsi="Arial"/>
          <w:sz w:val="18"/>
          <w:szCs w:val="18"/>
          <w:color w:val="auto"/>
        </w:rPr>
        <w:t>20.2.4</w:t>
      </w:r>
      <w:r>
        <w:rPr>
          <w:sz w:val="20"/>
          <w:szCs w:val="20"/>
          <w:color w:val="auto"/>
        </w:rPr>
        <w:tab/>
      </w:r>
      <w:r>
        <w:rPr>
          <w:rFonts w:ascii="Arial" w:cs="Arial" w:eastAsia="Arial" w:hAnsi="Arial"/>
          <w:sz w:val="18"/>
          <w:szCs w:val="18"/>
          <w:color w:val="auto"/>
        </w:rPr>
        <w:t>not, without the prior written consent of your Manager, contact or deal with (or attempt to contact or deal with) any officer, employee, consultant, client, customer, supplier, agent, distributor, shareholder, adviser or other business contact of the Company or any Group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74" w:right="259" w:bottom="1440" w:gutter="0" w:footer="0" w:header="0"/>
        </w:sectPr>
      </w:pPr>
    </w:p>
    <w:bookmarkStart w:id="291" w:name="page292"/>
    <w:bookmarkEnd w:id="291"/>
    <w:p>
      <w:pPr>
        <w:ind w:left="1372" w:right="380" w:hanging="796"/>
        <w:spacing w:after="0" w:line="264" w:lineRule="auto"/>
        <w:tabs>
          <w:tab w:leader="none" w:pos="13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20.2.5</w:t>
      </w:r>
      <w:r>
        <w:rPr>
          <w:sz w:val="20"/>
          <w:szCs w:val="20"/>
          <w:color w:val="auto"/>
        </w:rPr>
        <w:tab/>
      </w:r>
      <w:r>
        <w:rPr>
          <w:rFonts w:ascii="Arial" w:cs="Arial" w:eastAsia="Arial" w:hAnsi="Arial"/>
          <w:sz w:val="18"/>
          <w:szCs w:val="18"/>
          <w:color w:val="auto"/>
        </w:rPr>
        <w:t>(except during any periods taken as holiday in the usual way) ensure that your Manager knows where you will be and how you can be contacted during each working day and shall comply with any written requests to contact a specified employee of the Company at specified intervals.</w:t>
      </w:r>
    </w:p>
    <w:p>
      <w:pPr>
        <w:spacing w:after="0" w:line="326" w:lineRule="exact"/>
        <w:rPr>
          <w:sz w:val="20"/>
          <w:szCs w:val="20"/>
          <w:color w:val="auto"/>
        </w:rPr>
      </w:pPr>
    </w:p>
    <w:p>
      <w:pPr>
        <w:ind w:left="572" w:hanging="572"/>
        <w:spacing w:after="0"/>
        <w:tabs>
          <w:tab w:leader="none" w:pos="572"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after Employment</w:t>
      </w:r>
    </w:p>
    <w:p>
      <w:pPr>
        <w:spacing w:after="0" w:line="135" w:lineRule="exact"/>
        <w:rPr>
          <w:sz w:val="20"/>
          <w:szCs w:val="20"/>
          <w:color w:val="auto"/>
        </w:rPr>
      </w:pPr>
    </w:p>
    <w:p>
      <w:pPr>
        <w:ind w:left="572" w:right="100" w:hanging="566"/>
        <w:spacing w:after="0" w:line="312" w:lineRule="auto"/>
        <w:tabs>
          <w:tab w:leader="none" w:pos="55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You shall not, save in respect of a Permitted Interest or with the prior written consent of the Company, for a period of 6 months from the Termination Date carry on or be concerned or engaged or interested directly or indirectly (whether as principal, shareholder, partner, employee, officer, agent or otherwise) in any part of any trade or business carried on within the Restricted Area wholly or partly in competition with the Restricted Business.</w:t>
      </w:r>
    </w:p>
    <w:p>
      <w:pPr>
        <w:spacing w:after="0" w:line="52" w:lineRule="exact"/>
        <w:rPr>
          <w:sz w:val="20"/>
          <w:szCs w:val="20"/>
          <w:color w:val="auto"/>
        </w:rPr>
      </w:pPr>
    </w:p>
    <w:p>
      <w:pPr>
        <w:ind w:left="572" w:right="260" w:hanging="566"/>
        <w:spacing w:after="0" w:line="277" w:lineRule="auto"/>
        <w:tabs>
          <w:tab w:leader="none" w:pos="552" w:val="left"/>
        </w:tabs>
        <w:rPr>
          <w:sz w:val="20"/>
          <w:szCs w:val="20"/>
          <w:color w:val="auto"/>
        </w:rPr>
      </w:pPr>
      <w:r>
        <w:rPr>
          <w:rFonts w:ascii="Arial" w:cs="Arial" w:eastAsia="Arial" w:hAnsi="Arial"/>
          <w:sz w:val="18"/>
          <w:szCs w:val="18"/>
          <w:color w:val="auto"/>
        </w:rPr>
        <w:t>21.2</w:t>
        <w:tab/>
        <w:t>You shall not for a period of 6 months from the Termination Date, in competition with the Company, either on your own behalf or on behalf of any person, firm or company in relation to the Restricted Business, directly or indirectly:</w:t>
      </w:r>
    </w:p>
    <w:p>
      <w:pPr>
        <w:spacing w:after="0" w:line="76" w:lineRule="exact"/>
        <w:rPr>
          <w:sz w:val="20"/>
          <w:szCs w:val="20"/>
          <w:color w:val="auto"/>
        </w:rPr>
      </w:pPr>
    </w:p>
    <w:p>
      <w:pPr>
        <w:ind w:left="1372" w:hanging="796"/>
        <w:spacing w:after="0" w:line="264" w:lineRule="auto"/>
        <w:tabs>
          <w:tab w:leader="none" w:pos="1352"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8"/>
          <w:szCs w:val="18"/>
          <w:color w:val="auto"/>
        </w:rPr>
        <w:t>deal with or accept custom from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 or</w:t>
      </w:r>
    </w:p>
    <w:p>
      <w:pPr>
        <w:spacing w:after="0" w:line="87" w:lineRule="exact"/>
        <w:rPr>
          <w:sz w:val="20"/>
          <w:szCs w:val="20"/>
          <w:color w:val="auto"/>
        </w:rPr>
      </w:pPr>
    </w:p>
    <w:p>
      <w:pPr>
        <w:ind w:left="1372" w:right="180" w:hanging="796"/>
        <w:spacing w:after="0" w:line="264" w:lineRule="auto"/>
        <w:tabs>
          <w:tab w:leader="none" w:pos="1352"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8"/>
          <w:szCs w:val="18"/>
          <w:color w:val="auto"/>
        </w:rPr>
        <w:t>deal with or interfere with any person, firm or company who was a supplier, agent or distributor of the Company or any Group Company during the Period and in each case with whom you have been actively engaged or involved or of whom you have acquired Confidential Information or trade secrets by virtue of your duties hereunder during the Period; or</w:t>
      </w:r>
    </w:p>
    <w:p>
      <w:pPr>
        <w:spacing w:after="0" w:line="87" w:lineRule="exact"/>
        <w:rPr>
          <w:sz w:val="20"/>
          <w:szCs w:val="20"/>
          <w:color w:val="auto"/>
        </w:rPr>
      </w:pPr>
    </w:p>
    <w:p>
      <w:pPr>
        <w:ind w:left="572"/>
        <w:spacing w:after="0"/>
        <w:tabs>
          <w:tab w:leader="none" w:pos="1352"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6"/>
          <w:szCs w:val="16"/>
          <w:color w:val="auto"/>
        </w:rPr>
        <w:t>deal with or interfere with any company from whom the Company or any Group Company has licensed or acquired intellectual property.</w:t>
      </w:r>
    </w:p>
    <w:p>
      <w:pPr>
        <w:spacing w:after="0" w:line="131" w:lineRule="exact"/>
        <w:rPr>
          <w:sz w:val="20"/>
          <w:szCs w:val="20"/>
          <w:color w:val="auto"/>
        </w:rPr>
      </w:pPr>
    </w:p>
    <w:p>
      <w:pPr>
        <w:ind w:left="572" w:right="260" w:hanging="566"/>
        <w:spacing w:after="0" w:line="277" w:lineRule="auto"/>
        <w:tabs>
          <w:tab w:leader="none" w:pos="552" w:val="left"/>
        </w:tabs>
        <w:rPr>
          <w:sz w:val="20"/>
          <w:szCs w:val="20"/>
          <w:color w:val="auto"/>
        </w:rPr>
      </w:pPr>
      <w:r>
        <w:rPr>
          <w:rFonts w:ascii="Arial" w:cs="Arial" w:eastAsia="Arial" w:hAnsi="Arial"/>
          <w:sz w:val="18"/>
          <w:szCs w:val="18"/>
          <w:color w:val="auto"/>
        </w:rPr>
        <w:t>21.3</w:t>
        <w:tab/>
        <w:t>You shall not for a period of 9 months from the Termination Date, in competition with the Company, either on your own behalf or on behalf of any person, firm or company in relation to the Restricted Business, directly or indirectly:</w:t>
      </w:r>
    </w:p>
    <w:p>
      <w:pPr>
        <w:spacing w:after="0" w:line="76" w:lineRule="exact"/>
        <w:rPr>
          <w:sz w:val="20"/>
          <w:szCs w:val="20"/>
          <w:color w:val="auto"/>
        </w:rPr>
      </w:pPr>
    </w:p>
    <w:p>
      <w:pPr>
        <w:ind w:left="1372" w:right="40" w:hanging="796"/>
        <w:spacing w:after="0" w:line="312" w:lineRule="auto"/>
        <w:tabs>
          <w:tab w:leader="none" w:pos="1352" w:val="left"/>
        </w:tabs>
        <w:rPr>
          <w:sz w:val="20"/>
          <w:szCs w:val="20"/>
          <w:color w:val="auto"/>
        </w:rPr>
      </w:pPr>
      <w:r>
        <w:rPr>
          <w:rFonts w:ascii="Arial" w:cs="Arial" w:eastAsia="Arial" w:hAnsi="Arial"/>
          <w:sz w:val="18"/>
          <w:szCs w:val="18"/>
          <w:color w:val="auto"/>
        </w:rPr>
        <w:t>21.3.1</w:t>
      </w:r>
      <w:r>
        <w:rPr>
          <w:sz w:val="20"/>
          <w:szCs w:val="20"/>
          <w:color w:val="auto"/>
        </w:rPr>
        <w:tab/>
      </w:r>
      <w:r>
        <w:rPr>
          <w:rFonts w:ascii="Arial" w:cs="Arial" w:eastAsia="Arial" w:hAnsi="Arial"/>
          <w:sz w:val="16"/>
          <w:szCs w:val="16"/>
          <w:color w:val="auto"/>
        </w:rPr>
        <w:t>solicit, approach or offer goods or services to or entice away from the Company or any Group Company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92"/>
          </w:cols>
          <w:pgMar w:left="248" w:top="274" w:right="259" w:bottom="1440" w:gutter="0" w:footer="0" w:header="0"/>
        </w:sectPr>
      </w:pPr>
    </w:p>
    <w:bookmarkStart w:id="292" w:name="page293"/>
    <w:bookmarkEnd w:id="292"/>
    <w:p>
      <w:pPr>
        <w:ind w:left="1380" w:right="60" w:hanging="796"/>
        <w:spacing w:after="0" w:line="259" w:lineRule="auto"/>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21.3.2</w:t>
      </w:r>
      <w:r>
        <w:rPr>
          <w:sz w:val="20"/>
          <w:szCs w:val="20"/>
          <w:color w:val="auto"/>
        </w:rPr>
        <w:tab/>
      </w:r>
      <w:r>
        <w:rPr>
          <w:rFonts w:ascii="Arial" w:cs="Arial" w:eastAsia="Arial" w:hAnsi="Arial"/>
          <w:sz w:val="18"/>
          <w:szCs w:val="18"/>
          <w:color w:val="auto"/>
        </w:rPr>
        <w:t>solicit or approach or offer goods or services to or entice away from the Company or any Group Company any person, firm or company who was a supplier, agent or distributor of the Company or any Group Company during the Period with whom you has been actively engaged or involved or of whom you have acquired Confidential Information or trade secrets by virtue of your duties hereunder during the Period; or</w:t>
      </w:r>
    </w:p>
    <w:p>
      <w:pPr>
        <w:spacing w:after="0" w:line="92" w:lineRule="exact"/>
        <w:rPr>
          <w:sz w:val="20"/>
          <w:szCs w:val="20"/>
          <w:color w:val="auto"/>
        </w:rPr>
      </w:pPr>
    </w:p>
    <w:p>
      <w:pPr>
        <w:ind w:left="1380" w:right="320" w:hanging="796"/>
        <w:spacing w:after="0" w:line="277" w:lineRule="auto"/>
        <w:tabs>
          <w:tab w:leader="none" w:pos="1360" w:val="left"/>
        </w:tabs>
        <w:rPr>
          <w:sz w:val="20"/>
          <w:szCs w:val="20"/>
          <w:color w:val="auto"/>
        </w:rPr>
      </w:pPr>
      <w:r>
        <w:rPr>
          <w:rFonts w:ascii="Arial" w:cs="Arial" w:eastAsia="Arial" w:hAnsi="Arial"/>
          <w:sz w:val="18"/>
          <w:szCs w:val="18"/>
          <w:color w:val="auto"/>
        </w:rPr>
        <w:t>21.3.3</w:t>
      </w:r>
      <w:r>
        <w:rPr>
          <w:sz w:val="20"/>
          <w:szCs w:val="20"/>
          <w:color w:val="auto"/>
        </w:rPr>
        <w:tab/>
      </w:r>
      <w:r>
        <w:rPr>
          <w:rFonts w:ascii="Arial" w:cs="Arial" w:eastAsia="Arial" w:hAnsi="Arial"/>
          <w:sz w:val="18"/>
          <w:szCs w:val="18"/>
          <w:color w:val="auto"/>
        </w:rPr>
        <w:t>interfere or seek to interfere with the continuance, or any of the terms, of the supply of goods or services to the Company or any Group Company;</w:t>
      </w:r>
    </w:p>
    <w:p>
      <w:pPr>
        <w:spacing w:after="0" w:line="62" w:lineRule="exact"/>
        <w:rPr>
          <w:sz w:val="20"/>
          <w:szCs w:val="20"/>
          <w:color w:val="auto"/>
        </w:rPr>
      </w:pPr>
    </w:p>
    <w:p>
      <w:pPr>
        <w:ind w:left="580" w:right="160"/>
        <w:spacing w:after="0" w:line="277" w:lineRule="auto"/>
        <w:rPr>
          <w:sz w:val="20"/>
          <w:szCs w:val="20"/>
          <w:color w:val="auto"/>
        </w:rPr>
      </w:pPr>
      <w:r>
        <w:rPr>
          <w:rFonts w:ascii="Arial" w:cs="Arial" w:eastAsia="Arial" w:hAnsi="Arial"/>
          <w:sz w:val="18"/>
          <w:szCs w:val="18"/>
          <w:color w:val="auto"/>
        </w:rPr>
        <w:t>PROVIDED THAT nothing contained in clauses 21.1 to 21.3 inclusive shall prohibit you from carrying out any activities that are not in competition with any part of the business of the Company with which you were involved in the Period.</w:t>
      </w:r>
    </w:p>
    <w:p>
      <w:pPr>
        <w:spacing w:after="0" w:line="76" w:lineRule="exact"/>
        <w:rPr>
          <w:sz w:val="20"/>
          <w:szCs w:val="20"/>
          <w:color w:val="auto"/>
        </w:rPr>
      </w:pPr>
    </w:p>
    <w:p>
      <w:pPr>
        <w:jc w:val="both"/>
        <w:ind w:left="580" w:right="180" w:hanging="566"/>
        <w:spacing w:after="0" w:line="259" w:lineRule="auto"/>
        <w:tabs>
          <w:tab w:leader="none" w:pos="560" w:val="left"/>
        </w:tabs>
        <w:rPr>
          <w:sz w:val="20"/>
          <w:szCs w:val="20"/>
          <w:color w:val="auto"/>
        </w:rPr>
      </w:pPr>
      <w:r>
        <w:rPr>
          <w:rFonts w:ascii="Arial" w:cs="Arial" w:eastAsia="Arial" w:hAnsi="Arial"/>
          <w:sz w:val="18"/>
          <w:szCs w:val="18"/>
          <w:color w:val="auto"/>
        </w:rPr>
        <w:t>21.4</w:t>
        <w:tab/>
        <w:t>You shall not for a period of 6 months from the Termination Date either on your own behalf or on behalf of any person, firm or company directly or indirectly, approach, solicit, endeavour to entice away, employ, offer employment to or procure the employment of any person who is or was a Key Employee with whom you have had dealings during the Period whether or not such person would commit any breach of his contract of employment by reason of so leaving the service of the Company or otherwise.</w:t>
      </w:r>
    </w:p>
    <w:p>
      <w:pPr>
        <w:spacing w:after="0" w:line="92" w:lineRule="exact"/>
        <w:rPr>
          <w:sz w:val="20"/>
          <w:szCs w:val="20"/>
          <w:color w:val="auto"/>
        </w:rPr>
      </w:pPr>
    </w:p>
    <w:p>
      <w:pPr>
        <w:ind w:left="580" w:right="660" w:hanging="566"/>
        <w:spacing w:after="0" w:line="277" w:lineRule="auto"/>
        <w:tabs>
          <w:tab w:leader="none" w:pos="560" w:val="left"/>
        </w:tabs>
        <w:rPr>
          <w:sz w:val="20"/>
          <w:szCs w:val="20"/>
          <w:color w:val="auto"/>
        </w:rPr>
      </w:pPr>
      <w:r>
        <w:rPr>
          <w:rFonts w:ascii="Arial" w:cs="Arial" w:eastAsia="Arial" w:hAnsi="Arial"/>
          <w:sz w:val="18"/>
          <w:szCs w:val="18"/>
          <w:color w:val="auto"/>
        </w:rPr>
        <w:t>21.5</w:t>
        <w:tab/>
        <w:t>You shall not, at any time after the Termination Date, either on your own behalf or on behalf of any other person, firm or company directly or indirectly:</w:t>
      </w:r>
    </w:p>
    <w:p>
      <w:pPr>
        <w:spacing w:after="0" w:line="76" w:lineRule="exact"/>
        <w:rPr>
          <w:sz w:val="20"/>
          <w:szCs w:val="20"/>
          <w:color w:val="auto"/>
        </w:rPr>
      </w:pPr>
    </w:p>
    <w:p>
      <w:pPr>
        <w:jc w:val="both"/>
        <w:ind w:left="1380" w:right="20" w:hanging="796"/>
        <w:spacing w:after="0" w:line="259" w:lineRule="auto"/>
        <w:tabs>
          <w:tab w:leader="none" w:pos="1360" w:val="left"/>
        </w:tabs>
        <w:rPr>
          <w:sz w:val="20"/>
          <w:szCs w:val="20"/>
          <w:color w:val="auto"/>
        </w:rPr>
      </w:pPr>
      <w:r>
        <w:rPr>
          <w:rFonts w:ascii="Arial" w:cs="Arial" w:eastAsia="Arial" w:hAnsi="Arial"/>
          <w:sz w:val="18"/>
          <w:szCs w:val="18"/>
          <w:color w:val="auto"/>
        </w:rPr>
        <w:t>21.5.1</w:t>
      </w:r>
      <w:r>
        <w:rPr>
          <w:sz w:val="20"/>
          <w:szCs w:val="20"/>
          <w:color w:val="auto"/>
        </w:rPr>
        <w:tab/>
      </w:r>
      <w:r>
        <w:rPr>
          <w:rFonts w:ascii="Arial" w:cs="Arial" w:eastAsia="Arial" w:hAnsi="Arial"/>
          <w:sz w:val="18"/>
          <w:szCs w:val="18"/>
          <w:color w:val="auto"/>
        </w:rPr>
        <w:t>represent yourself as being in any way connected with or interested in the business of the Company or any Group Company (other than as a consultant or a member if such be the case) or use any name which is identical or similar to or likely to be confused with the name of the Company or any Group Company or any product or service produced or provided by the Company or any Group Company or which might suggest a connection with the Company or any Group Company; or</w:t>
      </w:r>
    </w:p>
    <w:p>
      <w:pPr>
        <w:spacing w:after="0" w:line="92" w:lineRule="exact"/>
        <w:rPr>
          <w:sz w:val="20"/>
          <w:szCs w:val="20"/>
          <w:color w:val="auto"/>
        </w:rPr>
      </w:pPr>
    </w:p>
    <w:p>
      <w:pPr>
        <w:ind w:left="1380" w:hanging="796"/>
        <w:spacing w:after="0" w:line="302" w:lineRule="auto"/>
        <w:tabs>
          <w:tab w:leader="none" w:pos="1360" w:val="left"/>
        </w:tabs>
        <w:rPr>
          <w:sz w:val="20"/>
          <w:szCs w:val="20"/>
          <w:color w:val="auto"/>
        </w:rPr>
      </w:pPr>
      <w:r>
        <w:rPr>
          <w:rFonts w:ascii="Arial" w:cs="Arial" w:eastAsia="Arial" w:hAnsi="Arial"/>
          <w:sz w:val="18"/>
          <w:szCs w:val="18"/>
          <w:color w:val="auto"/>
        </w:rPr>
        <w:t>21.5.2</w:t>
      </w:r>
      <w:r>
        <w:rPr>
          <w:sz w:val="20"/>
          <w:szCs w:val="20"/>
          <w:color w:val="auto"/>
        </w:rPr>
        <w:tab/>
      </w:r>
      <w:r>
        <w:rPr>
          <w:rFonts w:ascii="Arial" w:cs="Arial" w:eastAsia="Arial" w:hAnsi="Arial"/>
          <w:sz w:val="16"/>
          <w:szCs w:val="16"/>
          <w:color w:val="auto"/>
        </w:rPr>
        <w:t>directly or indirectly make, publish or otherwise communicate any statement whatsoever whether in writing or otherwise which may have the effect of damaging or lowering the business interests and/or the reputation of the Company or any Group Company or any of its or their former or existing agents, clients, consultants, directors, employees, officers, share-holders, suppliers or workers (“</w:t>
      </w:r>
      <w:r>
        <w:rPr>
          <w:rFonts w:ascii="Arial" w:cs="Arial" w:eastAsia="Arial" w:hAnsi="Arial"/>
          <w:sz w:val="16"/>
          <w:szCs w:val="16"/>
          <w:b w:val="1"/>
          <w:bCs w:val="1"/>
          <w:color w:val="auto"/>
        </w:rPr>
        <w:t>Relevant Personnel</w:t>
      </w:r>
      <w:r>
        <w:rPr>
          <w:rFonts w:ascii="Arial" w:cs="Arial" w:eastAsia="Arial" w:hAnsi="Arial"/>
          <w:sz w:val="16"/>
          <w:szCs w:val="16"/>
          <w:color w:val="auto"/>
        </w:rPr>
        <w:t>”) and/or which may be disparaging or derogatory to any of the Company or any Group Company or any Relevant Personnel.</w:t>
      </w:r>
    </w:p>
    <w:p>
      <w:pPr>
        <w:spacing w:after="0" w:line="60" w:lineRule="exact"/>
        <w:rPr>
          <w:sz w:val="20"/>
          <w:szCs w:val="20"/>
          <w:color w:val="auto"/>
        </w:rPr>
      </w:pPr>
    </w:p>
    <w:p>
      <w:pPr>
        <w:ind w:left="580" w:right="380" w:hanging="566"/>
        <w:spacing w:after="0" w:line="277" w:lineRule="auto"/>
        <w:tabs>
          <w:tab w:leader="none" w:pos="560" w:val="left"/>
        </w:tabs>
        <w:rPr>
          <w:sz w:val="20"/>
          <w:szCs w:val="20"/>
          <w:color w:val="auto"/>
        </w:rPr>
      </w:pPr>
      <w:r>
        <w:rPr>
          <w:rFonts w:ascii="Arial" w:cs="Arial" w:eastAsia="Arial" w:hAnsi="Arial"/>
          <w:sz w:val="18"/>
          <w:szCs w:val="18"/>
          <w:color w:val="auto"/>
        </w:rPr>
        <w:t>21.6</w:t>
        <w:tab/>
        <w:t>The period of the restrictions in clauses 21.1 to 21.4 inclusive shall be reduced by the period, if any, spent by you during which you are placed on garden leave in accordance with clause 20.</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You agree to notify your new employer of the restrictions contained within clauses 21.1 to 21.4 inclusive.</w:t>
      </w:r>
    </w:p>
    <w:p>
      <w:pPr>
        <w:spacing w:after="0" w:line="131" w:lineRule="exact"/>
        <w:rPr>
          <w:sz w:val="20"/>
          <w:szCs w:val="20"/>
          <w:color w:val="auto"/>
        </w:rPr>
      </w:pPr>
    </w:p>
    <w:p>
      <w:pPr>
        <w:ind w:left="580" w:right="180" w:hanging="566"/>
        <w:spacing w:after="0" w:line="277" w:lineRule="auto"/>
        <w:tabs>
          <w:tab w:leader="none" w:pos="560" w:val="left"/>
        </w:tabs>
        <w:rPr>
          <w:sz w:val="20"/>
          <w:szCs w:val="20"/>
          <w:color w:val="auto"/>
        </w:rPr>
      </w:pPr>
      <w:r>
        <w:rPr>
          <w:rFonts w:ascii="Arial" w:cs="Arial" w:eastAsia="Arial" w:hAnsi="Arial"/>
          <w:sz w:val="18"/>
          <w:szCs w:val="18"/>
          <w:color w:val="auto"/>
        </w:rPr>
        <w:t>21.8</w:t>
        <w:tab/>
        <w:t>You acknowledge that, in the course of your employment, you are likely to have dealings with the clients, customers, suppliers and other contacts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74" w:right="239" w:bottom="1440" w:gutter="0" w:footer="0" w:header="0"/>
        </w:sectPr>
      </w:pPr>
    </w:p>
    <w:bookmarkStart w:id="293" w:name="page294"/>
    <w:bookmarkEnd w:id="293"/>
    <w:p>
      <w:pPr>
        <w:ind w:left="572"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agree that each of the restrictions in clauses 21.1 to 21.4 inclusive is separate and distinct, is to be construed separately from the other restrictions, and is reasonable as regards its duration, extent and application for the protection of the legitimate business interests of the Company. However, in the event that any such restriction shall be found to be void or unenforceable but would be valid or enforceable if some part or parts of it were deleted, you agree that such restriction shall apply with such deletions as may be necessary to make it valid and effective.</w:t>
      </w:r>
    </w:p>
    <w:p>
      <w:pPr>
        <w:spacing w:after="0" w:line="299" w:lineRule="exact"/>
        <w:rPr>
          <w:sz w:val="20"/>
          <w:szCs w:val="20"/>
          <w:color w:val="auto"/>
        </w:rPr>
      </w:pPr>
    </w:p>
    <w:p>
      <w:pPr>
        <w:ind w:left="572" w:hanging="572"/>
        <w:spacing w:after="0"/>
        <w:tabs>
          <w:tab w:leader="none" w:pos="572"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p>
    <w:p>
      <w:pPr>
        <w:spacing w:after="0" w:line="135" w:lineRule="exact"/>
        <w:rPr>
          <w:sz w:val="20"/>
          <w:szCs w:val="20"/>
          <w:color w:val="auto"/>
        </w:rPr>
      </w:pPr>
    </w:p>
    <w:p>
      <w:pPr>
        <w:ind w:left="572" w:right="480" w:hanging="566"/>
        <w:spacing w:after="0" w:line="277" w:lineRule="auto"/>
        <w:tabs>
          <w:tab w:leader="none" w:pos="552" w:val="left"/>
        </w:tabs>
        <w:rPr>
          <w:sz w:val="20"/>
          <w:szCs w:val="20"/>
          <w:color w:val="auto"/>
        </w:rPr>
      </w:pPr>
      <w:r>
        <w:rPr>
          <w:rFonts w:ascii="Arial" w:cs="Arial" w:eastAsia="Arial" w:hAnsi="Arial"/>
          <w:sz w:val="18"/>
          <w:szCs w:val="18"/>
          <w:color w:val="auto"/>
        </w:rPr>
        <w:t>22.1</w:t>
        <w:tab/>
        <w:t>All Documents and other property (including mobile telephones, laptop computers and other technical equipment) provided for your use by the Company, remain the property of the Company or any Group Company.</w:t>
      </w:r>
    </w:p>
    <w:p>
      <w:pPr>
        <w:spacing w:after="0" w:line="76" w:lineRule="exact"/>
        <w:rPr>
          <w:sz w:val="20"/>
          <w:szCs w:val="20"/>
          <w:color w:val="auto"/>
        </w:rPr>
      </w:pPr>
    </w:p>
    <w:p>
      <w:pPr>
        <w:ind w:left="572" w:right="140" w:hanging="566"/>
        <w:spacing w:after="0" w:line="277" w:lineRule="auto"/>
        <w:tabs>
          <w:tab w:leader="none" w:pos="552" w:val="left"/>
        </w:tabs>
        <w:rPr>
          <w:sz w:val="20"/>
          <w:szCs w:val="20"/>
          <w:color w:val="auto"/>
        </w:rPr>
      </w:pPr>
      <w:r>
        <w:rPr>
          <w:rFonts w:ascii="Arial" w:cs="Arial" w:eastAsia="Arial" w:hAnsi="Arial"/>
          <w:sz w:val="18"/>
          <w:szCs w:val="18"/>
          <w:color w:val="auto"/>
        </w:rPr>
        <w:t>22.2</w:t>
        <w:tab/>
        <w:t>Any Documents or other property in your possession and or obtained by you in the course of your employment shall be returned to your Manager at any time on request and in any event prior to the Termination Date.</w:t>
      </w:r>
    </w:p>
    <w:p>
      <w:pPr>
        <w:spacing w:after="0" w:line="76" w:lineRule="exact"/>
        <w:rPr>
          <w:sz w:val="20"/>
          <w:szCs w:val="20"/>
          <w:color w:val="auto"/>
        </w:rPr>
      </w:pPr>
    </w:p>
    <w:p>
      <w:pPr>
        <w:ind w:left="572" w:right="120" w:hanging="566"/>
        <w:spacing w:after="0" w:line="264" w:lineRule="auto"/>
        <w:tabs>
          <w:tab w:leader="none" w:pos="552" w:val="left"/>
        </w:tabs>
        <w:rPr>
          <w:sz w:val="20"/>
          <w:szCs w:val="20"/>
          <w:color w:val="auto"/>
        </w:rPr>
      </w:pPr>
      <w:r>
        <w:rPr>
          <w:rFonts w:ascii="Arial" w:cs="Arial" w:eastAsia="Arial" w:hAnsi="Arial"/>
          <w:sz w:val="18"/>
          <w:szCs w:val="18"/>
          <w:color w:val="auto"/>
        </w:rPr>
        <w:t>22.3</w:t>
        <w:tab/>
        <w:t>At any time upon request and in any event prior to the Termination Date you must irretrievably delete any information relating to the business of the Company or any Group Company stored on any magnetic or optical disk or memory and all matter derived from such sources which is in your possession or under your control outside the Company’s premises.</w:t>
      </w:r>
    </w:p>
    <w:p>
      <w:pPr>
        <w:spacing w:after="0" w:line="326" w:lineRule="exact"/>
        <w:rPr>
          <w:sz w:val="20"/>
          <w:szCs w:val="20"/>
          <w:color w:val="auto"/>
        </w:rPr>
      </w:pPr>
    </w:p>
    <w:p>
      <w:pPr>
        <w:ind w:left="572" w:hanging="572"/>
        <w:spacing w:after="0"/>
        <w:tabs>
          <w:tab w:leader="none" w:pos="572"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Grievance Procedure</w:t>
      </w:r>
    </w:p>
    <w:p>
      <w:pPr>
        <w:spacing w:after="0" w:line="121" w:lineRule="exact"/>
        <w:rPr>
          <w:rFonts w:ascii="Arial" w:cs="Arial" w:eastAsia="Arial" w:hAnsi="Arial"/>
          <w:sz w:val="18"/>
          <w:szCs w:val="18"/>
          <w:b w:val="1"/>
          <w:bCs w:val="1"/>
          <w:color w:val="auto"/>
        </w:rPr>
      </w:pPr>
    </w:p>
    <w:p>
      <w:pPr>
        <w:ind w:left="572"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purpose of the grievance procedure is to ensure that any problem, concern or grievance you have about your work, working environment or working relationships is properly dealt with. The Company’s current grievance procedure, which does not form part of your terms and conditions of employment, is set out in the Company’s Employee Handbook. Should you have any grievance in relation to the Appointment which you are unable to resolve on an informal basis, you should raise it in the first instance with your Manager. In the event that such grievance is against your Manager, you should raise it in the first instance with the Chief Financial Officer or General Counsel.</w:t>
      </w:r>
    </w:p>
    <w:p>
      <w:pPr>
        <w:spacing w:after="0" w:line="317" w:lineRule="exact"/>
        <w:rPr>
          <w:rFonts w:ascii="Arial" w:cs="Arial" w:eastAsia="Arial" w:hAnsi="Arial"/>
          <w:sz w:val="18"/>
          <w:szCs w:val="18"/>
          <w:b w:val="1"/>
          <w:bCs w:val="1"/>
          <w:color w:val="auto"/>
        </w:rPr>
      </w:pPr>
    </w:p>
    <w:p>
      <w:pPr>
        <w:ind w:left="572" w:hanging="572"/>
        <w:spacing w:after="0"/>
        <w:tabs>
          <w:tab w:leader="none" w:pos="572"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Procedure</w:t>
      </w:r>
    </w:p>
    <w:p>
      <w:pPr>
        <w:spacing w:after="0" w:line="135" w:lineRule="exact"/>
        <w:rPr>
          <w:sz w:val="20"/>
          <w:szCs w:val="20"/>
          <w:color w:val="auto"/>
        </w:rPr>
      </w:pPr>
    </w:p>
    <w:p>
      <w:pPr>
        <w:ind w:left="572" w:hanging="566"/>
        <w:spacing w:after="0" w:line="259" w:lineRule="auto"/>
        <w:tabs>
          <w:tab w:leader="none" w:pos="552" w:val="left"/>
        </w:tabs>
        <w:rPr>
          <w:sz w:val="20"/>
          <w:szCs w:val="20"/>
          <w:color w:val="auto"/>
        </w:rPr>
      </w:pPr>
      <w:r>
        <w:rPr>
          <w:rFonts w:ascii="Arial" w:cs="Arial" w:eastAsia="Arial" w:hAnsi="Arial"/>
          <w:sz w:val="18"/>
          <w:szCs w:val="18"/>
          <w:color w:val="auto"/>
        </w:rPr>
        <w:t>24.1</w:t>
        <w:tab/>
        <w:t>The purpose of the disciplinary procedure is to ensure that the standards established by the Company’s rules are maintained and that any alleged failure to observe the Company’s rules is fairly dealt with. The Company’s current disciplinary procedure, which does not form part of your terms and conditions of employment, is set out in the Company’s Employee Handbook. If you wish to appeal against a disciplinary decision you must do in accordance with the disciplinary procedure to a Director of the Company.</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72"/>
          </w:cols>
          <w:pgMar w:left="248" w:top="274" w:right="279" w:bottom="1440" w:gutter="0" w:footer="0" w:header="0"/>
        </w:sectPr>
      </w:pPr>
    </w:p>
    <w:bookmarkStart w:id="294" w:name="page295"/>
    <w:bookmarkEnd w:id="294"/>
    <w:p>
      <w:pPr>
        <w:ind w:left="580" w:right="160" w:hanging="566"/>
        <w:spacing w:after="0" w:line="264"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24.2</w:t>
        <w:tab/>
        <w:t>The Company may at any time and from time to time in its discretion suspend you from your duties on payment of full Salary and/or exclude you from any premises of the Company and/or any Group Company whilst it carries out any investigation or disciplinary process. During any period of suspension:</w:t>
      </w:r>
    </w:p>
    <w:p>
      <w:pPr>
        <w:spacing w:after="0" w:line="87" w:lineRule="exact"/>
        <w:rPr>
          <w:sz w:val="20"/>
          <w:szCs w:val="20"/>
          <w:color w:val="auto"/>
        </w:rPr>
      </w:pPr>
    </w:p>
    <w:p>
      <w:pPr>
        <w:ind w:left="1380" w:right="600" w:hanging="796"/>
        <w:spacing w:after="0" w:line="277" w:lineRule="auto"/>
        <w:tabs>
          <w:tab w:leader="none" w:pos="1360" w:val="left"/>
        </w:tabs>
        <w:rPr>
          <w:sz w:val="20"/>
          <w:szCs w:val="20"/>
          <w:color w:val="auto"/>
        </w:rPr>
      </w:pPr>
      <w:r>
        <w:rPr>
          <w:rFonts w:ascii="Arial" w:cs="Arial" w:eastAsia="Arial" w:hAnsi="Arial"/>
          <w:sz w:val="18"/>
          <w:szCs w:val="18"/>
          <w:color w:val="auto"/>
        </w:rPr>
        <w:t>24.2.1</w:t>
      </w:r>
      <w:r>
        <w:rPr>
          <w:sz w:val="20"/>
          <w:szCs w:val="20"/>
          <w:color w:val="auto"/>
        </w:rPr>
        <w:tab/>
      </w:r>
      <w:r>
        <w:rPr>
          <w:rFonts w:ascii="Arial" w:cs="Arial" w:eastAsia="Arial" w:hAnsi="Arial"/>
          <w:sz w:val="18"/>
          <w:szCs w:val="18"/>
          <w:color w:val="auto"/>
        </w:rPr>
        <w:t>you shall continue to receive your basic salary and all contractual benefits in the usual way and subject to the terms of any benefit arrangement;</w:t>
      </w:r>
    </w:p>
    <w:p>
      <w:pPr>
        <w:spacing w:after="0" w:line="7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6"/>
          <w:szCs w:val="16"/>
          <w:color w:val="auto"/>
        </w:rPr>
        <w:t>you shall remain an employee of the Company and bound by the terms of this Contract;</w:t>
      </w:r>
    </w:p>
    <w:p>
      <w:pPr>
        <w:spacing w:after="0" w:line="131"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24.3</w:t>
        <w:tab/>
        <w:t>you shall ensure that your Manager knows where you will be and how you can be contacted during each working day (except during any periods taken as holiday in the usual way);</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the Company may exclude you from your place of work or any other premises of the Company or any Group Company; and</w:t>
      </w:r>
    </w:p>
    <w:p>
      <w:pPr>
        <w:spacing w:after="0" w:line="131" w:lineRule="exact"/>
        <w:rPr>
          <w:sz w:val="20"/>
          <w:szCs w:val="20"/>
          <w:color w:val="auto"/>
        </w:rPr>
      </w:pPr>
    </w:p>
    <w:p>
      <w:pPr>
        <w:ind w:left="580" w:right="360" w:hanging="566"/>
        <w:spacing w:after="0" w:line="308" w:lineRule="auto"/>
        <w:tabs>
          <w:tab w:leader="none" w:pos="56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the Company may require you not to contact or deal with (or attempt to contact or deal with) any officer, employee, consultant, client, customer, supplier, agent, distributor, shareholder, adviser or other business contact of the Company or any Group Company.</w:t>
      </w:r>
    </w:p>
    <w:p>
      <w:pPr>
        <w:spacing w:after="0" w:line="291" w:lineRule="exact"/>
        <w:rPr>
          <w:sz w:val="20"/>
          <w:szCs w:val="20"/>
          <w:color w:val="auto"/>
        </w:rPr>
      </w:pPr>
    </w:p>
    <w:p>
      <w:pPr>
        <w:ind w:left="580" w:hanging="572"/>
        <w:spacing w:after="0"/>
        <w:tabs>
          <w:tab w:leader="none" w:pos="5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Collective Agreements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There are no collective agreements affecting your terms and conditions of employment.</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Work outside the United Kingdom</w:t>
      </w:r>
    </w:p>
    <w:p>
      <w:pPr>
        <w:spacing w:after="0" w:line="135"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26.1</w:t>
        <w:tab/>
        <w:t>It is not envisaged by the Company that you will be required to travel for work purposes outside the United Kingdom for any periods longer than one month.</w:t>
      </w:r>
    </w:p>
    <w:p>
      <w:pPr>
        <w:spacing w:after="0" w:line="76" w:lineRule="exact"/>
        <w:rPr>
          <w:sz w:val="20"/>
          <w:szCs w:val="20"/>
          <w:color w:val="auto"/>
        </w:rPr>
      </w:pPr>
    </w:p>
    <w:p>
      <w:pPr>
        <w:ind w:left="580" w:right="60" w:hanging="566"/>
        <w:spacing w:after="0" w:line="277" w:lineRule="auto"/>
        <w:tabs>
          <w:tab w:leader="none" w:pos="560" w:val="left"/>
        </w:tabs>
        <w:rPr>
          <w:sz w:val="20"/>
          <w:szCs w:val="20"/>
          <w:color w:val="auto"/>
        </w:rPr>
      </w:pPr>
      <w:r>
        <w:rPr>
          <w:rFonts w:ascii="Arial" w:cs="Arial" w:eastAsia="Arial" w:hAnsi="Arial"/>
          <w:sz w:val="18"/>
          <w:szCs w:val="18"/>
          <w:color w:val="auto"/>
        </w:rPr>
        <w:t>26.2</w:t>
        <w:tab/>
        <w:t>In the event you are required to work outside the United Kingdom for a period of more than one month, the Company will consult with you and will provide the prescribed information to you.</w:t>
      </w:r>
    </w:p>
    <w:p>
      <w:pPr>
        <w:spacing w:after="0" w:line="315" w:lineRule="exact"/>
        <w:rPr>
          <w:sz w:val="20"/>
          <w:szCs w:val="20"/>
          <w:color w:val="auto"/>
        </w:rPr>
      </w:pPr>
    </w:p>
    <w:p>
      <w:pPr>
        <w:ind w:left="580" w:hanging="572"/>
        <w:spacing w:after="0"/>
        <w:tabs>
          <w:tab w:leader="none" w:pos="5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21" w:lineRule="exact"/>
        <w:rPr>
          <w:rFonts w:ascii="Arial" w:cs="Arial" w:eastAsia="Arial" w:hAnsi="Arial"/>
          <w:sz w:val="18"/>
          <w:szCs w:val="18"/>
          <w:b w:val="1"/>
          <w:bCs w:val="1"/>
          <w:color w:val="auto"/>
        </w:rPr>
      </w:pPr>
    </w:p>
    <w:p>
      <w:pPr>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purposes of the Data Protection Act 1998 you agree that personal data (including sensitive personal data) relating to you which has been or is in the future obtained by the Company may be held and processed by the Company or any Group Company either by computer or manually for all purposes relating to the performance of your contract of employment and the Company’s legitimate business needs and legal obligations including, but not limited to the following:</w:t>
      </w:r>
    </w:p>
    <w:p>
      <w:pPr>
        <w:spacing w:after="0" w:line="9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27.1.1</w:t>
      </w:r>
      <w:r>
        <w:rPr>
          <w:rFonts w:ascii="Arial" w:cs="Arial" w:eastAsia="Arial" w:hAnsi="Arial"/>
          <w:sz w:val="16"/>
          <w:szCs w:val="16"/>
          <w:color w:val="auto"/>
        </w:rPr>
        <w:t>administering and maintaining the Company’s personnel records;</w:t>
      </w:r>
    </w:p>
    <w:p>
      <w:pPr>
        <w:spacing w:after="0" w:line="13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27.1.2</w:t>
      </w:r>
      <w:r>
        <w:rPr>
          <w:rFonts w:ascii="Arial" w:cs="Arial" w:eastAsia="Arial" w:hAnsi="Arial"/>
          <w:sz w:val="16"/>
          <w:szCs w:val="16"/>
          <w:color w:val="auto"/>
        </w:rPr>
        <w:t>paying and reviewing salary and other remuneration and benefits;</w:t>
      </w:r>
    </w:p>
    <w:p>
      <w:pPr>
        <w:spacing w:after="0" w:line="13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27.1.3</w:t>
      </w:r>
      <w:r>
        <w:rPr>
          <w:rFonts w:ascii="Arial" w:cs="Arial" w:eastAsia="Arial" w:hAnsi="Arial"/>
          <w:sz w:val="16"/>
          <w:szCs w:val="16"/>
          <w:color w:val="auto"/>
        </w:rPr>
        <w:t>providing and administering benefits (including pension) and Private Medical Health Insurance;</w:t>
      </w:r>
    </w:p>
    <w:p>
      <w:pPr>
        <w:spacing w:after="0" w:line="13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27.1.4</w:t>
      </w:r>
      <w:r>
        <w:rPr>
          <w:rFonts w:ascii="Arial" w:cs="Arial" w:eastAsia="Arial" w:hAnsi="Arial"/>
          <w:sz w:val="16"/>
          <w:szCs w:val="16"/>
          <w:color w:val="auto"/>
        </w:rPr>
        <w:t>undertaking performance appraisals and reviews and setting performance targets;</w:t>
      </w:r>
    </w:p>
    <w:p>
      <w:pPr>
        <w:spacing w:after="0" w:line="13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27.1.5</w:t>
      </w:r>
      <w:r>
        <w:rPr>
          <w:rFonts w:ascii="Arial" w:cs="Arial" w:eastAsia="Arial" w:hAnsi="Arial"/>
          <w:sz w:val="15"/>
          <w:szCs w:val="15"/>
          <w:color w:val="auto"/>
        </w:rPr>
        <w:t>maintaining sickness and other absence records;</w:t>
      </w:r>
    </w:p>
    <w:p>
      <w:pPr>
        <w:spacing w:after="0" w:line="157" w:lineRule="exact"/>
        <w:rPr>
          <w:rFonts w:ascii="Arial" w:cs="Arial" w:eastAsia="Arial" w:hAnsi="Arial"/>
          <w:sz w:val="18"/>
          <w:szCs w:val="18"/>
          <w:b w:val="1"/>
          <w:bCs w:val="1"/>
          <w:color w:val="auto"/>
        </w:rPr>
      </w:pPr>
    </w:p>
    <w:p>
      <w:pPr>
        <w:ind w:left="5620" w:hanging="101"/>
        <w:spacing w:after="0"/>
        <w:tabs>
          <w:tab w:leader="none" w:pos="56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320"/>
          </w:cols>
          <w:pgMar w:left="240" w:top="274" w:right="339" w:bottom="1440" w:gutter="0" w:footer="0" w:header="0"/>
        </w:sectPr>
      </w:pPr>
    </w:p>
    <w:bookmarkStart w:id="295" w:name="page296"/>
    <w:bookmarkEnd w:id="295"/>
    <w:p>
      <w:pPr>
        <w:ind w:left="580"/>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27.1.6</w:t>
      </w:r>
      <w:r>
        <w:rPr>
          <w:sz w:val="20"/>
          <w:szCs w:val="20"/>
          <w:color w:val="auto"/>
        </w:rPr>
        <w:tab/>
      </w:r>
      <w:r>
        <w:rPr>
          <w:rFonts w:ascii="Arial" w:cs="Arial" w:eastAsia="Arial" w:hAnsi="Arial"/>
          <w:sz w:val="16"/>
          <w:szCs w:val="16"/>
          <w:color w:val="auto"/>
        </w:rPr>
        <w:t>taking decisions as to your fitness for work;</w:t>
      </w:r>
    </w:p>
    <w:p>
      <w:pPr>
        <w:spacing w:after="0" w:line="131" w:lineRule="exact"/>
        <w:rPr>
          <w:sz w:val="20"/>
          <w:szCs w:val="20"/>
          <w:color w:val="auto"/>
        </w:rPr>
      </w:pPr>
    </w:p>
    <w:p>
      <w:pPr>
        <w:ind w:left="1380" w:right="480" w:hanging="796"/>
        <w:spacing w:after="0" w:line="277" w:lineRule="auto"/>
        <w:tabs>
          <w:tab w:leader="none" w:pos="1360" w:val="left"/>
        </w:tabs>
        <w:rPr>
          <w:sz w:val="20"/>
          <w:szCs w:val="20"/>
          <w:color w:val="auto"/>
        </w:rPr>
      </w:pPr>
      <w:r>
        <w:rPr>
          <w:rFonts w:ascii="Arial" w:cs="Arial" w:eastAsia="Arial" w:hAnsi="Arial"/>
          <w:sz w:val="18"/>
          <w:szCs w:val="18"/>
          <w:color w:val="auto"/>
        </w:rPr>
        <w:t>27.1.7</w:t>
      </w:r>
      <w:r>
        <w:rPr>
          <w:sz w:val="20"/>
          <w:szCs w:val="20"/>
          <w:color w:val="auto"/>
        </w:rPr>
        <w:tab/>
      </w:r>
      <w:r>
        <w:rPr>
          <w:rFonts w:ascii="Arial" w:cs="Arial" w:eastAsia="Arial" w:hAnsi="Arial"/>
          <w:sz w:val="18"/>
          <w:szCs w:val="18"/>
          <w:color w:val="auto"/>
        </w:rPr>
        <w:t>providing references and information to future employers, and if necessary, governmental and quasi-governmental bodies for social security and other purposes, and HM Revenue and Customs;</w:t>
      </w:r>
    </w:p>
    <w:p>
      <w:pPr>
        <w:spacing w:after="0" w:line="7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27.1.8</w:t>
      </w:r>
      <w:r>
        <w:rPr>
          <w:sz w:val="20"/>
          <w:szCs w:val="20"/>
          <w:color w:val="auto"/>
        </w:rPr>
        <w:tab/>
      </w:r>
      <w:r>
        <w:rPr>
          <w:rFonts w:ascii="Arial" w:cs="Arial" w:eastAsia="Arial" w:hAnsi="Arial"/>
          <w:sz w:val="16"/>
          <w:szCs w:val="16"/>
          <w:color w:val="auto"/>
        </w:rPr>
        <w:t>providing information to future purchasers of the Company or of the business in which you work; and</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27.1.9</w:t>
      </w:r>
      <w:r>
        <w:rPr>
          <w:sz w:val="20"/>
          <w:szCs w:val="20"/>
          <w:color w:val="auto"/>
        </w:rPr>
        <w:tab/>
      </w:r>
      <w:r>
        <w:rPr>
          <w:rFonts w:ascii="Arial" w:cs="Arial" w:eastAsia="Arial" w:hAnsi="Arial"/>
          <w:sz w:val="16"/>
          <w:szCs w:val="16"/>
          <w:color w:val="auto"/>
        </w:rPr>
        <w:t>transferring information concerning you to a country or territory outside the European Economic Area.</w:t>
      </w:r>
    </w:p>
    <w:p>
      <w:pPr>
        <w:spacing w:after="0" w:line="370" w:lineRule="exact"/>
        <w:rPr>
          <w:sz w:val="20"/>
          <w:szCs w:val="20"/>
          <w:color w:val="auto"/>
        </w:rPr>
      </w:pPr>
    </w:p>
    <w:p>
      <w:pPr>
        <w:ind w:left="580" w:hanging="572"/>
        <w:spacing w:after="0"/>
        <w:tabs>
          <w:tab w:leader="none" w:pos="5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Monitoring</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You shall comply with any electronic communication systems policies that the Company may issue from time to time.</w:t>
      </w:r>
    </w:p>
    <w:p>
      <w:pPr>
        <w:spacing w:after="0" w:line="131" w:lineRule="exact"/>
        <w:rPr>
          <w:sz w:val="20"/>
          <w:szCs w:val="20"/>
          <w:color w:val="auto"/>
        </w:rPr>
      </w:pPr>
    </w:p>
    <w:p>
      <w:pPr>
        <w:ind w:left="580" w:right="120" w:hanging="566"/>
        <w:spacing w:after="0" w:line="276" w:lineRule="auto"/>
        <w:tabs>
          <w:tab w:leader="none" w:pos="56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7"/>
          <w:szCs w:val="17"/>
          <w:color w:val="auto"/>
        </w:rPr>
        <w:t>To ensure regulatory compliance and for the protection of its workers, clients/customers and business, the Company reserves the right to monitor, intercept, review and access any communication facilities provided by the Company or any Group Company that you may use during the Appointment. The Company will use this right of access reasonably but it is important that you are aware that communications and activities on the equipment or premises of the Company and any Group Company cannot be presumed to be private. You consent to the Company and/or any Group Company and its or their duly authorised agents and employees using surveillance equipment.</w:t>
      </w:r>
    </w:p>
    <w:p>
      <w:pPr>
        <w:spacing w:after="0" w:line="317" w:lineRule="exact"/>
        <w:rPr>
          <w:sz w:val="20"/>
          <w:szCs w:val="20"/>
          <w:color w:val="auto"/>
        </w:rPr>
      </w:pPr>
    </w:p>
    <w:p>
      <w:pPr>
        <w:ind w:left="580" w:hanging="572"/>
        <w:spacing w:after="0"/>
        <w:tabs>
          <w:tab w:leader="none" w:pos="5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Rules, Policies and Procedures</w:t>
      </w:r>
    </w:p>
    <w:p>
      <w:pPr>
        <w:spacing w:after="0" w:line="121" w:lineRule="exact"/>
        <w:rPr>
          <w:rFonts w:ascii="Arial" w:cs="Arial" w:eastAsia="Arial" w:hAnsi="Arial"/>
          <w:sz w:val="18"/>
          <w:szCs w:val="18"/>
          <w:b w:val="1"/>
          <w:bCs w:val="1"/>
          <w:color w:val="auto"/>
        </w:rPr>
      </w:pPr>
    </w:p>
    <w:p>
      <w:pPr>
        <w:ind w:left="5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You must comply at all times with all the rules, policies and procedures introduced by the Company from time to time, including but not limited to any contained in the Company’s Employee Handbook. For the avoidance of doubt such rules, policies and procedures are not incorporated by reference into this Contract and they can be changed, replaced or withdrawn at any time at the discretion of the Company. Breach of Company rules, policies or procedures may result in disciplinary action.</w:t>
      </w:r>
    </w:p>
    <w:p>
      <w:pPr>
        <w:spacing w:after="0" w:line="331" w:lineRule="exact"/>
        <w:rPr>
          <w:rFonts w:ascii="Arial" w:cs="Arial" w:eastAsia="Arial" w:hAnsi="Arial"/>
          <w:sz w:val="18"/>
          <w:szCs w:val="18"/>
          <w:b w:val="1"/>
          <w:bCs w:val="1"/>
          <w:color w:val="auto"/>
        </w:rPr>
      </w:pPr>
    </w:p>
    <w:p>
      <w:pPr>
        <w:ind w:left="580" w:hanging="572"/>
        <w:spacing w:after="0"/>
        <w:tabs>
          <w:tab w:leader="none" w:pos="5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Health and Safety</w:t>
      </w:r>
    </w:p>
    <w:p>
      <w:pPr>
        <w:spacing w:after="0" w:line="121"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employees and workers have a duty in law to act responsibly and to take reasonable care for the health and safety at work of both themselves and their colleagues. This duty can be carried out by:</w:t>
      </w:r>
    </w:p>
    <w:p>
      <w:pPr>
        <w:spacing w:after="0" w:line="75" w:lineRule="exact"/>
        <w:rPr>
          <w:rFonts w:ascii="Arial" w:cs="Arial" w:eastAsia="Arial" w:hAnsi="Arial"/>
          <w:sz w:val="18"/>
          <w:szCs w:val="18"/>
          <w:b w:val="1"/>
          <w:bCs w:val="1"/>
          <w:color w:val="auto"/>
        </w:rPr>
      </w:pPr>
    </w:p>
    <w:p>
      <w:pPr>
        <w:ind w:left="1380" w:hanging="805"/>
        <w:spacing w:after="0"/>
        <w:tabs>
          <w:tab w:leader="none" w:pos="13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working safely and efficiently;</w:t>
      </w:r>
    </w:p>
    <w:p>
      <w:pPr>
        <w:spacing w:after="0" w:line="130" w:lineRule="exact"/>
        <w:rPr>
          <w:rFonts w:ascii="Arial" w:cs="Arial" w:eastAsia="Arial" w:hAnsi="Arial"/>
          <w:sz w:val="18"/>
          <w:szCs w:val="18"/>
          <w:color w:val="auto"/>
        </w:rPr>
      </w:pPr>
    </w:p>
    <w:p>
      <w:pPr>
        <w:ind w:left="1380" w:hanging="805"/>
        <w:spacing w:after="0"/>
        <w:tabs>
          <w:tab w:leader="none" w:pos="13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using any protective equipment provided and meeting statutory obligations;</w:t>
      </w:r>
    </w:p>
    <w:p>
      <w:pPr>
        <w:spacing w:after="0" w:line="130" w:lineRule="exact"/>
        <w:rPr>
          <w:rFonts w:ascii="Arial" w:cs="Arial" w:eastAsia="Arial" w:hAnsi="Arial"/>
          <w:sz w:val="18"/>
          <w:szCs w:val="18"/>
          <w:color w:val="auto"/>
        </w:rPr>
      </w:pPr>
    </w:p>
    <w:p>
      <w:pPr>
        <w:ind w:left="1380" w:hanging="805"/>
        <w:spacing w:after="0"/>
        <w:tabs>
          <w:tab w:leader="none" w:pos="13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adhering to the Company procedures for securing a safe workplace.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Further provisions relating to health and safety can be found in the Employee Handbook.</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20"/>
          </w:cols>
          <w:pgMar w:left="240" w:top="274" w:right="339" w:bottom="1440" w:gutter="0" w:footer="0" w:header="0"/>
        </w:sectPr>
      </w:pPr>
    </w:p>
    <w:bookmarkStart w:id="296" w:name="page297"/>
    <w:bookmarkEnd w:id="296"/>
    <w:p>
      <w:pPr>
        <w:ind w:left="572" w:hanging="572"/>
        <w:spacing w:after="0"/>
        <w:tabs>
          <w:tab w:leader="none" w:pos="572"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Contracts (Rights of Third Parties) Act 1999</w:t>
      </w:r>
    </w:p>
    <w:p>
      <w:pPr>
        <w:spacing w:after="0" w:line="121" w:lineRule="exact"/>
        <w:rPr>
          <w:rFonts w:ascii="Arial" w:cs="Arial" w:eastAsia="Arial" w:hAnsi="Arial"/>
          <w:sz w:val="18"/>
          <w:szCs w:val="18"/>
          <w:b w:val="1"/>
          <w:bCs w:val="1"/>
          <w:color w:val="auto"/>
        </w:rPr>
      </w:pPr>
    </w:p>
    <w:p>
      <w:pPr>
        <w:ind w:left="572" w:right="5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or any Group Company may enforce the terms of this Contract and the Contracts (Rights of Third Parties) Act 1999 shall apply accordingly except that the consent of such Group Companies will not be required to vary or rescind the terms of the Contract.</w:t>
      </w:r>
    </w:p>
    <w:p>
      <w:pPr>
        <w:spacing w:after="0" w:line="291" w:lineRule="exact"/>
        <w:rPr>
          <w:rFonts w:ascii="Arial" w:cs="Arial" w:eastAsia="Arial" w:hAnsi="Arial"/>
          <w:sz w:val="18"/>
          <w:szCs w:val="18"/>
          <w:b w:val="1"/>
          <w:bCs w:val="1"/>
          <w:color w:val="auto"/>
        </w:rPr>
      </w:pPr>
    </w:p>
    <w:p>
      <w:pPr>
        <w:ind w:left="572" w:hanging="572"/>
        <w:spacing w:after="0"/>
        <w:tabs>
          <w:tab w:leader="none" w:pos="572"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6"/>
          <w:szCs w:val="16"/>
          <w:color w:val="auto"/>
        </w:rPr>
        <w:t>This Contract shall be interpreted and construed in accordance with the laws of England and shall be subject to the jurisdiction of the English courts.</w:t>
      </w:r>
    </w:p>
    <w:p>
      <w:pPr>
        <w:spacing w:after="0" w:line="392" w:lineRule="exact"/>
        <w:rPr>
          <w:rFonts w:ascii="Arial" w:cs="Arial" w:eastAsia="Arial" w:hAnsi="Arial"/>
          <w:sz w:val="18"/>
          <w:szCs w:val="18"/>
          <w:b w:val="1"/>
          <w:bCs w:val="1"/>
          <w:color w:val="auto"/>
        </w:rPr>
      </w:pPr>
    </w:p>
    <w:p>
      <w:pPr>
        <w:ind w:left="572" w:hanging="572"/>
        <w:spacing w:after="0"/>
        <w:tabs>
          <w:tab w:leader="none" w:pos="572"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w:t>
      </w:r>
    </w:p>
    <w:p>
      <w:pPr>
        <w:spacing w:after="0" w:line="121" w:lineRule="exact"/>
        <w:rPr>
          <w:rFonts w:ascii="Arial" w:cs="Arial" w:eastAsia="Arial" w:hAnsi="Arial"/>
          <w:sz w:val="18"/>
          <w:szCs w:val="18"/>
          <w:b w:val="1"/>
          <w:bCs w:val="1"/>
          <w:color w:val="auto"/>
        </w:rPr>
      </w:pPr>
    </w:p>
    <w:p>
      <w:pPr>
        <w:ind w:left="57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315" w:lineRule="exact"/>
        <w:rPr>
          <w:rFonts w:ascii="Arial" w:cs="Arial" w:eastAsia="Arial" w:hAnsi="Arial"/>
          <w:sz w:val="18"/>
          <w:szCs w:val="18"/>
          <w:b w:val="1"/>
          <w:bCs w:val="1"/>
          <w:color w:val="auto"/>
        </w:rPr>
      </w:pPr>
    </w:p>
    <w:p>
      <w:pPr>
        <w:ind w:left="572" w:hanging="572"/>
        <w:spacing w:after="0"/>
        <w:tabs>
          <w:tab w:leader="none" w:pos="572"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your Terms of Employment</w:t>
      </w:r>
    </w:p>
    <w:p>
      <w:pPr>
        <w:spacing w:after="0" w:line="121" w:lineRule="exact"/>
        <w:rPr>
          <w:rFonts w:ascii="Arial" w:cs="Arial" w:eastAsia="Arial" w:hAnsi="Arial"/>
          <w:sz w:val="18"/>
          <w:szCs w:val="18"/>
          <w:b w:val="1"/>
          <w:bCs w:val="1"/>
          <w:color w:val="auto"/>
        </w:rPr>
      </w:pPr>
    </w:p>
    <w:p>
      <w:pPr>
        <w:ind w:left="57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reserves the right to make reasonable changes to any of your terms of employment. You will be notified in writing of any change as soon as possible and in any event within one month of the change.</w:t>
      </w:r>
    </w:p>
    <w:p>
      <w:pPr>
        <w:spacing w:after="0" w:line="315" w:lineRule="exact"/>
        <w:rPr>
          <w:rFonts w:ascii="Arial" w:cs="Arial" w:eastAsia="Arial" w:hAnsi="Arial"/>
          <w:sz w:val="18"/>
          <w:szCs w:val="18"/>
          <w:b w:val="1"/>
          <w:bCs w:val="1"/>
          <w:color w:val="auto"/>
        </w:rPr>
      </w:pPr>
    </w:p>
    <w:p>
      <w:pPr>
        <w:ind w:left="572" w:hanging="572"/>
        <w:spacing w:after="0"/>
        <w:tabs>
          <w:tab w:leader="none" w:pos="572"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572" w:right="100" w:hanging="566"/>
        <w:spacing w:after="0" w:line="286" w:lineRule="auto"/>
        <w:tabs>
          <w:tab w:leader="none" w:pos="552"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Any notice or other communication given or made under this Contract must be in writing and delivered to the relevant party (including by hand or special delivery) or sent by first class post to the address of that party specified in this Contract or such other address as may be notified by that party from time to time for this purpose, and shall be effective notwithstanding any change of address not so notified.</w:t>
      </w:r>
    </w:p>
    <w:p>
      <w:pPr>
        <w:spacing w:after="0" w:line="71" w:lineRule="exact"/>
        <w:rPr>
          <w:sz w:val="20"/>
          <w:szCs w:val="20"/>
          <w:color w:val="auto"/>
        </w:rPr>
      </w:pPr>
    </w:p>
    <w:p>
      <w:pPr>
        <w:ind w:left="572" w:right="300" w:hanging="566"/>
        <w:spacing w:after="0" w:line="277" w:lineRule="auto"/>
        <w:tabs>
          <w:tab w:leader="none" w:pos="552" w:val="left"/>
        </w:tabs>
        <w:rPr>
          <w:sz w:val="20"/>
          <w:szCs w:val="20"/>
          <w:color w:val="auto"/>
        </w:rPr>
      </w:pPr>
      <w:r>
        <w:rPr>
          <w:rFonts w:ascii="Arial" w:cs="Arial" w:eastAsia="Arial" w:hAnsi="Arial"/>
          <w:sz w:val="18"/>
          <w:szCs w:val="18"/>
          <w:color w:val="auto"/>
        </w:rPr>
        <w:t>35.2</w:t>
        <w:tab/>
        <w:t>Unless the contrary shall be proven, each such notice or communication shall be deemed to have been given or made, if sent by first class post, 48 hours after posting and, if delivered by hand, at the time of such delivery.</w:t>
      </w:r>
    </w:p>
    <w:p>
      <w:pPr>
        <w:spacing w:after="0" w:line="315" w:lineRule="exact"/>
        <w:rPr>
          <w:sz w:val="20"/>
          <w:szCs w:val="20"/>
          <w:color w:val="auto"/>
        </w:rPr>
      </w:pPr>
    </w:p>
    <w:p>
      <w:pPr>
        <w:ind w:left="572" w:hanging="572"/>
        <w:spacing w:after="0"/>
        <w:tabs>
          <w:tab w:leader="none" w:pos="572"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ind w:left="572" w:right="300" w:hanging="566"/>
        <w:spacing w:after="0" w:line="308" w:lineRule="auto"/>
        <w:tabs>
          <w:tab w:leader="none" w:pos="552"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7"/>
          <w:szCs w:val="17"/>
          <w:color w:val="auto"/>
        </w:rPr>
        <w:t>This Contract constitutes the entire agreement between the parties and supersedes and extinguishes all previous agreements, promises, assurances, warranties, representations and understandings between them, whether written or oral, relating to its subject matter.</w:t>
      </w:r>
    </w:p>
    <w:p>
      <w:pPr>
        <w:spacing w:after="0" w:line="52" w:lineRule="exact"/>
        <w:rPr>
          <w:sz w:val="20"/>
          <w:szCs w:val="20"/>
          <w:color w:val="auto"/>
        </w:rPr>
      </w:pPr>
    </w:p>
    <w:p>
      <w:pPr>
        <w:ind w:left="572" w:hanging="566"/>
        <w:spacing w:after="0" w:line="277" w:lineRule="auto"/>
        <w:tabs>
          <w:tab w:leader="none" w:pos="552" w:val="left"/>
        </w:tabs>
        <w:rPr>
          <w:sz w:val="20"/>
          <w:szCs w:val="20"/>
          <w:color w:val="auto"/>
        </w:rPr>
      </w:pPr>
      <w:r>
        <w:rPr>
          <w:rFonts w:ascii="Arial" w:cs="Arial" w:eastAsia="Arial" w:hAnsi="Arial"/>
          <w:sz w:val="18"/>
          <w:szCs w:val="18"/>
          <w:color w:val="auto"/>
        </w:rPr>
        <w:t>36.2</w:t>
        <w:tab/>
        <w:t>Each party acknowledges that in entering into this Contract it does not rely on, and shall have no remedies in respect of, any statement, representation, assurance or warranty (whether made innocently or negligently) that is not set out in this Contract.</w:t>
      </w:r>
    </w:p>
    <w:p>
      <w:pPr>
        <w:spacing w:after="0" w:line="76" w:lineRule="exact"/>
        <w:rPr>
          <w:sz w:val="20"/>
          <w:szCs w:val="20"/>
          <w:color w:val="auto"/>
        </w:rPr>
      </w:pPr>
    </w:p>
    <w:p>
      <w:pPr>
        <w:ind w:left="572" w:right="380" w:hanging="566"/>
        <w:spacing w:after="0" w:line="277" w:lineRule="auto"/>
        <w:tabs>
          <w:tab w:leader="none" w:pos="552" w:val="left"/>
        </w:tabs>
        <w:rPr>
          <w:sz w:val="20"/>
          <w:szCs w:val="20"/>
          <w:color w:val="auto"/>
        </w:rPr>
      </w:pPr>
      <w:r>
        <w:rPr>
          <w:rFonts w:ascii="Arial" w:cs="Arial" w:eastAsia="Arial" w:hAnsi="Arial"/>
          <w:sz w:val="18"/>
          <w:szCs w:val="18"/>
          <w:color w:val="auto"/>
        </w:rPr>
        <w:t>36.3</w:t>
        <w:tab/>
        <w:t>Each party agrees that it shall have no claim for innocent or negligent misrepresentation or negligent misstatement based on any statement in this Contract.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92"/>
          </w:cols>
          <w:pgMar w:left="248" w:top="270" w:right="259" w:bottom="1440" w:gutter="0" w:footer="0" w:header="0"/>
        </w:sectPr>
      </w:pPr>
    </w:p>
    <w:bookmarkStart w:id="297" w:name="page298"/>
    <w:bookmarkEnd w:id="297"/>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36.4</w:t>
      </w:r>
      <w:r>
        <w:rPr>
          <w:sz w:val="20"/>
          <w:szCs w:val="20"/>
          <w:color w:val="auto"/>
        </w:rPr>
        <w:tab/>
      </w:r>
      <w:r>
        <w:rPr>
          <w:rFonts w:ascii="Arial" w:cs="Arial" w:eastAsia="Arial" w:hAnsi="Arial"/>
          <w:sz w:val="16"/>
          <w:szCs w:val="16"/>
          <w:color w:val="auto"/>
        </w:rPr>
        <w:t>Nothing in this clause shall limit or exclude any liability for fraud.</w:t>
      </w:r>
    </w:p>
    <w:p>
      <w:pPr>
        <w:spacing w:after="0" w:line="370" w:lineRule="exact"/>
        <w:rPr>
          <w:sz w:val="20"/>
          <w:szCs w:val="20"/>
          <w:color w:val="auto"/>
        </w:rPr>
      </w:pPr>
    </w:p>
    <w:p>
      <w:pPr>
        <w:ind w:left="580" w:hanging="572"/>
        <w:spacing w:after="0"/>
        <w:tabs>
          <w:tab w:leader="none" w:pos="58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35"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37.1</w:t>
        <w:tab/>
        <w:t>This Contract may be executed in any number of counterparts, each of which when executed and delivered shall constitute a duplicate original, but all the counterparts shall together constitute the one agreement.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6"/>
          <w:szCs w:val="16"/>
          <w:color w:val="auto"/>
        </w:rPr>
        <w:t>No counterpart shall be effective until each party has executed and delivered at least one counterpart.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380"/>
          </w:cols>
          <w:pgMar w:left="240" w:top="274" w:right="279" w:bottom="1440" w:gutter="0" w:footer="0" w:header="0"/>
        </w:sectPr>
      </w:pPr>
    </w:p>
    <w:bookmarkStart w:id="298" w:name="page299"/>
    <w:bookmarkEnd w:id="298"/>
    <w:p>
      <w:pPr>
        <w:ind w:left="580" w:hanging="572"/>
        <w:spacing w:after="0"/>
        <w:tabs>
          <w:tab w:leader="none" w:pos="58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w:t>
      </w:r>
    </w:p>
    <w:p>
      <w:pPr>
        <w:spacing w:after="0" w:line="121" w:lineRule="exact"/>
        <w:rPr>
          <w:rFonts w:ascii="Arial" w:cs="Arial" w:eastAsia="Arial" w:hAnsi="Arial"/>
          <w:sz w:val="18"/>
          <w:szCs w:val="18"/>
          <w:b w:val="1"/>
          <w:bCs w:val="1"/>
          <w:color w:val="auto"/>
        </w:rPr>
      </w:pPr>
    </w:p>
    <w:p>
      <w:pPr>
        <w:ind w:left="5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You hereby irrevocably and by way of security appoint each director of the Company from time to time, jointly and severally, to be your attorney in your name and on your behalf and as your act and deed to sign, execute and do all acts, things and documents which you are obliged to execute and do under the provisions of this Contract (including, but not limited to clause 16.4) and you hereby agree immediately on the request of the Company to ratify and confirm all such acts, things and documents signed, executed or done in the pursuance of this power.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document has been executed as a deed and is delivered and takes effect on the date stated at the beginning of it.</w:t>
      </w:r>
    </w:p>
    <w:p>
      <w:pPr>
        <w:spacing w:after="0" w:line="25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14605</wp:posOffset>
            </wp:positionV>
            <wp:extent cx="29673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260"/>
          </w:cols>
          <w:pgMar w:left="240" w:top="270" w:right="399" w:bottom="1440" w:gutter="0" w:footer="0" w:header="0"/>
        </w:sectPr>
      </w:pPr>
    </w:p>
    <w:p>
      <w:pPr>
        <w:spacing w:after="0" w:line="36"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Signed by Mereo BioPharma Group plc acting by: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Signed as a deed by John Richard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Jessica Doughty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9673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Jessica Doughty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9673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14 Sheraton Mews, WD18 7PE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29673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29673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John Richard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Kathryn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9673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Kathryn Richard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9673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21 West Andrews Dr.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4880"/>
        <w:spacing w:after="0"/>
        <w:rPr>
          <w:sz w:val="20"/>
          <w:szCs w:val="20"/>
          <w:color w:val="auto"/>
        </w:rPr>
      </w:pPr>
      <w:r>
        <w:rPr>
          <w:rFonts w:ascii="Arial" w:cs="Arial" w:eastAsia="Arial" w:hAnsi="Arial"/>
          <w:sz w:val="16"/>
          <w:szCs w:val="16"/>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9673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73" w:lineRule="exact"/>
        <w:rPr>
          <w:sz w:val="20"/>
          <w:szCs w:val="20"/>
          <w:color w:val="auto"/>
        </w:rPr>
      </w:pPr>
    </w:p>
    <w:p>
      <w:pPr>
        <w:jc w:val="center"/>
        <w:ind w:right="4860"/>
        <w:spacing w:after="0"/>
        <w:rPr>
          <w:sz w:val="20"/>
          <w:szCs w:val="20"/>
          <w:color w:val="auto"/>
        </w:rPr>
      </w:pPr>
      <w:r>
        <w:rPr>
          <w:rFonts w:ascii="Arial" w:cs="Arial" w:eastAsia="Arial" w:hAnsi="Arial"/>
          <w:sz w:val="18"/>
          <w:szCs w:val="18"/>
          <w:color w:val="auto"/>
        </w:rPr>
        <w:t>- 25 -</w:t>
      </w:r>
    </w:p>
    <w:p>
      <w:pPr>
        <w:sectPr>
          <w:pgSz w:w="11900" w:h="16838" w:orient="portrait"/>
          <w:cols w:equalWidth="0" w:num="2">
            <w:col w:w="4300" w:space="720"/>
            <w:col w:w="6240"/>
          </w:cols>
          <w:pgMar w:left="240" w:top="270" w:right="399" w:bottom="1440" w:gutter="0" w:footer="0" w:header="0"/>
          <w:type w:val="continuous"/>
        </w:sectPr>
      </w:pPr>
    </w:p>
    <w:bookmarkStart w:id="299" w:name="page300"/>
    <w:bookmarkEnd w:id="29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WRITTEN JOB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Employee’s duties and responsibilities shall be as follows:-</w:t>
      </w:r>
    </w:p>
    <w:p>
      <w:pPr>
        <w:spacing w:after="0" w:line="252" w:lineRule="exact"/>
        <w:rPr>
          <w:sz w:val="20"/>
          <w:szCs w:val="20"/>
          <w:color w:val="auto"/>
        </w:rPr>
      </w:pPr>
    </w:p>
    <w:p>
      <w:pPr>
        <w:ind w:left="900" w:hanging="325"/>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Advising on the Company’s business development strategy</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Negotiating the structure and terms of business transactions involving the Company’s products including the in-licensing, out-licensing, purchase and acquisition of product candidates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Meeting with senior management of pharmaceutical companies to discuss including the in-licensing, out-licensing, purchase and acquisition of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Attend key conferences to discuss the in-licensing, out-licensing, purchase and acquisition of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Manage the individuals reporting to you as Head of Corporate Development</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360"/>
          </w:cols>
          <w:pgMar w:left="240" w:top="270" w:right="29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Vaxart,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Catalyst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QUE Oncology,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Phase4 Partners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Phase4 Ventures III GPLP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Phase4 Ventures III FPLP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John Richard &amp; Associates, LLC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10FE21"/>
    <w:multiLevelType w:val="hybridMultilevel"/>
    <w:lvl w:ilvl="0">
      <w:lvlJc w:val="left"/>
      <w:lvlText w:val="(%1)"/>
      <w:numFmt w:val="decimal"/>
      <w:start w:val="2"/>
    </w:lvl>
  </w:abstractNum>
  <w:abstractNum w:abstractNumId="1">
    <w:nsid w:val="E7FFA2B"/>
    <w:multiLevelType w:val="hybridMultilevel"/>
    <w:lvl w:ilvl="0">
      <w:lvlJc w:val="left"/>
      <w:lvlText w:val="£"/>
      <w:numFmt w:val="bullet"/>
      <w:start w:val="1"/>
    </w:lvl>
  </w:abstractNum>
  <w:abstractNum w:abstractNumId="2">
    <w:nsid w:val="3C5991AA"/>
    <w:multiLevelType w:val="hybridMultilevel"/>
    <w:lvl w:ilvl="0">
      <w:lvlJc w:val="left"/>
      <w:lvlText w:val="$"/>
      <w:numFmt w:val="bullet"/>
      <w:start w:val="1"/>
    </w:lvl>
  </w:abstractNum>
  <w:abstractNum w:abstractNumId="3">
    <w:nsid w:val="4BD8591A"/>
    <w:multiLevelType w:val="hybridMultilevel"/>
    <w:lvl w:ilvl="0">
      <w:lvlJc w:val="left"/>
      <w:lvlText w:val="%1"/>
      <w:numFmt w:val="upperLetter"/>
      <w:start w:val="34"/>
    </w:lvl>
  </w:abstractNum>
  <w:abstractNum w:abstractNumId="4">
    <w:nsid w:val="78DF6A55"/>
    <w:multiLevelType w:val="hybridMultilevel"/>
    <w:lvl w:ilvl="0">
      <w:lvlJc w:val="left"/>
      <w:lvlText w:val="∎"/>
      <w:numFmt w:val="bullet"/>
      <w:start w:val="1"/>
    </w:lvl>
  </w:abstractNum>
  <w:abstractNum w:abstractNumId="5">
    <w:nsid w:val="39B7AAA2"/>
    <w:multiLevelType w:val="hybridMultilevel"/>
    <w:lvl w:ilvl="0">
      <w:lvlJc w:val="left"/>
      <w:lvlText w:val="∎"/>
      <w:numFmt w:val="bullet"/>
      <w:start w:val="1"/>
    </w:lvl>
  </w:abstractNum>
  <w:abstractNum w:abstractNumId="6">
    <w:nsid w:val="2B0D8DBE"/>
    <w:multiLevelType w:val="hybridMultilevel"/>
    <w:lvl w:ilvl="0">
      <w:lvlJc w:val="left"/>
      <w:lvlText w:val="∎"/>
      <w:numFmt w:val="bullet"/>
      <w:start w:val="1"/>
    </w:lvl>
  </w:abstractNum>
  <w:abstractNum w:abstractNumId="7">
    <w:nsid w:val="6C80EC70"/>
    <w:multiLevelType w:val="hybridMultilevel"/>
    <w:lvl w:ilvl="0">
      <w:lvlJc w:val="left"/>
      <w:lvlText w:val="∎"/>
      <w:numFmt w:val="bullet"/>
      <w:start w:val="1"/>
    </w:lvl>
  </w:abstractNum>
  <w:abstractNum w:abstractNumId="8">
    <w:nsid w:val="379E21B5"/>
    <w:multiLevelType w:val="hybridMultilevel"/>
    <w:lvl w:ilvl="0">
      <w:lvlJc w:val="left"/>
      <w:lvlText w:val="∎"/>
      <w:numFmt w:val="bullet"/>
      <w:start w:val="1"/>
    </w:lvl>
  </w:abstractNum>
  <w:abstractNum w:abstractNumId="9">
    <w:nsid w:val="69E373"/>
    <w:multiLevelType w:val="hybridMultilevel"/>
    <w:lvl w:ilvl="0">
      <w:lvlJc w:val="left"/>
      <w:lvlText w:val="∎"/>
      <w:numFmt w:val="bullet"/>
      <w:start w:val="1"/>
    </w:lvl>
  </w:abstractNum>
  <w:abstractNum w:abstractNumId="10">
    <w:nsid w:val="2C27173B"/>
    <w:multiLevelType w:val="hybridMultilevel"/>
    <w:lvl w:ilvl="0">
      <w:lvlJc w:val="left"/>
      <w:lvlText w:val="∎"/>
      <w:numFmt w:val="bullet"/>
      <w:start w:val="1"/>
    </w:lvl>
  </w:abstractNum>
  <w:abstractNum w:abstractNumId="11">
    <w:nsid w:val="4C9B0904"/>
    <w:multiLevelType w:val="hybridMultilevel"/>
    <w:lvl w:ilvl="0">
      <w:lvlJc w:val="left"/>
      <w:lvlText w:val="∎"/>
      <w:numFmt w:val="bullet"/>
      <w:start w:val="1"/>
    </w:lvl>
  </w:abstractNum>
  <w:abstractNum w:abstractNumId="12">
    <w:nsid w:val="6AA7B75C"/>
    <w:multiLevelType w:val="hybridMultilevel"/>
    <w:lvl w:ilvl="0">
      <w:lvlJc w:val="left"/>
      <w:lvlText w:val="(%1)"/>
      <w:numFmt w:val="decimal"/>
      <w:start w:val="3"/>
    </w:lvl>
  </w:abstractNum>
  <w:abstractNum w:abstractNumId="13">
    <w:nsid w:val="1DF029D3"/>
    <w:multiLevelType w:val="hybridMultilevel"/>
    <w:lvl w:ilvl="0">
      <w:lvlJc w:val="left"/>
      <w:lvlText w:val="∎"/>
      <w:numFmt w:val="bullet"/>
      <w:start w:val="1"/>
    </w:lvl>
  </w:abstractNum>
  <w:abstractNum w:abstractNumId="14">
    <w:nsid w:val="5675FF36"/>
    <w:multiLevelType w:val="hybridMultilevel"/>
    <w:lvl w:ilvl="0">
      <w:lvlJc w:val="left"/>
      <w:lvlText w:val="∎"/>
      <w:numFmt w:val="bullet"/>
      <w:start w:val="1"/>
    </w:lvl>
  </w:abstractNum>
  <w:abstractNum w:abstractNumId="15">
    <w:nsid w:val="3DD15094"/>
    <w:multiLevelType w:val="hybridMultilevel"/>
    <w:lvl w:ilvl="0">
      <w:lvlJc w:val="left"/>
      <w:lvlText w:val="∎"/>
      <w:numFmt w:val="bullet"/>
      <w:start w:val="1"/>
    </w:lvl>
  </w:abstractNum>
  <w:abstractNum w:abstractNumId="16">
    <w:nsid w:val="3DB012B3"/>
    <w:multiLevelType w:val="hybridMultilevel"/>
    <w:lvl w:ilvl="0">
      <w:lvlJc w:val="left"/>
      <w:lvlText w:val="∎"/>
      <w:numFmt w:val="bullet"/>
      <w:start w:val="1"/>
    </w:lvl>
  </w:abstractNum>
  <w:abstractNum w:abstractNumId="17">
    <w:nsid w:val="2708C9AF"/>
    <w:multiLevelType w:val="hybridMultilevel"/>
    <w:lvl w:ilvl="0">
      <w:lvlJc w:val="left"/>
      <w:lvlText w:val="∎"/>
      <w:numFmt w:val="bullet"/>
      <w:start w:val="1"/>
    </w:lvl>
  </w:abstractNum>
  <w:abstractNum w:abstractNumId="18">
    <w:nsid w:val="5B25ACE2"/>
    <w:multiLevelType w:val="hybridMultilevel"/>
    <w:lvl w:ilvl="0">
      <w:lvlJc w:val="left"/>
      <w:lvlText w:val="∎"/>
      <w:numFmt w:val="bullet"/>
      <w:start w:val="1"/>
    </w:lvl>
  </w:abstractNum>
  <w:abstractNum w:abstractNumId="19">
    <w:nsid w:val="175DFCF0"/>
    <w:multiLevelType w:val="hybridMultilevel"/>
    <w:lvl w:ilvl="0">
      <w:lvlJc w:val="left"/>
      <w:lvlText w:val="∎"/>
      <w:numFmt w:val="bullet"/>
      <w:start w:val="1"/>
    </w:lvl>
  </w:abstractNum>
  <w:abstractNum w:abstractNumId="20">
    <w:nsid w:val="4F97E3E4"/>
    <w:multiLevelType w:val="hybridMultilevel"/>
    <w:lvl w:ilvl="0">
      <w:lvlJc w:val="left"/>
      <w:lvlText w:val="∎"/>
      <w:numFmt w:val="bullet"/>
      <w:start w:val="1"/>
    </w:lvl>
  </w:abstractNum>
  <w:abstractNum w:abstractNumId="21">
    <w:nsid w:val="53B0A9E"/>
    <w:multiLevelType w:val="hybridMultilevel"/>
    <w:lvl w:ilvl="0">
      <w:lvlJc w:val="left"/>
      <w:lvlText w:val="∎"/>
      <w:numFmt w:val="bullet"/>
      <w:start w:val="1"/>
    </w:lvl>
  </w:abstractNum>
  <w:abstractNum w:abstractNumId="22">
    <w:nsid w:val="34FD6B4F"/>
    <w:multiLevelType w:val="hybridMultilevel"/>
    <w:lvl w:ilvl="0">
      <w:lvlJc w:val="left"/>
      <w:lvlText w:val="∎"/>
      <w:numFmt w:val="bullet"/>
      <w:start w:val="1"/>
    </w:lvl>
  </w:abstractNum>
  <w:abstractNum w:abstractNumId="23">
    <w:nsid w:val="5915FF32"/>
    <w:multiLevelType w:val="hybridMultilevel"/>
    <w:lvl w:ilvl="0">
      <w:lvlJc w:val="left"/>
      <w:lvlText w:val="∎"/>
      <w:numFmt w:val="bullet"/>
      <w:start w:val="1"/>
    </w:lvl>
  </w:abstractNum>
  <w:abstractNum w:abstractNumId="24">
    <w:nsid w:val="56438D15"/>
    <w:multiLevelType w:val="hybridMultilevel"/>
    <w:lvl w:ilvl="0">
      <w:lvlJc w:val="left"/>
      <w:lvlText w:val="∎"/>
      <w:numFmt w:val="bullet"/>
      <w:start w:val="1"/>
    </w:lvl>
  </w:abstractNum>
  <w:abstractNum w:abstractNumId="25">
    <w:nsid w:val="519E3149"/>
    <w:multiLevelType w:val="hybridMultilevel"/>
    <w:lvl w:ilvl="0">
      <w:lvlJc w:val="left"/>
      <w:lvlText w:val="∎"/>
      <w:numFmt w:val="bullet"/>
      <w:start w:val="1"/>
    </w:lvl>
  </w:abstractNum>
  <w:abstractNum w:abstractNumId="26">
    <w:nsid w:val="2C6E4AFD"/>
    <w:multiLevelType w:val="hybridMultilevel"/>
    <w:lvl w:ilvl="0">
      <w:lvlJc w:val="left"/>
      <w:lvlText w:val="∎"/>
      <w:numFmt w:val="bullet"/>
      <w:start w:val="1"/>
    </w:lvl>
  </w:abstractNum>
  <w:abstractNum w:abstractNumId="27">
    <w:nsid w:val="17A1B582"/>
    <w:multiLevelType w:val="hybridMultilevel"/>
    <w:lvl w:ilvl="0">
      <w:lvlJc w:val="left"/>
      <w:lvlText w:val="∎"/>
      <w:numFmt w:val="bullet"/>
      <w:start w:val="1"/>
    </w:lvl>
  </w:abstractNum>
  <w:abstractNum w:abstractNumId="28">
    <w:nsid w:val="4DF72E4E"/>
    <w:multiLevelType w:val="hybridMultilevel"/>
    <w:lvl w:ilvl="0">
      <w:lvlJc w:val="left"/>
      <w:lvlText w:val="(%1)"/>
      <w:numFmt w:val="lowerRoman"/>
      <w:start w:val="4"/>
    </w:lvl>
  </w:abstractNum>
  <w:abstractNum w:abstractNumId="29">
    <w:nsid w:val="5046B5A9"/>
    <w:multiLevelType w:val="hybridMultilevel"/>
    <w:lvl w:ilvl="0">
      <w:lvlJc w:val="left"/>
      <w:lvlText w:val="∎"/>
      <w:numFmt w:val="bullet"/>
      <w:start w:val="1"/>
    </w:lvl>
  </w:abstractNum>
  <w:abstractNum w:abstractNumId="30">
    <w:nsid w:val="5D888A08"/>
    <w:multiLevelType w:val="hybridMultilevel"/>
    <w:lvl w:ilvl="0">
      <w:lvlJc w:val="left"/>
      <w:lvlText w:val="∎"/>
      <w:numFmt w:val="bullet"/>
      <w:start w:val="1"/>
    </w:lvl>
  </w:abstractNum>
  <w:abstractNum w:abstractNumId="31">
    <w:nsid w:val="2A082C70"/>
    <w:multiLevelType w:val="hybridMultilevel"/>
    <w:lvl w:ilvl="0">
      <w:lvlJc w:val="left"/>
      <w:lvlText w:val="∎"/>
      <w:numFmt w:val="bullet"/>
      <w:start w:val="1"/>
    </w:lvl>
  </w:abstractNum>
  <w:abstractNum w:abstractNumId="32">
    <w:nsid w:val="5EC6AFD4"/>
    <w:multiLevelType w:val="hybridMultilevel"/>
    <w:lvl w:ilvl="0">
      <w:lvlJc w:val="left"/>
      <w:lvlText w:val="∎"/>
      <w:numFmt w:val="bullet"/>
      <w:start w:val="1"/>
    </w:lvl>
  </w:abstractNum>
  <w:abstractNum w:abstractNumId="33">
    <w:nsid w:val="19E21BB2"/>
    <w:multiLevelType w:val="hybridMultilevel"/>
    <w:lvl w:ilvl="0">
      <w:lvlJc w:val="left"/>
      <w:lvlText w:val="∎"/>
      <w:numFmt w:val="bullet"/>
      <w:start w:val="1"/>
    </w:lvl>
  </w:abstractNum>
  <w:abstractNum w:abstractNumId="34">
    <w:nsid w:val="75E0858A"/>
    <w:multiLevelType w:val="hybridMultilevel"/>
    <w:lvl w:ilvl="0">
      <w:lvlJc w:val="left"/>
      <w:lvlText w:val="∎"/>
      <w:numFmt w:val="bullet"/>
      <w:start w:val="1"/>
    </w:lvl>
  </w:abstractNum>
  <w:abstractNum w:abstractNumId="35">
    <w:nsid w:val="57A61A29"/>
    <w:multiLevelType w:val="hybridMultilevel"/>
    <w:lvl w:ilvl="0">
      <w:lvlJc w:val="left"/>
      <w:lvlText w:val="∎"/>
      <w:numFmt w:val="bullet"/>
      <w:start w:val="1"/>
    </w:lvl>
  </w:abstractNum>
  <w:abstractNum w:abstractNumId="36">
    <w:nsid w:val="5399C654"/>
    <w:multiLevelType w:val="hybridMultilevel"/>
    <w:lvl w:ilvl="0">
      <w:lvlJc w:val="left"/>
      <w:lvlText w:val="(%1)"/>
      <w:numFmt w:val="lowerRoman"/>
      <w:start w:val="1"/>
    </w:lvl>
  </w:abstractNum>
  <w:abstractNum w:abstractNumId="37">
    <w:nsid w:val="20EE1348"/>
    <w:multiLevelType w:val="hybridMultilevel"/>
    <w:lvl w:ilvl="0">
      <w:lvlJc w:val="left"/>
      <w:lvlText w:val="∎"/>
      <w:numFmt w:val="bullet"/>
      <w:start w:val="1"/>
    </w:lvl>
  </w:abstractNum>
  <w:abstractNum w:abstractNumId="38">
    <w:nsid w:val="4427069A"/>
    <w:multiLevelType w:val="hybridMultilevel"/>
    <w:lvl w:ilvl="0">
      <w:lvlJc w:val="left"/>
      <w:lvlText w:val="∎"/>
      <w:numFmt w:val="bullet"/>
      <w:start w:val="1"/>
    </w:lvl>
  </w:abstractNum>
  <w:abstractNum w:abstractNumId="39">
    <w:nsid w:val="B37E80A"/>
    <w:multiLevelType w:val="hybridMultilevel"/>
    <w:lvl w:ilvl="0">
      <w:lvlJc w:val="left"/>
      <w:lvlText w:val="∎"/>
      <w:numFmt w:val="bullet"/>
      <w:start w:val="1"/>
    </w:lvl>
  </w:abstractNum>
  <w:abstractNum w:abstractNumId="40">
    <w:nsid w:val="2157F6BC"/>
    <w:multiLevelType w:val="hybridMultilevel"/>
    <w:lvl w:ilvl="0">
      <w:lvlJc w:val="left"/>
      <w:lvlText w:val="∎"/>
      <w:numFmt w:val="bullet"/>
      <w:start w:val="1"/>
    </w:lvl>
  </w:abstractNum>
  <w:abstractNum w:abstractNumId="41">
    <w:nsid w:val="704E1DD5"/>
    <w:multiLevelType w:val="hybridMultilevel"/>
    <w:lvl w:ilvl="0">
      <w:lvlJc w:val="left"/>
      <w:lvlText w:val="∎"/>
      <w:numFmt w:val="bullet"/>
      <w:start w:val="1"/>
    </w:lvl>
  </w:abstractNum>
  <w:abstractNum w:abstractNumId="42">
    <w:nsid w:val="57D2F10E"/>
    <w:multiLevelType w:val="hybridMultilevel"/>
    <w:lvl w:ilvl="0">
      <w:lvlJc w:val="left"/>
      <w:lvlText w:val="(%1)"/>
      <w:numFmt w:val="decimal"/>
      <w:start w:val="1"/>
    </w:lvl>
  </w:abstractNum>
  <w:abstractNum w:abstractNumId="43">
    <w:nsid w:val="BFFAE18"/>
    <w:multiLevelType w:val="hybridMultilevel"/>
    <w:lvl w:ilvl="0">
      <w:lvlJc w:val="left"/>
      <w:lvlText w:val="∎"/>
      <w:numFmt w:val="bullet"/>
      <w:start w:val="1"/>
    </w:lvl>
  </w:abstractNum>
  <w:abstractNum w:abstractNumId="44">
    <w:nsid w:val="E3E47A8"/>
    <w:multiLevelType w:val="hybridMultilevel"/>
    <w:lvl w:ilvl="0">
      <w:lvlJc w:val="left"/>
      <w:lvlText w:val="∎"/>
      <w:numFmt w:val="bullet"/>
      <w:start w:val="1"/>
    </w:lvl>
  </w:abstractNum>
  <w:abstractNum w:abstractNumId="45">
    <w:nsid w:val="2E48F044"/>
    <w:multiLevelType w:val="hybridMultilevel"/>
    <w:lvl w:ilvl="0">
      <w:lvlJc w:val="left"/>
      <w:lvlText w:val="£"/>
      <w:numFmt w:val="bullet"/>
      <w:start w:val="1"/>
    </w:lvl>
    <w:lvl w:ilvl="1">
      <w:lvlJc w:val="left"/>
      <w:lvlText w:val=","/>
      <w:numFmt w:val="bullet"/>
      <w:start w:val="1"/>
    </w:lvl>
  </w:abstractNum>
  <w:abstractNum w:abstractNumId="46">
    <w:nsid w:val="49D0FEAC"/>
    <w:multiLevelType w:val="hybridMultilevel"/>
    <w:lvl w:ilvl="0">
      <w:lvlJc w:val="left"/>
      <w:lvlText w:val="∎"/>
      <w:numFmt w:val="bullet"/>
      <w:start w:val="1"/>
    </w:lvl>
  </w:abstractNum>
  <w:abstractNum w:abstractNumId="47">
    <w:nsid w:val="4BEE5A5B"/>
    <w:multiLevelType w:val="hybridMultilevel"/>
    <w:lvl w:ilvl="0">
      <w:lvlJc w:val="left"/>
      <w:lvlText w:val="(%1)"/>
      <w:numFmt w:val="decimal"/>
      <w:start w:val="1"/>
    </w:lvl>
  </w:abstractNum>
  <w:abstractNum w:abstractNumId="48">
    <w:nsid w:val="5551B9F3"/>
    <w:multiLevelType w:val="hybridMultilevel"/>
    <w:lvl w:ilvl="0">
      <w:lvlJc w:val="left"/>
      <w:lvlText w:val="%1."/>
      <w:numFmt w:val="decimal"/>
      <w:start w:val="197"/>
    </w:lvl>
  </w:abstractNum>
  <w:abstractNum w:abstractNumId="49">
    <w:nsid w:val="24F6AB8E"/>
    <w:multiLevelType w:val="hybridMultilevel"/>
    <w:lvl w:ilvl="0">
      <w:lvlJc w:val="left"/>
      <w:lvlText w:val="∎"/>
      <w:numFmt w:val="bullet"/>
      <w:start w:val="1"/>
    </w:lvl>
  </w:abstractNum>
  <w:abstractNum w:abstractNumId="50">
    <w:nsid w:val="634C574C"/>
    <w:multiLevelType w:val="hybridMultilevel"/>
    <w:lvl w:ilvl="0">
      <w:lvlJc w:val="left"/>
      <w:lvlText w:val="∎"/>
      <w:numFmt w:val="bullet"/>
      <w:start w:val="1"/>
    </w:lvl>
  </w:abstractNum>
  <w:abstractNum w:abstractNumId="51">
    <w:nsid w:val="24E99DD7"/>
    <w:multiLevelType w:val="hybridMultilevel"/>
    <w:lvl w:ilvl="0">
      <w:lvlJc w:val="left"/>
      <w:lvlText w:val="∎"/>
      <w:numFmt w:val="bullet"/>
      <w:start w:val="1"/>
    </w:lvl>
  </w:abstractNum>
  <w:abstractNum w:abstractNumId="52">
    <w:nsid w:val="2A31B62D"/>
    <w:multiLevelType w:val="hybridMultilevel"/>
    <w:lvl w:ilvl="0">
      <w:lvlJc w:val="left"/>
      <w:lvlText w:val="∎"/>
      <w:numFmt w:val="bullet"/>
      <w:start w:val="1"/>
    </w:lvl>
  </w:abstractNum>
  <w:abstractNum w:abstractNumId="53">
    <w:nsid w:val="1849C29B"/>
    <w:multiLevelType w:val="hybridMultilevel"/>
    <w:lvl w:ilvl="0">
      <w:lvlJc w:val="left"/>
      <w:lvlText w:val="∎"/>
      <w:numFmt w:val="bullet"/>
      <w:start w:val="1"/>
    </w:lvl>
  </w:abstractNum>
  <w:abstractNum w:abstractNumId="54">
    <w:nsid w:val="7DFF9D09"/>
    <w:multiLevelType w:val="hybridMultilevel"/>
    <w:lvl w:ilvl="0">
      <w:lvlJc w:val="left"/>
      <w:lvlText w:val="(%1)"/>
      <w:numFmt w:val="decimal"/>
      <w:start w:val="1"/>
    </w:lvl>
  </w:abstractNum>
  <w:abstractNum w:abstractNumId="55">
    <w:nsid w:val="754342"/>
    <w:multiLevelType w:val="hybridMultilevel"/>
    <w:lvl w:ilvl="0">
      <w:lvlJc w:val="left"/>
      <w:lvlText w:val="∎"/>
      <w:numFmt w:val="bullet"/>
      <w:start w:val="1"/>
    </w:lvl>
    <w:lvl w:ilvl="1">
      <w:lvlJc w:val="left"/>
      <w:lvlText w:val="∎"/>
      <w:numFmt w:val="bullet"/>
      <w:start w:val="1"/>
    </w:lvl>
  </w:abstractNum>
  <w:abstractNum w:abstractNumId="56">
    <w:nsid w:val="69E7F3E5"/>
    <w:multiLevelType w:val="hybridMultilevel"/>
    <w:lvl w:ilvl="0">
      <w:lvlJc w:val="left"/>
      <w:lvlText w:val="∎"/>
      <w:numFmt w:val="bullet"/>
      <w:start w:val="1"/>
    </w:lvl>
  </w:abstractNum>
  <w:abstractNum w:abstractNumId="57">
    <w:nsid w:val="2A6DE806"/>
    <w:multiLevelType w:val="hybridMultilevel"/>
    <w:lvl w:ilvl="0">
      <w:lvlJc w:val="left"/>
      <w:lvlText w:val="∎"/>
      <w:numFmt w:val="bullet"/>
      <w:start w:val="1"/>
    </w:lvl>
  </w:abstractNum>
  <w:abstractNum w:abstractNumId="58">
    <w:nsid w:val="1816F8C4"/>
    <w:multiLevelType w:val="hybridMultilevel"/>
    <w:lvl w:ilvl="0">
      <w:lvlJc w:val="left"/>
      <w:lvlText w:val="∎"/>
      <w:numFmt w:val="bullet"/>
      <w:start w:val="1"/>
    </w:lvl>
  </w:abstractNum>
  <w:abstractNum w:abstractNumId="59">
    <w:nsid w:val="37DF2233"/>
    <w:multiLevelType w:val="hybridMultilevel"/>
    <w:lvl w:ilvl="0">
      <w:lvlJc w:val="left"/>
      <w:lvlText w:val="∎"/>
      <w:numFmt w:val="bullet"/>
      <w:start w:val="1"/>
    </w:lvl>
  </w:abstractNum>
  <w:abstractNum w:abstractNumId="60">
    <w:nsid w:val="7AB49DAF"/>
    <w:multiLevelType w:val="hybridMultilevel"/>
    <w:lvl w:ilvl="0">
      <w:lvlJc w:val="left"/>
      <w:lvlText w:val="∎"/>
      <w:numFmt w:val="bullet"/>
      <w:start w:val="1"/>
    </w:lvl>
    <w:lvl w:ilvl="1">
      <w:lvlJc w:val="left"/>
      <w:lvlText w:val="∎"/>
      <w:numFmt w:val="bullet"/>
      <w:start w:val="1"/>
    </w:lvl>
  </w:abstractNum>
  <w:abstractNum w:abstractNumId="61">
    <w:nsid w:val="759F82CD"/>
    <w:multiLevelType w:val="hybridMultilevel"/>
    <w:lvl w:ilvl="0">
      <w:lvlJc w:val="left"/>
      <w:lvlText w:val="*"/>
      <w:numFmt w:val="bullet"/>
      <w:start w:val="1"/>
    </w:lvl>
  </w:abstractNum>
  <w:abstractNum w:abstractNumId="62">
    <w:nsid w:val="61E74EA3"/>
    <w:multiLevelType w:val="hybridMultilevel"/>
    <w:lvl w:ilvl="0">
      <w:lvlJc w:val="left"/>
      <w:lvlText w:val="**"/>
      <w:numFmt w:val="bullet"/>
      <w:start w:val="1"/>
    </w:lvl>
  </w:abstractNum>
  <w:abstractNum w:abstractNumId="63">
    <w:nsid w:val="597B4D84"/>
    <w:multiLevelType w:val="hybridMultilevel"/>
    <w:lvl w:ilvl="0">
      <w:lvlJc w:val="left"/>
      <w:lvlText w:val="*"/>
      <w:numFmt w:val="bullet"/>
      <w:start w:val="1"/>
    </w:lvl>
  </w:abstractNum>
  <w:abstractNum w:abstractNumId="64">
    <w:nsid w:val="F819E7F"/>
    <w:multiLevelType w:val="hybridMultilevel"/>
    <w:lvl w:ilvl="0">
      <w:lvlJc w:val="left"/>
      <w:lvlText w:val="∎"/>
      <w:numFmt w:val="bullet"/>
      <w:start w:val="1"/>
    </w:lvl>
  </w:abstractNum>
  <w:abstractNum w:abstractNumId="65">
    <w:nsid w:val="57C7D42D"/>
    <w:multiLevelType w:val="hybridMultilevel"/>
    <w:lvl w:ilvl="0">
      <w:lvlJc w:val="left"/>
      <w:lvlText w:val="*"/>
      <w:numFmt w:val="bullet"/>
      <w:start w:val="1"/>
    </w:lvl>
  </w:abstractNum>
  <w:abstractNum w:abstractNumId="66">
    <w:nsid w:val="312167AD"/>
    <w:multiLevelType w:val="hybridMultilevel"/>
    <w:lvl w:ilvl="0">
      <w:lvlJc w:val="left"/>
      <w:lvlText w:val="∎"/>
      <w:numFmt w:val="bullet"/>
      <w:start w:val="1"/>
    </w:lvl>
  </w:abstractNum>
  <w:abstractNum w:abstractNumId="67">
    <w:nsid w:val="631B64D4"/>
    <w:multiLevelType w:val="hybridMultilevel"/>
    <w:lvl w:ilvl="0">
      <w:lvlJc w:val="left"/>
      <w:lvlText w:val="∎"/>
      <w:numFmt w:val="bullet"/>
      <w:start w:val="1"/>
    </w:lvl>
  </w:abstractNum>
  <w:abstractNum w:abstractNumId="68">
    <w:nsid w:val="78B5E776"/>
    <w:multiLevelType w:val="hybridMultilevel"/>
    <w:lvl w:ilvl="0">
      <w:lvlJc w:val="left"/>
      <w:lvlText w:val="∎"/>
      <w:numFmt w:val="bullet"/>
      <w:start w:val="1"/>
    </w:lvl>
  </w:abstractNum>
  <w:abstractNum w:abstractNumId="69">
    <w:nsid w:val="75486E47"/>
    <w:multiLevelType w:val="hybridMultilevel"/>
    <w:lvl w:ilvl="0">
      <w:lvlJc w:val="left"/>
      <w:lvlText w:val="%1"/>
      <w:numFmt w:val="upperLetter"/>
      <w:start w:val="34"/>
    </w:lvl>
  </w:abstractNum>
  <w:abstractNum w:abstractNumId="70">
    <w:nsid w:val="6E534CDE"/>
    <w:multiLevelType w:val="hybridMultilevel"/>
    <w:lvl w:ilvl="0">
      <w:lvlJc w:val="left"/>
      <w:lvlText w:val="*"/>
      <w:numFmt w:val="bullet"/>
      <w:start w:val="1"/>
    </w:lvl>
  </w:abstractNum>
  <w:abstractNum w:abstractNumId="71">
    <w:nsid w:val="1A0DDE32"/>
    <w:multiLevelType w:val="hybridMultilevel"/>
    <w:lvl w:ilvl="0">
      <w:lvlJc w:val="left"/>
      <w:lvlText w:val="*"/>
      <w:numFmt w:val="bullet"/>
      <w:start w:val="1"/>
    </w:lvl>
  </w:abstractNum>
  <w:abstractNum w:abstractNumId="72">
    <w:nsid w:val="65968C1C"/>
    <w:multiLevelType w:val="hybridMultilevel"/>
    <w:lvl w:ilvl="0">
      <w:lvlJc w:val="left"/>
      <w:lvlText w:val="**"/>
      <w:numFmt w:val="bullet"/>
      <w:start w:val="1"/>
    </w:lvl>
  </w:abstractNum>
  <w:abstractNum w:abstractNumId="73">
    <w:nsid w:val="46263DEC"/>
    <w:multiLevelType w:val="hybridMultilevel"/>
    <w:lvl w:ilvl="0">
      <w:lvlJc w:val="left"/>
      <w:lvlText w:val="***"/>
      <w:numFmt w:val="bullet"/>
      <w:start w:val="1"/>
    </w:lvl>
  </w:abstractNum>
  <w:abstractNum w:abstractNumId="74">
    <w:nsid w:val="260D8C4A"/>
    <w:multiLevelType w:val="hybridMultilevel"/>
    <w:lvl w:ilvl="0">
      <w:lvlJc w:val="left"/>
      <w:lvlText w:val="****"/>
      <w:numFmt w:val="bullet"/>
      <w:start w:val="1"/>
    </w:lvl>
  </w:abstractNum>
  <w:abstractNum w:abstractNumId="75">
    <w:nsid w:val="73D4D3C4"/>
    <w:multiLevelType w:val="hybridMultilevel"/>
    <w:lvl w:ilvl="0">
      <w:lvlJc w:val="left"/>
      <w:lvlText w:val="*"/>
      <w:numFmt w:val="bullet"/>
      <w:start w:val="1"/>
    </w:lvl>
  </w:abstractNum>
  <w:abstractNum w:abstractNumId="76">
    <w:nsid w:val="746F2E30"/>
    <w:multiLevelType w:val="hybridMultilevel"/>
    <w:lvl w:ilvl="0">
      <w:lvlJc w:val="left"/>
      <w:lvlText w:val="**"/>
      <w:numFmt w:val="bullet"/>
      <w:start w:val="1"/>
    </w:lvl>
  </w:abstractNum>
  <w:abstractNum w:abstractNumId="77">
    <w:nsid w:val="6FDE8AF6"/>
    <w:multiLevelType w:val="hybridMultilevel"/>
    <w:lvl w:ilvl="0">
      <w:lvlJc w:val="left"/>
      <w:lvlText w:val="***"/>
      <w:numFmt w:val="bullet"/>
      <w:start w:val="1"/>
    </w:lvl>
  </w:abstractNum>
  <w:abstractNum w:abstractNumId="78">
    <w:nsid w:val="3FC32E20"/>
    <w:multiLevelType w:val="hybridMultilevel"/>
    <w:lvl w:ilvl="0">
      <w:lvlJc w:val="left"/>
      <w:lvlText w:val="****"/>
      <w:numFmt w:val="bullet"/>
      <w:start w:val="1"/>
    </w:lvl>
  </w:abstractNum>
  <w:abstractNum w:abstractNumId="79">
    <w:nsid w:val="49C0E823"/>
    <w:multiLevelType w:val="hybridMultilevel"/>
    <w:lvl w:ilvl="0">
      <w:lvlJc w:val="left"/>
      <w:lvlText w:val="*"/>
      <w:numFmt w:val="bullet"/>
      <w:start w:val="1"/>
    </w:lvl>
  </w:abstractNum>
  <w:abstractNum w:abstractNumId="80">
    <w:nsid w:val="14D53685"/>
    <w:multiLevelType w:val="hybridMultilevel"/>
    <w:lvl w:ilvl="0">
      <w:lvlJc w:val="left"/>
      <w:lvlText w:val="**"/>
      <w:numFmt w:val="bullet"/>
      <w:start w:val="1"/>
    </w:lvl>
  </w:abstractNum>
  <w:abstractNum w:abstractNumId="81">
    <w:nsid w:val="230F856C"/>
    <w:multiLevelType w:val="hybridMultilevel"/>
    <w:lvl w:ilvl="0">
      <w:lvlJc w:val="left"/>
      <w:lvlText w:val="***"/>
      <w:numFmt w:val="bullet"/>
      <w:start w:val="1"/>
    </w:lvl>
  </w:abstractNum>
  <w:abstractNum w:abstractNumId="82">
    <w:nsid w:val="6EAA85FB"/>
    <w:multiLevelType w:val="hybridMultilevel"/>
    <w:lvl w:ilvl="0">
      <w:lvlJc w:val="left"/>
      <w:lvlText w:val="****"/>
      <w:numFmt w:val="bullet"/>
      <w:start w:val="1"/>
    </w:lvl>
  </w:abstractNum>
  <w:abstractNum w:abstractNumId="83">
    <w:nsid w:val="3F06ECB2"/>
    <w:multiLevelType w:val="hybridMultilevel"/>
    <w:lvl w:ilvl="0">
      <w:lvlJc w:val="left"/>
      <w:lvlText w:val="∎"/>
      <w:numFmt w:val="bullet"/>
      <w:start w:val="1"/>
    </w:lvl>
  </w:abstractNum>
  <w:abstractNum w:abstractNumId="84">
    <w:nsid w:val="3B594807"/>
    <w:multiLevelType w:val="hybridMultilevel"/>
    <w:lvl w:ilvl="0">
      <w:lvlJc w:val="left"/>
      <w:lvlText w:val="∎"/>
      <w:numFmt w:val="bullet"/>
      <w:start w:val="1"/>
    </w:lvl>
  </w:abstractNum>
  <w:abstractNum w:abstractNumId="85">
    <w:nsid w:val="6CAA2304"/>
    <w:multiLevelType w:val="hybridMultilevel"/>
    <w:lvl w:ilvl="0">
      <w:lvlJc w:val="left"/>
      <w:lvlText w:val="∎"/>
      <w:numFmt w:val="bullet"/>
      <w:start w:val="1"/>
    </w:lvl>
  </w:abstractNum>
  <w:abstractNum w:abstractNumId="86">
    <w:nsid w:val="3F7C2FF4"/>
    <w:multiLevelType w:val="hybridMultilevel"/>
    <w:lvl w:ilvl="0">
      <w:lvlJc w:val="left"/>
      <w:lvlText w:val="∎"/>
      <w:numFmt w:val="bullet"/>
      <w:start w:val="1"/>
    </w:lvl>
  </w:abstractNum>
  <w:abstractNum w:abstractNumId="87">
    <w:nsid w:val="25413BEC"/>
    <w:multiLevelType w:val="hybridMultilevel"/>
    <w:lvl w:ilvl="0">
      <w:lvlJc w:val="left"/>
      <w:lvlText w:val="∎"/>
      <w:numFmt w:val="bullet"/>
      <w:start w:val="1"/>
    </w:lvl>
  </w:abstractNum>
  <w:abstractNum w:abstractNumId="88">
    <w:nsid w:val="17180B0B"/>
    <w:multiLevelType w:val="hybridMultilevel"/>
    <w:lvl w:ilvl="0">
      <w:lvlJc w:val="left"/>
      <w:lvlText w:val="∎"/>
      <w:numFmt w:val="bullet"/>
      <w:start w:val="1"/>
    </w:lvl>
  </w:abstractNum>
  <w:abstractNum w:abstractNumId="89">
    <w:nsid w:val="579328B9"/>
    <w:multiLevelType w:val="hybridMultilevel"/>
    <w:lvl w:ilvl="0">
      <w:lvlJc w:val="left"/>
      <w:lvlText w:val="∎"/>
      <w:numFmt w:val="bullet"/>
      <w:start w:val="1"/>
    </w:lvl>
  </w:abstractNum>
  <w:abstractNum w:abstractNumId="90">
    <w:nsid w:val="5D205E20"/>
    <w:multiLevelType w:val="hybridMultilevel"/>
    <w:lvl w:ilvl="0">
      <w:lvlJc w:val="left"/>
      <w:lvlText w:val="∎"/>
      <w:numFmt w:val="bullet"/>
      <w:start w:val="1"/>
    </w:lvl>
  </w:abstractNum>
  <w:abstractNum w:abstractNumId="91">
    <w:nsid w:val="11CCA8BA"/>
    <w:multiLevelType w:val="hybridMultilevel"/>
    <w:lvl w:ilvl="0">
      <w:lvlJc w:val="left"/>
      <w:lvlText w:val="∎"/>
      <w:numFmt w:val="bullet"/>
      <w:start w:val="1"/>
    </w:lvl>
  </w:abstractNum>
  <w:abstractNum w:abstractNumId="92">
    <w:nsid w:val="4D32AB86"/>
    <w:multiLevelType w:val="hybridMultilevel"/>
    <w:lvl w:ilvl="0">
      <w:lvlJc w:val="left"/>
      <w:lvlText w:val="∎"/>
      <w:numFmt w:val="bullet"/>
      <w:start w:val="1"/>
    </w:lvl>
  </w:abstractNum>
  <w:abstractNum w:abstractNumId="93">
    <w:nsid w:val="3F07ACC3"/>
    <w:multiLevelType w:val="hybridMultilevel"/>
    <w:lvl w:ilvl="0">
      <w:lvlJc w:val="left"/>
      <w:lvlText w:val="∎"/>
      <w:numFmt w:val="bullet"/>
      <w:start w:val="1"/>
    </w:lvl>
  </w:abstractNum>
  <w:abstractNum w:abstractNumId="94">
    <w:nsid w:val="6B47F63E"/>
    <w:multiLevelType w:val="hybridMultilevel"/>
    <w:lvl w:ilvl="0">
      <w:lvlJc w:val="left"/>
      <w:lvlText w:val="∎"/>
      <w:numFmt w:val="bullet"/>
      <w:start w:val="1"/>
    </w:lvl>
  </w:abstractNum>
  <w:abstractNum w:abstractNumId="95">
    <w:nsid w:val="5CB44A05"/>
    <w:multiLevelType w:val="hybridMultilevel"/>
    <w:lvl w:ilvl="0">
      <w:lvlJc w:val="left"/>
      <w:lvlText w:val="∎"/>
      <w:numFmt w:val="bullet"/>
      <w:start w:val="1"/>
    </w:lvl>
  </w:abstractNum>
  <w:abstractNum w:abstractNumId="96">
    <w:nsid w:val="16CF80F1"/>
    <w:multiLevelType w:val="hybridMultilevel"/>
    <w:lvl w:ilvl="0">
      <w:lvlJc w:val="left"/>
      <w:lvlText w:val="∎"/>
      <w:numFmt w:val="bullet"/>
      <w:start w:val="1"/>
    </w:lvl>
  </w:abstractNum>
  <w:abstractNum w:abstractNumId="97">
    <w:nsid w:val="1C695DEC"/>
    <w:multiLevelType w:val="hybridMultilevel"/>
    <w:lvl w:ilvl="0">
      <w:lvlJc w:val="left"/>
      <w:lvlText w:val="∎"/>
      <w:numFmt w:val="bullet"/>
      <w:start w:val="1"/>
    </w:lvl>
  </w:abstractNum>
  <w:abstractNum w:abstractNumId="98">
    <w:nsid w:val="3FCFAED9"/>
    <w:multiLevelType w:val="hybridMultilevel"/>
    <w:lvl w:ilvl="0">
      <w:lvlJc w:val="left"/>
      <w:lvlText w:val="∎"/>
      <w:numFmt w:val="bullet"/>
      <w:start w:val="1"/>
    </w:lvl>
  </w:abstractNum>
  <w:abstractNum w:abstractNumId="99">
    <w:nsid w:val="F856867"/>
    <w:multiLevelType w:val="hybridMultilevel"/>
    <w:lvl w:ilvl="0">
      <w:lvlJc w:val="left"/>
      <w:lvlText w:val="(%1)"/>
      <w:numFmt w:val="decimal"/>
      <w:start w:val="1"/>
    </w:lvl>
  </w:abstractNum>
  <w:abstractNum w:abstractNumId="100">
    <w:nsid w:val="11B1CC33"/>
    <w:multiLevelType w:val="hybridMultilevel"/>
    <w:lvl w:ilvl="0">
      <w:lvlJc w:val="left"/>
      <w:lvlText w:val="∎"/>
      <w:numFmt w:val="bullet"/>
      <w:start w:val="1"/>
    </w:lvl>
  </w:abstractNum>
  <w:abstractNum w:abstractNumId="101">
    <w:nsid w:val="2E22FBB7"/>
    <w:multiLevelType w:val="hybridMultilevel"/>
    <w:lvl w:ilvl="0">
      <w:lvlJc w:val="left"/>
      <w:lvlText w:val="*"/>
      <w:numFmt w:val="bullet"/>
      <w:start w:val="1"/>
    </w:lvl>
  </w:abstractNum>
  <w:abstractNum w:abstractNumId="102">
    <w:nsid w:val="29934699"/>
    <w:multiLevelType w:val="hybridMultilevel"/>
    <w:lvl w:ilvl="0">
      <w:lvlJc w:val="left"/>
      <w:lvlText w:val="∎"/>
      <w:numFmt w:val="bullet"/>
      <w:start w:val="1"/>
    </w:lvl>
  </w:abstractNum>
  <w:abstractNum w:abstractNumId="103">
    <w:nsid w:val="77485850"/>
    <w:multiLevelType w:val="hybridMultilevel"/>
    <w:lvl w:ilvl="0">
      <w:lvlJc w:val="left"/>
      <w:lvlText w:val="∎"/>
      <w:numFmt w:val="bullet"/>
      <w:start w:val="1"/>
    </w:lvl>
  </w:abstractNum>
  <w:abstractNum w:abstractNumId="104">
    <w:nsid w:val="744939A3"/>
    <w:multiLevelType w:val="hybridMultilevel"/>
    <w:lvl w:ilvl="0">
      <w:lvlJc w:val="left"/>
      <w:lvlText w:val="∎"/>
      <w:numFmt w:val="bullet"/>
      <w:start w:val="1"/>
    </w:lvl>
  </w:abstractNum>
  <w:abstractNum w:abstractNumId="105">
    <w:nsid w:val="4FA0D2E3"/>
    <w:multiLevelType w:val="hybridMultilevel"/>
    <w:lvl w:ilvl="0">
      <w:lvlJc w:val="left"/>
      <w:lvlText w:val="∎"/>
      <w:numFmt w:val="bullet"/>
      <w:start w:val="1"/>
    </w:lvl>
  </w:abstractNum>
  <w:abstractNum w:abstractNumId="106">
    <w:nsid w:val="6B1D2C14"/>
    <w:multiLevelType w:val="hybridMultilevel"/>
    <w:lvl w:ilvl="0">
      <w:lvlJc w:val="left"/>
      <w:lvlText w:val="∎"/>
      <w:numFmt w:val="bullet"/>
      <w:start w:val="1"/>
    </w:lvl>
  </w:abstractNum>
  <w:abstractNum w:abstractNumId="107">
    <w:nsid w:val="68B867D3"/>
    <w:multiLevelType w:val="hybridMultilevel"/>
    <w:lvl w:ilvl="0">
      <w:lvlJc w:val="left"/>
      <w:lvlText w:val="∎"/>
      <w:numFmt w:val="bullet"/>
      <w:start w:val="1"/>
    </w:lvl>
    <w:lvl w:ilvl="1">
      <w:lvlJc w:val="left"/>
      <w:lvlText w:val="∎"/>
      <w:numFmt w:val="bullet"/>
      <w:start w:val="1"/>
    </w:lvl>
  </w:abstractNum>
  <w:abstractNum w:abstractNumId="108">
    <w:nsid w:val="3F7F5DD9"/>
    <w:multiLevelType w:val="hybridMultilevel"/>
    <w:lvl w:ilvl="0">
      <w:lvlJc w:val="left"/>
      <w:lvlText w:val="∎"/>
      <w:numFmt w:val="bullet"/>
      <w:start w:val="1"/>
    </w:lvl>
  </w:abstractNum>
  <w:abstractNum w:abstractNumId="109">
    <w:nsid w:val="2AE05A34"/>
    <w:multiLevelType w:val="hybridMultilevel"/>
    <w:lvl w:ilvl="0">
      <w:lvlJc w:val="left"/>
      <w:lvlText w:val="∎"/>
      <w:numFmt w:val="bullet"/>
      <w:start w:val="1"/>
    </w:lvl>
  </w:abstractNum>
  <w:abstractNum w:abstractNumId="110">
    <w:nsid w:val="32794FF7"/>
    <w:multiLevelType w:val="hybridMultilevel"/>
    <w:lvl w:ilvl="0">
      <w:lvlJc w:val="left"/>
      <w:lvlText w:val="∎"/>
      <w:numFmt w:val="bullet"/>
      <w:start w:val="1"/>
    </w:lvl>
  </w:abstractNum>
  <w:abstractNum w:abstractNumId="111">
    <w:nsid w:val="5454945E"/>
    <w:multiLevelType w:val="hybridMultilevel"/>
    <w:lvl w:ilvl="0">
      <w:lvlJc w:val="left"/>
      <w:lvlText w:val="∎"/>
      <w:numFmt w:val="bullet"/>
      <w:start w:val="1"/>
    </w:lvl>
  </w:abstractNum>
  <w:abstractNum w:abstractNumId="112">
    <w:nsid w:val="4DEFDFA0"/>
    <w:multiLevelType w:val="hybridMultilevel"/>
    <w:lvl w:ilvl="0">
      <w:lvlJc w:val="left"/>
      <w:lvlText w:val="∎"/>
      <w:numFmt w:val="bullet"/>
      <w:start w:val="1"/>
    </w:lvl>
    <w:lvl w:ilvl="1">
      <w:lvlJc w:val="left"/>
      <w:lvlText w:val="∎"/>
      <w:numFmt w:val="bullet"/>
      <w:start w:val="1"/>
    </w:lvl>
  </w:abstractNum>
  <w:abstractNum w:abstractNumId="113">
    <w:nsid w:val="2123D5F2"/>
    <w:multiLevelType w:val="hybridMultilevel"/>
    <w:lvl w:ilvl="0">
      <w:lvlJc w:val="left"/>
      <w:lvlText w:val="∎"/>
      <w:numFmt w:val="bullet"/>
      <w:start w:val="1"/>
    </w:lvl>
  </w:abstractNum>
  <w:abstractNum w:abstractNumId="114">
    <w:nsid w:val="135B8110"/>
    <w:multiLevelType w:val="hybridMultilevel"/>
    <w:lvl w:ilvl="0">
      <w:lvlJc w:val="left"/>
      <w:lvlText w:val="∎"/>
      <w:numFmt w:val="bullet"/>
      <w:start w:val="1"/>
    </w:lvl>
    <w:lvl w:ilvl="1">
      <w:lvlJc w:val="left"/>
      <w:lvlText w:val="∎"/>
      <w:numFmt w:val="bullet"/>
      <w:start w:val="1"/>
    </w:lvl>
  </w:abstractNum>
  <w:abstractNum w:abstractNumId="115">
    <w:nsid w:val="94927A8"/>
    <w:multiLevelType w:val="hybridMultilevel"/>
    <w:lvl w:ilvl="0">
      <w:lvlJc w:val="left"/>
      <w:lvlText w:val="∎"/>
      <w:numFmt w:val="bullet"/>
      <w:start w:val="1"/>
    </w:lvl>
  </w:abstractNum>
  <w:abstractNum w:abstractNumId="116">
    <w:nsid w:val="DCDF8F6"/>
    <w:multiLevelType w:val="hybridMultilevel"/>
    <w:lvl w:ilvl="0">
      <w:lvlJc w:val="left"/>
      <w:lvlText w:val="∎"/>
      <w:numFmt w:val="bullet"/>
      <w:start w:val="1"/>
    </w:lvl>
  </w:abstractNum>
  <w:abstractNum w:abstractNumId="117">
    <w:nsid w:val="52D7B105"/>
    <w:multiLevelType w:val="hybridMultilevel"/>
    <w:lvl w:ilvl="0">
      <w:lvlJc w:val="left"/>
      <w:lvlText w:val="∎"/>
      <w:numFmt w:val="bullet"/>
      <w:start w:val="1"/>
    </w:lvl>
  </w:abstractNum>
  <w:abstractNum w:abstractNumId="118">
    <w:nsid w:val="2E8A6394"/>
    <w:multiLevelType w:val="hybridMultilevel"/>
    <w:lvl w:ilvl="0">
      <w:lvlJc w:val="left"/>
      <w:lvlText w:val="∎"/>
      <w:numFmt w:val="bullet"/>
      <w:start w:val="1"/>
    </w:lvl>
  </w:abstractNum>
  <w:abstractNum w:abstractNumId="119">
    <w:nsid w:val="24E60401"/>
    <w:multiLevelType w:val="hybridMultilevel"/>
    <w:lvl w:ilvl="0">
      <w:lvlJc w:val="left"/>
      <w:lvlText w:val="∎"/>
      <w:numFmt w:val="bullet"/>
      <w:start w:val="1"/>
    </w:lvl>
  </w:abstractNum>
  <w:abstractNum w:abstractNumId="120">
    <w:nsid w:val="2A6AD9BE"/>
    <w:multiLevelType w:val="hybridMultilevel"/>
    <w:lvl w:ilvl="0">
      <w:lvlJc w:val="left"/>
      <w:lvlText w:val="∎"/>
      <w:numFmt w:val="bullet"/>
      <w:start w:val="1"/>
    </w:lvl>
  </w:abstractNum>
  <w:abstractNum w:abstractNumId="121">
    <w:nsid w:val="BAAC1B4"/>
    <w:multiLevelType w:val="hybridMultilevel"/>
    <w:lvl w:ilvl="0">
      <w:lvlJc w:val="left"/>
      <w:lvlText w:val="∎"/>
      <w:numFmt w:val="bullet"/>
      <w:start w:val="1"/>
    </w:lvl>
  </w:abstractNum>
  <w:abstractNum w:abstractNumId="122">
    <w:nsid w:val="36B2ACBC"/>
    <w:multiLevelType w:val="hybridMultilevel"/>
    <w:lvl w:ilvl="0">
      <w:lvlJc w:val="left"/>
      <w:lvlText w:val="∎"/>
      <w:numFmt w:val="bullet"/>
      <w:start w:val="1"/>
    </w:lvl>
  </w:abstractNum>
  <w:abstractNum w:abstractNumId="123">
    <w:nsid w:val="779D8544"/>
    <w:multiLevelType w:val="hybridMultilevel"/>
    <w:lvl w:ilvl="0">
      <w:lvlJc w:val="left"/>
      <w:lvlText w:val="∎"/>
      <w:numFmt w:val="bullet"/>
      <w:start w:val="1"/>
    </w:lvl>
  </w:abstractNum>
  <w:abstractNum w:abstractNumId="124">
    <w:nsid w:val="4AB26E78"/>
    <w:multiLevelType w:val="hybridMultilevel"/>
    <w:lvl w:ilvl="0">
      <w:lvlJc w:val="left"/>
      <w:lvlText w:val="∎"/>
      <w:numFmt w:val="bullet"/>
      <w:start w:val="1"/>
    </w:lvl>
  </w:abstractNum>
  <w:abstractNum w:abstractNumId="125">
    <w:nsid w:val="21FAA2FA"/>
    <w:multiLevelType w:val="hybridMultilevel"/>
    <w:lvl w:ilvl="0">
      <w:lvlJc w:val="left"/>
      <w:lvlText w:val="∎"/>
      <w:numFmt w:val="bullet"/>
      <w:start w:val="1"/>
    </w:lvl>
  </w:abstractNum>
  <w:abstractNum w:abstractNumId="126">
    <w:nsid w:val="5451CF49"/>
    <w:multiLevelType w:val="hybridMultilevel"/>
    <w:lvl w:ilvl="0">
      <w:lvlJc w:val="left"/>
      <w:lvlText w:val="∎"/>
      <w:numFmt w:val="bullet"/>
      <w:start w:val="1"/>
    </w:lvl>
  </w:abstractNum>
  <w:abstractNum w:abstractNumId="127">
    <w:nsid w:val="6181EF69"/>
    <w:multiLevelType w:val="hybridMultilevel"/>
    <w:lvl w:ilvl="0">
      <w:lvlJc w:val="left"/>
      <w:lvlText w:val="∎"/>
      <w:numFmt w:val="bullet"/>
      <w:start w:val="1"/>
    </w:lvl>
  </w:abstractNum>
  <w:abstractNum w:abstractNumId="128">
    <w:nsid w:val="3E6400E6"/>
    <w:multiLevelType w:val="hybridMultilevel"/>
    <w:lvl w:ilvl="0">
      <w:lvlJc w:val="left"/>
      <w:lvlText w:val="∎"/>
      <w:numFmt w:val="bullet"/>
      <w:start w:val="1"/>
    </w:lvl>
  </w:abstractNum>
  <w:abstractNum w:abstractNumId="129">
    <w:nsid w:val="14217E23"/>
    <w:multiLevelType w:val="hybridMultilevel"/>
    <w:lvl w:ilvl="0">
      <w:lvlJc w:val="left"/>
      <w:lvlText w:val="(%1)"/>
      <w:numFmt w:val="decimal"/>
      <w:start w:val="1"/>
    </w:lvl>
  </w:abstractNum>
  <w:abstractNum w:abstractNumId="130">
    <w:nsid w:val="710757D0"/>
    <w:multiLevelType w:val="hybridMultilevel"/>
    <w:lvl w:ilvl="0">
      <w:lvlJc w:val="left"/>
      <w:lvlText w:val="(%1)"/>
      <w:numFmt w:val="decimal"/>
      <w:start w:val="2"/>
    </w:lvl>
  </w:abstractNum>
  <w:abstractNum w:abstractNumId="131">
    <w:nsid w:val="5015CD1A"/>
    <w:multiLevelType w:val="hybridMultilevel"/>
    <w:lvl w:ilvl="0">
      <w:lvlJc w:val="left"/>
      <w:lvlText w:val="∎"/>
      <w:numFmt w:val="bullet"/>
      <w:start w:val="1"/>
    </w:lvl>
  </w:abstractNum>
  <w:abstractNum w:abstractNumId="132">
    <w:nsid w:val="424479DA"/>
    <w:multiLevelType w:val="hybridMultilevel"/>
    <w:lvl w:ilvl="0">
      <w:lvlJc w:val="left"/>
      <w:lvlText w:val="∎"/>
      <w:numFmt w:val="bullet"/>
      <w:start w:val="1"/>
    </w:lvl>
  </w:abstractNum>
  <w:abstractNum w:abstractNumId="133">
    <w:nsid w:val="1A9A9E69"/>
    <w:multiLevelType w:val="hybridMultilevel"/>
    <w:lvl w:ilvl="0">
      <w:lvlJc w:val="left"/>
      <w:lvlText w:val="∎"/>
      <w:numFmt w:val="bullet"/>
      <w:start w:val="1"/>
    </w:lvl>
  </w:abstractNum>
  <w:abstractNum w:abstractNumId="134">
    <w:nsid w:val="475E256A"/>
    <w:multiLevelType w:val="hybridMultilevel"/>
    <w:lvl w:ilvl="0">
      <w:lvlJc w:val="left"/>
      <w:lvlText w:val="∎"/>
      <w:numFmt w:val="bullet"/>
      <w:start w:val="1"/>
    </w:lvl>
  </w:abstractNum>
  <w:abstractNum w:abstractNumId="135">
    <w:nsid w:val="368DB37E"/>
    <w:multiLevelType w:val="hybridMultilevel"/>
    <w:lvl w:ilvl="0">
      <w:lvlJc w:val="left"/>
      <w:lvlText w:val="∎"/>
      <w:numFmt w:val="bullet"/>
      <w:start w:val="1"/>
    </w:lvl>
  </w:abstractNum>
  <w:abstractNum w:abstractNumId="136">
    <w:nsid w:val="6A3B714C"/>
    <w:multiLevelType w:val="hybridMultilevel"/>
    <w:lvl w:ilvl="0">
      <w:lvlJc w:val="left"/>
      <w:lvlText w:val="$"/>
      <w:numFmt w:val="bullet"/>
      <w:start w:val="1"/>
    </w:lvl>
  </w:abstractNum>
  <w:abstractNum w:abstractNumId="137">
    <w:nsid w:val="327B517E"/>
    <w:multiLevelType w:val="hybridMultilevel"/>
    <w:lvl w:ilvl="0">
      <w:lvlJc w:val="left"/>
      <w:lvlText w:val="$"/>
      <w:numFmt w:val="bullet"/>
      <w:start w:val="1"/>
    </w:lvl>
  </w:abstractNum>
  <w:abstractNum w:abstractNumId="138">
    <w:nsid w:val="1F461B51"/>
    <w:multiLevelType w:val="hybridMultilevel"/>
    <w:lvl w:ilvl="0">
      <w:lvlJc w:val="left"/>
      <w:lvlText w:val="∎"/>
      <w:numFmt w:val="bullet"/>
      <w:start w:val="1"/>
    </w:lvl>
  </w:abstractNum>
  <w:abstractNum w:abstractNumId="139">
    <w:nsid w:val="29BACF25"/>
    <w:multiLevelType w:val="hybridMultilevel"/>
    <w:lvl w:ilvl="0">
      <w:lvlJc w:val="left"/>
      <w:lvlText w:val="∎"/>
      <w:numFmt w:val="bullet"/>
      <w:start w:val="1"/>
    </w:lvl>
  </w:abstractNum>
  <w:abstractNum w:abstractNumId="140">
    <w:nsid w:val="5D5BABB3"/>
    <w:multiLevelType w:val="hybridMultilevel"/>
    <w:lvl w:ilvl="0">
      <w:lvlJc w:val="left"/>
      <w:lvlText w:val="∎"/>
      <w:numFmt w:val="bullet"/>
      <w:start w:val="1"/>
    </w:lvl>
  </w:abstractNum>
  <w:abstractNum w:abstractNumId="141">
    <w:nsid w:val="51BF6B48"/>
    <w:multiLevelType w:val="hybridMultilevel"/>
    <w:lvl w:ilvl="0">
      <w:lvlJc w:val="left"/>
      <w:lvlText w:val="(%1)"/>
      <w:numFmt w:val="lowerLetter"/>
      <w:start w:val="5"/>
    </w:lvl>
  </w:abstractNum>
  <w:abstractNum w:abstractNumId="142">
    <w:nsid w:val="7E0F6384"/>
    <w:multiLevelType w:val="hybridMultilevel"/>
    <w:lvl w:ilvl="0">
      <w:lvlJc w:val="left"/>
      <w:lvlText w:val="∎"/>
      <w:numFmt w:val="bullet"/>
      <w:start w:val="1"/>
    </w:lvl>
  </w:abstractNum>
  <w:abstractNum w:abstractNumId="143">
    <w:nsid w:val="2B4B8B53"/>
    <w:multiLevelType w:val="hybridMultilevel"/>
    <w:lvl w:ilvl="0">
      <w:lvlJc w:val="left"/>
      <w:lvlText w:val="∎"/>
      <w:numFmt w:val="bullet"/>
      <w:start w:val="1"/>
    </w:lvl>
  </w:abstractNum>
  <w:abstractNum w:abstractNumId="144">
    <w:nsid w:val="72E3413A"/>
    <w:multiLevelType w:val="hybridMultilevel"/>
    <w:lvl w:ilvl="0">
      <w:lvlJc w:val="left"/>
      <w:lvlText w:val="(%1)"/>
      <w:numFmt w:val="lowerLetter"/>
      <w:start w:val="2"/>
    </w:lvl>
  </w:abstractNum>
  <w:abstractNum w:abstractNumId="145">
    <w:nsid w:val="116AE494"/>
    <w:multiLevelType w:val="hybridMultilevel"/>
    <w:lvl w:ilvl="0">
      <w:lvlJc w:val="left"/>
      <w:lvlText w:val="(%1)"/>
      <w:numFmt w:val="lowerLetter"/>
      <w:start w:val="1"/>
    </w:lvl>
  </w:abstractNum>
  <w:abstractNum w:abstractNumId="146">
    <w:nsid w:val="3494B2FB"/>
    <w:multiLevelType w:val="hybridMultilevel"/>
    <w:lvl w:ilvl="0">
      <w:lvlJc w:val="left"/>
      <w:lvlText w:val="(%1)"/>
      <w:numFmt w:val="decimal"/>
      <w:start w:val="1"/>
    </w:lvl>
  </w:abstractNum>
  <w:abstractNum w:abstractNumId="147">
    <w:nsid w:val="B13A31"/>
    <w:multiLevelType w:val="hybridMultilevel"/>
    <w:lvl w:ilvl="0">
      <w:lvlJc w:val="left"/>
      <w:lvlText w:val="∎"/>
      <w:numFmt w:val="bullet"/>
      <w:start w:val="1"/>
    </w:lvl>
  </w:abstractNum>
  <w:abstractNum w:abstractNumId="148">
    <w:nsid w:val="64429599"/>
    <w:multiLevelType w:val="hybridMultilevel"/>
    <w:lvl w:ilvl="0">
      <w:lvlJc w:val="left"/>
      <w:lvlText w:val="∎"/>
      <w:numFmt w:val="bullet"/>
      <w:start w:val="1"/>
    </w:lvl>
  </w:abstractNum>
  <w:abstractNum w:abstractNumId="149">
    <w:nsid w:val="631F1690"/>
    <w:multiLevelType w:val="hybridMultilevel"/>
    <w:lvl w:ilvl="0">
      <w:lvlJc w:val="left"/>
      <w:lvlText w:val="∎"/>
      <w:numFmt w:val="bullet"/>
      <w:start w:val="1"/>
    </w:lvl>
  </w:abstractNum>
  <w:abstractNum w:abstractNumId="150">
    <w:nsid w:val="25973E32"/>
    <w:multiLevelType w:val="hybridMultilevel"/>
    <w:lvl w:ilvl="0">
      <w:lvlJc w:val="left"/>
      <w:lvlText w:val="%1."/>
      <w:numFmt w:val="decimal"/>
      <w:start w:val="2"/>
    </w:lvl>
  </w:abstractNum>
  <w:abstractNum w:abstractNumId="151">
    <w:nsid w:val="EAD6F57"/>
    <w:multiLevelType w:val="hybridMultilevel"/>
    <w:lvl w:ilvl="0">
      <w:lvlJc w:val="left"/>
      <w:lvlText w:val="%1)"/>
      <w:numFmt w:val="lowerLetter"/>
      <w:start w:val="1"/>
    </w:lvl>
  </w:abstractNum>
  <w:abstractNum w:abstractNumId="152">
    <w:nsid w:val="6EC9D844"/>
    <w:multiLevelType w:val="hybridMultilevel"/>
    <w:lvl w:ilvl="0">
      <w:lvlJc w:val="left"/>
      <w:lvlText w:val="•"/>
      <w:numFmt w:val="bullet"/>
      <w:start w:val="1"/>
    </w:lvl>
  </w:abstractNum>
  <w:abstractNum w:abstractNumId="153">
    <w:nsid w:val="5C49EAEE"/>
    <w:multiLevelType w:val="hybridMultilevel"/>
    <w:lvl w:ilvl="0">
      <w:lvlJc w:val="left"/>
      <w:lvlText w:val="•"/>
      <w:numFmt w:val="bullet"/>
      <w:start w:val="1"/>
    </w:lvl>
  </w:abstractNum>
  <w:abstractNum w:abstractNumId="154">
    <w:nsid w:val="64AF49B"/>
    <w:multiLevelType w:val="hybridMultilevel"/>
    <w:lvl w:ilvl="0">
      <w:lvlJc w:val="left"/>
      <w:lvlText w:val="%1."/>
      <w:numFmt w:val="decimal"/>
      <w:start w:val="5"/>
    </w:lvl>
  </w:abstractNum>
  <w:abstractNum w:abstractNumId="155">
    <w:nsid w:val="397C46BC"/>
    <w:multiLevelType w:val="hybridMultilevel"/>
    <w:lvl w:ilvl="0">
      <w:lvlJc w:val="left"/>
      <w:lvlText w:val="•"/>
      <w:numFmt w:val="bullet"/>
      <w:start w:val="1"/>
    </w:lvl>
  </w:abstractNum>
  <w:abstractNum w:abstractNumId="156">
    <w:nsid w:val="7E448DE9"/>
    <w:multiLevelType w:val="hybridMultilevel"/>
    <w:lvl w:ilvl="0">
      <w:lvlJc w:val="left"/>
      <w:lvlText w:val="•"/>
      <w:numFmt w:val="bullet"/>
      <w:start w:val="1"/>
    </w:lvl>
    <w:lvl w:ilvl="1">
      <w:lvlJc w:val="left"/>
      <w:lvlText w:val="•"/>
      <w:numFmt w:val="bullet"/>
      <w:start w:val="1"/>
    </w:lvl>
  </w:abstractNum>
  <w:abstractNum w:abstractNumId="157">
    <w:nsid w:val="5A9CC3E5"/>
    <w:multiLevelType w:val="hybridMultilevel"/>
    <w:lvl w:ilvl="0">
      <w:lvlJc w:val="left"/>
      <w:lvlText w:val="•"/>
      <w:numFmt w:val="bullet"/>
      <w:start w:val="1"/>
    </w:lvl>
  </w:abstractNum>
  <w:abstractNum w:abstractNumId="158">
    <w:nsid w:val="1AFE3625"/>
    <w:multiLevelType w:val="hybridMultilevel"/>
    <w:lvl w:ilvl="0">
      <w:lvlJc w:val="left"/>
      <w:lvlText w:val="•"/>
      <w:numFmt w:val="bullet"/>
      <w:start w:val="1"/>
    </w:lvl>
  </w:abstractNum>
  <w:abstractNum w:abstractNumId="159">
    <w:nsid w:val="3CA88ECF"/>
    <w:multiLevelType w:val="hybridMultilevel"/>
    <w:lvl w:ilvl="0">
      <w:lvlJc w:val="left"/>
      <w:lvlText w:val="%1."/>
      <w:numFmt w:val="decimal"/>
      <w:start w:val="19"/>
    </w:lvl>
  </w:abstractNum>
  <w:abstractNum w:abstractNumId="160">
    <w:nsid w:val="6EBE4208"/>
    <w:multiLevelType w:val="hybridMultilevel"/>
    <w:lvl w:ilvl="0">
      <w:lvlJc w:val="left"/>
      <w:lvlText w:val="%1."/>
      <w:numFmt w:val="decimal"/>
      <w:start w:val="21"/>
    </w:lvl>
    <w:lvl w:ilvl="1">
      <w:lvlJc w:val="left"/>
      <w:lvlText w:val="•"/>
      <w:numFmt w:val="bullet"/>
      <w:start w:val="1"/>
    </w:lvl>
  </w:abstractNum>
  <w:abstractNum w:abstractNumId="161">
    <w:nsid w:val="C058DF5"/>
    <w:multiLevelType w:val="hybridMultilevel"/>
    <w:lvl w:ilvl="0">
      <w:lvlJc w:val="left"/>
      <w:lvlText w:val="%1."/>
      <w:numFmt w:val="decimal"/>
      <w:start w:val="23"/>
    </w:lvl>
  </w:abstractNum>
  <w:abstractNum w:abstractNumId="162">
    <w:nsid w:val="CBE5BE9"/>
    <w:multiLevelType w:val="hybridMultilevel"/>
    <w:lvl w:ilvl="0">
      <w:lvlJc w:val="left"/>
      <w:lvlText w:val="23.%1."/>
      <w:numFmt w:val="decimal"/>
      <w:start w:val="1"/>
    </w:lvl>
  </w:abstractNum>
  <w:abstractNum w:abstractNumId="163">
    <w:nsid w:val="3102BBE2"/>
    <w:multiLevelType w:val="hybridMultilevel"/>
    <w:lvl w:ilvl="0">
      <w:lvlJc w:val="left"/>
      <w:lvlText w:val="•"/>
      <w:numFmt w:val="bullet"/>
      <w:start w:val="1"/>
    </w:lvl>
  </w:abstractNum>
  <w:abstractNum w:abstractNumId="164">
    <w:nsid w:val="26A02C5E"/>
    <w:multiLevelType w:val="hybridMultilevel"/>
    <w:lvl w:ilvl="0">
      <w:lvlJc w:val="left"/>
      <w:lvlText w:val="•"/>
      <w:numFmt w:val="bullet"/>
      <w:start w:val="1"/>
    </w:lvl>
  </w:abstractNum>
  <w:abstractNum w:abstractNumId="165">
    <w:nsid w:val="541C8153"/>
    <w:multiLevelType w:val="hybridMultilevel"/>
    <w:lvl w:ilvl="0">
      <w:lvlJc w:val="left"/>
      <w:lvlText w:val="•"/>
      <w:numFmt w:val="bullet"/>
      <w:start w:val="1"/>
    </w:lvl>
  </w:abstractNum>
  <w:abstractNum w:abstractNumId="166">
    <w:nsid w:val="67906F60"/>
    <w:multiLevelType w:val="hybridMultilevel"/>
    <w:lvl w:ilvl="0">
      <w:lvlJc w:val="left"/>
      <w:lvlText w:val="(%1)"/>
      <w:numFmt w:val="lowerLetter"/>
      <w:start w:val="1"/>
    </w:lvl>
  </w:abstractNum>
  <w:abstractNum w:abstractNumId="167">
    <w:nsid w:val="10DB9DAA"/>
    <w:multiLevelType w:val="hybridMultilevel"/>
    <w:lvl w:ilvl="0">
      <w:lvlJc w:val="left"/>
      <w:lvlText w:val="∎"/>
      <w:numFmt w:val="bullet"/>
      <w:start w:val="1"/>
    </w:lvl>
  </w:abstractNum>
  <w:abstractNum w:abstractNumId="168">
    <w:nsid w:val="697D2D2"/>
    <w:multiLevelType w:val="hybridMultilevel"/>
    <w:lvl w:ilvl="0">
      <w:lvlJc w:val="left"/>
      <w:lvlText w:val="(%1)"/>
      <w:numFmt w:val="lowerLetter"/>
      <w:start w:val="1"/>
    </w:lvl>
  </w:abstractNum>
  <w:abstractNum w:abstractNumId="169">
    <w:nsid w:val="6D68AB2"/>
    <w:multiLevelType w:val="hybridMultilevel"/>
    <w:lvl w:ilvl="0">
      <w:lvlJc w:val="left"/>
      <w:lvlText w:val="(%1)"/>
      <w:numFmt w:val="lowerLetter"/>
      <w:start w:val="1"/>
    </w:lvl>
  </w:abstractNum>
  <w:abstractNum w:abstractNumId="170">
    <w:nsid w:val="3A966CD0"/>
    <w:multiLevelType w:val="hybridMultilevel"/>
    <w:lvl w:ilvl="0">
      <w:lvlJc w:val="left"/>
      <w:lvlText w:val="(%1)"/>
      <w:numFmt w:val="lowerLetter"/>
      <w:start w:val="3"/>
    </w:lvl>
    <w:lvl w:ilvl="1">
      <w:lvlJc w:val="left"/>
      <w:lvlText w:val="(%2)"/>
      <w:numFmt w:val="decimal"/>
      <w:start w:val="1"/>
    </w:lvl>
  </w:abstractNum>
  <w:abstractNum w:abstractNumId="171">
    <w:nsid w:val="63F37E85"/>
    <w:multiLevelType w:val="hybridMultilevel"/>
    <w:lvl w:ilvl="0">
      <w:lvlJc w:val="left"/>
      <w:lvlText w:val="*"/>
      <w:numFmt w:val="bullet"/>
      <w:start w:val="1"/>
    </w:lvl>
  </w:abstractNum>
  <w:abstractNum w:abstractNumId="172">
    <w:nsid w:val="5895F5FA"/>
    <w:multiLevelType w:val="hybridMultilevel"/>
    <w:lvl w:ilvl="0">
      <w:lvlJc w:val="left"/>
      <w:lvlText w:val="†"/>
      <w:numFmt w:val="bullet"/>
      <w:start w:val="1"/>
    </w:lvl>
  </w:abstractNum>
  <w:abstractNum w:abstractNumId="173">
    <w:nsid w:val="38A5D054"/>
    <w:multiLevelType w:val="hybridMultilevel"/>
    <w:lvl w:ilvl="0">
      <w:lvlJc w:val="left"/>
      <w:lvlText w:val="#"/>
      <w:numFmt w:val="bullet"/>
      <w:start w:val="1"/>
    </w:lvl>
  </w:abstractNum>
  <w:abstractNum w:abstractNumId="174">
    <w:nsid w:val="F3F09D8"/>
    <w:multiLevelType w:val="hybridMultilevel"/>
    <w:lvl w:ilvl="0">
      <w:lvlJc w:val="left"/>
      <w:lvlText w:val="(%1)"/>
      <w:numFmt w:val="decimal"/>
      <w:start w:val="1"/>
    </w:lvl>
  </w:abstractNum>
  <w:abstractNum w:abstractNumId="175">
    <w:nsid w:val="4B793735"/>
    <w:multiLevelType w:val="hybridMultilevel"/>
    <w:lvl w:ilvl="0">
      <w:lvlJc w:val="left"/>
      <w:lvlText w:val="1"/>
      <w:numFmt w:val="bullet"/>
      <w:start w:val="1"/>
    </w:lvl>
  </w:abstractNum>
  <w:abstractNum w:abstractNumId="176">
    <w:nsid w:val="4A10B4E8"/>
    <w:multiLevelType w:val="hybridMultilevel"/>
    <w:lvl w:ilvl="0">
      <w:lvlJc w:val="left"/>
      <w:lvlText w:val="2"/>
      <w:numFmt w:val="bullet"/>
      <w:start w:val="1"/>
    </w:lvl>
  </w:abstractNum>
  <w:abstractNum w:abstractNumId="177">
    <w:nsid w:val="43D3BCD4"/>
    <w:multiLevelType w:val="hybridMultilevel"/>
    <w:lvl w:ilvl="0">
      <w:lvlJc w:val="left"/>
      <w:lvlText w:val="3"/>
      <w:numFmt w:val="bullet"/>
      <w:start w:val="1"/>
    </w:lvl>
  </w:abstractNum>
  <w:abstractNum w:abstractNumId="178">
    <w:nsid w:val="4C2A7166"/>
    <w:multiLevelType w:val="hybridMultilevel"/>
    <w:lvl w:ilvl="0">
      <w:lvlJc w:val="left"/>
      <w:lvlText w:val="4"/>
      <w:numFmt w:val="bullet"/>
      <w:start w:val="1"/>
    </w:lvl>
  </w:abstractNum>
  <w:abstractNum w:abstractNumId="179">
    <w:nsid w:val="2E534A82"/>
    <w:multiLevelType w:val="hybridMultilevel"/>
    <w:lvl w:ilvl="0">
      <w:lvlJc w:val="left"/>
      <w:lvlText w:val="(%1)"/>
      <w:numFmt w:val="lowerLetter"/>
      <w:start w:val="1"/>
    </w:lvl>
  </w:abstractNum>
  <w:abstractNum w:abstractNumId="180">
    <w:nsid w:val="26F2D364"/>
    <w:multiLevelType w:val="hybridMultilevel"/>
    <w:lvl w:ilvl="0">
      <w:lvlJc w:val="left"/>
      <w:lvlText w:val="5"/>
      <w:numFmt w:val="bullet"/>
      <w:start w:val="1"/>
    </w:lvl>
  </w:abstractNum>
  <w:abstractNum w:abstractNumId="181">
    <w:nsid w:val="71C1AF98"/>
    <w:multiLevelType w:val="hybridMultilevel"/>
    <w:lvl w:ilvl="0">
      <w:lvlJc w:val="left"/>
      <w:lvlText w:val="6"/>
      <w:numFmt w:val="bullet"/>
      <w:start w:val="1"/>
    </w:lvl>
  </w:abstractNum>
  <w:abstractNum w:abstractNumId="182">
    <w:nsid w:val="3D00B9D9"/>
    <w:multiLevelType w:val="hybridMultilevel"/>
    <w:lvl w:ilvl="0">
      <w:lvlJc w:val="left"/>
      <w:lvlText w:val="7"/>
      <w:numFmt w:val="bullet"/>
      <w:start w:val="1"/>
    </w:lvl>
  </w:abstractNum>
  <w:abstractNum w:abstractNumId="183">
    <w:nsid w:val="15BCABA8"/>
    <w:multiLevelType w:val="hybridMultilevel"/>
    <w:lvl w:ilvl="0">
      <w:lvlJc w:val="left"/>
      <w:lvlText w:val="(%1)"/>
      <w:numFmt w:val="lowerLetter"/>
      <w:start w:val="1"/>
    </w:lvl>
  </w:abstractNum>
  <w:abstractNum w:abstractNumId="184">
    <w:nsid w:val="4E0B9A87"/>
    <w:multiLevelType w:val="hybridMultilevel"/>
    <w:lvl w:ilvl="0">
      <w:lvlJc w:val="left"/>
      <w:lvlText w:val="(%1)"/>
      <w:numFmt w:val="lowerLetter"/>
      <w:start w:val="3"/>
    </w:lvl>
  </w:abstractNum>
  <w:abstractNum w:abstractNumId="185">
    <w:nsid w:val="434BAE75"/>
    <w:multiLevelType w:val="hybridMultilevel"/>
    <w:lvl w:ilvl="0">
      <w:lvlJc w:val="left"/>
      <w:lvlText w:val="(%1)"/>
      <w:numFmt w:val="lowerLetter"/>
      <w:start w:val="1"/>
    </w:lvl>
  </w:abstractNum>
  <w:abstractNum w:abstractNumId="186">
    <w:nsid w:val="4F38F265"/>
    <w:multiLevelType w:val="hybridMultilevel"/>
    <w:lvl w:ilvl="0">
      <w:lvlJc w:val="left"/>
      <w:lvlText w:val="8"/>
      <w:numFmt w:val="bullet"/>
      <w:start w:val="1"/>
    </w:lvl>
  </w:abstractNum>
  <w:abstractNum w:abstractNumId="187">
    <w:nsid w:val="4C502870"/>
    <w:multiLevelType w:val="hybridMultilevel"/>
    <w:lvl w:ilvl="0">
      <w:lvlJc w:val="left"/>
      <w:lvlText w:val="9"/>
      <w:numFmt w:val="bullet"/>
      <w:start w:val="1"/>
    </w:lvl>
  </w:abstractNum>
  <w:abstractNum w:abstractNumId="188">
    <w:nsid w:val="1DE8725A"/>
    <w:multiLevelType w:val="hybridMultilevel"/>
    <w:lvl w:ilvl="0">
      <w:lvlJc w:val="left"/>
      <w:lvlText w:val="%1"/>
      <w:numFmt w:val="decimal"/>
      <w:start w:val="10"/>
    </w:lvl>
  </w:abstractNum>
  <w:abstractNum w:abstractNumId="189">
    <w:nsid w:val="6A37288A"/>
    <w:multiLevelType w:val="hybridMultilevel"/>
    <w:lvl w:ilvl="0">
      <w:lvlJc w:val="left"/>
      <w:lvlText w:val="%1"/>
      <w:numFmt w:val="decimal"/>
      <w:start w:val="13"/>
    </w:lvl>
  </w:abstractNum>
  <w:abstractNum w:abstractNumId="190">
    <w:nsid w:val="8F8B73F"/>
    <w:multiLevelType w:val="hybridMultilevel"/>
    <w:lvl w:ilvl="0">
      <w:lvlJc w:val="left"/>
      <w:lvlText w:val="•"/>
      <w:numFmt w:val="bullet"/>
      <w:start w:val="1"/>
    </w:lvl>
  </w:abstractNum>
  <w:abstractNum w:abstractNumId="191">
    <w:nsid w:val="CA6B462"/>
    <w:multiLevelType w:val="hybridMultilevel"/>
    <w:lvl w:ilvl="0">
      <w:lvlJc w:val="left"/>
      <w:lvlText w:val="(%1)"/>
      <w:numFmt w:val="decimal"/>
      <w:start w:val="1"/>
    </w:lvl>
  </w:abstractNum>
  <w:abstractNum w:abstractNumId="192">
    <w:nsid w:val="763CB680"/>
    <w:multiLevelType w:val="hybridMultilevel"/>
    <w:lvl w:ilvl="0">
      <w:lvlJc w:val="left"/>
      <w:lvlText w:val="%1."/>
      <w:numFmt w:val="decimal"/>
      <w:start w:val="1"/>
    </w:lvl>
  </w:abstractNum>
  <w:abstractNum w:abstractNumId="193">
    <w:nsid w:val="15B71329"/>
    <w:multiLevelType w:val="hybridMultilevel"/>
    <w:lvl w:ilvl="0">
      <w:lvlJc w:val="left"/>
      <w:lvlText w:val="(%1)"/>
      <w:numFmt w:val="lowerLetter"/>
      <w:start w:val="1"/>
    </w:lvl>
    <w:lvl w:ilvl="1">
      <w:lvlJc w:val="left"/>
      <w:lvlText w:val="-"/>
      <w:numFmt w:val="bullet"/>
      <w:start w:val="1"/>
    </w:lvl>
  </w:abstractNum>
  <w:abstractNum w:abstractNumId="194">
    <w:nsid w:val="3DA97044"/>
    <w:multiLevelType w:val="hybridMultilevel"/>
    <w:lvl w:ilvl="0">
      <w:lvlJc w:val="left"/>
      <w:lvlText w:val="(%1)"/>
      <w:numFmt w:val="lowerLetter"/>
      <w:start w:val="4"/>
    </w:lvl>
  </w:abstractNum>
  <w:abstractNum w:abstractNumId="195">
    <w:nsid w:val="1CDCE2DE"/>
    <w:multiLevelType w:val="hybridMultilevel"/>
    <w:lvl w:ilvl="0">
      <w:lvlJc w:val="left"/>
      <w:lvlText w:val="(%1)"/>
      <w:numFmt w:val="lowerLetter"/>
      <w:start w:val="1"/>
    </w:lvl>
  </w:abstractNum>
  <w:abstractNum w:abstractNumId="196">
    <w:nsid w:val="69D3947C"/>
    <w:multiLevelType w:val="hybridMultilevel"/>
    <w:lvl w:ilvl="0">
      <w:lvlJc w:val="left"/>
      <w:lvlText w:val="%1."/>
      <w:numFmt w:val="decimal"/>
      <w:start w:val="2"/>
    </w:lvl>
  </w:abstractNum>
  <w:abstractNum w:abstractNumId="197">
    <w:nsid w:val="2539DFA5"/>
    <w:multiLevelType w:val="hybridMultilevel"/>
    <w:lvl w:ilvl="0">
      <w:lvlJc w:val="left"/>
      <w:lvlText w:val="%1."/>
      <w:numFmt w:val="decimal"/>
      <w:start w:val="3"/>
    </w:lvl>
  </w:abstractNum>
  <w:abstractNum w:abstractNumId="198">
    <w:nsid w:val="2DB88089"/>
    <w:multiLevelType w:val="hybridMultilevel"/>
    <w:lvl w:ilvl="0">
      <w:lvlJc w:val="left"/>
      <w:lvlText w:val="%1."/>
      <w:numFmt w:val="decimal"/>
      <w:start w:val="4"/>
    </w:lvl>
  </w:abstractNum>
  <w:abstractNum w:abstractNumId="199">
    <w:nsid w:val="706B674E"/>
    <w:multiLevelType w:val="hybridMultilevel"/>
    <w:lvl w:ilvl="0">
      <w:lvlJc w:val="left"/>
      <w:lvlText w:val="%1."/>
      <w:numFmt w:val="decimal"/>
      <w:start w:val="6"/>
    </w:lvl>
  </w:abstractNum>
  <w:abstractNum w:abstractNumId="200">
    <w:nsid w:val="2C106A57"/>
    <w:multiLevelType w:val="hybridMultilevel"/>
    <w:lvl w:ilvl="0">
      <w:lvlJc w:val="left"/>
      <w:lvlText w:val="%1."/>
      <w:numFmt w:val="decimal"/>
      <w:start w:val="7"/>
    </w:lvl>
  </w:abstractNum>
  <w:abstractNum w:abstractNumId="201">
    <w:nsid w:val="684EED59"/>
    <w:multiLevelType w:val="hybridMultilevel"/>
    <w:lvl w:ilvl="0">
      <w:lvlJc w:val="left"/>
      <w:lvlText w:val="%1."/>
      <w:numFmt w:val="decimal"/>
      <w:start w:val="8"/>
    </w:lvl>
  </w:abstractNum>
  <w:abstractNum w:abstractNumId="202">
    <w:nsid w:val="545EE5D3"/>
    <w:multiLevelType w:val="hybridMultilevel"/>
    <w:lvl w:ilvl="0">
      <w:lvlJc w:val="left"/>
      <w:lvlText w:val="%1."/>
      <w:numFmt w:val="decimal"/>
      <w:start w:val="9"/>
    </w:lvl>
  </w:abstractNum>
  <w:abstractNum w:abstractNumId="203">
    <w:nsid w:val="4A66051"/>
    <w:multiLevelType w:val="hybridMultilevel"/>
    <w:lvl w:ilvl="0">
      <w:lvlJc w:val="left"/>
      <w:lvlText w:val="%1."/>
      <w:numFmt w:val="decimal"/>
      <w:start w:val="10"/>
    </w:lvl>
  </w:abstractNum>
  <w:abstractNum w:abstractNumId="204">
    <w:nsid w:val="20F4BDAD"/>
    <w:multiLevelType w:val="hybridMultilevel"/>
    <w:lvl w:ilvl="0">
      <w:lvlJc w:val="left"/>
      <w:lvlText w:val="%1."/>
      <w:numFmt w:val="decimal"/>
      <w:start w:val="11"/>
    </w:lvl>
  </w:abstractNum>
  <w:abstractNum w:abstractNumId="205">
    <w:nsid w:val="639DEFAC"/>
    <w:multiLevelType w:val="hybridMultilevel"/>
    <w:lvl w:ilvl="0">
      <w:lvlJc w:val="left"/>
      <w:lvlText w:val="%1."/>
      <w:numFmt w:val="decimal"/>
      <w:start w:val="12"/>
    </w:lvl>
  </w:abstractNum>
  <w:abstractNum w:abstractNumId="206">
    <w:nsid w:val="501F9786"/>
    <w:multiLevelType w:val="hybridMultilevel"/>
    <w:lvl w:ilvl="0">
      <w:lvlJc w:val="left"/>
      <w:lvlText w:val="%1."/>
      <w:numFmt w:val="decimal"/>
      <w:start w:val="13"/>
    </w:lvl>
  </w:abstractNum>
  <w:abstractNum w:abstractNumId="207">
    <w:nsid w:val="6B057295"/>
    <w:multiLevelType w:val="hybridMultilevel"/>
    <w:lvl w:ilvl="0">
      <w:lvlJc w:val="left"/>
      <w:lvlText w:val="%1."/>
      <w:numFmt w:val="decimal"/>
      <w:start w:val="14"/>
    </w:lvl>
  </w:abstractNum>
  <w:abstractNum w:abstractNumId="208">
    <w:nsid w:val="2771AC80"/>
    <w:multiLevelType w:val="hybridMultilevel"/>
    <w:lvl w:ilvl="0">
      <w:lvlJc w:val="left"/>
      <w:lvlText w:val="%1."/>
      <w:numFmt w:val="decimal"/>
      <w:start w:val="15"/>
    </w:lvl>
  </w:abstractNum>
  <w:abstractNum w:abstractNumId="209">
    <w:nsid w:val="1C4A08EC"/>
    <w:multiLevelType w:val="hybridMultilevel"/>
    <w:lvl w:ilvl="0">
      <w:lvlJc w:val="left"/>
      <w:lvlText w:val="%1."/>
      <w:numFmt w:val="decimal"/>
      <w:start w:val="16"/>
    </w:lvl>
  </w:abstractNum>
  <w:abstractNum w:abstractNumId="210">
    <w:nsid w:val="1958BD17"/>
    <w:multiLevelType w:val="hybridMultilevel"/>
    <w:lvl w:ilvl="0">
      <w:lvlJc w:val="left"/>
      <w:lvlText w:val="%1."/>
      <w:numFmt w:val="decimal"/>
      <w:start w:val="17"/>
    </w:lvl>
  </w:abstractNum>
  <w:abstractNum w:abstractNumId="211">
    <w:nsid w:val="4E647FE4"/>
    <w:multiLevelType w:val="hybridMultilevel"/>
    <w:lvl w:ilvl="0">
      <w:lvlJc w:val="left"/>
      <w:lvlText w:val="%1."/>
      <w:numFmt w:val="decimal"/>
      <w:start w:val="18"/>
    </w:lvl>
  </w:abstractNum>
  <w:abstractNum w:abstractNumId="212">
    <w:nsid w:val="E0BB885"/>
    <w:multiLevelType w:val="hybridMultilevel"/>
    <w:lvl w:ilvl="0">
      <w:lvlJc w:val="left"/>
      <w:lvlText w:val="%1."/>
      <w:numFmt w:val="decimal"/>
      <w:start w:val="19"/>
    </w:lvl>
  </w:abstractNum>
  <w:abstractNum w:abstractNumId="213">
    <w:nsid w:val="565976F1"/>
    <w:multiLevelType w:val="hybridMultilevel"/>
    <w:lvl w:ilvl="0">
      <w:lvlJc w:val="left"/>
      <w:lvlText w:val="%1."/>
      <w:numFmt w:val="decimal"/>
      <w:start w:val="20"/>
    </w:lvl>
  </w:abstractNum>
  <w:abstractNum w:abstractNumId="214">
    <w:nsid w:val="64212B8C"/>
    <w:multiLevelType w:val="hybridMultilevel"/>
    <w:lvl w:ilvl="0">
      <w:lvlJc w:val="left"/>
      <w:lvlText w:val="%1."/>
      <w:numFmt w:val="decimal"/>
      <w:start w:val="21"/>
    </w:lvl>
  </w:abstractNum>
  <w:abstractNum w:abstractNumId="215">
    <w:nsid w:val="5C17530C"/>
    <w:multiLevelType w:val="hybridMultilevel"/>
    <w:lvl w:ilvl="0">
      <w:lvlJc w:val="left"/>
      <w:lvlText w:val="%1."/>
      <w:numFmt w:val="decimal"/>
      <w:start w:val="22"/>
    </w:lvl>
  </w:abstractNum>
  <w:abstractNum w:abstractNumId="216">
    <w:nsid w:val="19A52566"/>
    <w:multiLevelType w:val="hybridMultilevel"/>
    <w:lvl w:ilvl="0">
      <w:lvlJc w:val="left"/>
      <w:lvlText w:val="%1."/>
      <w:numFmt w:val="decimal"/>
      <w:start w:val="23"/>
    </w:lvl>
  </w:abstractNum>
  <w:abstractNum w:abstractNumId="217">
    <w:nsid w:val="335A1DF1"/>
    <w:multiLevelType w:val="hybridMultilevel"/>
    <w:lvl w:ilvl="0">
      <w:lvlJc w:val="left"/>
      <w:lvlText w:val="%1."/>
      <w:numFmt w:val="decimal"/>
      <w:start w:val="25"/>
    </w:lvl>
  </w:abstractNum>
  <w:abstractNum w:abstractNumId="218">
    <w:nsid w:val="28677B7C"/>
    <w:multiLevelType w:val="hybridMultilevel"/>
    <w:lvl w:ilvl="0">
      <w:lvlJc w:val="left"/>
      <w:lvlText w:val="%1."/>
      <w:numFmt w:val="decimal"/>
      <w:start w:val="27"/>
    </w:lvl>
    <w:lvl w:ilvl="1">
      <w:lvlJc w:val="left"/>
      <w:lvlText w:val="-"/>
      <w:numFmt w:val="bullet"/>
      <w:start w:val="1"/>
    </w:lvl>
  </w:abstractNum>
  <w:abstractNum w:abstractNumId="219">
    <w:nsid w:val="378D97C0"/>
    <w:multiLevelType w:val="hybridMultilevel"/>
    <w:lvl w:ilvl="0">
      <w:lvlJc w:val="left"/>
      <w:lvlText w:val="%1."/>
      <w:numFmt w:val="decimal"/>
      <w:start w:val="28"/>
    </w:lvl>
  </w:abstractNum>
  <w:abstractNum w:abstractNumId="220">
    <w:nsid w:val="1D91467C"/>
    <w:multiLevelType w:val="hybridMultilevel"/>
    <w:lvl w:ilvl="0">
      <w:lvlJc w:val="left"/>
      <w:lvlText w:val="%1."/>
      <w:numFmt w:val="decimal"/>
      <w:start w:val="29"/>
    </w:lvl>
    <w:lvl w:ilvl="1">
      <w:lvlJc w:val="left"/>
      <w:lvlText w:val="(%2)"/>
      <w:numFmt w:val="lowerLetter"/>
      <w:start w:val="1"/>
    </w:lvl>
  </w:abstractNum>
  <w:abstractNum w:abstractNumId="221">
    <w:nsid w:val="316032BB"/>
    <w:multiLevelType w:val="hybridMultilevel"/>
    <w:lvl w:ilvl="0">
      <w:lvlJc w:val="left"/>
      <w:lvlText w:val="%1."/>
      <w:numFmt w:val="decimal"/>
      <w:start w:val="31"/>
    </w:lvl>
  </w:abstractNum>
  <w:abstractNum w:abstractNumId="222">
    <w:nsid w:val="44344C22"/>
    <w:multiLevelType w:val="hybridMultilevel"/>
    <w:lvl w:ilvl="0">
      <w:lvlJc w:val="left"/>
      <w:lvlText w:val="%1."/>
      <w:numFmt w:val="decimal"/>
      <w:start w:val="36"/>
    </w:lvl>
  </w:abstractNum>
  <w:abstractNum w:abstractNumId="223">
    <w:nsid w:val="13CDFCFC"/>
    <w:multiLevelType w:val="hybridMultilevel"/>
    <w:lvl w:ilvl="0">
      <w:lvlJc w:val="left"/>
      <w:lvlText w:val="%1."/>
      <w:numFmt w:val="decimal"/>
      <w:start w:val="37"/>
    </w:lvl>
  </w:abstractNum>
  <w:abstractNum w:abstractNumId="224">
    <w:nsid w:val="471745E4"/>
    <w:multiLevelType w:val="hybridMultilevel"/>
    <w:lvl w:ilvl="0">
      <w:lvlJc w:val="left"/>
      <w:lvlText w:val="%1."/>
      <w:numFmt w:val="decimal"/>
      <w:start w:val="38"/>
    </w:lvl>
  </w:abstractNum>
  <w:abstractNum w:abstractNumId="225">
    <w:nsid w:val="1DDBC6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2019-12-08T17:30:49Z</dcterms:created>
  <dcterms:modified xsi:type="dcterms:W3CDTF">2019-12-08T17:30:49Z</dcterms:modified>
</cp:coreProperties>
</file>