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166370</wp:posOffset>
            </wp:positionV>
            <wp:extent cx="69951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208915</wp:posOffset>
            </wp:positionV>
            <wp:extent cx="6995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2757805</wp:posOffset>
            </wp:positionH>
            <wp:positionV relativeFrom="paragraph">
              <wp:posOffset>218440</wp:posOffset>
            </wp:positionV>
            <wp:extent cx="147447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4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6-K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2757805</wp:posOffset>
            </wp:positionH>
            <wp:positionV relativeFrom="paragraph">
              <wp:posOffset>247015</wp:posOffset>
            </wp:positionV>
            <wp:extent cx="147447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jc w:val="center"/>
        <w:ind w:left="2280" w:right="104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REPORT OF FOREIGN PRIVATE ISSUER PURSUANT TO RULE 13a-16 or 15d-16 UNDER THE SECURITIES EXCHANGE ACT OF 1934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p>
      <w:pPr>
        <w:jc w:val="center"/>
        <w:ind w:right="-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 the month of June, 2023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Commission File Number: 001-38452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2757805</wp:posOffset>
            </wp:positionH>
            <wp:positionV relativeFrom="paragraph">
              <wp:posOffset>240030</wp:posOffset>
            </wp:positionV>
            <wp:extent cx="1474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jc w:val="center"/>
        <w:ind w:right="-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MEREO BIOPHARMA GROUP PLC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3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(Translation of registrant’s name into English)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2757805</wp:posOffset>
            </wp:positionH>
            <wp:positionV relativeFrom="paragraph">
              <wp:posOffset>227330</wp:posOffset>
            </wp:positionV>
            <wp:extent cx="14744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jc w:val="center"/>
        <w:ind w:right="-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4</w:t>
      </w:r>
      <w:r>
        <w:rPr>
          <w:rFonts w:ascii="Arial" w:cs="Arial" w:eastAsia="Arial" w:hAnsi="Arial"/>
          <w:sz w:val="26"/>
          <w:szCs w:val="26"/>
          <w:b w:val="1"/>
          <w:bCs w:val="1"/>
          <w:color w:val="auto"/>
          <w:vertAlign w:val="superscript"/>
        </w:rPr>
        <w:t>th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 Floor, One Cavendish Place,</w:t>
      </w:r>
    </w:p>
    <w:p>
      <w:pPr>
        <w:jc w:val="center"/>
        <w:ind w:right="-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London, W1G 0QF, United Kingdom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(Address of principal executive office)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2757805</wp:posOffset>
            </wp:positionH>
            <wp:positionV relativeFrom="paragraph">
              <wp:posOffset>219075</wp:posOffset>
            </wp:positionV>
            <wp:extent cx="147447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ind w:left="4200"/>
        <w:spacing w:after="0" w:line="207" w:lineRule="exact"/>
        <w:tabs>
          <w:tab w:leader="none" w:pos="5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Form 20-F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auto"/>
        </w:rPr>
        <w:t xml:space="preserve">Form 40-F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 w:line="18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Indicate by check mark if the registrant is submitting the Form 6-K in paper as permitted by Regulation S-T Rule 101(b)(1):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 w:line="18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Indicate by check mark if the registrant is submitting the Form 6-K in paper as permitted by Regulation S-T Rule 101(b)(7):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203835</wp:posOffset>
            </wp:positionV>
            <wp:extent cx="69951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246380</wp:posOffset>
            </wp:positionV>
            <wp:extent cx="69951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19"/>
          </w:cols>
          <w:pgMar w:left="440" w:top="382" w:right="1440" w:bottom="1440" w:gutter="0" w:footer="0" w:header="0"/>
        </w:sectPr>
      </w:pPr>
    </w:p>
    <w:bookmarkStart w:id="1" w:name="page2"/>
    <w:bookmarkEnd w:id="1"/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213360</wp:posOffset>
            </wp:positionV>
            <wp:extent cx="7174865" cy="514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1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INFORMATION INCLUDED AS PART OF THIS FORM 6-K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60" w:firstLine="440"/>
        <w:spacing w:after="0" w:line="27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On June 5, 2023, Ultragenyx Pharmaceutical Inc. (“Ultragenyx”) and Mereo BioPharma Group plc (“Mereo” or the “Company”) announced data from the dose-selection Phase 2 portion of the Phase 2/3 Orbit study of setrusumab (UX143) in patients with osteogenesis imperfecta (OI). Across all patients evaluated, as of the data cut-off, setrusumab demonstrated rapid and statistically significant increases in levels of serum P1NP, a sensitive marker of bone formation, and a substantial improvement in bone mineral density (BMD) by three months.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ind w:firstLine="4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Based on these results, Ultragenyx announced that the company has begun screening patients for the Phase 3 portion of the Orbit study. This is expected to enroll approximately 195 patients, randomized 2:1 to receive setrusumab or placebo, with a primary efficacy endpoint of annualized clinical fracture rate.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ind w:right="140" w:firstLine="440"/>
        <w:spacing w:after="0" w:line="30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Under the terms of the setrusumab Collaboration and License Agreement signed in December 2020, Mereo will be eligible to receive a one-time milestone payment of $9 million from Ultragenyx following the first dosing in the first patient in the Phase 3 portion of the Orbit study.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ind w:right="100" w:firstLine="440"/>
        <w:spacing w:after="0" w:line="27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The information in this report on Form 6-K is incorporated by reference into the Company’s registration statement on Form F-3 (File No. 333-258495) and registration statements on Form S-8 (File Numbers 333-231636, 333-236498, 333-252147, 333-262151 and 333-269388) and related prospectuses, as such registration statements and prospectuses may be amended from time to time, and to be a part thereof from the date on which this report is filed, to the extent not superseded by documents or reports subsequently filed or furnished.</w:t>
      </w:r>
    </w:p>
    <w:p>
      <w:pPr>
        <w:sectPr>
          <w:pgSz w:w="11900" w:h="16838" w:orient="portrait"/>
          <w:cols w:equalWidth="0" w:num="1">
            <w:col w:w="10960"/>
          </w:cols>
          <w:pgMar w:left="440" w:top="486" w:right="499" w:bottom="1440" w:gutter="0" w:footer="0" w:header="0"/>
        </w:sectPr>
      </w:pPr>
    </w:p>
    <w:bookmarkStart w:id="2" w:name="page3"/>
    <w:bookmarkEnd w:id="2"/>
    <w:p>
      <w:pPr>
        <w:jc w:val="center"/>
        <w:ind w:right="-2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213360</wp:posOffset>
            </wp:positionV>
            <wp:extent cx="7174865" cy="5080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firstLine="44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June 7, 2023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MEREO BIOPHARMA GROUP PLC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 /s/ Charles Sermon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4386580</wp:posOffset>
            </wp:positionH>
            <wp:positionV relativeFrom="paragraph">
              <wp:posOffset>14605</wp:posOffset>
            </wp:positionV>
            <wp:extent cx="2606040" cy="825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60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69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Name: Charles Sermon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69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Title: General Counsel</w:t>
      </w:r>
    </w:p>
    <w:sectPr>
      <w:pgSz w:w="11900" w:h="16838" w:orient="portrait"/>
      <w:cols w:equalWidth="0" w:num="1">
        <w:col w:w="10700"/>
      </w:cols>
      <w:pgMar w:left="440" w:top="486" w:right="7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2023-06-07T07:48:30Z</dcterms:created>
  <dcterms:modified xsi:type="dcterms:W3CDTF">2023-06-07T07:48:30Z</dcterms:modified>
</cp:coreProperties>
</file>