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8"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As filed with the Securities and Exchange Commission on May 15, 2024</w:t>
      </w:r>
    </w:p>
    <w:p>
      <w:pPr>
        <w:spacing w:after="0" w:line="6" w:lineRule="exact"/>
        <w:rPr>
          <w:sz w:val="24"/>
          <w:szCs w:val="24"/>
          <w:color w:val="auto"/>
        </w:rPr>
      </w:pPr>
    </w:p>
    <w:p>
      <w:pPr>
        <w:ind w:left="9140"/>
        <w:spacing w:after="0"/>
        <w:rPr>
          <w:sz w:val="20"/>
          <w:szCs w:val="20"/>
          <w:color w:val="auto"/>
        </w:rPr>
      </w:pPr>
      <w:r>
        <w:rPr>
          <w:rFonts w:ascii="Arial" w:cs="Arial" w:eastAsia="Arial" w:hAnsi="Arial"/>
          <w:sz w:val="15"/>
          <w:szCs w:val="15"/>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98425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117475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S-3</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117475</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Mereo BioPharma Group plc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117475</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75" w:lineRule="exact"/>
        <w:rPr>
          <w:sz w:val="24"/>
          <w:szCs w:val="24"/>
          <w:color w:val="auto"/>
        </w:rPr>
      </w:pPr>
    </w:p>
    <w:tbl>
      <w:tblPr>
        <w:tblLayout w:type="fixed"/>
        <w:tblInd w:w="1940" w:type="dxa"/>
        <w:tblCellMar>
          <w:top w:w="0" w:type="dxa"/>
          <w:left w:w="0" w:type="dxa"/>
          <w:bottom w:w="0" w:type="dxa"/>
          <w:right w:w="0" w:type="dxa"/>
        </w:tblCellMar>
      </w:tblPr>
      <w:tr>
        <w:trPr>
          <w:trHeight w:val="172"/>
        </w:trPr>
        <w:tc>
          <w:tcPr>
            <w:tcW w:w="3860" w:type="dxa"/>
            <w:vAlign w:val="bottom"/>
          </w:tcPr>
          <w:p>
            <w:pPr>
              <w:jc w:val="center"/>
              <w:ind w:right="1870"/>
              <w:spacing w:after="0"/>
              <w:rPr>
                <w:sz w:val="20"/>
                <w:szCs w:val="20"/>
                <w:color w:val="auto"/>
              </w:rPr>
            </w:pPr>
            <w:r>
              <w:rPr>
                <w:rFonts w:ascii="Arial" w:cs="Arial" w:eastAsia="Arial" w:hAnsi="Arial"/>
                <w:sz w:val="15"/>
                <w:szCs w:val="15"/>
                <w:b w:val="1"/>
                <w:bCs w:val="1"/>
                <w:color w:val="auto"/>
              </w:rPr>
              <w:t>England and Wales</w:t>
            </w:r>
          </w:p>
        </w:tc>
        <w:tc>
          <w:tcPr>
            <w:tcW w:w="3380" w:type="dxa"/>
            <w:vAlign w:val="bottom"/>
          </w:tcPr>
          <w:p>
            <w:pPr>
              <w:jc w:val="center"/>
              <w:ind w:left="1870"/>
              <w:spacing w:after="0"/>
              <w:rPr>
                <w:sz w:val="20"/>
                <w:szCs w:val="20"/>
                <w:color w:val="auto"/>
              </w:rPr>
            </w:pPr>
            <w:r>
              <w:rPr>
                <w:rFonts w:ascii="Arial" w:cs="Arial" w:eastAsia="Arial" w:hAnsi="Arial"/>
                <w:sz w:val="15"/>
                <w:szCs w:val="15"/>
                <w:b w:val="1"/>
                <w:bCs w:val="1"/>
                <w:color w:val="auto"/>
              </w:rPr>
              <w:t>Not Applicable</w:t>
            </w:r>
          </w:p>
        </w:tc>
      </w:tr>
      <w:tr>
        <w:trPr>
          <w:trHeight w:val="149"/>
        </w:trPr>
        <w:tc>
          <w:tcPr>
            <w:tcW w:w="3860" w:type="dxa"/>
            <w:vAlign w:val="bottom"/>
          </w:tcPr>
          <w:p>
            <w:pPr>
              <w:jc w:val="center"/>
              <w:ind w:right="1870"/>
              <w:spacing w:after="0"/>
              <w:rPr>
                <w:sz w:val="20"/>
                <w:szCs w:val="20"/>
                <w:color w:val="auto"/>
              </w:rPr>
            </w:pPr>
            <w:r>
              <w:rPr>
                <w:rFonts w:ascii="Arial" w:cs="Arial" w:eastAsia="Arial" w:hAnsi="Arial"/>
                <w:sz w:val="13"/>
                <w:szCs w:val="13"/>
                <w:b w:val="1"/>
                <w:bCs w:val="1"/>
                <w:color w:val="auto"/>
              </w:rPr>
              <w:t>(State or other jurisdiction of</w:t>
            </w:r>
          </w:p>
        </w:tc>
        <w:tc>
          <w:tcPr>
            <w:tcW w:w="3380" w:type="dxa"/>
            <w:vAlign w:val="bottom"/>
          </w:tcPr>
          <w:p>
            <w:pPr>
              <w:jc w:val="center"/>
              <w:ind w:left="1870"/>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860" w:type="dxa"/>
            <w:vAlign w:val="bottom"/>
          </w:tcPr>
          <w:p>
            <w:pPr>
              <w:jc w:val="center"/>
              <w:ind w:right="1870"/>
              <w:spacing w:after="0"/>
              <w:rPr>
                <w:sz w:val="20"/>
                <w:szCs w:val="20"/>
                <w:color w:val="auto"/>
              </w:rPr>
            </w:pPr>
            <w:r>
              <w:rPr>
                <w:rFonts w:ascii="Arial" w:cs="Arial" w:eastAsia="Arial" w:hAnsi="Arial"/>
                <w:sz w:val="13"/>
                <w:szCs w:val="13"/>
                <w:b w:val="1"/>
                <w:bCs w:val="1"/>
                <w:color w:val="auto"/>
              </w:rPr>
              <w:t>incorporation or organization)</w:t>
            </w:r>
          </w:p>
        </w:tc>
        <w:tc>
          <w:tcPr>
            <w:tcW w:w="3380" w:type="dxa"/>
            <w:vAlign w:val="bottom"/>
          </w:tcPr>
          <w:p>
            <w:pPr>
              <w:jc w:val="center"/>
              <w:ind w:left="1870"/>
              <w:spacing w:after="0"/>
              <w:rPr>
                <w:sz w:val="20"/>
                <w:szCs w:val="20"/>
                <w:color w:val="auto"/>
              </w:rPr>
            </w:pPr>
            <w:r>
              <w:rPr>
                <w:rFonts w:ascii="Arial" w:cs="Arial" w:eastAsia="Arial" w:hAnsi="Arial"/>
                <w:sz w:val="13"/>
                <w:szCs w:val="13"/>
                <w:b w:val="1"/>
                <w:bCs w:val="1"/>
                <w:color w:val="auto"/>
              </w:rPr>
              <w:t>Identification Number)</w:t>
            </w:r>
          </w:p>
        </w:tc>
      </w:tr>
    </w:tbl>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One Cavendish Place, 4</w:t>
      </w:r>
      <w:r>
        <w:rPr>
          <w:rFonts w:ascii="Arial" w:cs="Arial" w:eastAsia="Arial" w:hAnsi="Arial"/>
          <w:sz w:val="11"/>
          <w:szCs w:val="11"/>
          <w:b w:val="1"/>
          <w:bCs w:val="1"/>
          <w:color w:val="auto"/>
        </w:rPr>
        <w:t>th</w:t>
      </w:r>
      <w:r>
        <w:rPr>
          <w:rFonts w:ascii="Arial" w:cs="Arial" w:eastAsia="Arial" w:hAnsi="Arial"/>
          <w:sz w:val="15"/>
          <w:szCs w:val="15"/>
          <w:b w:val="1"/>
          <w:bCs w:val="1"/>
          <w:color w:val="auto"/>
        </w:rPr>
        <w:t xml:space="preserve"> Floor</w:t>
      </w:r>
    </w:p>
    <w:p>
      <w:pPr>
        <w:jc w:val="center"/>
        <w:ind w:right="-179"/>
        <w:spacing w:after="0" w:line="233" w:lineRule="auto"/>
        <w:rPr>
          <w:sz w:val="20"/>
          <w:szCs w:val="20"/>
          <w:color w:val="auto"/>
        </w:rPr>
      </w:pPr>
      <w:r>
        <w:rPr>
          <w:rFonts w:ascii="Arial" w:cs="Arial" w:eastAsia="Arial" w:hAnsi="Arial"/>
          <w:sz w:val="15"/>
          <w:szCs w:val="15"/>
          <w:b w:val="1"/>
          <w:bCs w:val="1"/>
          <w:color w:val="auto"/>
        </w:rPr>
        <w:t>London, W1G 0QF</w:t>
      </w:r>
    </w:p>
    <w:p>
      <w:pPr>
        <w:jc w:val="center"/>
        <w:ind w:right="-179"/>
        <w:spacing w:after="0" w:line="225" w:lineRule="auto"/>
        <w:rPr>
          <w:sz w:val="20"/>
          <w:szCs w:val="20"/>
          <w:color w:val="auto"/>
        </w:rPr>
      </w:pPr>
      <w:r>
        <w:rPr>
          <w:rFonts w:ascii="Arial" w:cs="Arial" w:eastAsia="Arial" w:hAnsi="Arial"/>
          <w:sz w:val="15"/>
          <w:szCs w:val="15"/>
          <w:b w:val="1"/>
          <w:bCs w:val="1"/>
          <w:color w:val="auto"/>
        </w:rPr>
        <w:t>United Kingdom</w:t>
      </w:r>
    </w:p>
    <w:p>
      <w:pPr>
        <w:jc w:val="center"/>
        <w:ind w:right="-179"/>
        <w:spacing w:after="0" w:line="229" w:lineRule="auto"/>
        <w:rPr>
          <w:sz w:val="20"/>
          <w:szCs w:val="20"/>
          <w:color w:val="auto"/>
        </w:rPr>
      </w:pPr>
      <w:r>
        <w:rPr>
          <w:rFonts w:ascii="Arial" w:cs="Arial" w:eastAsia="Arial" w:hAnsi="Arial"/>
          <w:sz w:val="15"/>
          <w:szCs w:val="15"/>
          <w:b w:val="1"/>
          <w:bCs w:val="1"/>
          <w:color w:val="auto"/>
        </w:rPr>
        <w:t>+(44) 333 023 7300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120015</wp:posOffset>
            </wp:positionV>
            <wp:extent cx="1817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0"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Mereo US Holdings Inc.</w:t>
      </w:r>
    </w:p>
    <w:p>
      <w:pPr>
        <w:jc w:val="center"/>
        <w:ind w:right="-179"/>
        <w:spacing w:after="0" w:line="233" w:lineRule="auto"/>
        <w:rPr>
          <w:sz w:val="20"/>
          <w:szCs w:val="20"/>
          <w:color w:val="auto"/>
        </w:rPr>
      </w:pPr>
      <w:r>
        <w:rPr>
          <w:rFonts w:ascii="Arial" w:cs="Arial" w:eastAsia="Arial" w:hAnsi="Arial"/>
          <w:sz w:val="15"/>
          <w:szCs w:val="15"/>
          <w:b w:val="1"/>
          <w:bCs w:val="1"/>
          <w:color w:val="auto"/>
        </w:rPr>
        <w:t>251 Little Falls Drive</w:t>
      </w:r>
    </w:p>
    <w:p>
      <w:pPr>
        <w:jc w:val="center"/>
        <w:ind w:right="-179"/>
        <w:spacing w:after="0" w:line="225" w:lineRule="auto"/>
        <w:rPr>
          <w:sz w:val="20"/>
          <w:szCs w:val="20"/>
          <w:color w:val="auto"/>
        </w:rPr>
      </w:pPr>
      <w:r>
        <w:rPr>
          <w:rFonts w:ascii="Arial" w:cs="Arial" w:eastAsia="Arial" w:hAnsi="Arial"/>
          <w:sz w:val="15"/>
          <w:szCs w:val="15"/>
          <w:b w:val="1"/>
          <w:bCs w:val="1"/>
          <w:color w:val="auto"/>
        </w:rPr>
        <w:t>Wilmington, Delaware 19808</w:t>
      </w:r>
    </w:p>
    <w:p>
      <w:pPr>
        <w:jc w:val="center"/>
        <w:ind w:right="-179"/>
        <w:spacing w:after="0" w:line="229" w:lineRule="auto"/>
        <w:rPr>
          <w:sz w:val="20"/>
          <w:szCs w:val="20"/>
          <w:color w:val="auto"/>
        </w:rPr>
      </w:pPr>
      <w:r>
        <w:rPr>
          <w:rFonts w:ascii="Arial" w:cs="Arial" w:eastAsia="Arial" w:hAnsi="Arial"/>
          <w:sz w:val="15"/>
          <w:szCs w:val="15"/>
          <w:b w:val="1"/>
          <w:bCs w:val="1"/>
          <w:color w:val="auto"/>
        </w:rPr>
        <w:t>+1 302 636 5401</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120015</wp:posOffset>
            </wp:positionV>
            <wp:extent cx="1817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46"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i w:val="1"/>
          <w:iCs w:val="1"/>
          <w:color w:val="auto"/>
        </w:rPr>
        <w:t>Copies to:</w:t>
      </w:r>
    </w:p>
    <w:p>
      <w:pPr>
        <w:spacing w:after="0" w:line="96"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David S. Bakst</w:t>
      </w:r>
    </w:p>
    <w:p>
      <w:pPr>
        <w:jc w:val="center"/>
        <w:ind w:right="-179"/>
        <w:spacing w:after="0" w:line="233" w:lineRule="auto"/>
        <w:rPr>
          <w:sz w:val="20"/>
          <w:szCs w:val="20"/>
          <w:color w:val="auto"/>
        </w:rPr>
      </w:pPr>
      <w:r>
        <w:rPr>
          <w:rFonts w:ascii="Arial" w:cs="Arial" w:eastAsia="Arial" w:hAnsi="Arial"/>
          <w:sz w:val="15"/>
          <w:szCs w:val="15"/>
          <w:b w:val="1"/>
          <w:bCs w:val="1"/>
          <w:color w:val="auto"/>
        </w:rPr>
        <w:t>Mayer Brown LLP</w:t>
      </w:r>
    </w:p>
    <w:p>
      <w:pPr>
        <w:jc w:val="center"/>
        <w:ind w:right="-179"/>
        <w:spacing w:after="0" w:line="225" w:lineRule="auto"/>
        <w:rPr>
          <w:sz w:val="20"/>
          <w:szCs w:val="20"/>
          <w:color w:val="auto"/>
        </w:rPr>
      </w:pPr>
      <w:r>
        <w:rPr>
          <w:rFonts w:ascii="Arial" w:cs="Arial" w:eastAsia="Arial" w:hAnsi="Arial"/>
          <w:sz w:val="15"/>
          <w:szCs w:val="15"/>
          <w:b w:val="1"/>
          <w:bCs w:val="1"/>
          <w:color w:val="auto"/>
        </w:rPr>
        <w:t>1221 Avenue of the Americas</w:t>
      </w:r>
    </w:p>
    <w:p>
      <w:pPr>
        <w:jc w:val="center"/>
        <w:ind w:right="-179"/>
        <w:spacing w:after="0" w:line="225" w:lineRule="auto"/>
        <w:rPr>
          <w:sz w:val="20"/>
          <w:szCs w:val="20"/>
          <w:color w:val="auto"/>
        </w:rPr>
      </w:pPr>
      <w:r>
        <w:rPr>
          <w:rFonts w:ascii="Arial" w:cs="Arial" w:eastAsia="Arial" w:hAnsi="Arial"/>
          <w:sz w:val="15"/>
          <w:szCs w:val="15"/>
          <w:b w:val="1"/>
          <w:bCs w:val="1"/>
          <w:color w:val="auto"/>
        </w:rPr>
        <w:t>New York, New York 10020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+1 212 506-2500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115570</wp:posOffset>
            </wp:positionV>
            <wp:extent cx="1817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4" w:lineRule="exact"/>
        <w:rPr>
          <w:sz w:val="24"/>
          <w:szCs w:val="24"/>
          <w:color w:val="auto"/>
        </w:rPr>
      </w:pPr>
    </w:p>
    <w:p>
      <w:pPr>
        <w:ind w:left="120"/>
        <w:spacing w:after="0"/>
        <w:rPr>
          <w:sz w:val="20"/>
          <w:szCs w:val="20"/>
          <w:color w:val="auto"/>
        </w:rPr>
      </w:pPr>
      <w:r>
        <w:rPr>
          <w:rFonts w:ascii="Arial" w:cs="Arial" w:eastAsia="Arial" w:hAnsi="Arial"/>
          <w:sz w:val="15"/>
          <w:szCs w:val="15"/>
          <w:b w:val="1"/>
          <w:bCs w:val="1"/>
          <w:color w:val="auto"/>
        </w:rPr>
        <w:t xml:space="preserve">From time to time after the effective date of this registration statement. </w:t>
      </w:r>
      <w:r>
        <w:rPr>
          <w:rFonts w:ascii="Arial" w:cs="Arial" w:eastAsia="Arial" w:hAnsi="Arial"/>
          <w:sz w:val="15"/>
          <w:szCs w:val="15"/>
          <w:color w:val="auto"/>
        </w:rPr>
        <w:t>(Approximate date of commencement of proposed sale to the public)</w:t>
      </w:r>
    </w:p>
    <w:p>
      <w:pPr>
        <w:spacing w:after="0" w:line="38"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19" w:lineRule="exact"/>
        <w:rPr>
          <w:sz w:val="24"/>
          <w:szCs w:val="24"/>
          <w:color w:val="auto"/>
        </w:rPr>
      </w:pPr>
    </w:p>
    <w:p>
      <w:pPr>
        <w:ind w:left="120" w:right="240" w:firstLine="440"/>
        <w:spacing w:after="0" w:line="199"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22" w:lineRule="exact"/>
        <w:rPr>
          <w:sz w:val="24"/>
          <w:szCs w:val="24"/>
          <w:color w:val="auto"/>
        </w:rPr>
      </w:pPr>
    </w:p>
    <w:p>
      <w:pPr>
        <w:ind w:left="120" w:right="160" w:firstLine="440"/>
        <w:spacing w:after="0" w:line="199"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2" w:lineRule="exact"/>
        <w:rPr>
          <w:sz w:val="24"/>
          <w:szCs w:val="24"/>
          <w:color w:val="auto"/>
        </w:rPr>
      </w:pPr>
    </w:p>
    <w:p>
      <w:pPr>
        <w:ind w:left="120" w:right="600" w:firstLine="440"/>
        <w:spacing w:after="0" w:line="199"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5" w:lineRule="exact"/>
        <w:rPr>
          <w:sz w:val="24"/>
          <w:szCs w:val="24"/>
          <w:color w:val="auto"/>
        </w:rPr>
      </w:pPr>
    </w:p>
    <w:p>
      <w:pPr>
        <w:ind w:left="120" w:right="160" w:firstLine="440"/>
        <w:spacing w:after="0" w:line="199"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on filing with the Securities and Exchange Commission pursuant to Rule 462(e) under the Securities Act, check the following box. </w:t>
      </w:r>
      <w:r>
        <w:rPr>
          <w:rFonts w:ascii="MS PGothic" w:cs="MS PGothic" w:eastAsia="MS PGothic" w:hAnsi="MS PGothic"/>
          <w:sz w:val="15"/>
          <w:szCs w:val="15"/>
          <w:color w:val="auto"/>
        </w:rPr>
        <w:t>☐</w:t>
      </w:r>
    </w:p>
    <w:p>
      <w:pPr>
        <w:spacing w:after="0" w:line="22" w:lineRule="exact"/>
        <w:rPr>
          <w:sz w:val="24"/>
          <w:szCs w:val="24"/>
          <w:color w:val="auto"/>
        </w:rPr>
      </w:pPr>
    </w:p>
    <w:p>
      <w:pPr>
        <w:ind w:left="120" w:right="500" w:firstLine="440"/>
        <w:spacing w:after="0" w:line="199"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22" w:lineRule="exact"/>
        <w:rPr>
          <w:sz w:val="24"/>
          <w:szCs w:val="24"/>
          <w:color w:val="auto"/>
        </w:rPr>
      </w:pPr>
    </w:p>
    <w:p>
      <w:pPr>
        <w:ind w:left="120" w:firstLine="440"/>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120" w:type="dxa"/>
        <w:tblCellMar>
          <w:top w:w="0" w:type="dxa"/>
          <w:left w:w="0" w:type="dxa"/>
          <w:bottom w:w="0" w:type="dxa"/>
          <w:right w:w="0" w:type="dxa"/>
        </w:tblCellMar>
      </w:tblPr>
      <w:tr>
        <w:trPr>
          <w:trHeight w:val="189"/>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6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526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95250</wp:posOffset>
            </wp:positionV>
            <wp:extent cx="1817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7" w:lineRule="exact"/>
        <w:rPr>
          <w:sz w:val="24"/>
          <w:szCs w:val="24"/>
          <w:color w:val="auto"/>
        </w:rPr>
      </w:pPr>
    </w:p>
    <w:p>
      <w:pPr>
        <w:ind w:left="120" w:right="280" w:firstLine="44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to comply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20" w:lineRule="exact"/>
        <w:rPr>
          <w:sz w:val="24"/>
          <w:szCs w:val="24"/>
          <w:color w:val="auto"/>
        </w:rPr>
      </w:pPr>
    </w:p>
    <w:p>
      <w:pPr>
        <w:ind w:left="120" w:right="20" w:firstLine="440"/>
        <w:spacing w:after="0" w:line="243"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22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EXPLANATORY NOTE</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registration statement contains:</w:t>
      </w:r>
    </w:p>
    <w:p>
      <w:pPr>
        <w:spacing w:after="0" w:line="36" w:lineRule="exact"/>
        <w:rPr>
          <w:sz w:val="20"/>
          <w:szCs w:val="20"/>
          <w:color w:val="auto"/>
        </w:rPr>
      </w:pPr>
    </w:p>
    <w:p>
      <w:pPr>
        <w:ind w:left="980" w:right="60" w:hanging="432"/>
        <w:spacing w:after="0" w:line="230"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base prospectus which covers the offering, issuance and sale by us of up to $175,000,000 of our ADSs from time to time in one or more offerings; and</w:t>
      </w:r>
    </w:p>
    <w:p>
      <w:pPr>
        <w:spacing w:after="0" w:line="4" w:lineRule="exact"/>
        <w:rPr>
          <w:rFonts w:ascii="MS PGothic" w:cs="MS PGothic" w:eastAsia="MS PGothic" w:hAnsi="MS PGothic"/>
          <w:sz w:val="25"/>
          <w:szCs w:val="25"/>
          <w:color w:val="auto"/>
          <w:vertAlign w:val="superscript"/>
        </w:rPr>
      </w:pPr>
    </w:p>
    <w:p>
      <w:pPr>
        <w:ind w:left="980" w:hanging="432"/>
        <w:spacing w:after="0" w:line="245" w:lineRule="auto"/>
        <w:tabs>
          <w:tab w:leader="none" w:pos="98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sales agreement prospectus supplement covering the offering, issuance and sale by us of up to a maximum aggregate offering price of $50,000,000 of our ordinary shares, in the form of ADSs, that may be issued and sold under the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dated May 15, 2024 between us and Jefferies LLC (the “Sales Agreement”).</w:t>
      </w:r>
    </w:p>
    <w:p>
      <w:pPr>
        <w:spacing w:after="0" w:line="49" w:lineRule="exact"/>
        <w:rPr>
          <w:sz w:val="20"/>
          <w:szCs w:val="20"/>
          <w:color w:val="auto"/>
        </w:rPr>
      </w:pPr>
    </w:p>
    <w:p>
      <w:pPr>
        <w:ind w:left="120" w:right="20" w:firstLine="440"/>
        <w:spacing w:after="0" w:line="227" w:lineRule="auto"/>
        <w:rPr>
          <w:sz w:val="20"/>
          <w:szCs w:val="20"/>
          <w:color w:val="auto"/>
        </w:rPr>
      </w:pPr>
      <w:r>
        <w:rPr>
          <w:rFonts w:ascii="Arial" w:cs="Arial" w:eastAsia="Arial" w:hAnsi="Arial"/>
          <w:sz w:val="18"/>
          <w:szCs w:val="18"/>
          <w:color w:val="auto"/>
        </w:rPr>
        <w:t>We terminated our previous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dated August 5, 2021 between us and Jefferies LLC under which we sold 9,673,419 ADSs. 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$50,000,000 of ordinary shares, represented by ADSs, that may be offered, issued and sold under the sales agreement prospectus supplement is included in the $175,000,000 of securities that may be offered, issued and sold by us under the base prospectus. Upon termination of the Sales Agreement, any portion of the $50,000,000 included in the Sales Agreement prospectus supplement that is not sold pursuant to the Sales Agreement will be available for sale in other offerings pursuant to the base prospectus.</w:t>
      </w:r>
    </w:p>
    <w:p>
      <w:pPr>
        <w:spacing w:after="0" w:line="183" w:lineRule="exact"/>
        <w:rPr>
          <w:sz w:val="20"/>
          <w:szCs w:val="20"/>
          <w:color w:val="auto"/>
        </w:rPr>
      </w:pPr>
    </w:p>
    <w:p>
      <w:pPr>
        <w:ind w:left="120" w:right="420" w:firstLine="440"/>
        <w:spacing w:after="0" w:line="253" w:lineRule="auto"/>
        <w:rPr>
          <w:sz w:val="20"/>
          <w:szCs w:val="20"/>
          <w:color w:val="auto"/>
        </w:rPr>
      </w:pPr>
      <w:r>
        <w:rPr>
          <w:rFonts w:ascii="Arial" w:cs="Arial" w:eastAsia="Arial" w:hAnsi="Arial"/>
          <w:sz w:val="18"/>
          <w:szCs w:val="18"/>
          <w:color w:val="auto"/>
        </w:rPr>
        <w:t>The information in this prospectus is not complete and may be changed. We may not sell these securities until the registration statement filed with the Securities and Exchange Commission (the “SEC”) is effective. This prospectus is not an offer to sell these securities and it is not soliciting an offer to buy these securities in any state where the offer or sale is not permitted.</w:t>
      </w:r>
    </w:p>
    <w:p>
      <w:pPr>
        <w:sectPr>
          <w:pgSz w:w="11900" w:h="16838" w:orient="portrait"/>
          <w:cols w:equalWidth="0" w:num="1">
            <w:col w:w="10960"/>
          </w:cols>
          <w:pgMar w:left="320" w:top="455" w:right="6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E1A1E"/>
        </w:rPr>
        <w:t>Subject to Completion, dated May 15, 2024</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386080</wp:posOffset>
            </wp:positionV>
            <wp:extent cx="168021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021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Mereo BioPharma Group plc</w:t>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$175,000,000</w:t>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339"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We may offer and sell, from time to time, the American Depositary Shares (“ADSs”) described in this prospectus for an aggregate offering price of up to $175,000,000 in one or more offerings. This prospectus provides you with a general description of the ADSs.</w:t>
      </w:r>
    </w:p>
    <w:p>
      <w:pPr>
        <w:spacing w:after="0" w:line="26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Each time we offer and sell the ADSs, we will provide a supplement to this prospectus that contains specific information about the offering and the amounts, prices and terms of the ADSs. The supplement may also add, update or change information contained in this prospectus with respect to that offering. You should carefully read this prospectus and the applicable prospectus supplement before you invest in any of our ADSs.</w:t>
      </w:r>
    </w:p>
    <w:p>
      <w:pPr>
        <w:spacing w:after="0" w:line="28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may offer and sell the ADSs described in this prospectus and any prospectus supplement to or through one or more underwriters, dealers and agents, or directly to purchasers, or through a combination of these methods. If any underwriters, dealers or agents are involved in the sale of any of the ADSs,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ADSs.</w:t>
      </w:r>
    </w:p>
    <w:p>
      <w:pPr>
        <w:spacing w:after="0" w:line="29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Our ADSs, each representing five ordinary shares, are listed on The Nasdaq Capital Market under the symbol “MREO.” On May 13, 2024, the last reported sale price of our ADSs on The Nasdaq Capital Market was $2.97 per ADS.</w:t>
      </w:r>
    </w:p>
    <w:p>
      <w:pPr>
        <w:spacing w:after="0" w:line="262"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We are an “emerging growth company” and a “smaller reporting company” under applicable Securities and Exchange Commission rules and are eligible for reduced public company disclosure requirements.</w:t>
      </w:r>
    </w:p>
    <w:p>
      <w:pPr>
        <w:spacing w:after="0" w:line="262" w:lineRule="exact"/>
        <w:rPr>
          <w:sz w:val="20"/>
          <w:szCs w:val="20"/>
          <w:color w:val="auto"/>
        </w:rPr>
      </w:pPr>
    </w:p>
    <w:p>
      <w:pPr>
        <w:ind w:left="120" w:right="200"/>
        <w:spacing w:after="0" w:line="311" w:lineRule="auto"/>
        <w:rPr>
          <w:sz w:val="20"/>
          <w:szCs w:val="20"/>
          <w:color w:val="auto"/>
        </w:rPr>
      </w:pPr>
      <w:r>
        <w:rPr>
          <w:rFonts w:ascii="Arial" w:cs="Arial" w:eastAsia="Arial" w:hAnsi="Arial"/>
          <w:sz w:val="17"/>
          <w:szCs w:val="17"/>
          <w:b w:val="1"/>
          <w:bCs w:val="1"/>
          <w:color w:val="auto"/>
        </w:rPr>
        <w:t>Investing in our ADSs involve significant risks. See “</w:t>
      </w:r>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color w:val="auto"/>
        </w:rPr>
        <w:t>” beginning on page 5 of this prospectus and the documents incorporated by reference in this prospectus concerning factors you should consider before investing in our ADSs.</w:t>
      </w:r>
    </w:p>
    <w:p>
      <w:pPr>
        <w:spacing w:after="0" w:line="222"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247650</wp:posOffset>
            </wp:positionV>
            <wp:extent cx="18173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9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00" w:type="dxa"/>
            <w:vAlign w:val="bottom"/>
          </w:tcPr>
          <w:p>
            <w:pPr>
              <w:spacing w:after="0"/>
              <w:rPr>
                <w:sz w:val="17"/>
                <w:szCs w:val="17"/>
                <w:color w:val="auto"/>
              </w:rPr>
            </w:pPr>
          </w:p>
        </w:tc>
      </w:tr>
      <w:tr>
        <w:trPr>
          <w:trHeight w:val="545"/>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60" w:type="dxa"/>
            <w:vAlign w:val="bottom"/>
            <w:gridSpan w:val="3"/>
          </w:tcPr>
          <w:p>
            <w:pPr>
              <w:ind w:left="4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r>
      <w:tr>
        <w:trPr>
          <w:trHeight w:val="515"/>
        </w:trPr>
        <w:tc>
          <w:tcPr>
            <w:tcW w:w="120" w:type="dxa"/>
            <w:vAlign w:val="bottom"/>
          </w:tcPr>
          <w:p>
            <w:pPr>
              <w:spacing w:after="0"/>
              <w:rPr>
                <w:sz w:val="24"/>
                <w:szCs w:val="24"/>
                <w:color w:val="auto"/>
              </w:rPr>
            </w:pPr>
          </w:p>
        </w:tc>
        <w:tc>
          <w:tcPr>
            <w:tcW w:w="8860" w:type="dxa"/>
            <w:vAlign w:val="bottom"/>
            <w:gridSpan w:val="12"/>
          </w:tcPr>
          <w:p>
            <w:pPr>
              <w:spacing w:after="0"/>
              <w:rPr>
                <w:sz w:val="20"/>
                <w:szCs w:val="20"/>
                <w:color w:val="auto"/>
              </w:rPr>
            </w:pPr>
            <w:r>
              <w:rPr>
                <w:rFonts w:ascii="Arial" w:cs="Arial" w:eastAsia="Arial" w:hAnsi="Arial"/>
                <w:sz w:val="18"/>
                <w:szCs w:val="18"/>
                <w:color w:val="0000EE"/>
              </w:rPr>
              <w:t>ABOUT THIS PROSPECTUS</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8860" w:type="dxa"/>
            <w:vAlign w:val="bottom"/>
            <w:gridSpan w:val="12"/>
          </w:tcPr>
          <w:p>
            <w:pPr>
              <w:spacing w:after="0"/>
              <w:rPr>
                <w:sz w:val="20"/>
                <w:szCs w:val="20"/>
                <w:color w:val="auto"/>
              </w:rPr>
            </w:pPr>
            <w:r>
              <w:rPr>
                <w:rFonts w:ascii="Arial" w:cs="Arial" w:eastAsia="Arial" w:hAnsi="Arial"/>
                <w:sz w:val="18"/>
                <w:szCs w:val="18"/>
                <w:color w:val="0000EE"/>
              </w:rPr>
              <w:t>WHERE YOU CAN FIND MORE INFORMATION; INCORPORATION BY REFERENCE</w:t>
            </w: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120" w:type="dxa"/>
            <w:vAlign w:val="bottom"/>
          </w:tcPr>
          <w:p>
            <w:pPr>
              <w:spacing w:after="0"/>
              <w:rPr>
                <w:sz w:val="18"/>
                <w:szCs w:val="18"/>
                <w:color w:val="auto"/>
              </w:rPr>
            </w:pPr>
          </w:p>
        </w:tc>
        <w:tc>
          <w:tcPr>
            <w:tcW w:w="69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THE COMPANY</w:t>
            </w:r>
          </w:p>
        </w:tc>
        <w:tc>
          <w:tcPr>
            <w:tcW w:w="19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3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7540" w:type="dxa"/>
            <w:vAlign w:val="bottom"/>
            <w:gridSpan w:val="8"/>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120" w:type="dxa"/>
            <w:vAlign w:val="bottom"/>
          </w:tcPr>
          <w:p>
            <w:pPr>
              <w:spacing w:after="0"/>
              <w:rPr>
                <w:sz w:val="18"/>
                <w:szCs w:val="18"/>
                <w:color w:val="auto"/>
              </w:rPr>
            </w:pPr>
          </w:p>
        </w:tc>
        <w:tc>
          <w:tcPr>
            <w:tcW w:w="8860" w:type="dxa"/>
            <w:vAlign w:val="bottom"/>
            <w:gridSpan w:val="12"/>
          </w:tcPr>
          <w:p>
            <w:pPr>
              <w:spacing w:after="0"/>
              <w:rPr>
                <w:sz w:val="20"/>
                <w:szCs w:val="20"/>
                <w:color w:val="auto"/>
              </w:rPr>
            </w:pPr>
            <w:r>
              <w:rPr>
                <w:rFonts w:ascii="Arial" w:cs="Arial" w:eastAsia="Arial" w:hAnsi="Arial"/>
                <w:sz w:val="18"/>
                <w:szCs w:val="18"/>
                <w:color w:val="0000EE"/>
              </w:rPr>
              <w:t>USE OF PROCEEDS</w:t>
            </w:r>
          </w:p>
        </w:tc>
        <w:tc>
          <w:tcPr>
            <w:tcW w:w="2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860" w:type="dxa"/>
            <w:vAlign w:val="bottom"/>
            <w:gridSpan w:val="12"/>
          </w:tcPr>
          <w:p>
            <w:pPr>
              <w:spacing w:after="0"/>
              <w:rPr>
                <w:sz w:val="20"/>
                <w:szCs w:val="20"/>
                <w:color w:val="auto"/>
              </w:rPr>
            </w:pPr>
            <w:r>
              <w:rPr>
                <w:rFonts w:ascii="Arial" w:cs="Arial" w:eastAsia="Arial" w:hAnsi="Arial"/>
                <w:sz w:val="18"/>
                <w:szCs w:val="18"/>
                <w:color w:val="0000EE"/>
              </w:rPr>
              <w:t>DESCRIPTION OF SHARE CAPITAL AND ARTICLES OF ASSOCIATION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120" w:type="dxa"/>
            <w:vAlign w:val="bottom"/>
          </w:tcPr>
          <w:p>
            <w:pPr>
              <w:spacing w:after="0"/>
              <w:rPr>
                <w:sz w:val="18"/>
                <w:szCs w:val="18"/>
                <w:color w:val="auto"/>
              </w:rPr>
            </w:pPr>
          </w:p>
        </w:tc>
        <w:tc>
          <w:tcPr>
            <w:tcW w:w="59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DESCRIPTION OF AMERICAN DEPOSITARY SHARES</w:t>
            </w:r>
          </w:p>
        </w:tc>
        <w:tc>
          <w:tcPr>
            <w:tcW w:w="2960" w:type="dxa"/>
            <w:vAlign w:val="bottom"/>
            <w:gridSpan w:val="2"/>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120" w:type="dxa"/>
            <w:vAlign w:val="bottom"/>
          </w:tcPr>
          <w:p>
            <w:pPr>
              <w:spacing w:after="0"/>
              <w:rPr>
                <w:sz w:val="18"/>
                <w:szCs w:val="18"/>
                <w:color w:val="auto"/>
              </w:rPr>
            </w:pPr>
          </w:p>
        </w:tc>
        <w:tc>
          <w:tcPr>
            <w:tcW w:w="45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PLAN OF DISTRIBUTION</w:t>
            </w:r>
          </w:p>
        </w:tc>
        <w:tc>
          <w:tcPr>
            <w:tcW w:w="4360" w:type="dxa"/>
            <w:vAlign w:val="bottom"/>
            <w:gridSpan w:val="3"/>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120" w:type="dxa"/>
            <w:vAlign w:val="bottom"/>
          </w:tcPr>
          <w:p>
            <w:pPr>
              <w:spacing w:after="0"/>
              <w:rPr>
                <w:sz w:val="18"/>
                <w:szCs w:val="18"/>
                <w:color w:val="auto"/>
              </w:rPr>
            </w:pPr>
          </w:p>
        </w:tc>
        <w:tc>
          <w:tcPr>
            <w:tcW w:w="14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2"/>
          </w:tcPr>
          <w:p>
            <w:pPr>
              <w:spacing w:after="0"/>
              <w:rPr>
                <w:sz w:val="18"/>
                <w:szCs w:val="18"/>
                <w:color w:val="auto"/>
              </w:rPr>
            </w:pPr>
          </w:p>
        </w:tc>
        <w:tc>
          <w:tcPr>
            <w:tcW w:w="6780" w:type="dxa"/>
            <w:vAlign w:val="bottom"/>
            <w:gridSpan w:val="5"/>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9"/>
        </w:trPr>
        <w:tc>
          <w:tcPr>
            <w:tcW w:w="120" w:type="dxa"/>
            <w:vAlign w:val="bottom"/>
          </w:tcPr>
          <w:p>
            <w:pPr>
              <w:spacing w:after="0"/>
              <w:rPr>
                <w:sz w:val="18"/>
                <w:szCs w:val="18"/>
                <w:color w:val="auto"/>
              </w:rPr>
            </w:pPr>
          </w:p>
        </w:tc>
        <w:tc>
          <w:tcPr>
            <w:tcW w:w="8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EXPERTS</w:t>
            </w:r>
          </w:p>
        </w:tc>
        <w:tc>
          <w:tcPr>
            <w:tcW w:w="8020" w:type="dxa"/>
            <w:vAlign w:val="bottom"/>
            <w:gridSpan w:val="11"/>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604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3604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w:t>
      </w:r>
    </w:p>
    <w:p>
      <w:pPr>
        <w:spacing w:after="0" w:line="212" w:lineRule="exact"/>
        <w:rPr>
          <w:sz w:val="20"/>
          <w:szCs w:val="20"/>
          <w:color w:val="auto"/>
        </w:rPr>
      </w:pPr>
    </w:p>
    <w:p>
      <w:pPr>
        <w:ind w:left="300" w:firstLine="426"/>
        <w:spacing w:after="0" w:line="239" w:lineRule="auto"/>
        <w:rPr>
          <w:sz w:val="20"/>
          <w:szCs w:val="20"/>
          <w:color w:val="auto"/>
        </w:rPr>
      </w:pPr>
      <w:r>
        <w:rPr>
          <w:rFonts w:ascii="Arial" w:cs="Arial" w:eastAsia="Arial" w:hAnsi="Arial"/>
          <w:sz w:val="18"/>
          <w:szCs w:val="18"/>
          <w:color w:val="auto"/>
        </w:rPr>
        <w:t>This prospectus is part of a shelf registration statement that we filed with the Securities and Exchange Commission, or the “SEC,” using a “shelf” registration process. Under this shelf registration statement, we may, over time, offer and sell the ADSs described in this prospectus in one or more offerings, up to a total dollar amount of $175,000,000. This prospectus provides you with a general description of the securities that may be offered. Each time we offer and sell securities under this prospectus, we will provide a prospectus supplement that will contain specific information about the terms of that offering. We may also add, update or change information contained in this prospectus by means of a prospectus supplement or by incorporating by reference information that we file or furnish to the SEC. If the information in this prospectus is inconsistent with a prospectus supplement, you should rely on the information in that prospectus supplement. Please carefully read this prospectus and any prospectus supplement, together with the additional information described under the headings “Where You Can Find More Information; Incorporation by Reference,” before purchasing any securities.</w:t>
      </w:r>
    </w:p>
    <w:p>
      <w:pPr>
        <w:spacing w:after="0" w:line="180" w:lineRule="exact"/>
        <w:rPr>
          <w:sz w:val="20"/>
          <w:szCs w:val="20"/>
          <w:color w:val="auto"/>
        </w:rPr>
      </w:pPr>
    </w:p>
    <w:p>
      <w:pPr>
        <w:ind w:left="300" w:right="20" w:firstLine="426"/>
        <w:spacing w:after="0"/>
        <w:rPr>
          <w:sz w:val="20"/>
          <w:szCs w:val="20"/>
          <w:color w:val="auto"/>
        </w:rPr>
      </w:pPr>
      <w:r>
        <w:rPr>
          <w:rFonts w:ascii="Arial" w:cs="Arial" w:eastAsia="Arial" w:hAnsi="Arial"/>
          <w:sz w:val="18"/>
          <w:szCs w:val="18"/>
          <w:color w:val="auto"/>
        </w:rPr>
        <w:t>You should rely only on the information contained or incorporated by reference in this prospectus, any prospectus supplement and any issuer free writing prospectus. “Incorporated by reference” means that we can disclose important information to you by referring you to another document filed separately with the SEC. We have not authorized any other person to provide you with different information. If anyone provides you with different information, you should not rely on it. We are not making an offer of these securities in any state or jurisdiction where the offer is not permitted. You should only assume that the information in this prospectus or in any prospectus supplement or issuer free writing prospectus is accurate only as of their respective dates. Our business, financial condition, results of operations and prospects may have changed since those dates.</w:t>
      </w:r>
    </w:p>
    <w:p>
      <w:pPr>
        <w:spacing w:after="0" w:line="185" w:lineRule="exact"/>
        <w:rPr>
          <w:sz w:val="20"/>
          <w:szCs w:val="20"/>
          <w:color w:val="auto"/>
        </w:rPr>
      </w:pPr>
    </w:p>
    <w:p>
      <w:pPr>
        <w:ind w:left="300" w:firstLine="426"/>
        <w:spacing w:after="0" w:line="261" w:lineRule="auto"/>
        <w:rPr>
          <w:sz w:val="20"/>
          <w:szCs w:val="20"/>
          <w:color w:val="auto"/>
        </w:rPr>
      </w:pPr>
      <w:r>
        <w:rPr>
          <w:rFonts w:ascii="Arial" w:cs="Arial" w:eastAsia="Arial" w:hAnsi="Arial"/>
          <w:sz w:val="17"/>
          <w:szCs w:val="17"/>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Mereo BioPharma Ireland Limited, Mereo US Holdings Inc. and NAVI Subsidiary, Inc. “Mereo,” the Mereo logo and other trademarks, trade names or service marks of Mereo appearing in this prospectus and the documents incorporated by reference are the property of Mereo.</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w:t>
      </w:r>
    </w:p>
    <w:p>
      <w:pPr>
        <w:spacing w:after="0" w:line="16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i w:val="1"/>
          <w:iCs w:val="1"/>
          <w:color w:val="auto"/>
        </w:rPr>
        <w:t>www.mereobiopharma.com</w:t>
      </w:r>
      <w:r>
        <w:rPr>
          <w:rFonts w:ascii="Arial" w:cs="Arial" w:eastAsia="Arial" w:hAnsi="Arial"/>
          <w:sz w:val="18"/>
          <w:szCs w:val="18"/>
          <w:color w:val="auto"/>
        </w:rPr>
        <w:t>. The information on our web site, however, is not, and should not be deemed to be, a part of this prospectus.</w:t>
      </w:r>
    </w:p>
    <w:p>
      <w:pPr>
        <w:spacing w:after="0" w:line="154"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04"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79"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45" w:lineRule="exact"/>
        <w:rPr>
          <w:sz w:val="20"/>
          <w:szCs w:val="20"/>
          <w:color w:val="auto"/>
        </w:rPr>
      </w:pPr>
    </w:p>
    <w:p>
      <w:pPr>
        <w:ind w:left="980" w:hanging="43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filed with the SEC on March 27, 2024.</w:t>
      </w:r>
    </w:p>
    <w:p>
      <w:pPr>
        <w:spacing w:after="0" w:line="103" w:lineRule="exact"/>
        <w:rPr>
          <w:rFonts w:ascii="Arial" w:cs="Arial" w:eastAsia="Arial" w:hAnsi="Arial"/>
          <w:sz w:val="18"/>
          <w:szCs w:val="18"/>
          <w:color w:val="auto"/>
        </w:rPr>
      </w:pPr>
    </w:p>
    <w:p>
      <w:pPr>
        <w:ind w:left="980" w:hanging="432"/>
        <w:spacing w:after="0" w:line="20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2024, filed with the SEC on May 15, 2024.</w:t>
      </w:r>
    </w:p>
    <w:p>
      <w:pPr>
        <w:spacing w:after="0" w:line="103" w:lineRule="exact"/>
        <w:rPr>
          <w:rFonts w:ascii="Arial" w:cs="Arial" w:eastAsia="Arial" w:hAnsi="Arial"/>
          <w:sz w:val="18"/>
          <w:szCs w:val="18"/>
          <w:color w:val="auto"/>
        </w:rPr>
      </w:pPr>
    </w:p>
    <w:p>
      <w:pPr>
        <w:ind w:left="980" w:hanging="432"/>
        <w:spacing w:after="0" w:line="20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30">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April 15, 2024.</w:t>
      </w:r>
    </w:p>
    <w:p>
      <w:pPr>
        <w:spacing w:after="0" w:line="103" w:lineRule="exact"/>
        <w:rPr>
          <w:rFonts w:ascii="Arial" w:cs="Arial" w:eastAsia="Arial" w:hAnsi="Arial"/>
          <w:sz w:val="18"/>
          <w:szCs w:val="18"/>
          <w:color w:val="auto"/>
        </w:rPr>
      </w:pPr>
    </w:p>
    <w:p>
      <w:pPr>
        <w:ind w:left="980" w:hanging="432"/>
        <w:spacing w:after="0" w:line="22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and ADSs contained in our amended registration statement on </w:t>
      </w:r>
      <w:hyperlink r:id="rId3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December 18, 2023 and any amendment or report filed with the SEC for the purpose of updating the description including without limitation, </w:t>
      </w:r>
      <w:hyperlink r:id="rId32">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2023, filed with the SEC on March 27, 2024.</w:t>
      </w:r>
    </w:p>
    <w:p>
      <w:pPr>
        <w:spacing w:after="0" w:line="181" w:lineRule="exact"/>
        <w:rPr>
          <w:rFonts w:ascii="MS PGothic" w:cs="MS PGothic" w:eastAsia="MS PGothic" w:hAnsi="MS PGothic"/>
          <w:sz w:val="25"/>
          <w:szCs w:val="25"/>
          <w:color w:val="auto"/>
          <w:vertAlign w:val="superscript"/>
        </w:rPr>
      </w:pPr>
    </w:p>
    <w:p>
      <w:pPr>
        <w:ind w:left="120" w:right="80" w:firstLine="440"/>
        <w:spacing w:after="0" w:line="24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09" w:lineRule="exact"/>
        <w:rPr>
          <w:rFonts w:ascii="MS PGothic" w:cs="MS PGothic" w:eastAsia="MS PGothic" w:hAnsi="MS PGothic"/>
          <w:sz w:val="25"/>
          <w:szCs w:val="25"/>
          <w:color w:val="auto"/>
          <w:vertAlign w:val="superscript"/>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You may request a free copy of any of the documents incorporated by reference in this prospectus by writing or telephoning us at:</w:t>
      </w: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Mereo BioPharma Group plc</w:t>
      </w:r>
    </w:p>
    <w:p>
      <w:pPr>
        <w:jc w:val="center"/>
        <w:ind w:right="-399"/>
        <w:spacing w:after="0" w:line="180" w:lineRule="auto"/>
        <w:rPr>
          <w:sz w:val="20"/>
          <w:szCs w:val="20"/>
          <w:color w:val="auto"/>
        </w:rPr>
      </w:pPr>
      <w:r>
        <w:rPr>
          <w:rFonts w:ascii="Arial" w:cs="Arial" w:eastAsia="Arial" w:hAnsi="Arial"/>
          <w:sz w:val="17"/>
          <w:szCs w:val="17"/>
          <w:color w:val="auto"/>
        </w:rPr>
        <w:t>One Cavendish Place, 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w:t>
      </w:r>
    </w:p>
    <w:p>
      <w:pPr>
        <w:jc w:val="center"/>
        <w:ind w:right="-399"/>
        <w:spacing w:after="0" w:line="235" w:lineRule="auto"/>
        <w:rPr>
          <w:sz w:val="20"/>
          <w:szCs w:val="20"/>
          <w:color w:val="auto"/>
        </w:rPr>
      </w:pPr>
      <w:r>
        <w:rPr>
          <w:rFonts w:ascii="Arial" w:cs="Arial" w:eastAsia="Arial" w:hAnsi="Arial"/>
          <w:sz w:val="18"/>
          <w:szCs w:val="18"/>
          <w:color w:val="auto"/>
        </w:rPr>
        <w:t>London, W1G 0QF</w:t>
      </w:r>
    </w:p>
    <w:p>
      <w:pPr>
        <w:jc w:val="center"/>
        <w:ind w:right="-399"/>
        <w:spacing w:after="0" w:line="235" w:lineRule="auto"/>
        <w:rPr>
          <w:sz w:val="20"/>
          <w:szCs w:val="20"/>
          <w:color w:val="auto"/>
        </w:rPr>
      </w:pPr>
      <w:r>
        <w:rPr>
          <w:rFonts w:ascii="Arial" w:cs="Arial" w:eastAsia="Arial" w:hAnsi="Arial"/>
          <w:sz w:val="18"/>
          <w:szCs w:val="18"/>
          <w:color w:val="auto"/>
        </w:rPr>
        <w:t>United Kingdom</w:t>
      </w:r>
    </w:p>
    <w:p>
      <w:pPr>
        <w:jc w:val="center"/>
        <w:ind w:right="-399"/>
        <w:spacing w:after="0"/>
        <w:rPr>
          <w:sz w:val="20"/>
          <w:szCs w:val="20"/>
          <w:color w:val="auto"/>
        </w:rPr>
      </w:pPr>
      <w:r>
        <w:rPr>
          <w:rFonts w:ascii="Arial" w:cs="Arial" w:eastAsia="Arial" w:hAnsi="Arial"/>
          <w:sz w:val="18"/>
          <w:szCs w:val="18"/>
          <w:color w:val="auto"/>
        </w:rPr>
        <w:t>+44 333 023 7300</w:t>
      </w:r>
    </w:p>
    <w:p>
      <w:pPr>
        <w:spacing w:after="0" w:line="194" w:lineRule="exact"/>
        <w:rPr>
          <w:sz w:val="20"/>
          <w:szCs w:val="20"/>
          <w:color w:val="auto"/>
        </w:rPr>
      </w:pPr>
    </w:p>
    <w:p>
      <w:pPr>
        <w:ind w:left="120" w:right="460" w:firstLine="440"/>
        <w:spacing w:after="0" w:line="271"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8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5" w:right="7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primarily for the treatment of severe alpha-1 antitrypsin deficiency-associated lung disease (AATD-LD). Setrusumab has received orphan designation for OI from the European Medicines Agency (EMA) and the U.S. Food and Drug Administration (FDA), PRIME designation from the EMA and has rare pediatric disease designation from the FDA. Alvelestat has received U.S. Orphan Drug Designation for the treatment of AATD and Fast Track designation for the treatment of AATD-LD.</w:t>
      </w:r>
    </w:p>
    <w:p>
      <w:pPr>
        <w:spacing w:after="0" w:line="179"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the Merger. We have successfully completed large, randomized Phase 2 clinical trials for four of our product candidates and the Phase 1b portion of a Phase 1b/2 for a fifth product candidate.</w:t>
      </w:r>
    </w:p>
    <w:p>
      <w:pPr>
        <w:spacing w:after="0" w:line="179" w:lineRule="exact"/>
        <w:rPr>
          <w:sz w:val="20"/>
          <w:szCs w:val="20"/>
          <w:color w:val="auto"/>
        </w:rPr>
      </w:pPr>
    </w:p>
    <w:p>
      <w:pPr>
        <w:ind w:left="120" w:right="140" w:firstLine="440"/>
        <w:spacing w:after="0" w:line="244" w:lineRule="auto"/>
        <w:rPr>
          <w:sz w:val="20"/>
          <w:szCs w:val="20"/>
          <w:color w:val="auto"/>
        </w:rPr>
      </w:pPr>
      <w:r>
        <w:rPr>
          <w:rFonts w:ascii="Arial" w:cs="Arial" w:eastAsia="Arial" w:hAnsi="Arial"/>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jc w:val="both"/>
        <w:ind w:left="120" w:right="180" w:firstLine="440"/>
        <w:spacing w:after="0" w:line="216" w:lineRule="auto"/>
        <w:rPr>
          <w:sz w:val="20"/>
          <w:szCs w:val="20"/>
          <w:color w:val="auto"/>
        </w:rPr>
      </w:pPr>
      <w:r>
        <w:rPr>
          <w:rFonts w:ascii="Arial" w:cs="Arial" w:eastAsia="Arial" w:hAnsi="Arial"/>
          <w:sz w:val="18"/>
          <w:szCs w:val="18"/>
          <w:color w:val="auto"/>
        </w:rPr>
        <w:t>Our registered office address is One Cavendish Place,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London, W1G 0QF, United Kingdom and our telephone number is +44 333 023 7300. Our website address is www.mereobiopharma.com. The information contained on, or that can be accessed from, our website does not form part of this prospectus. Our agent for service of process in the United States is Mereo US Holdings Inc.</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intend to use the net proceeds from the sale of the ADSs as set forth in the applicable prospectus supplement.</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39"/>
          </w:cols>
          <w:pgMar w:left="320" w:top="45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14"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i w:val="1"/>
          <w:iCs w:val="1"/>
          <w:color w:val="auto"/>
        </w:rPr>
        <w:t>The following is a description of the ordinary shares, par value £0.003 per share, of Mereo BioPharma Group plc (the “Company,” “we” or “us”) which are represented by American Depositary Shares (“ADSs”) with each ADS representing five of our ordinary shares registered under Section 12 of the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3.1 to the Annual Report on Form 10-K of the Company for the fiscal year ended December 31, 2023. We encourage you to read the articles and the applicable provisions of English law for additional information.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0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7"/>
          <w:szCs w:val="17"/>
          <w:color w:val="auto"/>
        </w:rPr>
        <w:t>As of May 13, 2024, our issued share capital was £2,104,090, equivalent to 701,363,484 ordinary shares. The nominal value of our ordinary shares, including ordinary shares in the form of ADSs, is £0.003 per ordinary share. Each issued ordinary share is fully paid.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10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7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17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117" w:lineRule="exact"/>
        <w:rPr>
          <w:sz w:val="20"/>
          <w:szCs w:val="20"/>
          <w:color w:val="auto"/>
        </w:rPr>
      </w:pPr>
    </w:p>
    <w:p>
      <w:pPr>
        <w:ind w:left="5580" w:right="1740" w:hanging="5032"/>
        <w:spacing w:after="0" w:line="390" w:lineRule="auto"/>
        <w:tabs>
          <w:tab w:leader="none" w:pos="986"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our register of members; or 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980" w:hanging="432"/>
        <w:spacing w:after="0" w:line="231"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04"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176"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On May 22, 2023 our shareholders authorized our Board to disapply pre-emptive rights for a period until June 30, 2026 in respect of the allotment of ordinary shares or the grant of rights to subscribe for or convert securities into ordinary shares up to a maximum aggregate nominal amount of £2,494,456.76. The nominal value of our ordinary shares is £0.003 per ordinary share.</w:t>
      </w:r>
    </w:p>
    <w:p>
      <w:pPr>
        <w:spacing w:after="0" w:line="169" w:lineRule="exact"/>
        <w:rPr>
          <w:sz w:val="20"/>
          <w:szCs w:val="20"/>
          <w:color w:val="auto"/>
        </w:rPr>
      </w:pPr>
    </w:p>
    <w:p>
      <w:pPr>
        <w:ind w:left="120" w:right="360" w:firstLine="440"/>
        <w:spacing w:after="0" w:line="271" w:lineRule="auto"/>
        <w:rPr>
          <w:sz w:val="20"/>
          <w:szCs w:val="20"/>
          <w:color w:val="auto"/>
        </w:rPr>
      </w:pPr>
      <w:r>
        <w:rPr>
          <w:rFonts w:ascii="Arial" w:cs="Arial" w:eastAsia="Arial" w:hAnsi="Arial"/>
          <w:sz w:val="18"/>
          <w:szCs w:val="18"/>
          <w:color w:val="auto"/>
        </w:rPr>
        <w:t>As of May 13, 2024, non-preemptive authorization up to a maximum nominal amount of £2,342,038.57 remained available to the Company.</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and Rights Attaching to Them</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Objects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Rights</w:t>
      </w:r>
    </w:p>
    <w:p>
      <w:pPr>
        <w:spacing w:after="0" w:line="102"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02"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59" w:lineRule="exact"/>
        <w:rPr>
          <w:sz w:val="20"/>
          <w:szCs w:val="20"/>
          <w:color w:val="auto"/>
        </w:rPr>
      </w:pPr>
    </w:p>
    <w:p>
      <w:pPr>
        <w:ind w:left="980" w:right="10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4" w:lineRule="exact"/>
        <w:rPr>
          <w:rFonts w:ascii="MS PGothic" w:cs="MS PGothic" w:eastAsia="MS PGothic" w:hAnsi="MS PGothic"/>
          <w:sz w:val="25"/>
          <w:szCs w:val="25"/>
          <w:color w:val="auto"/>
          <w:vertAlign w:val="superscript"/>
        </w:rPr>
      </w:pPr>
    </w:p>
    <w:p>
      <w:pPr>
        <w:ind w:left="980" w:right="20" w:hanging="432"/>
        <w:spacing w:after="0" w:line="231"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6" w:lineRule="exact"/>
        <w:rPr>
          <w:rFonts w:ascii="MS PGothic" w:cs="MS PGothic" w:eastAsia="MS PGothic" w:hAnsi="MS PGothic"/>
          <w:sz w:val="25"/>
          <w:szCs w:val="25"/>
          <w:color w:val="auto"/>
          <w:vertAlign w:val="superscript"/>
        </w:rPr>
      </w:pPr>
    </w:p>
    <w:p>
      <w:pPr>
        <w:ind w:left="980" w:right="20" w:hanging="432"/>
        <w:spacing w:after="0" w:line="231"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240"/>
        <w:spacing w:after="0" w:line="245" w:lineRule="auto"/>
        <w:rPr>
          <w:sz w:val="20"/>
          <w:szCs w:val="20"/>
          <w:color w:val="auto"/>
        </w:rPr>
      </w:pPr>
      <w:r>
        <w:rPr>
          <w:rFonts w:ascii="Arial" w:cs="Arial" w:eastAsia="Arial" w:hAnsi="Arial"/>
          <w:sz w:val="18"/>
          <w:szCs w:val="18"/>
          <w:color w:val="auto"/>
        </w:rPr>
        <w:t>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5" w:lineRule="exact"/>
        <w:rPr>
          <w:sz w:val="20"/>
          <w:szCs w:val="20"/>
          <w:color w:val="auto"/>
        </w:rPr>
      </w:pPr>
    </w:p>
    <w:p>
      <w:pPr>
        <w:ind w:left="980" w:right="24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the provisions of the U.K. Companies Act 2006, a poll may be demanded by:</w:t>
      </w:r>
    </w:p>
    <w:p>
      <w:pPr>
        <w:spacing w:after="0" w:line="85" w:lineRule="exact"/>
        <w:rPr>
          <w:sz w:val="20"/>
          <w:szCs w:val="20"/>
          <w:color w:val="auto"/>
        </w:rPr>
      </w:pPr>
    </w:p>
    <w:p>
      <w:pPr>
        <w:ind w:left="980" w:hanging="432"/>
        <w:spacing w:after="0"/>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2" w:lineRule="exact"/>
        <w:rPr>
          <w:rFonts w:ascii="MS PGothic" w:cs="MS PGothic" w:eastAsia="MS PGothic" w:hAnsi="MS PGothic"/>
          <w:sz w:val="25"/>
          <w:szCs w:val="25"/>
          <w:color w:val="auto"/>
          <w:vertAlign w:val="superscript"/>
        </w:rPr>
      </w:pPr>
    </w:p>
    <w:p>
      <w:pPr>
        <w:ind w:left="980" w:right="160" w:hanging="432"/>
        <w:spacing w:after="0" w:line="22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Voting</w:t>
      </w:r>
    </w:p>
    <w:p>
      <w:pPr>
        <w:spacing w:after="0" w:line="102"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54" w:lineRule="exact"/>
        <w:rPr>
          <w:sz w:val="20"/>
          <w:szCs w:val="20"/>
          <w:color w:val="auto"/>
        </w:rPr>
      </w:pPr>
    </w:p>
    <w:p>
      <w:pPr>
        <w:ind w:left="120" w:right="420" w:firstLine="440"/>
        <w:spacing w:after="0" w:line="253"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02"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79"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16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169"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169"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Control</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on Winding Up</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Variation of Rights</w:t>
      </w:r>
    </w:p>
    <w:p>
      <w:pPr>
        <w:spacing w:after="0" w:line="10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Alteration to Share Capital</w:t>
      </w:r>
    </w:p>
    <w:p>
      <w:pPr>
        <w:spacing w:after="0" w:line="102" w:lineRule="exact"/>
        <w:rPr>
          <w:sz w:val="20"/>
          <w:szCs w:val="20"/>
          <w:color w:val="auto"/>
        </w:rPr>
      </w:pPr>
    </w:p>
    <w:p>
      <w:pPr>
        <w:ind w:left="120" w:right="180" w:firstLine="440"/>
        <w:spacing w:after="0" w:line="244"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Preemption Rights</w:t>
      </w:r>
    </w:p>
    <w:p>
      <w:pPr>
        <w:spacing w:after="0" w:line="102"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0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169" w:lineRule="exact"/>
        <w:rPr>
          <w:sz w:val="20"/>
          <w:szCs w:val="20"/>
          <w:color w:val="auto"/>
        </w:rPr>
      </w:pPr>
    </w:p>
    <w:p>
      <w:pPr>
        <w:jc w:val="both"/>
        <w:ind w:left="120" w:right="540" w:firstLine="440"/>
        <w:spacing w:after="0" w:line="253" w:lineRule="auto"/>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24"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2" w:lineRule="exact"/>
        <w:rPr>
          <w:rFonts w:ascii="MS PGothic" w:cs="MS PGothic" w:eastAsia="MS PGothic" w:hAnsi="MS PGothic"/>
          <w:sz w:val="25"/>
          <w:szCs w:val="25"/>
          <w:color w:val="auto"/>
          <w:vertAlign w:val="superscript"/>
        </w:rPr>
      </w:pPr>
    </w:p>
    <w:p>
      <w:pPr>
        <w:ind w:left="980" w:right="420" w:hanging="432"/>
        <w:spacing w:after="0" w:line="225"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ind w:left="980" w:hanging="432"/>
        <w:spacing w:after="0" w:line="230"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180"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General Meetings</w:t>
      </w:r>
    </w:p>
    <w:p>
      <w:pPr>
        <w:spacing w:after="0" w:line="102"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 Notice of General Meetings” in this prospectus.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Notice of General Meetings</w:t>
      </w:r>
    </w:p>
    <w:p>
      <w:pPr>
        <w:spacing w:after="0" w:line="102" w:lineRule="exact"/>
        <w:rPr>
          <w:sz w:val="20"/>
          <w:szCs w:val="20"/>
          <w:color w:val="auto"/>
        </w:rPr>
      </w:pPr>
    </w:p>
    <w:p>
      <w:pPr>
        <w:ind w:left="120" w:right="820" w:firstLine="440"/>
        <w:spacing w:after="0" w:line="271"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Quorum of General Meetings</w:t>
      </w:r>
    </w:p>
    <w:p>
      <w:pPr>
        <w:spacing w:after="0" w:line="10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Subject to the paragraph below, at least two shareholders present in person or by proxy and entitled to vote shall be a quorum for all purposes.</w:t>
      </w:r>
    </w:p>
    <w:p>
      <w:pPr>
        <w:spacing w:after="0" w:line="16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If and for so long as we are subject to the rules and requirements of a securities exchange and such securities exchange requires us to have a quorum for general meetings then, in addition to the requisite quorum requirement stated in the preceding paragraph, in order for such general meeting to</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be quorate at least 33 1/3 per cent. of our issued and outstanding ordinary shares (or such other amount as may be specified by such rules and requirements) must be present at such general meeting, whether represented in person (including, in the case of a corporate shareholder, by duly authorized representative) or by duly appointed proxy.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Class Meetings</w:t>
      </w:r>
    </w:p>
    <w:p>
      <w:pPr>
        <w:spacing w:after="0" w:line="102" w:lineRule="exact"/>
        <w:rPr>
          <w:sz w:val="20"/>
          <w:szCs w:val="20"/>
          <w:color w:val="auto"/>
        </w:rPr>
      </w:pPr>
    </w:p>
    <w:p>
      <w:pPr>
        <w:ind w:left="120" w:right="540" w:firstLine="440"/>
        <w:spacing w:after="0" w:line="271"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Directors</w:t>
      </w:r>
    </w:p>
    <w:p>
      <w:pPr>
        <w:spacing w:after="0" w:line="10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We may not have less than two directors on the Board and not more than ten. We may, by ordinary resolution of the shareholders, vary the minimum and maximum number of directors from time to time.</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Directors</w:t>
      </w:r>
    </w:p>
    <w:p>
      <w:pPr>
        <w:spacing w:after="0" w:line="102"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176"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16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0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5"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 Out</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Disclosure of Interest in Shares</w:t>
      </w:r>
    </w:p>
    <w:p>
      <w:pPr>
        <w:spacing w:after="0" w:line="102"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176" w:lineRule="exact"/>
        <w:rPr>
          <w:sz w:val="20"/>
          <w:szCs w:val="20"/>
          <w:color w:val="auto"/>
        </w:rPr>
      </w:pPr>
    </w:p>
    <w:p>
      <w:pPr>
        <w:ind w:left="120" w:right="460" w:firstLine="440"/>
        <w:spacing w:after="0" w:line="271"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181" w:lineRule="exact"/>
        <w:rPr>
          <w:sz w:val="20"/>
          <w:szCs w:val="20"/>
          <w:color w:val="auto"/>
        </w:rPr>
      </w:pPr>
    </w:p>
    <w:p>
      <w:pPr>
        <w:ind w:left="980" w:right="560" w:hanging="432"/>
        <w:spacing w:after="0" w:line="230"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4" w:lineRule="exact"/>
        <w:rPr>
          <w:rFonts w:ascii="MS PGothic" w:cs="MS PGothic" w:eastAsia="MS PGothic" w:hAnsi="MS PGothic"/>
          <w:sz w:val="25"/>
          <w:szCs w:val="25"/>
          <w:color w:val="auto"/>
          <w:vertAlign w:val="superscript"/>
        </w:rPr>
      </w:pPr>
    </w:p>
    <w:p>
      <w:pPr>
        <w:ind w:left="980" w:right="120" w:hanging="432"/>
        <w:spacing w:after="0" w:line="232"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8" w:lineRule="exact"/>
        <w:rPr>
          <w:rFonts w:ascii="MS PGothic" w:cs="MS PGothic" w:eastAsia="MS PGothic" w:hAnsi="MS PGothic"/>
          <w:sz w:val="25"/>
          <w:szCs w:val="25"/>
          <w:color w:val="auto"/>
          <w:vertAlign w:val="superscript"/>
        </w:rPr>
      </w:pPr>
    </w:p>
    <w:p>
      <w:pPr>
        <w:ind w:left="980" w:hanging="432"/>
        <w:spacing w:after="0" w:line="233"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Own Shares</w:t>
      </w:r>
    </w:p>
    <w:p>
      <w:pPr>
        <w:spacing w:after="0" w:line="102"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76" w:lineRule="exact"/>
        <w:rPr>
          <w:sz w:val="20"/>
          <w:szCs w:val="20"/>
          <w:color w:val="auto"/>
        </w:rPr>
      </w:pPr>
    </w:p>
    <w:p>
      <w:pPr>
        <w:ind w:left="120" w:right="400" w:firstLine="440"/>
        <w:spacing w:after="0" w:line="253"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on a “recognized investment exchange” of our own fully paid shares pursuant to an ordinary resolution of shareholders. The resolution authorizing the purchase must:</w:t>
      </w:r>
    </w:p>
    <w:p>
      <w:pPr>
        <w:spacing w:after="0" w:line="182" w:lineRule="exact"/>
        <w:rPr>
          <w:sz w:val="20"/>
          <w:szCs w:val="20"/>
          <w:color w:val="auto"/>
        </w:rPr>
      </w:pPr>
    </w:p>
    <w:p>
      <w:pPr>
        <w:ind w:left="980" w:hanging="432"/>
        <w:spacing w:after="0"/>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180"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color w:val="auto"/>
        </w:rPr>
        <w:t>The Nasdaq Capital Market (“Nasdaq”) is not a “recognized investment exchange” on which we may make market purchases. 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and Dividends</w:t>
      </w:r>
    </w:p>
    <w:p>
      <w:pPr>
        <w:spacing w:after="0" w:line="102"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7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196" w:lineRule="exact"/>
        <w:rPr>
          <w:sz w:val="20"/>
          <w:szCs w:val="20"/>
          <w:color w:val="auto"/>
        </w:rPr>
      </w:pPr>
    </w:p>
    <w:p>
      <w:pPr>
        <w:ind w:left="980" w:right="180" w:hanging="432"/>
        <w:spacing w:after="0" w:line="230"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4" w:lineRule="exact"/>
        <w:rPr>
          <w:rFonts w:ascii="MS PGothic" w:cs="MS PGothic" w:eastAsia="MS PGothic" w:hAnsi="MS PGothic"/>
          <w:sz w:val="25"/>
          <w:szCs w:val="25"/>
          <w:color w:val="auto"/>
          <w:vertAlign w:val="superscript"/>
        </w:rPr>
      </w:pPr>
    </w:p>
    <w:p>
      <w:pPr>
        <w:ind w:left="980" w:right="180" w:hanging="432"/>
        <w:spacing w:after="0" w:line="230"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City Code on Takeovers and Mergers</w:t>
      </w:r>
    </w:p>
    <w:p>
      <w:pPr>
        <w:spacing w:after="0" w:line="102" w:lineRule="exact"/>
        <w:rPr>
          <w:sz w:val="20"/>
          <w:szCs w:val="20"/>
          <w:color w:val="auto"/>
        </w:rPr>
      </w:pPr>
    </w:p>
    <w:p>
      <w:pPr>
        <w:ind w:left="120" w:right="300" w:firstLine="440"/>
        <w:spacing w:after="0" w:line="253" w:lineRule="auto"/>
        <w:rPr>
          <w:sz w:val="20"/>
          <w:szCs w:val="20"/>
          <w:color w:val="auto"/>
        </w:rPr>
      </w:pPr>
      <w:r>
        <w:rPr>
          <w:rFonts w:ascii="Arial" w:cs="Arial" w:eastAsia="Arial" w:hAnsi="Arial"/>
          <w:sz w:val="18"/>
          <w:szCs w:val="18"/>
          <w:color w:val="auto"/>
        </w:rPr>
        <w:t>Following the cancellation of admission of our ordinary shares to trading on the AIM market of London Stock Exchange plc on December 18, 2020, the U.K. Panel on Takeovers and Mergers (the “Panel”) confirmed to us that the U.K. City Code on Takeovers and Mergers (the “City Code”) will not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color w:val="auto"/>
        </w:rPr>
        <w:t>apply to us, and we and our shareholders will therefore not have the benefit of the protections the City Code affords, including, but not limited to, the requirement that a person who acquires an interest in our ordinary shares carrying 30% or more of our voting rights must make a cash offer to all other shareholders at the highest price paid in the 12 months before the offer was announced.</w:t>
      </w:r>
    </w:p>
    <w:p>
      <w:pPr>
        <w:spacing w:after="0" w:line="169"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8"/>
          <w:szCs w:val="18"/>
          <w:color w:val="auto"/>
        </w:rPr>
        <w:t>Notwithstanding the above, we may become subject to the City Code in the future if any changes to the Board composition result in the majority of the Directors being resident in the United Kingdom, Channel Islands or the Isle of Man.</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Exchange Controls</w:t>
      </w:r>
    </w:p>
    <w:p>
      <w:pPr>
        <w:spacing w:after="0" w:line="102"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06"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140"/>
          </w:cols>
          <w:pgMar w:left="320" w:top="455" w:right="439" w:bottom="1440" w:gutter="0" w:footer="0" w:header="0"/>
        </w:sect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780" w:type="dxa"/>
            <w:vAlign w:val="bottom"/>
            <w:vMerge w:val="restart"/>
          </w:tcPr>
          <w:p>
            <w:pPr>
              <w:spacing w:after="0"/>
              <w:rPr>
                <w:sz w:val="20"/>
                <w:szCs w:val="20"/>
                <w:color w:val="auto"/>
              </w:rPr>
            </w:pPr>
            <w:r>
              <w:rPr>
                <w:rFonts w:ascii="Arial" w:cs="Arial" w:eastAsia="Arial" w:hAnsi="Arial"/>
                <w:sz w:val="18"/>
                <w:szCs w:val="18"/>
                <w:color w:val="auto"/>
              </w:rPr>
              <w:t>Number of Directors</w:t>
            </w:r>
          </w:p>
        </w:tc>
        <w:tc>
          <w:tcPr>
            <w:tcW w:w="110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77"/>
        </w:trPr>
        <w:tc>
          <w:tcPr>
            <w:tcW w:w="27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w w:val="99"/>
              </w:rPr>
              <w:t>Under the U.K. Companies Act 2006, a public</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limited company must have at least two</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directors. Our Articles further provide that,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unless otherwise determined by an ordinary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resolution, the number of our directors shall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be not less than two nor more than ten in</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3"/>
                <w:szCs w:val="23"/>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Our board of directors currently consists of</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ten members.</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3"/>
                <w:szCs w:val="23"/>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For as long as Novartis holds not less than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one percent of our issued share capital,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Novartis may appoint one observer who may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attend, but not participate or vote in, any</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of our board of directors.</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0"/>
                <w:szCs w:val="20"/>
                <w:color w:val="auto"/>
              </w:rPr>
            </w:pPr>
            <w:r>
              <w:rPr>
                <w:rFonts w:ascii="Arial" w:cs="Arial" w:eastAsia="Arial" w:hAnsi="Arial"/>
                <w:sz w:val="18"/>
                <w:szCs w:val="18"/>
                <w:color w:val="auto"/>
              </w:rPr>
              <w:t>Removal of Directors</w:t>
            </w: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Under the U.K. Companies Act 2006, a</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company may remove a director without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cause at a general meeting by way of an</w:t>
            </w: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ordinary resolution of</w:t>
            </w:r>
          </w:p>
        </w:tc>
        <w:tc>
          <w:tcPr>
            <w:tcW w:w="0" w:type="dxa"/>
            <w:vAlign w:val="bottom"/>
          </w:tcPr>
          <w:p>
            <w:pPr>
              <w:spacing w:after="0"/>
              <w:rPr>
                <w:sz w:val="1"/>
                <w:szCs w:val="1"/>
                <w:color w:val="auto"/>
              </w:rPr>
            </w:pPr>
          </w:p>
        </w:tc>
      </w:tr>
      <w:tr>
        <w:trPr>
          <w:trHeight w:val="351"/>
        </w:trPr>
        <w:tc>
          <w:tcPr>
            <w:tcW w:w="2780" w:type="dxa"/>
            <w:vAlign w:val="bottom"/>
          </w:tcPr>
          <w:p>
            <w:pPr>
              <w:spacing w:after="0"/>
              <w:rPr>
                <w:sz w:val="24"/>
                <w:szCs w:val="24"/>
                <w:color w:val="auto"/>
              </w:rPr>
            </w:pPr>
          </w:p>
        </w:tc>
        <w:tc>
          <w:tcPr>
            <w:tcW w:w="4720" w:type="dxa"/>
            <w:vAlign w:val="bottom"/>
            <w:gridSpan w:val="2"/>
          </w:tcPr>
          <w:p>
            <w:pPr>
              <w:ind w:left="26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Under Delaware law, unless otherwise provided in the certificate of incorporation, any director or the entire board of directors may be removed, with</w:t>
      </w:r>
    </w:p>
    <w:p>
      <w:pPr>
        <w:sectPr>
          <w:pgSz w:w="11900" w:h="16838" w:orient="portrait"/>
          <w:cols w:equalWidth="0" w:num="2">
            <w:col w:w="7620" w:space="120"/>
            <w:col w:w="3400"/>
          </w:cols>
          <w:pgMar w:left="320" w:top="455"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30"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23056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shareholders (which is passed by a simple</w:t>
      </w:r>
    </w:p>
    <w:p>
      <w:pPr>
        <w:ind w:left="4000"/>
        <w:spacing w:after="0" w:line="234" w:lineRule="auto"/>
        <w:rPr>
          <w:sz w:val="20"/>
          <w:szCs w:val="20"/>
          <w:color w:val="auto"/>
        </w:rPr>
      </w:pPr>
      <w:r>
        <w:rPr>
          <w:rFonts w:ascii="Arial" w:cs="Arial" w:eastAsia="Arial" w:hAnsi="Arial"/>
          <w:sz w:val="18"/>
          <w:szCs w:val="18"/>
          <w:color w:val="auto"/>
        </w:rPr>
        <w:t>majority of those voting in person or by proxy</w:t>
      </w:r>
    </w:p>
    <w:p>
      <w:pPr>
        <w:ind w:left="4000"/>
        <w:spacing w:after="0" w:line="235" w:lineRule="auto"/>
        <w:rPr>
          <w:sz w:val="20"/>
          <w:szCs w:val="20"/>
          <w:color w:val="auto"/>
        </w:rPr>
      </w:pPr>
      <w:r>
        <w:rPr>
          <w:rFonts w:ascii="Arial" w:cs="Arial" w:eastAsia="Arial" w:hAnsi="Arial"/>
          <w:sz w:val="18"/>
          <w:szCs w:val="18"/>
          <w:color w:val="auto"/>
        </w:rPr>
        <w:t>at a general meeting), irrespective of any</w:t>
      </w:r>
    </w:p>
    <w:p>
      <w:pPr>
        <w:ind w:left="4000"/>
        <w:spacing w:after="0" w:line="235" w:lineRule="auto"/>
        <w:rPr>
          <w:sz w:val="20"/>
          <w:szCs w:val="20"/>
          <w:color w:val="auto"/>
        </w:rPr>
      </w:pPr>
      <w:r>
        <w:rPr>
          <w:rFonts w:ascii="Arial" w:cs="Arial" w:eastAsia="Arial" w:hAnsi="Arial"/>
          <w:sz w:val="18"/>
          <w:szCs w:val="18"/>
          <w:color w:val="auto"/>
        </w:rPr>
        <w:t>provision of any agreement or service</w:t>
      </w:r>
    </w:p>
    <w:p>
      <w:pPr>
        <w:ind w:left="4000"/>
        <w:spacing w:after="0" w:line="235" w:lineRule="auto"/>
        <w:rPr>
          <w:sz w:val="20"/>
          <w:szCs w:val="20"/>
          <w:color w:val="auto"/>
        </w:rPr>
      </w:pPr>
      <w:r>
        <w:rPr>
          <w:rFonts w:ascii="Arial" w:cs="Arial" w:eastAsia="Arial" w:hAnsi="Arial"/>
          <w:sz w:val="18"/>
          <w:szCs w:val="18"/>
          <w:color w:val="auto"/>
        </w:rPr>
        <w:t>contract between the director and the</w:t>
      </w:r>
    </w:p>
    <w:p>
      <w:pPr>
        <w:ind w:left="4000"/>
        <w:spacing w:after="0" w:line="235" w:lineRule="auto"/>
        <w:rPr>
          <w:sz w:val="20"/>
          <w:szCs w:val="20"/>
          <w:color w:val="auto"/>
        </w:rPr>
      </w:pPr>
      <w:r>
        <w:rPr>
          <w:rFonts w:ascii="Arial" w:cs="Arial" w:eastAsia="Arial" w:hAnsi="Arial"/>
          <w:sz w:val="18"/>
          <w:szCs w:val="18"/>
          <w:color w:val="auto"/>
        </w:rPr>
        <w:t>company, provided that 28 clear days’ notice</w:t>
      </w:r>
    </w:p>
    <w:p>
      <w:pPr>
        <w:ind w:left="4000"/>
        <w:spacing w:after="0" w:line="234" w:lineRule="auto"/>
        <w:rPr>
          <w:sz w:val="20"/>
          <w:szCs w:val="20"/>
          <w:color w:val="auto"/>
        </w:rPr>
      </w:pPr>
      <w:r>
        <w:rPr>
          <w:rFonts w:ascii="Arial" w:cs="Arial" w:eastAsia="Arial" w:hAnsi="Arial"/>
          <w:sz w:val="18"/>
          <w:szCs w:val="18"/>
          <w:color w:val="auto"/>
        </w:rPr>
        <w:t>of the proposed resolution to remove the</w:t>
      </w:r>
    </w:p>
    <w:p>
      <w:pPr>
        <w:ind w:left="4000"/>
        <w:spacing w:after="0" w:line="235" w:lineRule="auto"/>
        <w:rPr>
          <w:sz w:val="20"/>
          <w:szCs w:val="20"/>
          <w:color w:val="auto"/>
        </w:rPr>
      </w:pPr>
      <w:r>
        <w:rPr>
          <w:rFonts w:ascii="Arial" w:cs="Arial" w:eastAsia="Arial" w:hAnsi="Arial"/>
          <w:sz w:val="18"/>
          <w:szCs w:val="18"/>
          <w:color w:val="auto"/>
        </w:rPr>
        <w:t>director is given and certain other procedural</w:t>
      </w:r>
    </w:p>
    <w:p>
      <w:pPr>
        <w:ind w:left="4000"/>
        <w:spacing w:after="0" w:line="235" w:lineRule="auto"/>
        <w:rPr>
          <w:sz w:val="20"/>
          <w:szCs w:val="20"/>
          <w:color w:val="auto"/>
        </w:rPr>
      </w:pPr>
      <w:r>
        <w:rPr>
          <w:rFonts w:ascii="Arial" w:cs="Arial" w:eastAsia="Arial" w:hAnsi="Arial"/>
          <w:sz w:val="18"/>
          <w:szCs w:val="18"/>
          <w:color w:val="auto"/>
        </w:rPr>
        <w:t>requirements under the U.K. Companies Act</w:t>
      </w:r>
    </w:p>
    <w:p>
      <w:pPr>
        <w:ind w:left="4000"/>
        <w:spacing w:after="0" w:line="235" w:lineRule="auto"/>
        <w:rPr>
          <w:sz w:val="20"/>
          <w:szCs w:val="20"/>
          <w:color w:val="auto"/>
        </w:rPr>
      </w:pPr>
      <w:r>
        <w:rPr>
          <w:rFonts w:ascii="Arial" w:cs="Arial" w:eastAsia="Arial" w:hAnsi="Arial"/>
          <w:sz w:val="18"/>
          <w:szCs w:val="18"/>
          <w:color w:val="auto"/>
        </w:rPr>
        <w:t>2006 are followed (such as allowing the</w:t>
      </w:r>
    </w:p>
    <w:p>
      <w:pPr>
        <w:ind w:left="4000"/>
        <w:spacing w:after="0" w:line="235" w:lineRule="auto"/>
        <w:rPr>
          <w:sz w:val="20"/>
          <w:szCs w:val="20"/>
          <w:color w:val="auto"/>
        </w:rPr>
      </w:pPr>
      <w:r>
        <w:rPr>
          <w:rFonts w:ascii="Arial" w:cs="Arial" w:eastAsia="Arial" w:hAnsi="Arial"/>
          <w:sz w:val="18"/>
          <w:szCs w:val="18"/>
          <w:color w:val="auto"/>
        </w:rPr>
        <w:t>director to make representations against his</w:t>
      </w:r>
    </w:p>
    <w:p>
      <w:pPr>
        <w:ind w:left="4000"/>
        <w:spacing w:after="0" w:line="234" w:lineRule="auto"/>
        <w:rPr>
          <w:sz w:val="20"/>
          <w:szCs w:val="20"/>
          <w:color w:val="auto"/>
        </w:rPr>
      </w:pPr>
      <w:r>
        <w:rPr>
          <w:rFonts w:ascii="Arial" w:cs="Arial" w:eastAsia="Arial" w:hAnsi="Arial"/>
          <w:sz w:val="18"/>
          <w:szCs w:val="18"/>
          <w:color w:val="auto"/>
        </w:rPr>
        <w:t>or her removal either at the meeting or in</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to any power of removal under the</w:t>
      </w:r>
    </w:p>
    <w:p>
      <w:pPr>
        <w:spacing w:after="0" w:line="1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U.K. Companies Act 2006, under our Articles,</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we may, by special resolution or ordinary</w:t>
      </w:r>
    </w:p>
    <w:p>
      <w:pPr>
        <w:ind w:left="4000"/>
        <w:spacing w:after="0" w:line="234" w:lineRule="auto"/>
        <w:rPr>
          <w:sz w:val="20"/>
          <w:szCs w:val="20"/>
          <w:color w:val="auto"/>
        </w:rPr>
      </w:pPr>
      <w:r>
        <w:rPr>
          <w:rFonts w:ascii="Arial" w:cs="Arial" w:eastAsia="Arial" w:hAnsi="Arial"/>
          <w:sz w:val="18"/>
          <w:szCs w:val="18"/>
          <w:color w:val="auto"/>
        </w:rPr>
        <w:t>resolution (of which special notice has been</w:t>
      </w:r>
    </w:p>
    <w:p>
      <w:pPr>
        <w:ind w:left="4000"/>
        <w:spacing w:after="0" w:line="235" w:lineRule="auto"/>
        <w:rPr>
          <w:sz w:val="20"/>
          <w:szCs w:val="20"/>
          <w:color w:val="auto"/>
        </w:rPr>
      </w:pPr>
      <w:r>
        <w:rPr>
          <w:rFonts w:ascii="Arial" w:cs="Arial" w:eastAsia="Arial" w:hAnsi="Arial"/>
          <w:sz w:val="18"/>
          <w:szCs w:val="18"/>
          <w:color w:val="auto"/>
        </w:rPr>
        <w:t>given in accordance with section 312 of the</w:t>
      </w:r>
    </w:p>
    <w:p>
      <w:pPr>
        <w:ind w:left="4000"/>
        <w:spacing w:after="0" w:line="235" w:lineRule="auto"/>
        <w:rPr>
          <w:sz w:val="20"/>
          <w:szCs w:val="20"/>
          <w:color w:val="auto"/>
        </w:rPr>
      </w:pPr>
      <w:r>
        <w:rPr>
          <w:rFonts w:ascii="Arial" w:cs="Arial" w:eastAsia="Arial" w:hAnsi="Arial"/>
          <w:sz w:val="18"/>
          <w:szCs w:val="18"/>
          <w:color w:val="auto"/>
        </w:rPr>
        <w:t>U.K. Companies Act 2006) remove any</w:t>
      </w:r>
    </w:p>
    <w:p>
      <w:pPr>
        <w:ind w:left="4000"/>
        <w:spacing w:after="0" w:line="235" w:lineRule="auto"/>
        <w:rPr>
          <w:sz w:val="20"/>
          <w:szCs w:val="20"/>
          <w:color w:val="auto"/>
        </w:rPr>
      </w:pPr>
      <w:r>
        <w:rPr>
          <w:rFonts w:ascii="Arial" w:cs="Arial" w:eastAsia="Arial" w:hAnsi="Arial"/>
          <w:sz w:val="18"/>
          <w:szCs w:val="18"/>
          <w:color w:val="auto"/>
        </w:rPr>
        <w:t>director from office (but without prejudice to</w:t>
      </w:r>
    </w:p>
    <w:p>
      <w:pPr>
        <w:ind w:left="4000"/>
        <w:spacing w:after="0" w:line="235" w:lineRule="auto"/>
        <w:rPr>
          <w:sz w:val="20"/>
          <w:szCs w:val="20"/>
          <w:color w:val="auto"/>
        </w:rPr>
      </w:pPr>
      <w:r>
        <w:rPr>
          <w:rFonts w:ascii="Arial" w:cs="Arial" w:eastAsia="Arial" w:hAnsi="Arial"/>
          <w:sz w:val="18"/>
          <w:szCs w:val="18"/>
          <w:color w:val="auto"/>
        </w:rPr>
        <w:t>any claim he or she may have for damages</w:t>
      </w:r>
    </w:p>
    <w:p>
      <w:pPr>
        <w:ind w:left="4000"/>
        <w:spacing w:after="0" w:line="234" w:lineRule="auto"/>
        <w:rPr>
          <w:sz w:val="20"/>
          <w:szCs w:val="20"/>
          <w:color w:val="auto"/>
        </w:rPr>
      </w:pPr>
      <w:r>
        <w:rPr>
          <w:rFonts w:ascii="Arial" w:cs="Arial" w:eastAsia="Arial" w:hAnsi="Arial"/>
          <w:sz w:val="18"/>
          <w:szCs w:val="18"/>
          <w:color w:val="auto"/>
        </w:rPr>
        <w:t>for breach of any agreement between us and</w:t>
      </w:r>
    </w:p>
    <w:p>
      <w:pPr>
        <w:ind w:left="4000"/>
        <w:spacing w:after="0" w:line="235" w:lineRule="auto"/>
        <w:rPr>
          <w:sz w:val="20"/>
          <w:szCs w:val="20"/>
          <w:color w:val="auto"/>
        </w:rPr>
      </w:pPr>
      <w:r>
        <w:rPr>
          <w:rFonts w:ascii="Arial" w:cs="Arial" w:eastAsia="Arial" w:hAnsi="Arial"/>
          <w:sz w:val="18"/>
          <w:szCs w:val="18"/>
          <w:color w:val="auto"/>
        </w:rPr>
        <w:t>the relevant director) and, by ordinary</w:t>
      </w:r>
    </w:p>
    <w:p>
      <w:pPr>
        <w:ind w:left="4000"/>
        <w:spacing w:after="0" w:line="235" w:lineRule="auto"/>
        <w:rPr>
          <w:sz w:val="20"/>
          <w:szCs w:val="20"/>
          <w:color w:val="auto"/>
        </w:rPr>
      </w:pPr>
      <w:r>
        <w:rPr>
          <w:rFonts w:ascii="Arial" w:cs="Arial" w:eastAsia="Arial" w:hAnsi="Arial"/>
          <w:sz w:val="18"/>
          <w:szCs w:val="18"/>
          <w:color w:val="auto"/>
        </w:rPr>
        <w:t>resolution, appoint another person to act as</w:t>
      </w:r>
    </w:p>
    <w:p>
      <w:pPr>
        <w:ind w:left="4000"/>
        <w:spacing w:after="0"/>
        <w:rPr>
          <w:sz w:val="20"/>
          <w:szCs w:val="20"/>
          <w:color w:val="auto"/>
        </w:rPr>
      </w:pPr>
      <w:r>
        <w:rPr>
          <w:rFonts w:ascii="Arial" w:cs="Arial" w:eastAsia="Arial" w:hAnsi="Arial"/>
          <w:sz w:val="18"/>
          <w:szCs w:val="18"/>
          <w:color w:val="auto"/>
        </w:rPr>
        <w:t>director in his or her place.</w:t>
      </w:r>
    </w:p>
    <w:p>
      <w:pPr>
        <w:spacing w:after="0" w:line="86"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7"/>
          <w:szCs w:val="17"/>
          <w:color w:val="auto"/>
        </w:rPr>
        <w:t>Under our Articles, we may by ordinary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resolution appoint a person who is willing to</w:t>
      </w:r>
    </w:p>
    <w:p>
      <w:pPr>
        <w:ind w:left="4000"/>
        <w:spacing w:after="0" w:line="234" w:lineRule="auto"/>
        <w:rPr>
          <w:sz w:val="20"/>
          <w:szCs w:val="20"/>
          <w:color w:val="auto"/>
        </w:rPr>
      </w:pPr>
      <w:r>
        <w:rPr>
          <w:rFonts w:ascii="Arial" w:cs="Arial" w:eastAsia="Arial" w:hAnsi="Arial"/>
          <w:sz w:val="18"/>
          <w:szCs w:val="18"/>
          <w:color w:val="auto"/>
        </w:rPr>
        <w:t>act to be a director, either to fill a vacancy or</w:t>
      </w:r>
    </w:p>
    <w:p>
      <w:pPr>
        <w:ind w:left="4000"/>
        <w:spacing w:after="0" w:line="235" w:lineRule="auto"/>
        <w:rPr>
          <w:sz w:val="20"/>
          <w:szCs w:val="20"/>
          <w:color w:val="auto"/>
        </w:rPr>
      </w:pPr>
      <w:r>
        <w:rPr>
          <w:rFonts w:ascii="Arial" w:cs="Arial" w:eastAsia="Arial" w:hAnsi="Arial"/>
          <w:sz w:val="18"/>
          <w:szCs w:val="18"/>
          <w:color w:val="auto"/>
        </w:rPr>
        <w:t>as an additional director and our board of</w:t>
      </w:r>
    </w:p>
    <w:p>
      <w:pPr>
        <w:ind w:left="4000"/>
        <w:spacing w:after="0" w:line="235" w:lineRule="auto"/>
        <w:rPr>
          <w:sz w:val="20"/>
          <w:szCs w:val="20"/>
          <w:color w:val="auto"/>
        </w:rPr>
      </w:pPr>
      <w:r>
        <w:rPr>
          <w:rFonts w:ascii="Arial" w:cs="Arial" w:eastAsia="Arial" w:hAnsi="Arial"/>
          <w:sz w:val="18"/>
          <w:szCs w:val="18"/>
          <w:color w:val="auto"/>
        </w:rPr>
        <w:t>directors may appoint a person who is willing</w:t>
      </w:r>
    </w:p>
    <w:p>
      <w:pPr>
        <w:ind w:left="4000"/>
        <w:spacing w:after="0"/>
        <w:rPr>
          <w:sz w:val="20"/>
          <w:szCs w:val="20"/>
          <w:color w:val="auto"/>
        </w:rPr>
      </w:pPr>
      <w:r>
        <w:rPr>
          <w:rFonts w:ascii="Arial" w:cs="Arial" w:eastAsia="Arial" w:hAnsi="Arial"/>
          <w:sz w:val="18"/>
          <w:szCs w:val="18"/>
          <w:color w:val="auto"/>
        </w:rPr>
        <w:t>to act to be a director, either to fill a</w:t>
      </w: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2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160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left="10" w:right="20"/>
        <w:spacing w:after="0" w:line="235" w:lineRule="auto"/>
        <w:rPr>
          <w:sz w:val="20"/>
          <w:szCs w:val="20"/>
          <w:color w:val="auto"/>
        </w:rPr>
      </w:pPr>
      <w:r>
        <w:rPr>
          <w:rFonts w:ascii="Arial" w:cs="Arial" w:eastAsia="Arial" w:hAnsi="Arial"/>
          <w:sz w:val="18"/>
          <w:szCs w:val="18"/>
          <w:color w:val="auto"/>
        </w:rPr>
        <w:t>or without cause, by the holders of a majority of the shares then entitled to vote at an election of directors, except</w:t>
      </w:r>
    </w:p>
    <w:p>
      <w:pPr>
        <w:spacing w:after="0" w:line="1" w:lineRule="exact"/>
        <w:rPr>
          <w:sz w:val="20"/>
          <w:szCs w:val="20"/>
          <w:color w:val="auto"/>
        </w:rPr>
      </w:pPr>
    </w:p>
    <w:p>
      <w:pPr>
        <w:ind w:left="10" w:right="40" w:hanging="10"/>
        <w:spacing w:after="0" w:line="236"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
        <w:spacing w:after="0" w:line="238"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w:t>
      </w:r>
    </w:p>
    <w:p>
      <w:pPr>
        <w:spacing w:after="0" w:line="4" w:lineRule="exact"/>
        <w:rPr>
          <w:sz w:val="20"/>
          <w:szCs w:val="20"/>
          <w:color w:val="auto"/>
        </w:rPr>
      </w:pPr>
    </w:p>
    <w:p>
      <w:pPr>
        <w:ind w:left="10" w:right="80" w:hanging="10"/>
        <w:spacing w:after="0" w:line="250"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provided in the certificate of incorporation or</w:t>
      </w:r>
    </w:p>
    <w:p>
      <w:pPr>
        <w:sectPr>
          <w:pgSz w:w="11900" w:h="16838" w:orient="portrait"/>
          <w:cols w:equalWidth="0" w:num="2">
            <w:col w:w="7620" w:space="110"/>
            <w:col w:w="3370"/>
          </w:cols>
          <w:pgMar w:left="320" w:top="455" w:right="4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w w:val="99"/>
              </w:rPr>
              <w:t>vacancy or as an additional director, provided</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in each case that the appointment does not</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cause the number of directors to exceed the</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number fixed by or in accordance with our</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w w:val="99"/>
              </w:rPr>
              <w:t>Articles as the maximum number of directors.</w:t>
            </w:r>
          </w:p>
        </w:tc>
      </w:tr>
      <w:tr>
        <w:trPr>
          <w:trHeight w:val="679"/>
        </w:trPr>
        <w:tc>
          <w:tcPr>
            <w:tcW w:w="2900" w:type="dxa"/>
            <w:vAlign w:val="bottom"/>
          </w:tcPr>
          <w:p>
            <w:pPr>
              <w:spacing w:after="0"/>
              <w:rPr>
                <w:sz w:val="20"/>
                <w:szCs w:val="20"/>
                <w:color w:val="auto"/>
              </w:rPr>
            </w:pPr>
            <w:r>
              <w:rPr>
                <w:rFonts w:ascii="Arial" w:cs="Arial" w:eastAsia="Arial" w:hAnsi="Arial"/>
                <w:sz w:val="18"/>
                <w:szCs w:val="18"/>
                <w:color w:val="auto"/>
              </w:rPr>
              <w:t>Annual General Meeting</w:t>
            </w: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w w:val="99"/>
              </w:rPr>
              <w:t>Under the U.K. Companies Act 2006, a public</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limited company must hold an annual general</w:t>
            </w:r>
          </w:p>
        </w:tc>
      </w:tr>
      <w:tr>
        <w:trPr>
          <w:trHeight w:val="202"/>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meeting in each six-month period following</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the company’s annual accounting reference</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date.</w:t>
            </w:r>
          </w:p>
        </w:tc>
      </w:tr>
      <w:tr>
        <w:trPr>
          <w:trHeight w:val="679"/>
        </w:trPr>
        <w:tc>
          <w:tcPr>
            <w:tcW w:w="2900" w:type="dxa"/>
            <w:vAlign w:val="bottom"/>
          </w:tcPr>
          <w:p>
            <w:pPr>
              <w:spacing w:after="0"/>
              <w:rPr>
                <w:sz w:val="20"/>
                <w:szCs w:val="20"/>
                <w:color w:val="auto"/>
              </w:rPr>
            </w:pPr>
            <w:r>
              <w:rPr>
                <w:rFonts w:ascii="Arial" w:cs="Arial" w:eastAsia="Arial" w:hAnsi="Arial"/>
                <w:sz w:val="18"/>
                <w:szCs w:val="18"/>
                <w:color w:val="auto"/>
              </w:rPr>
              <w:t>General Meeting</w:t>
            </w: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Under the U.K. Companies Act 2006, a</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general meeting of the shareholders of a</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public limited company may be called by the</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directors.</w:t>
            </w:r>
          </w:p>
        </w:tc>
      </w:tr>
      <w:tr>
        <w:trPr>
          <w:trHeight w:val="679"/>
        </w:trPr>
        <w:tc>
          <w:tcPr>
            <w:tcW w:w="2900" w:type="dxa"/>
            <w:vAlign w:val="bottom"/>
          </w:tcPr>
          <w:p>
            <w:pPr>
              <w:spacing w:after="0"/>
              <w:rPr>
                <w:sz w:val="24"/>
                <w:szCs w:val="24"/>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w w:val="99"/>
              </w:rPr>
              <w:t>Subject to the notice requirements of the U.K.</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Companies Act 2006 outlined below and</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subject to our Articles, a general meeting of</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our shareholders may be called by our board</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of directors whenever and at such times and</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places as it shall determine.</w:t>
            </w:r>
          </w:p>
        </w:tc>
      </w:tr>
      <w:tr>
        <w:trPr>
          <w:trHeight w:val="274"/>
        </w:trPr>
        <w:tc>
          <w:tcPr>
            <w:tcW w:w="2900" w:type="dxa"/>
            <w:vAlign w:val="bottom"/>
          </w:tcPr>
          <w:p>
            <w:pPr>
              <w:spacing w:after="0"/>
              <w:rPr>
                <w:sz w:val="23"/>
                <w:szCs w:val="23"/>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A general meeting may also be convened by</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our board of directors on the requisition of not</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less than two of our shareholders who hold at</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least 5% of our voting share capital.</w:t>
            </w:r>
          </w:p>
        </w:tc>
      </w:tr>
      <w:tr>
        <w:trPr>
          <w:trHeight w:val="274"/>
        </w:trPr>
        <w:tc>
          <w:tcPr>
            <w:tcW w:w="2900" w:type="dxa"/>
            <w:vAlign w:val="bottom"/>
          </w:tcPr>
          <w:p>
            <w:pPr>
              <w:spacing w:after="0"/>
              <w:rPr>
                <w:sz w:val="23"/>
                <w:szCs w:val="23"/>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General meetings at which special</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resolutions are proposed and passed</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generally involve proposals to change the</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w w:val="99"/>
              </w:rPr>
              <w:t>name of the company, permit the company to</w:t>
            </w:r>
          </w:p>
        </w:tc>
      </w:tr>
      <w:tr>
        <w:trPr>
          <w:trHeight w:val="203"/>
        </w:trPr>
        <w:tc>
          <w:tcPr>
            <w:tcW w:w="2900" w:type="dxa"/>
            <w:vAlign w:val="bottom"/>
          </w:tcPr>
          <w:p>
            <w:pPr>
              <w:spacing w:after="0"/>
              <w:rPr>
                <w:sz w:val="17"/>
                <w:szCs w:val="17"/>
                <w:color w:val="auto"/>
              </w:rPr>
            </w:pPr>
          </w:p>
        </w:tc>
        <w:tc>
          <w:tcPr>
            <w:tcW w:w="460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issue new shares for cash without the</w:t>
            </w:r>
          </w:p>
        </w:tc>
      </w:tr>
      <w:tr>
        <w:trPr>
          <w:trHeight w:val="239"/>
        </w:trPr>
        <w:tc>
          <w:tcPr>
            <w:tcW w:w="2900" w:type="dxa"/>
            <w:vAlign w:val="bottom"/>
          </w:tcPr>
          <w:p>
            <w:pPr>
              <w:spacing w:after="0"/>
              <w:rPr>
                <w:sz w:val="20"/>
                <w:szCs w:val="20"/>
                <w:color w:val="auto"/>
              </w:rPr>
            </w:pPr>
          </w:p>
        </w:tc>
        <w:tc>
          <w:tcPr>
            <w:tcW w:w="4600" w:type="dxa"/>
            <w:vAlign w:val="bottom"/>
            <w:gridSpan w:val="2"/>
          </w:tcPr>
          <w:p>
            <w:pPr>
              <w:ind w:left="980"/>
              <w:spacing w:after="0"/>
              <w:rPr>
                <w:sz w:val="20"/>
                <w:szCs w:val="20"/>
                <w:color w:val="auto"/>
              </w:rPr>
            </w:pPr>
            <w:r>
              <w:rPr>
                <w:rFonts w:ascii="Arial" w:cs="Arial" w:eastAsia="Arial" w:hAnsi="Arial"/>
                <w:sz w:val="18"/>
                <w:szCs w:val="18"/>
                <w:color w:val="auto"/>
              </w:rPr>
              <w:t>shareholders’ pre-emptive right, amend the</w:t>
            </w:r>
          </w:p>
        </w:tc>
      </w:tr>
      <w:tr>
        <w:trPr>
          <w:trHeight w:val="351"/>
        </w:trPr>
        <w:tc>
          <w:tcPr>
            <w:tcW w:w="2900" w:type="dxa"/>
            <w:vAlign w:val="bottom"/>
          </w:tcPr>
          <w:p>
            <w:pPr>
              <w:spacing w:after="0"/>
              <w:rPr>
                <w:sz w:val="24"/>
                <w:szCs w:val="24"/>
                <w:color w:val="auto"/>
              </w:rPr>
            </w:pPr>
          </w:p>
        </w:tc>
        <w:tc>
          <w:tcPr>
            <w:tcW w:w="4600" w:type="dxa"/>
            <w:vAlign w:val="bottom"/>
            <w:gridSpan w:val="2"/>
          </w:tcPr>
          <w:p>
            <w:pPr>
              <w:ind w:left="250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7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620" w:space="120"/>
            <w:col w:w="3380"/>
          </w:cols>
          <w:pgMar w:left="320" w:top="455" w:right="4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80"/>
          </w:cols>
          <w:pgMar w:left="320" w:top="455" w:right="499" w:bottom="1440" w:gutter="0" w:footer="0" w:header="0"/>
        </w:sect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3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company’s articles of association, or carry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out other matters where either the company’s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articles of association or the U.K. Companies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Act 2006 prescribe that a special resolution is</w:t>
            </w:r>
          </w:p>
        </w:tc>
      </w:tr>
      <w:tr>
        <w:trPr>
          <w:trHeight w:val="239"/>
        </w:trPr>
        <w:tc>
          <w:tcPr>
            <w:tcW w:w="3020" w:type="dxa"/>
            <w:vAlign w:val="bottom"/>
          </w:tcPr>
          <w:p>
            <w:pPr>
              <w:spacing w:after="0"/>
              <w:rPr>
                <w:sz w:val="20"/>
                <w:szCs w:val="20"/>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required.</w:t>
            </w:r>
          </w:p>
        </w:tc>
      </w:tr>
      <w:tr>
        <w:trPr>
          <w:trHeight w:val="274"/>
        </w:trPr>
        <w:tc>
          <w:tcPr>
            <w:tcW w:w="3020" w:type="dxa"/>
            <w:vAlign w:val="bottom"/>
          </w:tcPr>
          <w:p>
            <w:pPr>
              <w:spacing w:after="0"/>
              <w:rPr>
                <w:sz w:val="23"/>
                <w:szCs w:val="23"/>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Other proposals relating to the ordinary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course of the company’s business, such as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election of directors, would generally be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subject of an ordinary resolution and</w:t>
            </w:r>
          </w:p>
        </w:tc>
      </w:tr>
      <w:tr>
        <w:trPr>
          <w:trHeight w:val="239"/>
        </w:trPr>
        <w:tc>
          <w:tcPr>
            <w:tcW w:w="3020" w:type="dxa"/>
            <w:vAlign w:val="bottom"/>
          </w:tcPr>
          <w:p>
            <w:pPr>
              <w:spacing w:after="0"/>
              <w:rPr>
                <w:sz w:val="20"/>
                <w:szCs w:val="20"/>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subject to our Articles.</w:t>
            </w:r>
          </w:p>
        </w:tc>
      </w:tr>
      <w:tr>
        <w:trPr>
          <w:trHeight w:val="274"/>
        </w:trPr>
        <w:tc>
          <w:tcPr>
            <w:tcW w:w="302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Under the U.K. Companies Act 2006, at least</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21 clear days’ notice must be given for an</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annual general meeting and any resolutions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to be proposed at that meeting. At least 14</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clear days’ notice is required for any other</w:t>
            </w:r>
          </w:p>
        </w:tc>
      </w:tr>
      <w:tr>
        <w:trPr>
          <w:trHeight w:val="239"/>
        </w:trPr>
        <w:tc>
          <w:tcPr>
            <w:tcW w:w="3020" w:type="dxa"/>
            <w:vAlign w:val="bottom"/>
          </w:tcPr>
          <w:p>
            <w:pPr>
              <w:spacing w:after="0"/>
              <w:rPr>
                <w:sz w:val="20"/>
                <w:szCs w:val="20"/>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general meeting.</w:t>
            </w:r>
          </w:p>
        </w:tc>
      </w:tr>
      <w:tr>
        <w:trPr>
          <w:trHeight w:val="882"/>
        </w:trPr>
        <w:tc>
          <w:tcPr>
            <w:tcW w:w="3020" w:type="dxa"/>
            <w:vAlign w:val="bottom"/>
          </w:tcPr>
          <w:p>
            <w:pPr>
              <w:spacing w:after="0"/>
              <w:rPr>
                <w:sz w:val="24"/>
                <w:szCs w:val="24"/>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In addition, certain matters, such as the</w:t>
            </w:r>
          </w:p>
        </w:tc>
      </w:tr>
      <w:tr>
        <w:trPr>
          <w:trHeight w:val="202"/>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removal of directors or auditors, require</w:t>
            </w:r>
          </w:p>
        </w:tc>
      </w:tr>
      <w:tr>
        <w:trPr>
          <w:trHeight w:val="239"/>
        </w:trPr>
        <w:tc>
          <w:tcPr>
            <w:tcW w:w="3020" w:type="dxa"/>
            <w:vAlign w:val="bottom"/>
          </w:tcPr>
          <w:p>
            <w:pPr>
              <w:spacing w:after="0"/>
              <w:rPr>
                <w:sz w:val="20"/>
                <w:szCs w:val="20"/>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special notice, which is 28 clear days’ notice.</w:t>
            </w:r>
          </w:p>
        </w:tc>
      </w:tr>
      <w:tr>
        <w:trPr>
          <w:trHeight w:val="274"/>
        </w:trPr>
        <w:tc>
          <w:tcPr>
            <w:tcW w:w="3020" w:type="dxa"/>
            <w:vAlign w:val="bottom"/>
          </w:tcPr>
          <w:p>
            <w:pPr>
              <w:spacing w:after="0"/>
              <w:rPr>
                <w:sz w:val="20"/>
                <w:szCs w:val="20"/>
                <w:color w:val="auto"/>
              </w:rPr>
            </w:pPr>
            <w:r>
              <w:rPr>
                <w:rFonts w:ascii="Arial" w:cs="Arial" w:eastAsia="Arial" w:hAnsi="Arial"/>
                <w:sz w:val="18"/>
                <w:szCs w:val="18"/>
                <w:color w:val="auto"/>
              </w:rPr>
              <w:t>Quorum</w:t>
            </w: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w w:val="99"/>
              </w:rPr>
              <w:t>Our Articles provide that no business shall be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transacted at any general meeting unless a</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quorum is present. Two qualifying persons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present at a meeting and entitled to vote on</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business to be transacted shall be a</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quorum, unless (1) each is a qualifying</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person only because he or she is authorized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under the U.K. Companies Act 2006 to act as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a representative of a corporation in relation to</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meeting, and they are representatives of</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same corporation, or (2) each is a</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qualifying person only because he or she is</w:t>
            </w:r>
          </w:p>
        </w:tc>
      </w:tr>
      <w:tr>
        <w:trPr>
          <w:trHeight w:val="239"/>
        </w:trPr>
        <w:tc>
          <w:tcPr>
            <w:tcW w:w="3020" w:type="dxa"/>
            <w:vAlign w:val="bottom"/>
          </w:tcPr>
          <w:p>
            <w:pPr>
              <w:spacing w:after="0"/>
              <w:rPr>
                <w:sz w:val="20"/>
                <w:szCs w:val="20"/>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appointed as proxy</w:t>
            </w:r>
          </w:p>
        </w:tc>
      </w:tr>
      <w:tr>
        <w:trPr>
          <w:trHeight w:val="351"/>
        </w:trPr>
        <w:tc>
          <w:tcPr>
            <w:tcW w:w="3020" w:type="dxa"/>
            <w:vAlign w:val="bottom"/>
          </w:tcPr>
          <w:p>
            <w:pPr>
              <w:spacing w:after="0"/>
              <w:rPr>
                <w:sz w:val="24"/>
                <w:szCs w:val="24"/>
                <w:color w:val="auto"/>
              </w:rPr>
            </w:pPr>
          </w:p>
        </w:tc>
        <w:tc>
          <w:tcPr>
            <w:tcW w:w="4480" w:type="dxa"/>
            <w:vAlign w:val="bottom"/>
            <w:gridSpan w:val="2"/>
          </w:tcPr>
          <w:p>
            <w:pPr>
              <w:ind w:left="2380"/>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ectPr>
          <w:pgSz w:w="11900" w:h="16838" w:orient="portrait"/>
          <w:cols w:equalWidth="0" w:num="2">
            <w:col w:w="7620" w:space="120"/>
            <w:col w:w="3340"/>
          </w:cols>
          <w:pgMar w:left="320" w:top="455" w:right="4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of a shareholder in relation to the meeting,</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and they are proxies of the same</w:t>
            </w:r>
          </w:p>
        </w:tc>
      </w:tr>
      <w:tr>
        <w:trPr>
          <w:trHeight w:val="239"/>
        </w:trPr>
        <w:tc>
          <w:tcPr>
            <w:tcW w:w="2160" w:type="dxa"/>
            <w:vAlign w:val="bottom"/>
          </w:tcPr>
          <w:p>
            <w:pPr>
              <w:spacing w:after="0"/>
              <w:rPr>
                <w:sz w:val="20"/>
                <w:szCs w:val="20"/>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shareholder.</w:t>
            </w:r>
          </w:p>
        </w:tc>
      </w:tr>
      <w:tr>
        <w:trPr>
          <w:trHeight w:val="274"/>
        </w:trPr>
        <w:tc>
          <w:tcPr>
            <w:tcW w:w="2160" w:type="dxa"/>
            <w:vAlign w:val="bottom"/>
          </w:tcPr>
          <w:p>
            <w:pPr>
              <w:spacing w:after="0"/>
              <w:rPr>
                <w:sz w:val="23"/>
                <w:szCs w:val="23"/>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A “qualifying person” means (1) a person</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who is one of our shareholders, (2) a person</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authorized under the U.K. Companies Act</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2006 to act as a representative of the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w w:val="99"/>
              </w:rPr>
              <w:t>corporation in relation to the meeting, or (3) a</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person appointed as proxy of a shareholder</w:t>
            </w:r>
          </w:p>
        </w:tc>
      </w:tr>
      <w:tr>
        <w:trPr>
          <w:trHeight w:val="239"/>
        </w:trPr>
        <w:tc>
          <w:tcPr>
            <w:tcW w:w="2160" w:type="dxa"/>
            <w:vAlign w:val="bottom"/>
          </w:tcPr>
          <w:p>
            <w:pPr>
              <w:spacing w:after="0"/>
              <w:rPr>
                <w:sz w:val="20"/>
                <w:szCs w:val="20"/>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in relation to the meeting.</w:t>
            </w:r>
          </w:p>
        </w:tc>
      </w:tr>
      <w:tr>
        <w:trPr>
          <w:trHeight w:val="274"/>
        </w:trPr>
        <w:tc>
          <w:tcPr>
            <w:tcW w:w="2160" w:type="dxa"/>
            <w:vAlign w:val="bottom"/>
          </w:tcPr>
          <w:p>
            <w:pPr>
              <w:spacing w:after="0"/>
              <w:rPr>
                <w:sz w:val="23"/>
                <w:szCs w:val="23"/>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In addition, if and for so long as we are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subject to the rules and requirements of a</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securities exchange and such securities</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exchange requires us to have a quorum for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general meetings then, in addition to the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requisite quorum requirement stated in this</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paragraph, in order for such general meeting</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to be quorate at least 33 1/3 per cent. of our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issued and outstanding ordinary shares (or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such other amount as may be specified by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such rules and requirements) must be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present at such general meeting, whether</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represented in person (including, in the case</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of a corporate shareholder, by duly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authorized representative) or by duly</w:t>
            </w:r>
          </w:p>
        </w:tc>
      </w:tr>
      <w:tr>
        <w:trPr>
          <w:trHeight w:val="239"/>
        </w:trPr>
        <w:tc>
          <w:tcPr>
            <w:tcW w:w="2160" w:type="dxa"/>
            <w:vAlign w:val="bottom"/>
          </w:tcPr>
          <w:p>
            <w:pPr>
              <w:spacing w:after="0"/>
              <w:rPr>
                <w:sz w:val="20"/>
                <w:szCs w:val="20"/>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appointed proxy.</w:t>
            </w:r>
          </w:p>
        </w:tc>
      </w:tr>
      <w:tr>
        <w:trPr>
          <w:trHeight w:val="274"/>
        </w:trPr>
        <w:tc>
          <w:tcPr>
            <w:tcW w:w="2160" w:type="dxa"/>
            <w:vAlign w:val="bottom"/>
          </w:tcPr>
          <w:p>
            <w:pPr>
              <w:spacing w:after="0"/>
              <w:rPr>
                <w:sz w:val="20"/>
                <w:szCs w:val="20"/>
                <w:color w:val="auto"/>
              </w:rPr>
            </w:pPr>
            <w:r>
              <w:rPr>
                <w:rFonts w:ascii="Arial" w:cs="Arial" w:eastAsia="Arial" w:hAnsi="Arial"/>
                <w:sz w:val="18"/>
                <w:szCs w:val="18"/>
                <w:color w:val="auto"/>
              </w:rPr>
              <w:t>Proxy</w:t>
            </w: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Under the U.K. Companies Act 2006, at any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meeting of shareholders, a shareholder may</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designate another person to attend, speak</w:t>
            </w:r>
          </w:p>
        </w:tc>
      </w:tr>
      <w:tr>
        <w:trPr>
          <w:trHeight w:val="203"/>
        </w:trPr>
        <w:tc>
          <w:tcPr>
            <w:tcW w:w="2160" w:type="dxa"/>
            <w:vAlign w:val="bottom"/>
          </w:tcPr>
          <w:p>
            <w:pPr>
              <w:spacing w:after="0"/>
              <w:rPr>
                <w:sz w:val="17"/>
                <w:szCs w:val="17"/>
                <w:color w:val="auto"/>
              </w:rPr>
            </w:pPr>
          </w:p>
        </w:tc>
        <w:tc>
          <w:tcPr>
            <w:tcW w:w="5340" w:type="dxa"/>
            <w:vAlign w:val="bottom"/>
            <w:gridSpan w:val="2"/>
          </w:tcPr>
          <w:p>
            <w:pPr>
              <w:ind w:left="1720"/>
              <w:spacing w:after="0" w:line="202" w:lineRule="exact"/>
              <w:rPr>
                <w:sz w:val="20"/>
                <w:szCs w:val="20"/>
                <w:color w:val="auto"/>
              </w:rPr>
            </w:pPr>
            <w:r>
              <w:rPr>
                <w:rFonts w:ascii="Arial" w:cs="Arial" w:eastAsia="Arial" w:hAnsi="Arial"/>
                <w:sz w:val="18"/>
                <w:szCs w:val="18"/>
                <w:color w:val="auto"/>
              </w:rPr>
              <w:t>and vote at the meeting on their behalf by</w:t>
            </w:r>
          </w:p>
        </w:tc>
      </w:tr>
      <w:tr>
        <w:trPr>
          <w:trHeight w:val="239"/>
        </w:trPr>
        <w:tc>
          <w:tcPr>
            <w:tcW w:w="2160" w:type="dxa"/>
            <w:vAlign w:val="bottom"/>
          </w:tcPr>
          <w:p>
            <w:pPr>
              <w:spacing w:after="0"/>
              <w:rPr>
                <w:sz w:val="20"/>
                <w:szCs w:val="20"/>
                <w:color w:val="auto"/>
              </w:rPr>
            </w:pPr>
          </w:p>
        </w:tc>
        <w:tc>
          <w:tcPr>
            <w:tcW w:w="5340" w:type="dxa"/>
            <w:vAlign w:val="bottom"/>
            <w:gridSpan w:val="2"/>
          </w:tcPr>
          <w:p>
            <w:pPr>
              <w:ind w:left="1720"/>
              <w:spacing w:after="0"/>
              <w:rPr>
                <w:sz w:val="20"/>
                <w:szCs w:val="20"/>
                <w:color w:val="auto"/>
              </w:rPr>
            </w:pPr>
            <w:r>
              <w:rPr>
                <w:rFonts w:ascii="Arial" w:cs="Arial" w:eastAsia="Arial" w:hAnsi="Arial"/>
                <w:sz w:val="18"/>
                <w:szCs w:val="18"/>
                <w:color w:val="auto"/>
              </w:rPr>
              <w:t>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7620" w:space="120"/>
            <w:col w:w="3400"/>
          </w:cols>
          <w:pgMar w:left="320" w:top="455"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760" w:type="dxa"/>
            <w:vAlign w:val="bottom"/>
            <w:vMerge w:val="restart"/>
          </w:tcPr>
          <w:p>
            <w:pPr>
              <w:spacing w:after="0"/>
              <w:rPr>
                <w:sz w:val="20"/>
                <w:szCs w:val="20"/>
                <w:color w:val="auto"/>
              </w:rPr>
            </w:pPr>
            <w:r>
              <w:rPr>
                <w:rFonts w:ascii="Arial" w:cs="Arial" w:eastAsia="Arial" w:hAnsi="Arial"/>
                <w:sz w:val="18"/>
                <w:szCs w:val="18"/>
                <w:color w:val="auto"/>
              </w:rPr>
              <w:t>Issue of New Shares</w:t>
            </w:r>
          </w:p>
        </w:tc>
        <w:tc>
          <w:tcPr>
            <w:tcW w:w="11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77"/>
        </w:trPr>
        <w:tc>
          <w:tcPr>
            <w:tcW w:w="27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Under the U.K. Companies Act 2006, the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directors of a company must not exercise 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power to allot shares or grant rights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subscribe for, or to convert any security into,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shares unless they are authorized to do so by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the company’s articles of association or by an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ordinary resolution of the shareholders. 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authorization given must state the maximum</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amount of shares that may be allotted under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it and specify the date on which it will expire,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which must be not more than five years from</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 date the authorization was given. The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authority can be renewed by a further</w:t>
            </w: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resolution of the shareholders.</w:t>
            </w:r>
          </w:p>
        </w:tc>
        <w:tc>
          <w:tcPr>
            <w:tcW w:w="0" w:type="dxa"/>
            <w:vAlign w:val="bottom"/>
          </w:tcPr>
          <w:p>
            <w:pPr>
              <w:spacing w:after="0"/>
              <w:rPr>
                <w:sz w:val="1"/>
                <w:szCs w:val="1"/>
                <w:color w:val="auto"/>
              </w:rPr>
            </w:pPr>
          </w:p>
        </w:tc>
      </w:tr>
      <w:tr>
        <w:trPr>
          <w:trHeight w:val="274"/>
        </w:trPr>
        <w:tc>
          <w:tcPr>
            <w:tcW w:w="2760" w:type="dxa"/>
            <w:vAlign w:val="bottom"/>
          </w:tcPr>
          <w:p>
            <w:pPr>
              <w:spacing w:after="0"/>
              <w:rPr>
                <w:sz w:val="20"/>
                <w:szCs w:val="20"/>
                <w:color w:val="auto"/>
              </w:rPr>
            </w:pPr>
            <w:r>
              <w:rPr>
                <w:rFonts w:ascii="Arial" w:cs="Arial" w:eastAsia="Arial" w:hAnsi="Arial"/>
                <w:sz w:val="18"/>
                <w:szCs w:val="18"/>
                <w:color w:val="auto"/>
              </w:rPr>
              <w:t>Pre-emptive Rights</w:t>
            </w: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Under the U.K. Companies Act 2006, “equity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securities,” being (i) shares in the company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other than shares that, with respect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dividends and capital, carry a right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participate only up to a specified amount in a</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distribution (“ordinary shares”) or (ii) rights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subscribe for, or to convert securities into,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ordinary shares, proposed to be allotted for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cash, must be offered first to the existing</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equity shareholders in the company in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proportion to the respective nominal value of</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their holdings, unless an exception applies or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 special resolution to the contrary has been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passed by shareholders in a general meeting</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 the articles of association provide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otherwise, in each case in accordance with</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 provisions of the U.K. Companies Act</w:t>
            </w: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74"/>
        </w:trPr>
        <w:tc>
          <w:tcPr>
            <w:tcW w:w="2760" w:type="dxa"/>
            <w:vAlign w:val="bottom"/>
          </w:tcPr>
          <w:p>
            <w:pPr>
              <w:spacing w:after="0"/>
              <w:rPr>
                <w:sz w:val="20"/>
                <w:szCs w:val="20"/>
                <w:color w:val="auto"/>
              </w:rPr>
            </w:pPr>
            <w:r>
              <w:rPr>
                <w:rFonts w:ascii="Arial" w:cs="Arial" w:eastAsia="Arial" w:hAnsi="Arial"/>
                <w:sz w:val="18"/>
                <w:szCs w:val="18"/>
                <w:color w:val="auto"/>
              </w:rPr>
              <w:t>Authority to Allot</w:t>
            </w: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Under the U.K. Companies Act 2006, the</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directors of a company must not allot shares</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 grant rights to subscribe for or to convert</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any security into shares unless those shares</w:t>
            </w: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are allotted,</w:t>
            </w:r>
          </w:p>
        </w:tc>
        <w:tc>
          <w:tcPr>
            <w:tcW w:w="0" w:type="dxa"/>
            <w:vAlign w:val="bottom"/>
          </w:tcPr>
          <w:p>
            <w:pPr>
              <w:spacing w:after="0"/>
              <w:rPr>
                <w:sz w:val="1"/>
                <w:szCs w:val="1"/>
                <w:color w:val="auto"/>
              </w:rPr>
            </w:pPr>
          </w:p>
        </w:tc>
      </w:tr>
      <w:tr>
        <w:trPr>
          <w:trHeight w:val="351"/>
        </w:trPr>
        <w:tc>
          <w:tcPr>
            <w:tcW w:w="2760" w:type="dxa"/>
            <w:vAlign w:val="bottom"/>
          </w:tcPr>
          <w:p>
            <w:pPr>
              <w:spacing w:after="0"/>
              <w:rPr>
                <w:sz w:val="24"/>
                <w:szCs w:val="24"/>
                <w:color w:val="auto"/>
              </w:rPr>
            </w:pPr>
          </w:p>
        </w:tc>
        <w:tc>
          <w:tcPr>
            <w:tcW w:w="4740" w:type="dxa"/>
            <w:vAlign w:val="bottom"/>
            <w:gridSpan w:val="2"/>
          </w:tcPr>
          <w:p>
            <w:pPr>
              <w:ind w:left="26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 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of</w:t>
      </w:r>
    </w:p>
    <w:p>
      <w:pPr>
        <w:sectPr>
          <w:pgSz w:w="11900" w:h="16838" w:orient="portrait"/>
          <w:cols w:equalWidth="0" w:num="2">
            <w:col w:w="7620" w:space="120"/>
            <w:col w:w="3400"/>
          </w:cols>
          <w:pgMar w:left="320" w:top="455"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3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or those rights to subscribe or convert any</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security into shares are granted (as</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applicable) pursuant to an employee share</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scheme, an ordinary resolution to the</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contrary has been passed by shareholders in</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 general meeting, or the articles of</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association provide otherwise, in each case,</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in accordance with the provisions of the U.K.</w:t>
            </w:r>
          </w:p>
        </w:tc>
      </w:tr>
      <w:tr>
        <w:trPr>
          <w:trHeight w:val="239"/>
        </w:trPr>
        <w:tc>
          <w:tcPr>
            <w:tcW w:w="3220" w:type="dxa"/>
            <w:vAlign w:val="bottom"/>
          </w:tcPr>
          <w:p>
            <w:pPr>
              <w:spacing w:after="0"/>
              <w:rPr>
                <w:sz w:val="20"/>
                <w:szCs w:val="20"/>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Companies Act 2006.</w:t>
            </w:r>
          </w:p>
        </w:tc>
      </w:tr>
      <w:tr>
        <w:trPr>
          <w:trHeight w:val="477"/>
        </w:trPr>
        <w:tc>
          <w:tcPr>
            <w:tcW w:w="3220" w:type="dxa"/>
            <w:vAlign w:val="bottom"/>
          </w:tcPr>
          <w:p>
            <w:pPr>
              <w:spacing w:after="0"/>
              <w:rPr>
                <w:sz w:val="20"/>
                <w:szCs w:val="20"/>
                <w:color w:val="auto"/>
              </w:rPr>
            </w:pPr>
            <w:r>
              <w:rPr>
                <w:rFonts w:ascii="Arial" w:cs="Arial" w:eastAsia="Arial" w:hAnsi="Arial"/>
                <w:sz w:val="18"/>
                <w:szCs w:val="18"/>
                <w:color w:val="auto"/>
              </w:rPr>
              <w:t>Liability of Directors and Officers</w:t>
            </w: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Under the U.K. Companies Act 2006, any</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provision (whether contained in a company’s</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articles of association or any contract or</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otherwise) that purports to exempt a director</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of a company (to any extent) from any liability</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that would otherwise attach to him in</w:t>
            </w:r>
          </w:p>
        </w:tc>
      </w:tr>
      <w:tr>
        <w:trPr>
          <w:trHeight w:val="202"/>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connection with any negligence, default,</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breach of duty or breach of trust in relation to</w:t>
            </w:r>
          </w:p>
        </w:tc>
      </w:tr>
      <w:tr>
        <w:trPr>
          <w:trHeight w:val="239"/>
        </w:trPr>
        <w:tc>
          <w:tcPr>
            <w:tcW w:w="3220" w:type="dxa"/>
            <w:vAlign w:val="bottom"/>
          </w:tcPr>
          <w:p>
            <w:pPr>
              <w:spacing w:after="0"/>
              <w:rPr>
                <w:sz w:val="20"/>
                <w:szCs w:val="20"/>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the company is void.</w:t>
            </w:r>
          </w:p>
        </w:tc>
      </w:tr>
      <w:tr>
        <w:trPr>
          <w:trHeight w:val="274"/>
        </w:trPr>
        <w:tc>
          <w:tcPr>
            <w:tcW w:w="3220" w:type="dxa"/>
            <w:vAlign w:val="bottom"/>
          </w:tcPr>
          <w:p>
            <w:pPr>
              <w:spacing w:after="0"/>
              <w:rPr>
                <w:sz w:val="23"/>
                <w:szCs w:val="23"/>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Any provision by which we directly or</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indirectly provide an indemnity (to any extent)</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for a director of the company or of an</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“associated company” (i.e., a company that is</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 parent, subsidiary or sister company of us)</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against any liability attaching to him or her in</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connection with any negligence, default,</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breach of duty or breach of trust in relation to</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the company of which he or she is a director</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is void except as permitted by the U.K.</w:t>
            </w: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Companies Act 2006, which provides</w:t>
            </w:r>
          </w:p>
        </w:tc>
      </w:tr>
      <w:tr>
        <w:trPr>
          <w:trHeight w:val="239"/>
        </w:trPr>
        <w:tc>
          <w:tcPr>
            <w:tcW w:w="3220" w:type="dxa"/>
            <w:vAlign w:val="bottom"/>
          </w:tcPr>
          <w:p>
            <w:pPr>
              <w:spacing w:after="0"/>
              <w:rPr>
                <w:sz w:val="20"/>
                <w:szCs w:val="20"/>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exceptions for us to:</w:t>
            </w:r>
          </w:p>
        </w:tc>
      </w:tr>
      <w:tr>
        <w:trPr>
          <w:trHeight w:val="288"/>
        </w:trPr>
        <w:tc>
          <w:tcPr>
            <w:tcW w:w="3220" w:type="dxa"/>
            <w:vAlign w:val="bottom"/>
          </w:tcPr>
          <w:p>
            <w:pPr>
              <w:spacing w:after="0"/>
              <w:rPr>
                <w:sz w:val="24"/>
                <w:szCs w:val="24"/>
                <w:color w:val="auto"/>
              </w:rPr>
            </w:pPr>
          </w:p>
        </w:tc>
        <w:tc>
          <w:tcPr>
            <w:tcW w:w="4280" w:type="dxa"/>
            <w:vAlign w:val="bottom"/>
            <w:gridSpan w:val="2"/>
          </w:tcPr>
          <w:p>
            <w:pPr>
              <w:ind w:left="6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 purchase and maintain director and</w:t>
            </w:r>
          </w:p>
        </w:tc>
      </w:tr>
      <w:tr>
        <w:trPr>
          <w:trHeight w:val="203"/>
        </w:trPr>
        <w:tc>
          <w:tcPr>
            <w:tcW w:w="3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w w:val="99"/>
              </w:rPr>
              <w:t>officer insurance insuring our directors or</w:t>
            </w:r>
          </w:p>
        </w:tc>
      </w:tr>
      <w:tr>
        <w:trPr>
          <w:trHeight w:val="203"/>
        </w:trPr>
        <w:tc>
          <w:tcPr>
            <w:tcW w:w="3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the directors of an associated company</w:t>
            </w:r>
          </w:p>
        </w:tc>
      </w:tr>
      <w:tr>
        <w:trPr>
          <w:trHeight w:val="203"/>
        </w:trPr>
        <w:tc>
          <w:tcPr>
            <w:tcW w:w="3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against any liability attaching in</w:t>
            </w:r>
          </w:p>
        </w:tc>
      </w:tr>
      <w:tr>
        <w:trPr>
          <w:trHeight w:val="239"/>
        </w:trPr>
        <w:tc>
          <w:tcPr>
            <w:tcW w:w="3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connection with</w:t>
            </w:r>
          </w:p>
        </w:tc>
      </w:tr>
      <w:tr>
        <w:trPr>
          <w:trHeight w:val="364"/>
        </w:trPr>
        <w:tc>
          <w:tcPr>
            <w:tcW w:w="3220" w:type="dxa"/>
            <w:vAlign w:val="bottom"/>
          </w:tcPr>
          <w:p>
            <w:pPr>
              <w:spacing w:after="0"/>
              <w:rPr>
                <w:sz w:val="24"/>
                <w:szCs w:val="24"/>
                <w:color w:val="auto"/>
              </w:rPr>
            </w:pPr>
          </w:p>
        </w:tc>
        <w:tc>
          <w:tcPr>
            <w:tcW w:w="4280" w:type="dxa"/>
            <w:vAlign w:val="bottom"/>
            <w:gridSpan w:val="2"/>
          </w:tcPr>
          <w:p>
            <w:pPr>
              <w:ind w:left="218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62" w:lineRule="exact"/>
        <w:rPr>
          <w:sz w:val="20"/>
          <w:szCs w:val="20"/>
          <w:color w:val="auto"/>
        </w:rPr>
      </w:pPr>
    </w:p>
    <w:p>
      <w:pPr>
        <w:jc w:val="center"/>
        <w:ind w:right="28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breach of the director’s duty of</w:t>
      </w:r>
    </w:p>
    <w:p>
      <w:pPr>
        <w:spacing w:after="0" w:line="14" w:lineRule="exact"/>
        <w:rPr>
          <w:sz w:val="20"/>
          <w:szCs w:val="20"/>
          <w:color w:val="auto"/>
        </w:rPr>
      </w:pPr>
    </w:p>
    <w:p>
      <w:pPr>
        <w:ind w:left="340" w:right="640"/>
        <w:spacing w:after="0" w:line="250" w:lineRule="auto"/>
        <w:rPr>
          <w:sz w:val="20"/>
          <w:szCs w:val="20"/>
          <w:color w:val="auto"/>
        </w:rPr>
      </w:pPr>
      <w:r>
        <w:rPr>
          <w:rFonts w:ascii="Arial" w:cs="Arial" w:eastAsia="Arial" w:hAnsi="Arial"/>
          <w:sz w:val="18"/>
          <w:szCs w:val="18"/>
          <w:color w:val="auto"/>
        </w:rPr>
        <w:t>loyalty to the corporation or its stockholders;</w:t>
      </w:r>
    </w:p>
    <w:p>
      <w:pPr>
        <w:spacing w:after="0" w:line="77" w:lineRule="exact"/>
        <w:rPr>
          <w:sz w:val="20"/>
          <w:szCs w:val="20"/>
          <w:color w:val="auto"/>
        </w:rPr>
      </w:pPr>
    </w:p>
    <w:p>
      <w:pPr>
        <w:jc w:val="both"/>
        <w:ind w:left="340" w:right="100" w:hanging="359"/>
        <w:spacing w:after="0" w:line="214"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 acts or omissions not in good faith or that involve intentional misconduct or a knowing violation of law;</w:t>
      </w:r>
    </w:p>
    <w:p>
      <w:pPr>
        <w:spacing w:after="0" w:line="87" w:lineRule="exact"/>
        <w:rPr>
          <w:sz w:val="20"/>
          <w:szCs w:val="20"/>
          <w:color w:val="auto"/>
        </w:rPr>
      </w:pPr>
    </w:p>
    <w:p>
      <w:pPr>
        <w:ind w:left="340" w:right="20" w:hanging="359"/>
        <w:spacing w:after="0" w:line="214"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 intentional or negligent payment of unlawful dividends or stock purchases or redemptions; or</w:t>
      </w:r>
    </w:p>
    <w:p>
      <w:pPr>
        <w:spacing w:after="0" w:line="87" w:lineRule="exact"/>
        <w:rPr>
          <w:sz w:val="20"/>
          <w:szCs w:val="20"/>
          <w:color w:val="auto"/>
        </w:rPr>
      </w:pPr>
    </w:p>
    <w:p>
      <w:pPr>
        <w:ind w:left="340" w:right="60" w:hanging="359"/>
        <w:spacing w:after="0" w:line="214"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 any transaction from which the director derives an improper personal benefit.</w:t>
      </w:r>
    </w:p>
    <w:p>
      <w:pPr>
        <w:sectPr>
          <w:pgSz w:w="11900" w:h="16838" w:orient="portrait"/>
          <w:cols w:equalWidth="0" w:num="2">
            <w:col w:w="7620" w:space="120"/>
            <w:col w:w="3400"/>
          </w:cols>
          <w:pgMar w:left="320" w:top="455"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right"/>
        <w:ind w:right="399"/>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4534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any negligence, default, breach of duty or</w:t>
      </w:r>
    </w:p>
    <w:p>
      <w:pPr>
        <w:ind w:left="4000"/>
        <w:spacing w:after="0" w:line="234" w:lineRule="auto"/>
        <w:rPr>
          <w:sz w:val="20"/>
          <w:szCs w:val="20"/>
          <w:color w:val="auto"/>
        </w:rPr>
      </w:pPr>
      <w:r>
        <w:rPr>
          <w:rFonts w:ascii="Arial" w:cs="Arial" w:eastAsia="Arial" w:hAnsi="Arial"/>
          <w:sz w:val="18"/>
          <w:szCs w:val="18"/>
          <w:color w:val="auto"/>
        </w:rPr>
        <w:t>breach of trust in relation to the company of</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which he or she is a director;</w:t>
      </w:r>
    </w:p>
    <w:p>
      <w:pPr>
        <w:spacing w:after="0" w:line="86" w:lineRule="exact"/>
        <w:rPr>
          <w:sz w:val="20"/>
          <w:szCs w:val="20"/>
          <w:color w:val="auto"/>
        </w:rPr>
      </w:pPr>
    </w:p>
    <w:p>
      <w:pPr>
        <w:ind w:left="4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 provide a “qualifying third party</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indemnity,” which is an indemnity against</w:t>
      </w:r>
    </w:p>
    <w:p>
      <w:pPr>
        <w:ind w:left="4360"/>
        <w:spacing w:after="0" w:line="234" w:lineRule="auto"/>
        <w:rPr>
          <w:sz w:val="20"/>
          <w:szCs w:val="20"/>
          <w:color w:val="auto"/>
        </w:rPr>
      </w:pPr>
      <w:r>
        <w:rPr>
          <w:rFonts w:ascii="Arial" w:cs="Arial" w:eastAsia="Arial" w:hAnsi="Arial"/>
          <w:sz w:val="18"/>
          <w:szCs w:val="18"/>
          <w:color w:val="auto"/>
        </w:rPr>
        <w:t>liability incurred by our directors and</w:t>
      </w:r>
    </w:p>
    <w:p>
      <w:pPr>
        <w:ind w:left="4360"/>
        <w:spacing w:after="0" w:line="235" w:lineRule="auto"/>
        <w:rPr>
          <w:sz w:val="20"/>
          <w:szCs w:val="20"/>
          <w:color w:val="auto"/>
        </w:rPr>
      </w:pPr>
      <w:r>
        <w:rPr>
          <w:rFonts w:ascii="Arial" w:cs="Arial" w:eastAsia="Arial" w:hAnsi="Arial"/>
          <w:sz w:val="18"/>
          <w:szCs w:val="18"/>
          <w:color w:val="auto"/>
        </w:rPr>
        <w:t>directors of an associated company to a</w:t>
      </w:r>
    </w:p>
    <w:p>
      <w:pPr>
        <w:ind w:left="4360"/>
        <w:spacing w:after="0" w:line="235" w:lineRule="auto"/>
        <w:rPr>
          <w:sz w:val="20"/>
          <w:szCs w:val="20"/>
          <w:color w:val="auto"/>
        </w:rPr>
      </w:pPr>
      <w:r>
        <w:rPr>
          <w:rFonts w:ascii="Arial" w:cs="Arial" w:eastAsia="Arial" w:hAnsi="Arial"/>
          <w:sz w:val="18"/>
          <w:szCs w:val="18"/>
          <w:color w:val="auto"/>
        </w:rPr>
        <w:t>person other than us or an associated</w:t>
      </w:r>
    </w:p>
    <w:p>
      <w:pPr>
        <w:ind w:left="4360"/>
        <w:spacing w:after="0" w:line="235" w:lineRule="auto"/>
        <w:rPr>
          <w:sz w:val="20"/>
          <w:szCs w:val="20"/>
          <w:color w:val="auto"/>
        </w:rPr>
      </w:pPr>
      <w:r>
        <w:rPr>
          <w:rFonts w:ascii="Arial" w:cs="Arial" w:eastAsia="Arial" w:hAnsi="Arial"/>
          <w:sz w:val="18"/>
          <w:szCs w:val="18"/>
          <w:color w:val="auto"/>
        </w:rPr>
        <w:t>company. Such indemnity must not</w:t>
      </w:r>
    </w:p>
    <w:p>
      <w:pPr>
        <w:ind w:left="4360"/>
        <w:spacing w:after="0" w:line="235" w:lineRule="auto"/>
        <w:rPr>
          <w:sz w:val="20"/>
          <w:szCs w:val="20"/>
          <w:color w:val="auto"/>
        </w:rPr>
      </w:pPr>
      <w:r>
        <w:rPr>
          <w:rFonts w:ascii="Arial" w:cs="Arial" w:eastAsia="Arial" w:hAnsi="Arial"/>
          <w:sz w:val="18"/>
          <w:szCs w:val="18"/>
          <w:color w:val="auto"/>
        </w:rPr>
        <w:t>cover criminal fines, penalties imposed</w:t>
      </w:r>
    </w:p>
    <w:p>
      <w:pPr>
        <w:ind w:left="4360"/>
        <w:spacing w:after="0" w:line="234" w:lineRule="auto"/>
        <w:rPr>
          <w:sz w:val="20"/>
          <w:szCs w:val="20"/>
          <w:color w:val="auto"/>
        </w:rPr>
      </w:pPr>
      <w:r>
        <w:rPr>
          <w:rFonts w:ascii="Arial" w:cs="Arial" w:eastAsia="Arial" w:hAnsi="Arial"/>
          <w:sz w:val="18"/>
          <w:szCs w:val="18"/>
          <w:color w:val="auto"/>
        </w:rPr>
        <w:t>by regulatory bodies, the defense costs</w:t>
      </w:r>
    </w:p>
    <w:p>
      <w:pPr>
        <w:ind w:left="4360"/>
        <w:spacing w:after="0" w:line="235" w:lineRule="auto"/>
        <w:rPr>
          <w:sz w:val="20"/>
          <w:szCs w:val="20"/>
          <w:color w:val="auto"/>
        </w:rPr>
      </w:pPr>
      <w:r>
        <w:rPr>
          <w:rFonts w:ascii="Arial" w:cs="Arial" w:eastAsia="Arial" w:hAnsi="Arial"/>
          <w:sz w:val="18"/>
          <w:szCs w:val="18"/>
          <w:color w:val="auto"/>
        </w:rPr>
        <w:t>of criminal proceedings where the</w:t>
      </w:r>
    </w:p>
    <w:p>
      <w:pPr>
        <w:ind w:left="4360"/>
        <w:spacing w:after="0" w:line="235" w:lineRule="auto"/>
        <w:rPr>
          <w:sz w:val="20"/>
          <w:szCs w:val="20"/>
          <w:color w:val="auto"/>
        </w:rPr>
      </w:pPr>
      <w:r>
        <w:rPr>
          <w:rFonts w:ascii="Arial" w:cs="Arial" w:eastAsia="Arial" w:hAnsi="Arial"/>
          <w:sz w:val="18"/>
          <w:szCs w:val="18"/>
          <w:color w:val="auto"/>
        </w:rPr>
        <w:t>director is found guilty, the defense costs</w:t>
      </w:r>
    </w:p>
    <w:p>
      <w:pPr>
        <w:ind w:left="4360"/>
        <w:spacing w:after="0" w:line="235" w:lineRule="auto"/>
        <w:rPr>
          <w:sz w:val="20"/>
          <w:szCs w:val="20"/>
          <w:color w:val="auto"/>
        </w:rPr>
      </w:pPr>
      <w:r>
        <w:rPr>
          <w:rFonts w:ascii="Arial" w:cs="Arial" w:eastAsia="Arial" w:hAnsi="Arial"/>
          <w:sz w:val="18"/>
          <w:szCs w:val="18"/>
          <w:color w:val="auto"/>
        </w:rPr>
        <w:t>of civil proceedings successfully brought</w:t>
      </w:r>
    </w:p>
    <w:p>
      <w:pPr>
        <w:ind w:left="4360"/>
        <w:spacing w:after="0" w:line="235" w:lineRule="auto"/>
        <w:rPr>
          <w:sz w:val="20"/>
          <w:szCs w:val="20"/>
          <w:color w:val="auto"/>
        </w:rPr>
      </w:pPr>
      <w:r>
        <w:rPr>
          <w:rFonts w:ascii="Arial" w:cs="Arial" w:eastAsia="Arial" w:hAnsi="Arial"/>
          <w:sz w:val="18"/>
          <w:szCs w:val="18"/>
          <w:color w:val="auto"/>
        </w:rPr>
        <w:t>against the director by the company or</w:t>
      </w:r>
    </w:p>
    <w:p>
      <w:pPr>
        <w:ind w:left="4360"/>
        <w:spacing w:after="0" w:line="234" w:lineRule="auto"/>
        <w:rPr>
          <w:sz w:val="20"/>
          <w:szCs w:val="20"/>
          <w:color w:val="auto"/>
        </w:rPr>
      </w:pPr>
      <w:r>
        <w:rPr>
          <w:rFonts w:ascii="Arial" w:cs="Arial" w:eastAsia="Arial" w:hAnsi="Arial"/>
          <w:sz w:val="18"/>
          <w:szCs w:val="18"/>
          <w:color w:val="auto"/>
        </w:rPr>
        <w:t>an associated company, or the costs of</w:t>
      </w:r>
    </w:p>
    <w:p>
      <w:pPr>
        <w:ind w:left="4360"/>
        <w:spacing w:after="0" w:line="235" w:lineRule="auto"/>
        <w:rPr>
          <w:sz w:val="20"/>
          <w:szCs w:val="20"/>
          <w:color w:val="auto"/>
        </w:rPr>
      </w:pPr>
      <w:r>
        <w:rPr>
          <w:rFonts w:ascii="Arial" w:cs="Arial" w:eastAsia="Arial" w:hAnsi="Arial"/>
          <w:sz w:val="18"/>
          <w:szCs w:val="18"/>
          <w:color w:val="auto"/>
        </w:rPr>
        <w:t>unsuccessful applications by the director</w:t>
      </w:r>
    </w:p>
    <w:p>
      <w:pPr>
        <w:ind w:left="4360"/>
        <w:spacing w:after="0" w:line="235" w:lineRule="auto"/>
        <w:rPr>
          <w:sz w:val="20"/>
          <w:szCs w:val="20"/>
          <w:color w:val="auto"/>
        </w:rPr>
      </w:pPr>
      <w:r>
        <w:rPr>
          <w:rFonts w:ascii="Arial" w:cs="Arial" w:eastAsia="Arial" w:hAnsi="Arial"/>
          <w:sz w:val="18"/>
          <w:szCs w:val="18"/>
          <w:color w:val="auto"/>
        </w:rPr>
        <w:t>for relief from liabilities for such matters;</w:t>
      </w:r>
    </w:p>
    <w:p>
      <w:pPr>
        <w:ind w:left="4360"/>
        <w:spacing w:after="0"/>
        <w:rPr>
          <w:sz w:val="20"/>
          <w:szCs w:val="20"/>
          <w:color w:val="auto"/>
        </w:rPr>
      </w:pPr>
      <w:r>
        <w:rPr>
          <w:rFonts w:ascii="Arial" w:cs="Arial" w:eastAsia="Arial" w:hAnsi="Arial"/>
          <w:sz w:val="18"/>
          <w:szCs w:val="18"/>
          <w:color w:val="auto"/>
        </w:rPr>
        <w:t>and</w:t>
      </w:r>
    </w:p>
    <w:p>
      <w:pPr>
        <w:spacing w:after="0" w:line="86" w:lineRule="exact"/>
        <w:rPr>
          <w:sz w:val="20"/>
          <w:szCs w:val="20"/>
          <w:color w:val="auto"/>
        </w:rPr>
      </w:pPr>
    </w:p>
    <w:p>
      <w:pPr>
        <w:ind w:left="4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 provide a “qualifying pension scheme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indemnity,” which is an indemnity against</w:t>
      </w:r>
    </w:p>
    <w:p>
      <w:pPr>
        <w:ind w:left="4360"/>
        <w:spacing w:after="0"/>
        <w:rPr>
          <w:sz w:val="20"/>
          <w:szCs w:val="20"/>
          <w:color w:val="auto"/>
        </w:rPr>
      </w:pPr>
      <w:r>
        <w:rPr>
          <w:rFonts w:ascii="Arial" w:cs="Arial" w:eastAsia="Arial" w:hAnsi="Arial"/>
          <w:sz w:val="18"/>
          <w:szCs w:val="18"/>
          <w:color w:val="auto"/>
        </w:rPr>
        <w:t>liability incurred in connection</w:t>
      </w:r>
    </w:p>
    <w:p>
      <w:pPr>
        <w:spacing w:after="0" w:line="86" w:lineRule="exact"/>
        <w:rPr>
          <w:sz w:val="20"/>
          <w:szCs w:val="20"/>
          <w:color w:val="auto"/>
        </w:rPr>
      </w:pPr>
    </w:p>
    <w:p>
      <w:pPr>
        <w:ind w:left="4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 with the company’s activities as trustee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of an occupational pension plan. Such</w:t>
      </w:r>
    </w:p>
    <w:p>
      <w:pPr>
        <w:ind w:left="4360"/>
        <w:spacing w:after="0" w:line="234" w:lineRule="auto"/>
        <w:rPr>
          <w:sz w:val="20"/>
          <w:szCs w:val="20"/>
          <w:color w:val="auto"/>
        </w:rPr>
      </w:pPr>
      <w:r>
        <w:rPr>
          <w:rFonts w:ascii="Arial" w:cs="Arial" w:eastAsia="Arial" w:hAnsi="Arial"/>
          <w:sz w:val="18"/>
          <w:szCs w:val="18"/>
          <w:color w:val="auto"/>
        </w:rPr>
        <w:t>indemnity must not cover a fine imposed</w:t>
      </w:r>
    </w:p>
    <w:p>
      <w:pPr>
        <w:ind w:left="4360"/>
        <w:spacing w:after="0" w:line="235" w:lineRule="auto"/>
        <w:rPr>
          <w:sz w:val="20"/>
          <w:szCs w:val="20"/>
          <w:color w:val="auto"/>
        </w:rPr>
      </w:pPr>
      <w:r>
        <w:rPr>
          <w:rFonts w:ascii="Arial" w:cs="Arial" w:eastAsia="Arial" w:hAnsi="Arial"/>
          <w:sz w:val="18"/>
          <w:szCs w:val="18"/>
          <w:color w:val="auto"/>
        </w:rPr>
        <w:t>in criminal proceedings, or sum payable</w:t>
      </w:r>
    </w:p>
    <w:p>
      <w:pPr>
        <w:ind w:left="4360"/>
        <w:spacing w:after="0" w:line="235" w:lineRule="auto"/>
        <w:rPr>
          <w:sz w:val="20"/>
          <w:szCs w:val="20"/>
          <w:color w:val="auto"/>
        </w:rPr>
      </w:pPr>
      <w:r>
        <w:rPr>
          <w:rFonts w:ascii="Arial" w:cs="Arial" w:eastAsia="Arial" w:hAnsi="Arial"/>
          <w:sz w:val="18"/>
          <w:szCs w:val="18"/>
          <w:color w:val="auto"/>
        </w:rPr>
        <w:t>to a regulatory authority by way of a</w:t>
      </w:r>
    </w:p>
    <w:p>
      <w:pPr>
        <w:ind w:left="4360"/>
        <w:spacing w:after="0" w:line="235" w:lineRule="auto"/>
        <w:rPr>
          <w:sz w:val="20"/>
          <w:szCs w:val="20"/>
          <w:color w:val="auto"/>
        </w:rPr>
      </w:pPr>
      <w:r>
        <w:rPr>
          <w:rFonts w:ascii="Arial" w:cs="Arial" w:eastAsia="Arial" w:hAnsi="Arial"/>
          <w:sz w:val="18"/>
          <w:szCs w:val="18"/>
          <w:color w:val="auto"/>
        </w:rPr>
        <w:t>penalty in respect of non-compliance</w:t>
      </w:r>
    </w:p>
    <w:p>
      <w:pPr>
        <w:ind w:left="4360"/>
        <w:spacing w:after="0" w:line="235" w:lineRule="auto"/>
        <w:rPr>
          <w:sz w:val="20"/>
          <w:szCs w:val="20"/>
          <w:color w:val="auto"/>
        </w:rPr>
      </w:pPr>
      <w:r>
        <w:rPr>
          <w:rFonts w:ascii="Arial" w:cs="Arial" w:eastAsia="Arial" w:hAnsi="Arial"/>
          <w:sz w:val="18"/>
          <w:szCs w:val="18"/>
          <w:color w:val="auto"/>
        </w:rPr>
        <w:t>with any requirement of a regulatory</w:t>
      </w:r>
    </w:p>
    <w:p>
      <w:pPr>
        <w:ind w:left="4360"/>
        <w:spacing w:after="0" w:line="234" w:lineRule="auto"/>
        <w:rPr>
          <w:sz w:val="20"/>
          <w:szCs w:val="20"/>
          <w:color w:val="auto"/>
        </w:rPr>
      </w:pPr>
      <w:r>
        <w:rPr>
          <w:rFonts w:ascii="Arial" w:cs="Arial" w:eastAsia="Arial" w:hAnsi="Arial"/>
          <w:sz w:val="18"/>
          <w:szCs w:val="18"/>
          <w:color w:val="auto"/>
        </w:rPr>
        <w:t>nature (however arising), or any liability</w:t>
      </w:r>
    </w:p>
    <w:p>
      <w:pPr>
        <w:ind w:left="4360"/>
        <w:spacing w:after="0" w:line="235" w:lineRule="auto"/>
        <w:rPr>
          <w:sz w:val="20"/>
          <w:szCs w:val="20"/>
          <w:color w:val="auto"/>
        </w:rPr>
      </w:pPr>
      <w:r>
        <w:rPr>
          <w:rFonts w:ascii="Arial" w:cs="Arial" w:eastAsia="Arial" w:hAnsi="Arial"/>
          <w:sz w:val="18"/>
          <w:szCs w:val="18"/>
          <w:color w:val="auto"/>
        </w:rPr>
        <w:t>incurred by the director in defending</w:t>
      </w:r>
    </w:p>
    <w:p>
      <w:pPr>
        <w:ind w:left="4360"/>
        <w:spacing w:after="0" w:line="235" w:lineRule="auto"/>
        <w:rPr>
          <w:sz w:val="20"/>
          <w:szCs w:val="20"/>
          <w:color w:val="auto"/>
        </w:rPr>
      </w:pPr>
      <w:r>
        <w:rPr>
          <w:rFonts w:ascii="Arial" w:cs="Arial" w:eastAsia="Arial" w:hAnsi="Arial"/>
          <w:sz w:val="18"/>
          <w:szCs w:val="18"/>
          <w:color w:val="auto"/>
        </w:rPr>
        <w:t>criminal proceedings in which he or she</w:t>
      </w:r>
    </w:p>
    <w:p>
      <w:pPr>
        <w:ind w:left="4360"/>
        <w:spacing w:after="0"/>
        <w:rPr>
          <w:sz w:val="20"/>
          <w:szCs w:val="20"/>
          <w:color w:val="auto"/>
        </w:rPr>
      </w:pPr>
      <w:r>
        <w:rPr>
          <w:rFonts w:ascii="Arial" w:cs="Arial" w:eastAsia="Arial" w:hAnsi="Arial"/>
          <w:sz w:val="18"/>
          <w:szCs w:val="18"/>
          <w:color w:val="auto"/>
        </w:rPr>
        <w:t>is convicted.</w:t>
      </w:r>
    </w:p>
    <w:p>
      <w:pPr>
        <w:spacing w:after="0" w:line="12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139"/>
          </w:cols>
          <w:pgMar w:left="320" w:top="45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3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Our Articles provide that it may indemnify</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each of our directors against:</w:t>
            </w:r>
          </w:p>
        </w:tc>
      </w:tr>
      <w:tr>
        <w:trPr>
          <w:trHeight w:val="274"/>
        </w:trPr>
        <w:tc>
          <w:tcPr>
            <w:tcW w:w="3600" w:type="dxa"/>
            <w:vAlign w:val="bottom"/>
          </w:tcPr>
          <w:p>
            <w:pPr>
              <w:spacing w:after="0"/>
              <w:rPr>
                <w:sz w:val="23"/>
                <w:szCs w:val="23"/>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also provides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we may lend each of our directors funds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to meet expenditure incurred by him or her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defending any criminal or civil proceedings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connection with any alleged negligence,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default, breach of duty or breach of trust by</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him or her in relation to us or an associated</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company, or in connection with an application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for certain specified relief, subject to the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requirement that the loan must be on terms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it is to be repaid if the defense or the</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application for relief is unsuccessful.</w:t>
            </w:r>
          </w:p>
        </w:tc>
      </w:tr>
      <w:tr>
        <w:trPr>
          <w:trHeight w:val="274"/>
        </w:trPr>
        <w:tc>
          <w:tcPr>
            <w:tcW w:w="3600" w:type="dxa"/>
            <w:vAlign w:val="bottom"/>
          </w:tcPr>
          <w:p>
            <w:pPr>
              <w:spacing w:after="0"/>
              <w:rPr>
                <w:sz w:val="20"/>
                <w:szCs w:val="20"/>
                <w:color w:val="auto"/>
              </w:rPr>
            </w:pPr>
            <w:r>
              <w:rPr>
                <w:rFonts w:ascii="Arial" w:cs="Arial" w:eastAsia="Arial" w:hAnsi="Arial"/>
                <w:sz w:val="18"/>
                <w:szCs w:val="18"/>
                <w:color w:val="auto"/>
              </w:rPr>
              <w:t>Voting Rights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For a description of the voting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contained in our Articles see “Description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Share Capital and Articles of Association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—Articles of Association—Shares and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Attaching to Them—Voting Rights” in this</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prospectus.</w:t>
            </w:r>
          </w:p>
        </w:tc>
      </w:tr>
      <w:tr>
        <w:trPr>
          <w:trHeight w:val="274"/>
        </w:trPr>
        <w:tc>
          <w:tcPr>
            <w:tcW w:w="3600" w:type="dxa"/>
            <w:vAlign w:val="bottom"/>
          </w:tcPr>
          <w:p>
            <w:pPr>
              <w:spacing w:after="0"/>
              <w:rPr>
                <w:sz w:val="20"/>
                <w:szCs w:val="20"/>
                <w:color w:val="auto"/>
              </w:rPr>
            </w:pPr>
            <w:r>
              <w:rPr>
                <w:rFonts w:ascii="Arial" w:cs="Arial" w:eastAsia="Arial" w:hAnsi="Arial"/>
                <w:sz w:val="18"/>
                <w:szCs w:val="18"/>
                <w:color w:val="auto"/>
              </w:rPr>
              <w:t>Shareholder Vote on Certain Transactions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provides for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schemes of arrangement, which are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arrangements or compromises between a</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company and any class of shareholders 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creditors and used in certain types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reconstructions, amalgamations, capital</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reorganizations or takeovers. These</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arrangements require:</w:t>
            </w:r>
          </w:p>
        </w:tc>
      </w:tr>
      <w:tr>
        <w:trPr>
          <w:trHeight w:val="423"/>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(1) the approval, at a shareholders’ 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creditors’ meeting convened by order of a</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court of England and Wales, of a majority in</w:t>
            </w:r>
          </w:p>
        </w:tc>
      </w:tr>
      <w:tr>
        <w:trPr>
          <w:trHeight w:val="202"/>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number representing not less than 75%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value of the creditors or class of creditors 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members or class of members (as the case</w:t>
            </w:r>
          </w:p>
        </w:tc>
      </w:tr>
      <w:tr>
        <w:trPr>
          <w:trHeight w:val="239"/>
        </w:trPr>
        <w:tc>
          <w:tcPr>
            <w:tcW w:w="3600" w:type="dxa"/>
            <w:vAlign w:val="bottom"/>
          </w:tcPr>
          <w:p>
            <w:pPr>
              <w:spacing w:after="0"/>
              <w:rPr>
                <w:sz w:val="20"/>
                <w:szCs w:val="20"/>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may be)</w:t>
            </w:r>
          </w:p>
        </w:tc>
      </w:tr>
      <w:tr>
        <w:trPr>
          <w:trHeight w:val="351"/>
        </w:trPr>
        <w:tc>
          <w:tcPr>
            <w:tcW w:w="3600" w:type="dxa"/>
            <w:vAlign w:val="bottom"/>
          </w:tcPr>
          <w:p>
            <w:pPr>
              <w:spacing w:after="0"/>
              <w:rPr>
                <w:sz w:val="24"/>
                <w:szCs w:val="24"/>
                <w:color w:val="auto"/>
              </w:rPr>
            </w:pPr>
          </w:p>
        </w:tc>
        <w:tc>
          <w:tcPr>
            <w:tcW w:w="3900" w:type="dxa"/>
            <w:vAlign w:val="bottom"/>
            <w:gridSpan w:val="2"/>
          </w:tcPr>
          <w:p>
            <w:pPr>
              <w:ind w:left="180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closing of a merger, consolidation, sale, lease or exchange of all or substantially all of a corporation’s assets or dissolution requires:</w:t>
      </w:r>
    </w:p>
    <w:p>
      <w:pPr>
        <w:spacing w:after="0" w:line="90" w:lineRule="exact"/>
        <w:rPr>
          <w:sz w:val="20"/>
          <w:szCs w:val="20"/>
          <w:color w:val="auto"/>
        </w:rPr>
      </w:pPr>
    </w:p>
    <w:p>
      <w:pPr>
        <w:ind w:left="340" w:right="40" w:hanging="359"/>
        <w:spacing w:after="0" w:line="220"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of the board of directors; and</w:t>
      </w:r>
    </w:p>
    <w:p>
      <w:pPr>
        <w:spacing w:after="0" w:line="87" w:lineRule="exact"/>
        <w:rPr>
          <w:sz w:val="20"/>
          <w:szCs w:val="20"/>
          <w:color w:val="auto"/>
        </w:rPr>
      </w:pPr>
    </w:p>
    <w:p>
      <w:pPr>
        <w:ind w:left="340" w:right="120" w:hanging="359"/>
        <w:spacing w:after="0" w:line="20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by the vote of the holders of a majority of the outstanding stock or, if the certificate of incorporation provides for more or less than one vote per share, a majority of the</w:t>
      </w:r>
    </w:p>
    <w:p>
      <w:pPr>
        <w:sectPr>
          <w:pgSz w:w="11900" w:h="16838" w:orient="portrait"/>
          <w:cols w:equalWidth="0" w:num="2">
            <w:col w:w="7620" w:space="120"/>
            <w:col w:w="3380"/>
          </w:cols>
          <w:pgMar w:left="320" w:top="455" w:right="4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7"/>
        </w:trPr>
        <w:tc>
          <w:tcPr>
            <w:tcW w:w="2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present and voting, either in person or by</w:t>
            </w:r>
          </w:p>
        </w:tc>
      </w:tr>
      <w:tr>
        <w:trPr>
          <w:trHeight w:val="203"/>
        </w:trPr>
        <w:tc>
          <w:tcPr>
            <w:tcW w:w="2880" w:type="dxa"/>
            <w:vAlign w:val="bottom"/>
          </w:tcPr>
          <w:p>
            <w:pPr>
              <w:spacing w:after="0"/>
              <w:rPr>
                <w:sz w:val="17"/>
                <w:szCs w:val="17"/>
                <w:color w:val="auto"/>
              </w:rPr>
            </w:pPr>
          </w:p>
        </w:tc>
        <w:tc>
          <w:tcPr>
            <w:tcW w:w="46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proxy; and (2) the approval of a court of</w:t>
            </w:r>
          </w:p>
        </w:tc>
      </w:tr>
      <w:tr>
        <w:trPr>
          <w:trHeight w:val="239"/>
        </w:trPr>
        <w:tc>
          <w:tcPr>
            <w:tcW w:w="2880" w:type="dxa"/>
            <w:vAlign w:val="bottom"/>
          </w:tcPr>
          <w:p>
            <w:pPr>
              <w:spacing w:after="0"/>
              <w:rPr>
                <w:sz w:val="20"/>
                <w:szCs w:val="20"/>
                <w:color w:val="auto"/>
              </w:rPr>
            </w:pPr>
          </w:p>
        </w:tc>
        <w:tc>
          <w:tcPr>
            <w:tcW w:w="4620" w:type="dxa"/>
            <w:vAlign w:val="bottom"/>
            <w:gridSpan w:val="2"/>
          </w:tcPr>
          <w:p>
            <w:pPr>
              <w:ind w:left="1000"/>
              <w:spacing w:after="0"/>
              <w:rPr>
                <w:sz w:val="20"/>
                <w:szCs w:val="20"/>
                <w:color w:val="auto"/>
              </w:rPr>
            </w:pPr>
            <w:r>
              <w:rPr>
                <w:rFonts w:ascii="Arial" w:cs="Arial" w:eastAsia="Arial" w:hAnsi="Arial"/>
                <w:sz w:val="18"/>
                <w:szCs w:val="18"/>
                <w:color w:val="auto"/>
              </w:rPr>
              <w:t>England and Wales.</w:t>
            </w:r>
          </w:p>
        </w:tc>
      </w:tr>
      <w:tr>
        <w:trPr>
          <w:trHeight w:val="288"/>
        </w:trPr>
        <w:tc>
          <w:tcPr>
            <w:tcW w:w="2880" w:type="dxa"/>
            <w:vAlign w:val="bottom"/>
          </w:tcPr>
          <w:p>
            <w:pPr>
              <w:spacing w:after="0"/>
              <w:rPr>
                <w:sz w:val="20"/>
                <w:szCs w:val="20"/>
                <w:color w:val="auto"/>
              </w:rPr>
            </w:pPr>
            <w:r>
              <w:rPr>
                <w:rFonts w:ascii="Arial" w:cs="Arial" w:eastAsia="Arial" w:hAnsi="Arial"/>
                <w:sz w:val="18"/>
                <w:szCs w:val="18"/>
                <w:color w:val="auto"/>
              </w:rPr>
              <w:t>Standard of Conduct for</w:t>
            </w: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 Under English law, a director owes</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various statutory and fiduciary duties to</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company, including:</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good faith, would be most likely to</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promote the success of the company for</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benefit of its members as a whole;</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has, or can have, a direct or indirect</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interest that conflicts, or possibly</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conflicts, with the interests of the</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constitution and only exercise his or her</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powers for the purposes for which they</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are conferred;</w:t>
            </w:r>
          </w:p>
        </w:tc>
      </w:tr>
      <w:tr>
        <w:trPr>
          <w:trHeight w:val="324"/>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diligence;</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conferred by reason of his or</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 her being a director or doing, or not</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doing, anything as a director; and</w:t>
            </w:r>
          </w:p>
        </w:tc>
      </w:tr>
      <w:tr>
        <w:trPr>
          <w:trHeight w:val="288"/>
        </w:trPr>
        <w:tc>
          <w:tcPr>
            <w:tcW w:w="2880" w:type="dxa"/>
            <w:vAlign w:val="bottom"/>
          </w:tcPr>
          <w:p>
            <w:pPr>
              <w:spacing w:after="0"/>
              <w:rPr>
                <w:sz w:val="24"/>
                <w:szCs w:val="24"/>
                <w:color w:val="auto"/>
              </w:rPr>
            </w:pPr>
          </w:p>
        </w:tc>
        <w:tc>
          <w:tcPr>
            <w:tcW w:w="4620" w:type="dxa"/>
            <w:vAlign w:val="bottom"/>
            <w:gridSpan w:val="2"/>
          </w:tcPr>
          <w:p>
            <w:pPr>
              <w:ind w:left="10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 duty to declare any interest that he or</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she has, whether directly or indirectly, in</w:t>
            </w:r>
          </w:p>
        </w:tc>
      </w:tr>
      <w:tr>
        <w:trPr>
          <w:trHeight w:val="203"/>
        </w:trPr>
        <w:tc>
          <w:tcPr>
            <w:tcW w:w="2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a proposed or existing transaction or</w:t>
            </w:r>
          </w:p>
        </w:tc>
      </w:tr>
      <w:tr>
        <w:trPr>
          <w:trHeight w:val="239"/>
        </w:trPr>
        <w:tc>
          <w:tcPr>
            <w:tcW w:w="2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arrangement with the company.</w:t>
            </w:r>
          </w:p>
        </w:tc>
      </w:tr>
      <w:tr>
        <w:trPr>
          <w:trHeight w:val="932"/>
        </w:trPr>
        <w:tc>
          <w:tcPr>
            <w:tcW w:w="2880" w:type="dxa"/>
            <w:vAlign w:val="bottom"/>
          </w:tcPr>
          <w:p>
            <w:pPr>
              <w:spacing w:after="0"/>
              <w:rPr>
                <w:sz w:val="24"/>
                <w:szCs w:val="24"/>
                <w:color w:val="auto"/>
              </w:rPr>
            </w:pPr>
          </w:p>
        </w:tc>
        <w:tc>
          <w:tcPr>
            <w:tcW w:w="4620" w:type="dxa"/>
            <w:vAlign w:val="bottom"/>
            <w:gridSpan w:val="2"/>
          </w:tcPr>
          <w:p>
            <w:pPr>
              <w:ind w:left="252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votes of the outstanding stock of a corporation entitled to vote on the matter.</w:t>
      </w:r>
    </w:p>
    <w:p>
      <w:pPr>
        <w:spacing w:after="0" w:line="25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w:t>
      </w:r>
    </w:p>
    <w:p>
      <w:pPr>
        <w:sectPr>
          <w:pgSz w:w="11900" w:h="16838" w:orient="portrait"/>
          <w:cols w:equalWidth="0" w:num="2">
            <w:col w:w="7620" w:space="120"/>
            <w:col w:w="340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30"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23056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rather than its shareholders, is the proper</w:t>
      </w:r>
    </w:p>
    <w:p>
      <w:pPr>
        <w:ind w:left="4000"/>
        <w:spacing w:after="0" w:line="234" w:lineRule="auto"/>
        <w:rPr>
          <w:sz w:val="20"/>
          <w:szCs w:val="20"/>
          <w:color w:val="auto"/>
        </w:rPr>
      </w:pPr>
      <w:r>
        <w:rPr>
          <w:rFonts w:ascii="Arial" w:cs="Arial" w:eastAsia="Arial" w:hAnsi="Arial"/>
          <w:sz w:val="18"/>
          <w:szCs w:val="18"/>
          <w:color w:val="auto"/>
        </w:rPr>
        <w:t>claimant in an action in respect of a wrong</w:t>
      </w:r>
    </w:p>
    <w:p>
      <w:pPr>
        <w:ind w:left="4000"/>
        <w:spacing w:after="0" w:line="235" w:lineRule="auto"/>
        <w:rPr>
          <w:sz w:val="20"/>
          <w:szCs w:val="20"/>
          <w:color w:val="auto"/>
        </w:rPr>
      </w:pPr>
      <w:r>
        <w:rPr>
          <w:rFonts w:ascii="Arial" w:cs="Arial" w:eastAsia="Arial" w:hAnsi="Arial"/>
          <w:sz w:val="18"/>
          <w:szCs w:val="18"/>
          <w:color w:val="auto"/>
        </w:rPr>
        <w:t>done to the company or where there is an</w:t>
      </w:r>
    </w:p>
    <w:p>
      <w:pPr>
        <w:ind w:left="4000"/>
        <w:spacing w:after="0" w:line="235" w:lineRule="auto"/>
        <w:rPr>
          <w:sz w:val="20"/>
          <w:szCs w:val="20"/>
          <w:color w:val="auto"/>
        </w:rPr>
      </w:pPr>
      <w:r>
        <w:rPr>
          <w:rFonts w:ascii="Arial" w:cs="Arial" w:eastAsia="Arial" w:hAnsi="Arial"/>
          <w:sz w:val="18"/>
          <w:szCs w:val="18"/>
          <w:color w:val="auto"/>
        </w:rPr>
        <w:t>irregularity in the company’s internal</w:t>
      </w:r>
    </w:p>
    <w:p>
      <w:pPr>
        <w:ind w:left="4000"/>
        <w:spacing w:after="0" w:line="235" w:lineRule="auto"/>
        <w:rPr>
          <w:sz w:val="20"/>
          <w:szCs w:val="20"/>
          <w:color w:val="auto"/>
        </w:rPr>
      </w:pPr>
      <w:r>
        <w:rPr>
          <w:rFonts w:ascii="Arial" w:cs="Arial" w:eastAsia="Arial" w:hAnsi="Arial"/>
          <w:sz w:val="18"/>
          <w:szCs w:val="18"/>
          <w:color w:val="auto"/>
        </w:rPr>
        <w:t>management. Notwithstanding this general</w:t>
      </w:r>
    </w:p>
    <w:p>
      <w:pPr>
        <w:ind w:left="4000"/>
        <w:spacing w:after="0" w:line="235" w:lineRule="auto"/>
        <w:rPr>
          <w:sz w:val="20"/>
          <w:szCs w:val="20"/>
          <w:color w:val="auto"/>
        </w:rPr>
      </w:pPr>
      <w:r>
        <w:rPr>
          <w:rFonts w:ascii="Arial" w:cs="Arial" w:eastAsia="Arial" w:hAnsi="Arial"/>
          <w:sz w:val="18"/>
          <w:szCs w:val="18"/>
          <w:color w:val="auto"/>
        </w:rPr>
        <w:t>position, the U.K. Companies Act 2006</w:t>
      </w:r>
    </w:p>
    <w:p>
      <w:pPr>
        <w:ind w:left="4000"/>
        <w:spacing w:after="0" w:line="234" w:lineRule="auto"/>
        <w:rPr>
          <w:sz w:val="20"/>
          <w:szCs w:val="20"/>
          <w:color w:val="auto"/>
        </w:rPr>
      </w:pPr>
      <w:r>
        <w:rPr>
          <w:rFonts w:ascii="Arial" w:cs="Arial" w:eastAsia="Arial" w:hAnsi="Arial"/>
          <w:sz w:val="18"/>
          <w:szCs w:val="18"/>
          <w:color w:val="auto"/>
        </w:rPr>
        <w:t>provides that (1) a court may allow a</w:t>
      </w:r>
    </w:p>
    <w:p>
      <w:pPr>
        <w:ind w:left="4000"/>
        <w:spacing w:after="0" w:line="235" w:lineRule="auto"/>
        <w:rPr>
          <w:sz w:val="20"/>
          <w:szCs w:val="20"/>
          <w:color w:val="auto"/>
        </w:rPr>
      </w:pPr>
      <w:r>
        <w:rPr>
          <w:rFonts w:ascii="Arial" w:cs="Arial" w:eastAsia="Arial" w:hAnsi="Arial"/>
          <w:sz w:val="18"/>
          <w:szCs w:val="18"/>
          <w:color w:val="auto"/>
        </w:rPr>
        <w:t>shareholder to bring a derivative claim (that</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is, an action in respect of and on behalf of the</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in respect of a cause of action</w:t>
      </w:r>
    </w:p>
    <w:p>
      <w:pPr>
        <w:ind w:left="4000"/>
        <w:spacing w:after="0" w:line="234" w:lineRule="auto"/>
        <w:rPr>
          <w:sz w:val="20"/>
          <w:szCs w:val="20"/>
          <w:color w:val="auto"/>
        </w:rPr>
      </w:pPr>
      <w:r>
        <w:rPr>
          <w:rFonts w:ascii="Arial" w:cs="Arial" w:eastAsia="Arial" w:hAnsi="Arial"/>
          <w:sz w:val="18"/>
          <w:szCs w:val="18"/>
          <w:color w:val="auto"/>
        </w:rPr>
        <w:t>arising from a director’s negligence, default,</w:t>
      </w:r>
    </w:p>
    <w:p>
      <w:pPr>
        <w:ind w:left="4000"/>
        <w:spacing w:after="0" w:line="235" w:lineRule="auto"/>
        <w:rPr>
          <w:sz w:val="20"/>
          <w:szCs w:val="20"/>
          <w:color w:val="auto"/>
        </w:rPr>
      </w:pPr>
      <w:r>
        <w:rPr>
          <w:rFonts w:ascii="Arial" w:cs="Arial" w:eastAsia="Arial" w:hAnsi="Arial"/>
          <w:sz w:val="18"/>
          <w:szCs w:val="18"/>
          <w:color w:val="auto"/>
        </w:rPr>
        <w:t>breach of duty or breach of trust and (2) a</w:t>
      </w:r>
    </w:p>
    <w:p>
      <w:pPr>
        <w:ind w:left="4000"/>
        <w:spacing w:after="0" w:line="235" w:lineRule="auto"/>
        <w:rPr>
          <w:sz w:val="20"/>
          <w:szCs w:val="20"/>
          <w:color w:val="auto"/>
        </w:rPr>
      </w:pPr>
      <w:r>
        <w:rPr>
          <w:rFonts w:ascii="Arial" w:cs="Arial" w:eastAsia="Arial" w:hAnsi="Arial"/>
          <w:sz w:val="18"/>
          <w:szCs w:val="18"/>
          <w:color w:val="auto"/>
        </w:rPr>
        <w:t>shareholder may bring a claim for a court</w:t>
      </w:r>
    </w:p>
    <w:p>
      <w:pPr>
        <w:ind w:left="4000"/>
        <w:spacing w:after="0" w:line="235" w:lineRule="auto"/>
        <w:rPr>
          <w:sz w:val="20"/>
          <w:szCs w:val="20"/>
          <w:color w:val="auto"/>
        </w:rPr>
      </w:pPr>
      <w:r>
        <w:rPr>
          <w:rFonts w:ascii="Arial" w:cs="Arial" w:eastAsia="Arial" w:hAnsi="Arial"/>
          <w:sz w:val="18"/>
          <w:szCs w:val="18"/>
          <w:color w:val="auto"/>
        </w:rPr>
        <w:t>order on the ground that the company’s</w:t>
      </w:r>
    </w:p>
    <w:p>
      <w:pPr>
        <w:ind w:left="4000"/>
        <w:spacing w:after="0" w:line="235" w:lineRule="auto"/>
        <w:rPr>
          <w:sz w:val="20"/>
          <w:szCs w:val="20"/>
          <w:color w:val="auto"/>
        </w:rPr>
      </w:pPr>
      <w:r>
        <w:rPr>
          <w:rFonts w:ascii="Arial" w:cs="Arial" w:eastAsia="Arial" w:hAnsi="Arial"/>
          <w:sz w:val="18"/>
          <w:szCs w:val="18"/>
          <w:color w:val="auto"/>
        </w:rPr>
        <w:t>affairs have been or are being conducted in a</w:t>
      </w:r>
    </w:p>
    <w:p>
      <w:pPr>
        <w:ind w:left="4000"/>
        <w:spacing w:after="0" w:line="234" w:lineRule="auto"/>
        <w:rPr>
          <w:sz w:val="20"/>
          <w:szCs w:val="20"/>
          <w:color w:val="auto"/>
        </w:rPr>
      </w:pPr>
      <w:r>
        <w:rPr>
          <w:rFonts w:ascii="Arial" w:cs="Arial" w:eastAsia="Arial" w:hAnsi="Arial"/>
          <w:sz w:val="18"/>
          <w:szCs w:val="18"/>
          <w:color w:val="auto"/>
        </w:rPr>
        <w:t>manner that is unfairly prejudicial to the</w:t>
      </w:r>
    </w:p>
    <w:p>
      <w:pPr>
        <w:ind w:left="4000"/>
        <w:spacing w:after="0" w:line="235" w:lineRule="auto"/>
        <w:rPr>
          <w:sz w:val="20"/>
          <w:szCs w:val="20"/>
          <w:color w:val="auto"/>
        </w:rPr>
      </w:pPr>
      <w:r>
        <w:rPr>
          <w:rFonts w:ascii="Arial" w:cs="Arial" w:eastAsia="Arial" w:hAnsi="Arial"/>
          <w:sz w:val="18"/>
          <w:szCs w:val="18"/>
          <w:color w:val="auto"/>
        </w:rPr>
        <w:t>interests of its shareholders generally or of</w:t>
      </w:r>
    </w:p>
    <w:p>
      <w:pPr>
        <w:ind w:left="4000"/>
        <w:spacing w:after="0" w:line="235" w:lineRule="auto"/>
        <w:rPr>
          <w:sz w:val="20"/>
          <w:szCs w:val="20"/>
          <w:color w:val="auto"/>
        </w:rPr>
      </w:pPr>
      <w:r>
        <w:rPr>
          <w:rFonts w:ascii="Arial" w:cs="Arial" w:eastAsia="Arial" w:hAnsi="Arial"/>
          <w:sz w:val="18"/>
          <w:szCs w:val="18"/>
          <w:color w:val="auto"/>
        </w:rPr>
        <w:t>some of its shareholders, or that an actual or</w:t>
      </w:r>
    </w:p>
    <w:p>
      <w:pPr>
        <w:ind w:left="4000"/>
        <w:spacing w:after="0" w:line="235" w:lineRule="auto"/>
        <w:rPr>
          <w:sz w:val="20"/>
          <w:szCs w:val="20"/>
          <w:color w:val="auto"/>
        </w:rPr>
      </w:pPr>
      <w:r>
        <w:rPr>
          <w:rFonts w:ascii="Arial" w:cs="Arial" w:eastAsia="Arial" w:hAnsi="Arial"/>
          <w:sz w:val="18"/>
          <w:szCs w:val="18"/>
          <w:color w:val="auto"/>
        </w:rPr>
        <w:t>proposed act or omission of the company is</w:t>
      </w:r>
    </w:p>
    <w:p>
      <w:pPr>
        <w:ind w:left="4000"/>
        <w:spacing w:after="0"/>
        <w:rPr>
          <w:sz w:val="20"/>
          <w:szCs w:val="20"/>
          <w:color w:val="auto"/>
        </w:rPr>
      </w:pPr>
      <w:r>
        <w:rPr>
          <w:rFonts w:ascii="Arial" w:cs="Arial" w:eastAsia="Arial" w:hAnsi="Arial"/>
          <w:sz w:val="18"/>
          <w:szCs w:val="18"/>
          <w:color w:val="auto"/>
        </w:rPr>
        <w:t>or would be so prejudicial.</w:t>
      </w:r>
    </w:p>
    <w:p>
      <w:pPr>
        <w:spacing w:after="0" w:line="9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U.K. Limitation Act 1980 imposes a</w:t>
      </w:r>
    </w:p>
    <w:p>
      <w:pPr>
        <w:spacing w:after="0" w:line="1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limitation period,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of the fiduciary duties. Delaware courts have also imposed a heightened standard of conduct upon directors of a Delaware corporation who take any action designed to defeat a threatened change in control of the corporation.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9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82" w:lineRule="exact"/>
        <w:rPr>
          <w:sz w:val="20"/>
          <w:szCs w:val="20"/>
          <w:color w:val="auto"/>
        </w:rPr>
      </w:pPr>
    </w:p>
    <w:p>
      <w:pPr>
        <w:ind w:left="340" w:right="60" w:hanging="359"/>
        <w:spacing w:after="0" w:line="20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 state that the plaintiff was a stockholder at the time of the transaction of which the plaintiff complains or that the plaintiffs shares thereafter devolved on the plaintiff by operation of law; and</w:t>
      </w:r>
    </w:p>
    <w:p>
      <w:pPr>
        <w:spacing w:after="0" w:line="89" w:lineRule="exact"/>
        <w:rPr>
          <w:sz w:val="20"/>
          <w:szCs w:val="20"/>
          <w:color w:val="auto"/>
        </w:rPr>
      </w:pPr>
    </w:p>
    <w:p>
      <w:pPr>
        <w:ind w:left="340" w:right="180" w:hanging="359"/>
        <w:spacing w:after="0" w:line="20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 allege with particularity the efforts made by the plaintiff to obtain the action the plaintiff desires from the directors and the reasons for the plaintiff’s failure to obtain the action; or</w:t>
      </w:r>
    </w:p>
    <w:p>
      <w:pPr>
        <w:spacing w:after="0" w:line="89" w:lineRule="exact"/>
        <w:rPr>
          <w:sz w:val="20"/>
          <w:szCs w:val="20"/>
          <w:color w:val="auto"/>
        </w:rPr>
      </w:pPr>
    </w:p>
    <w:p>
      <w:pPr>
        <w:ind w:left="340" w:right="160" w:hanging="359"/>
        <w:spacing w:after="0" w:line="220"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 state the reasons for not making the effort.</w:t>
      </w:r>
    </w:p>
    <w:p>
      <w:pPr>
        <w:spacing w:after="0" w:line="87"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620" w:space="120"/>
            <w:col w:w="3380"/>
          </w:cols>
          <w:pgMar w:left="320" w:top="455" w:right="4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right"/>
        <w:ind w:right="399"/>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15240</wp:posOffset>
            </wp:positionV>
            <wp:extent cx="45345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certain exceptions, in respect of civil claims.</w:t>
      </w:r>
    </w:p>
    <w:p>
      <w:pPr>
        <w:ind w:left="4000"/>
        <w:spacing w:after="0" w:line="234" w:lineRule="auto"/>
        <w:rPr>
          <w:sz w:val="20"/>
          <w:szCs w:val="20"/>
          <w:color w:val="auto"/>
        </w:rPr>
      </w:pPr>
      <w:r>
        <w:rPr>
          <w:rFonts w:ascii="Arial" w:cs="Arial" w:eastAsia="Arial" w:hAnsi="Arial"/>
          <w:sz w:val="18"/>
          <w:szCs w:val="18"/>
          <w:color w:val="auto"/>
        </w:rPr>
        <w:t>The period is six years in respect of actions</w:t>
      </w:r>
    </w:p>
    <w:p>
      <w:pPr>
        <w:ind w:left="4000"/>
        <w:spacing w:after="0" w:line="235" w:lineRule="auto"/>
        <w:rPr>
          <w:sz w:val="20"/>
          <w:szCs w:val="20"/>
          <w:color w:val="auto"/>
        </w:rPr>
      </w:pPr>
      <w:r>
        <w:rPr>
          <w:rFonts w:ascii="Arial" w:cs="Arial" w:eastAsia="Arial" w:hAnsi="Arial"/>
          <w:sz w:val="18"/>
          <w:szCs w:val="18"/>
          <w:color w:val="auto"/>
        </w:rPr>
        <w:t>in contract and tort, and 12 years for “actions</w:t>
      </w:r>
    </w:p>
    <w:p>
      <w:pPr>
        <w:ind w:left="4000"/>
        <w:spacing w:after="0" w:line="235" w:lineRule="auto"/>
        <w:rPr>
          <w:sz w:val="20"/>
          <w:szCs w:val="20"/>
          <w:color w:val="auto"/>
        </w:rPr>
      </w:pPr>
      <w:r>
        <w:rPr>
          <w:rFonts w:ascii="Arial" w:cs="Arial" w:eastAsia="Arial" w:hAnsi="Arial"/>
          <w:sz w:val="18"/>
          <w:szCs w:val="18"/>
          <w:color w:val="auto"/>
        </w:rPr>
        <w:t>on a specialty,” such as a breach of any</w:t>
      </w:r>
    </w:p>
    <w:p>
      <w:pPr>
        <w:ind w:left="4000"/>
        <w:spacing w:after="0" w:line="235" w:lineRule="auto"/>
        <w:rPr>
          <w:sz w:val="20"/>
          <w:szCs w:val="20"/>
          <w:color w:val="auto"/>
        </w:rPr>
      </w:pPr>
      <w:r>
        <w:rPr>
          <w:rFonts w:ascii="Arial" w:cs="Arial" w:eastAsia="Arial" w:hAnsi="Arial"/>
          <w:sz w:val="18"/>
          <w:szCs w:val="18"/>
          <w:color w:val="auto"/>
        </w:rPr>
        <w:t>obligation contained in a deed. The limitation</w:t>
      </w:r>
    </w:p>
    <w:p>
      <w:pPr>
        <w:ind w:left="4000"/>
        <w:spacing w:after="0" w:line="235" w:lineRule="auto"/>
        <w:rPr>
          <w:sz w:val="20"/>
          <w:szCs w:val="20"/>
          <w:color w:val="auto"/>
        </w:rPr>
      </w:pPr>
      <w:r>
        <w:rPr>
          <w:rFonts w:ascii="Arial" w:cs="Arial" w:eastAsia="Arial" w:hAnsi="Arial"/>
          <w:sz w:val="18"/>
          <w:szCs w:val="18"/>
          <w:color w:val="auto"/>
        </w:rPr>
        <w:t>period begins to run from the date on which</w:t>
      </w:r>
    </w:p>
    <w:p>
      <w:pPr>
        <w:ind w:left="4000"/>
        <w:spacing w:after="0" w:line="234" w:lineRule="auto"/>
        <w:rPr>
          <w:sz w:val="20"/>
          <w:szCs w:val="20"/>
          <w:color w:val="auto"/>
        </w:rPr>
      </w:pPr>
      <w:r>
        <w:rPr>
          <w:rFonts w:ascii="Arial" w:cs="Arial" w:eastAsia="Arial" w:hAnsi="Arial"/>
          <w:sz w:val="18"/>
          <w:szCs w:val="18"/>
          <w:color w:val="auto"/>
        </w:rPr>
        <w:t>the action accrued. In the case of contract,</w:t>
      </w:r>
    </w:p>
    <w:p>
      <w:pPr>
        <w:ind w:left="4000"/>
        <w:spacing w:after="0" w:line="235" w:lineRule="auto"/>
        <w:rPr>
          <w:sz w:val="20"/>
          <w:szCs w:val="20"/>
          <w:color w:val="auto"/>
        </w:rPr>
      </w:pPr>
      <w:r>
        <w:rPr>
          <w:rFonts w:ascii="Arial" w:cs="Arial" w:eastAsia="Arial" w:hAnsi="Arial"/>
          <w:sz w:val="18"/>
          <w:szCs w:val="18"/>
          <w:color w:val="auto"/>
        </w:rPr>
        <w:t>this is the date on which the breach of</w:t>
      </w:r>
    </w:p>
    <w:p>
      <w:pPr>
        <w:ind w:left="4000"/>
        <w:spacing w:after="0" w:line="235" w:lineRule="auto"/>
        <w:rPr>
          <w:sz w:val="20"/>
          <w:szCs w:val="20"/>
          <w:color w:val="auto"/>
        </w:rPr>
      </w:pPr>
      <w:r>
        <w:rPr>
          <w:rFonts w:ascii="Arial" w:cs="Arial" w:eastAsia="Arial" w:hAnsi="Arial"/>
          <w:sz w:val="18"/>
          <w:szCs w:val="18"/>
          <w:color w:val="auto"/>
        </w:rPr>
        <w:t>contract occurred, and in tort this is the date</w:t>
      </w:r>
    </w:p>
    <w:p>
      <w:pPr>
        <w:ind w:left="4000"/>
        <w:spacing w:after="0"/>
        <w:rPr>
          <w:sz w:val="20"/>
          <w:szCs w:val="20"/>
          <w:color w:val="auto"/>
        </w:rPr>
      </w:pPr>
      <w:r>
        <w:rPr>
          <w:rFonts w:ascii="Arial" w:cs="Arial" w:eastAsia="Arial" w:hAnsi="Arial"/>
          <w:sz w:val="18"/>
          <w:szCs w:val="18"/>
          <w:color w:val="auto"/>
        </w:rPr>
        <w:t>on which the damage is suffered.</w:t>
      </w:r>
    </w:p>
    <w:p>
      <w:pPr>
        <w:spacing w:after="0" w:line="12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139"/>
          </w:cols>
          <w:pgMar w:left="320" w:top="45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04" w:lineRule="exact"/>
        <w:rPr>
          <w:sz w:val="20"/>
          <w:szCs w:val="20"/>
          <w:color w:val="auto"/>
        </w:rPr>
      </w:pPr>
    </w:p>
    <w:p>
      <w:pPr>
        <w:ind w:left="120" w:right="200" w:firstLine="440"/>
        <w:spacing w:after="0" w:line="244"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176"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We have appointed Citibank as depositary pursuant to a deposit agreement. A copy of the deposit agreement is on file with the SEC under cover of a registration statement on Form F-6. A copy of the deposit agreement is available from the SEC’s website (www.sec.gov). Please refer to registration number 333-223890, 333-249338 and 333-258824 when retrieving such copy. “Holder” means the person or persons in whose name an ADS is registered on the register maintained by the depository for such purpose.</w:t>
      </w:r>
    </w:p>
    <w:p>
      <w:pPr>
        <w:spacing w:after="0" w:line="17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7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9"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74"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186"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04"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0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54" w:lineRule="exact"/>
        <w:rPr>
          <w:sz w:val="20"/>
          <w:szCs w:val="20"/>
          <w:color w:val="auto"/>
        </w:rPr>
      </w:pPr>
    </w:p>
    <w:p>
      <w:pPr>
        <w:jc w:val="both"/>
        <w:ind w:left="120" w:right="160" w:firstLine="440"/>
        <w:spacing w:after="0" w:line="25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69"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02"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69"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0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169"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320" w:top="455"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a Holder if:</w:t>
      </w:r>
    </w:p>
    <w:p>
      <w:pPr>
        <w:spacing w:after="0" w:line="239" w:lineRule="exact"/>
        <w:rPr>
          <w:sz w:val="20"/>
          <w:szCs w:val="20"/>
          <w:color w:val="auto"/>
        </w:rPr>
      </w:pPr>
    </w:p>
    <w:p>
      <w:pPr>
        <w:ind w:left="980" w:right="360" w:hanging="432"/>
        <w:spacing w:after="0" w:line="23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such Holder or we request that the rights not be distributed to such Holder; or</w:t>
      </w:r>
    </w:p>
    <w:p>
      <w:pPr>
        <w:ind w:left="980" w:hanging="432"/>
        <w:spacing w:after="0" w:line="23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2" w:lineRule="exact"/>
        <w:rPr>
          <w:rFonts w:ascii="MS PGothic" w:cs="MS PGothic" w:eastAsia="MS PGothic" w:hAnsi="MS PGothic"/>
          <w:sz w:val="25"/>
          <w:szCs w:val="25"/>
          <w:color w:val="auto"/>
          <w:vertAlign w:val="superscript"/>
        </w:rPr>
      </w:pPr>
    </w:p>
    <w:p>
      <w:pPr>
        <w:ind w:left="980" w:right="80" w:hanging="432"/>
        <w:spacing w:after="0" w:line="22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 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0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169" w:lineRule="exact"/>
        <w:rPr>
          <w:sz w:val="20"/>
          <w:szCs w:val="20"/>
          <w:color w:val="auto"/>
        </w:rPr>
      </w:pPr>
    </w:p>
    <w:p>
      <w:pPr>
        <w:ind w:left="120" w:right="320" w:firstLine="440"/>
        <w:spacing w:after="0" w:line="253" w:lineRule="auto"/>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169" w:lineRule="exact"/>
        <w:rPr>
          <w:sz w:val="20"/>
          <w:szCs w:val="20"/>
          <w:color w:val="auto"/>
        </w:rPr>
      </w:pPr>
    </w:p>
    <w:p>
      <w:pPr>
        <w:ind w:left="120" w:right="500" w:firstLine="440"/>
        <w:spacing w:after="0" w:line="301" w:lineRule="auto"/>
        <w:rPr>
          <w:sz w:val="20"/>
          <w:szCs w:val="20"/>
          <w:color w:val="auto"/>
        </w:rPr>
      </w:pPr>
      <w:r>
        <w:rPr>
          <w:rFonts w:ascii="Arial" w:cs="Arial" w:eastAsia="Arial" w:hAnsi="Arial"/>
          <w:sz w:val="17"/>
          <w:szCs w:val="17"/>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02"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pacing w:after="0" w:line="169" w:lineRule="exact"/>
        <w:rPr>
          <w:sz w:val="20"/>
          <w:szCs w:val="20"/>
          <w:color w:val="auto"/>
        </w:rPr>
      </w:pPr>
    </w:p>
    <w:p>
      <w:pPr>
        <w:ind w:left="120" w:right="500" w:firstLine="440"/>
        <w:spacing w:after="0" w:line="301" w:lineRule="auto"/>
        <w:rPr>
          <w:sz w:val="20"/>
          <w:szCs w:val="20"/>
          <w:color w:val="auto"/>
        </w:rPr>
      </w:pPr>
      <w:r>
        <w:rPr>
          <w:rFonts w:ascii="Arial" w:cs="Arial" w:eastAsia="Arial" w:hAnsi="Arial"/>
          <w:sz w:val="17"/>
          <w:szCs w:val="17"/>
          <w:color w:val="auto"/>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3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property to a Holder and will sell the property if:</w:t>
      </w:r>
    </w:p>
    <w:p>
      <w:pPr>
        <w:spacing w:after="0" w:line="239" w:lineRule="exact"/>
        <w:rPr>
          <w:sz w:val="20"/>
          <w:szCs w:val="20"/>
          <w:color w:val="auto"/>
        </w:rPr>
      </w:pPr>
    </w:p>
    <w:p>
      <w:pPr>
        <w:ind w:left="980" w:right="30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such Holder or if we request that the property not be distributed to such Holder; or</w:t>
      </w:r>
    </w:p>
    <w:p>
      <w:pPr>
        <w:ind w:left="98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such Holder is not reasonably practicable.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02" w:lineRule="exact"/>
        <w:rPr>
          <w:sz w:val="20"/>
          <w:szCs w:val="20"/>
          <w:color w:val="auto"/>
        </w:rPr>
      </w:pPr>
    </w:p>
    <w:p>
      <w:pPr>
        <w:ind w:left="120" w:right="280" w:firstLine="440"/>
        <w:spacing w:after="0" w:line="253"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9"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pro rata basis, as the depositary may determine.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04" w:lineRule="exact"/>
        <w:rPr>
          <w:sz w:val="20"/>
          <w:szCs w:val="20"/>
          <w:color w:val="auto"/>
        </w:rPr>
      </w:pPr>
    </w:p>
    <w:p>
      <w:pPr>
        <w:jc w:val="both"/>
        <w:ind w:left="120" w:right="400" w:firstLine="440"/>
        <w:spacing w:after="0" w:line="253" w:lineRule="auto"/>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169"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04"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pacing w:after="0" w:line="176" w:lineRule="exact"/>
        <w:rPr>
          <w:sz w:val="20"/>
          <w:szCs w:val="20"/>
          <w:color w:val="auto"/>
        </w:rPr>
      </w:pPr>
    </w:p>
    <w:p>
      <w:pPr>
        <w:ind w:left="120" w:right="260" w:firstLine="440"/>
        <w:spacing w:after="0" w:line="253"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69" w:lineRule="exact"/>
        <w:rPr>
          <w:sz w:val="20"/>
          <w:szCs w:val="20"/>
          <w:color w:val="auto"/>
        </w:rPr>
      </w:pPr>
    </w:p>
    <w:p>
      <w:pPr>
        <w:ind w:left="120" w:right="660" w:firstLine="440"/>
        <w:spacing w:after="0" w:line="271"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181" w:lineRule="exact"/>
        <w:rPr>
          <w:sz w:val="20"/>
          <w:szCs w:val="20"/>
          <w:color w:val="auto"/>
        </w:rPr>
      </w:pPr>
    </w:p>
    <w:p>
      <w:pPr>
        <w:ind w:left="980" w:right="160" w:hanging="432"/>
        <w:spacing w:after="0" w:line="230"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4" w:lineRule="exact"/>
        <w:rPr>
          <w:rFonts w:ascii="MS PGothic" w:cs="MS PGothic" w:eastAsia="MS PGothic" w:hAnsi="MS PGothic"/>
          <w:sz w:val="25"/>
          <w:szCs w:val="25"/>
          <w:color w:val="auto"/>
          <w:vertAlign w:val="superscript"/>
        </w:rPr>
      </w:pPr>
    </w:p>
    <w:p>
      <w:pPr>
        <w:ind w:left="980" w:right="760" w:hanging="432"/>
        <w:spacing w:after="0" w:line="230"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ind w:left="980" w:hanging="432"/>
        <w:spacing w:after="0" w:line="230"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Holder is duly authorized to deposit the ordinary shares;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980" w:right="200" w:hanging="432"/>
        <w:spacing w:after="0" w:line="231"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180"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ADR holders will be entitled to transfer, combine, or split up such Holder’s ADRs and the ADSs evidenced thereby. For transfers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ADRs, a Holder will have to surrender the ADRs to be transferred to the depositary and also must:</w:t>
      </w:r>
    </w:p>
    <w:p>
      <w:pPr>
        <w:spacing w:after="0" w:line="206" w:lineRule="exact"/>
        <w:rPr>
          <w:sz w:val="20"/>
          <w:szCs w:val="20"/>
          <w:color w:val="auto"/>
        </w:rPr>
      </w:pPr>
    </w:p>
    <w:p>
      <w:pPr>
        <w:ind w:left="980" w:hanging="432"/>
        <w:spacing w:after="0"/>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2" w:lineRule="exact"/>
        <w:rPr>
          <w:rFonts w:ascii="MS PGothic" w:cs="MS PGothic" w:eastAsia="MS PGothic" w:hAnsi="MS PGothic"/>
          <w:sz w:val="25"/>
          <w:szCs w:val="25"/>
          <w:color w:val="auto"/>
          <w:vertAlign w:val="superscript"/>
        </w:rPr>
      </w:pPr>
    </w:p>
    <w:p>
      <w:pPr>
        <w:ind w:left="980" w:right="440" w:hanging="432"/>
        <w:spacing w:after="0" w:line="22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81" w:lineRule="exact"/>
        <w:rPr>
          <w:sz w:val="20"/>
          <w:szCs w:val="20"/>
          <w:color w:val="auto"/>
        </w:rPr>
      </w:pPr>
    </w:p>
    <w:p>
      <w:pPr>
        <w:jc w:val="both"/>
        <w:ind w:left="120" w:right="300" w:firstLine="440"/>
        <w:spacing w:after="0" w:line="253" w:lineRule="auto"/>
        <w:rPr>
          <w:sz w:val="20"/>
          <w:szCs w:val="20"/>
          <w:color w:val="auto"/>
        </w:rPr>
      </w:pPr>
      <w:r>
        <w:rPr>
          <w:rFonts w:ascii="Arial" w:cs="Arial" w:eastAsia="Arial" w:hAnsi="Arial"/>
          <w:sz w:val="18"/>
          <w:szCs w:val="18"/>
          <w:color w:val="auto"/>
        </w:rPr>
        <w:t>To have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0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17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5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will have the right to withdraw the securities represented by their ADSs at any time except for:</w:t>
      </w:r>
    </w:p>
    <w:p>
      <w:pPr>
        <w:spacing w:after="0" w:line="239" w:lineRule="exact"/>
        <w:rPr>
          <w:sz w:val="20"/>
          <w:szCs w:val="20"/>
          <w:color w:val="auto"/>
        </w:rPr>
      </w:pPr>
    </w:p>
    <w:p>
      <w:pPr>
        <w:ind w:left="980" w:right="440" w:hanging="432"/>
        <w:spacing w:after="0" w:line="230"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5"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18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The deposit agreement may not be modified to impair a Holder’s right to withdraw the securities represented by such Holder’s ADSs except to comply with mandatory provisions of law.</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04"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Holders generally have the right under the deposit agreement to instruct the depositary to exercise the voting rights for the ordinary shares represented by your ADSs. The voting rights of Holders of ordinary shares are described in “Description of Share Capital—Articles of Association” in this prospectus.</w:t>
      </w:r>
    </w:p>
    <w:p>
      <w:pPr>
        <w:spacing w:after="0" w:line="169" w:lineRule="exact"/>
        <w:rPr>
          <w:sz w:val="20"/>
          <w:szCs w:val="20"/>
          <w:color w:val="auto"/>
        </w:rPr>
      </w:pPr>
    </w:p>
    <w:p>
      <w:pPr>
        <w:ind w:left="120" w:right="920" w:firstLine="440"/>
        <w:spacing w:after="0" w:line="271" w:lineRule="auto"/>
        <w:rPr>
          <w:sz w:val="20"/>
          <w:szCs w:val="20"/>
          <w:color w:val="auto"/>
        </w:rPr>
      </w:pPr>
      <w:r>
        <w:rPr>
          <w:rFonts w:ascii="Arial" w:cs="Arial" w:eastAsia="Arial" w:hAnsi="Arial"/>
          <w:sz w:val="18"/>
          <w:szCs w:val="18"/>
          <w:color w:val="auto"/>
        </w:rPr>
        <w:t>At our request, the depositary will distribute to Holders any notice of shareholders’ meeting received from us together with information explaining how to instruct the depositary to exercise the voting rights of the securities represented by ADSs.</w:t>
      </w:r>
    </w:p>
    <w:p>
      <w:pPr>
        <w:spacing w:after="0" w:line="154" w:lineRule="exact"/>
        <w:rPr>
          <w:sz w:val="20"/>
          <w:szCs w:val="20"/>
          <w:color w:val="auto"/>
        </w:rPr>
      </w:pPr>
    </w:p>
    <w:p>
      <w:pPr>
        <w:ind w:left="120" w:right="440" w:firstLine="440"/>
        <w:spacing w:after="0" w:line="271"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181" w:lineRule="exact"/>
        <w:rPr>
          <w:sz w:val="20"/>
          <w:szCs w:val="20"/>
          <w:color w:val="auto"/>
        </w:rPr>
      </w:pPr>
    </w:p>
    <w:p>
      <w:pPr>
        <w:ind w:left="980" w:right="140" w:hanging="432"/>
        <w:spacing w:after="0" w:line="231" w:lineRule="auto"/>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6" w:lineRule="exact"/>
        <w:rPr>
          <w:rFonts w:ascii="MS PGothic" w:cs="MS PGothic" w:eastAsia="MS PGothic" w:hAnsi="MS PGothic"/>
          <w:sz w:val="25"/>
          <w:szCs w:val="25"/>
          <w:color w:val="auto"/>
          <w:vertAlign w:val="superscript"/>
        </w:rPr>
      </w:pPr>
    </w:p>
    <w:p>
      <w:pPr>
        <w:ind w:left="980" w:right="220" w:hanging="432"/>
        <w:spacing w:after="0" w:line="232" w:lineRule="auto"/>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184"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Fees and Charges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be required to pay the following fees under the terms of the deposit agreement: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4"/>
                <w:szCs w:val="14"/>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20" w:type="dxa"/>
            <w:vAlign w:val="bottom"/>
            <w:gridSpan w:val="2"/>
          </w:tcPr>
          <w:p>
            <w:pPr>
              <w:spacing w:after="0" w:line="157" w:lineRule="exact"/>
              <w:rPr>
                <w:sz w:val="20"/>
                <w:szCs w:val="20"/>
                <w:color w:val="auto"/>
              </w:rPr>
            </w:pPr>
            <w:r>
              <w:rPr>
                <w:rFonts w:ascii="Arial" w:cs="Arial" w:eastAsia="Arial" w:hAnsi="Arial"/>
                <w:sz w:val="18"/>
                <w:szCs w:val="18"/>
                <w:color w:val="auto"/>
              </w:rPr>
              <w:t>Issuance of ADSs (e.g., an issuance of ADS upon a deposit of</w:t>
            </w:r>
          </w:p>
        </w:tc>
        <w:tc>
          <w:tcPr>
            <w:tcW w:w="120" w:type="dxa"/>
            <w:vAlign w:val="bottom"/>
            <w:vMerge w:val="continue"/>
          </w:tcPr>
          <w:p>
            <w:pPr>
              <w:spacing w:after="0"/>
              <w:rPr>
                <w:sz w:val="13"/>
                <w:szCs w:val="13"/>
                <w:color w:val="auto"/>
              </w:rPr>
            </w:pPr>
          </w:p>
        </w:tc>
        <w:tc>
          <w:tcPr>
            <w:tcW w:w="5180" w:type="dxa"/>
            <w:vAlign w:val="bottom"/>
          </w:tcPr>
          <w:p>
            <w:pPr>
              <w:spacing w:after="0" w:line="157" w:lineRule="exact"/>
              <w:rPr>
                <w:sz w:val="20"/>
                <w:szCs w:val="20"/>
                <w:color w:val="auto"/>
              </w:rPr>
            </w:pPr>
            <w:r>
              <w:rPr>
                <w:rFonts w:ascii="Arial" w:cs="Arial" w:eastAsia="Arial" w:hAnsi="Arial"/>
                <w:sz w:val="18"/>
                <w:szCs w:val="18"/>
                <w:color w:val="auto"/>
              </w:rPr>
              <w:t>Up to U.S. 5¢ per ADS issued</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upon a change in the ADS(s)-to-ordinary share ratio,</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 for any other reason), excluding ADS issuances as a result of</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of ordinary shares)</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720" w:type="dxa"/>
            <w:vAlign w:val="bottom"/>
            <w:gridSpan w:val="2"/>
          </w:tcPr>
          <w:p>
            <w:pPr>
              <w:spacing w:after="0"/>
              <w:rPr>
                <w:sz w:val="20"/>
                <w:szCs w:val="20"/>
                <w:color w:val="auto"/>
              </w:rPr>
            </w:pPr>
            <w:r>
              <w:rPr>
                <w:rFonts w:ascii="Arial" w:cs="Arial" w:eastAsia="Arial" w:hAnsi="Arial"/>
                <w:sz w:val="18"/>
                <w:szCs w:val="18"/>
                <w:color w:val="auto"/>
              </w:rPr>
              <w:t>Cancellation of ADSs (e.g., a cancellation of ADSs for delivery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cancelled</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deposited property, upon a change in the ADS(s)-to-ordinary share</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720" w:type="dxa"/>
            <w:vAlign w:val="bottom"/>
            <w:gridSpan w:val="2"/>
          </w:tcPr>
          <w:p>
            <w:pPr>
              <w:spacing w:after="0"/>
              <w:rPr>
                <w:sz w:val="20"/>
                <w:szCs w:val="20"/>
                <w:color w:val="auto"/>
              </w:rPr>
            </w:pPr>
            <w:r>
              <w:rPr>
                <w:rFonts w:ascii="Arial" w:cs="Arial" w:eastAsia="Arial" w:hAnsi="Arial"/>
                <w:sz w:val="18"/>
                <w:szCs w:val="18"/>
                <w:color w:val="auto"/>
              </w:rPr>
              <w:t>ratio, or for any other reason)</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720" w:type="dxa"/>
            <w:vAlign w:val="bottom"/>
            <w:gridSpan w:val="2"/>
          </w:tcPr>
          <w:p>
            <w:pPr>
              <w:ind w:left="54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060"/>
          </w:cols>
          <w:pgMar w:left="320" w:top="455" w:right="519" w:bottom="1440" w:gutter="0" w:footer="0" w:header="0"/>
        </w:sect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Service</w:t>
      </w:r>
    </w:p>
    <w:p>
      <w:pPr>
        <w:spacing w:after="0" w:line="23" w:lineRule="exact"/>
        <w:rPr>
          <w:sz w:val="20"/>
          <w:szCs w:val="20"/>
          <w:color w:val="auto"/>
        </w:rPr>
      </w:pPr>
    </w:p>
    <w:p>
      <w:pPr>
        <w:ind w:left="120" w:right="40"/>
        <w:spacing w:after="0" w:line="250"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64" w:lineRule="exact"/>
        <w:rPr>
          <w:sz w:val="20"/>
          <w:szCs w:val="20"/>
          <w:color w:val="auto"/>
        </w:rPr>
      </w:pPr>
    </w:p>
    <w:p>
      <w:pPr>
        <w:ind w:left="120"/>
        <w:spacing w:after="0" w:line="301" w:lineRule="auto"/>
        <w:rPr>
          <w:sz w:val="20"/>
          <w:szCs w:val="20"/>
          <w:color w:val="auto"/>
        </w:rPr>
      </w:pPr>
      <w:r>
        <w:rPr>
          <w:rFonts w:ascii="Arial" w:cs="Arial" w:eastAsia="Arial" w:hAnsi="Arial"/>
          <w:sz w:val="17"/>
          <w:szCs w:val="17"/>
          <w:color w:val="auto"/>
        </w:rPr>
        <w:t>Distribution of ADSs pursuant to (i) stock dividends or other free stock distributions, or (ii) exercise of rights to purchase additional ADSs</w:t>
      </w:r>
    </w:p>
    <w:p>
      <w:pPr>
        <w:spacing w:after="0" w:line="131"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214"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held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held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held</w:t>
      </w:r>
    </w:p>
    <w:p>
      <w:pPr>
        <w:spacing w:after="0" w:line="200" w:lineRule="exact"/>
        <w:rPr>
          <w:sz w:val="20"/>
          <w:szCs w:val="20"/>
          <w:color w:val="auto"/>
        </w:rPr>
      </w:pPr>
    </w:p>
    <w:p>
      <w:pPr>
        <w:spacing w:after="0" w:line="21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Up to U.S. 5¢ per ADS held on the applicable record date(s) established by the depositary bank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(or fraction thereof) transferred</w:t>
      </w:r>
    </w:p>
    <w:p>
      <w:pPr>
        <w:spacing w:after="0" w:line="616" w:lineRule="exact"/>
        <w:rPr>
          <w:sz w:val="20"/>
          <w:szCs w:val="20"/>
          <w:color w:val="auto"/>
        </w:rPr>
      </w:pPr>
    </w:p>
    <w:p>
      <w:pPr>
        <w:sectPr>
          <w:pgSz w:w="11900" w:h="16838" w:orient="portrait"/>
          <w:cols w:equalWidth="0" w:num="2">
            <w:col w:w="5660" w:space="300"/>
            <w:col w:w="5100"/>
          </w:cols>
          <w:pgMar w:left="320" w:top="455" w:right="519" w:bottom="1440" w:gutter="0" w:footer="0" w:header="0"/>
          <w:type w:val="continuous"/>
        </w:sectPr>
      </w:pPr>
    </w:p>
    <w:p>
      <w:pPr>
        <w:ind w:left="120"/>
        <w:spacing w:after="0"/>
        <w:tabs>
          <w:tab w:leader="none" w:pos="5940" w:val="left"/>
        </w:tabs>
        <w:rPr>
          <w:sz w:val="20"/>
          <w:szCs w:val="20"/>
          <w:color w:val="auto"/>
        </w:rPr>
      </w:pPr>
      <w:r>
        <w:rPr>
          <w:rFonts w:ascii="Arial" w:cs="Arial" w:eastAsia="Arial" w:hAnsi="Arial"/>
          <w:sz w:val="18"/>
          <w:szCs w:val="18"/>
          <w:color w:val="auto"/>
        </w:rPr>
        <w:t>Conversion of ADSs of one series for ADSs of another series (e.g.,</w:t>
      </w:r>
      <w:r>
        <w:rPr>
          <w:sz w:val="20"/>
          <w:szCs w:val="20"/>
          <w:color w:val="auto"/>
        </w:rPr>
        <w:tab/>
      </w:r>
      <w:r>
        <w:rPr>
          <w:rFonts w:ascii="Arial" w:cs="Arial" w:eastAsia="Arial" w:hAnsi="Arial"/>
          <w:sz w:val="18"/>
          <w:szCs w:val="18"/>
          <w:color w:val="auto"/>
        </w:rPr>
        <w:t>Up to U.S. 5¢ per ADS (or fraction thereof) converted</w:t>
      </w:r>
    </w:p>
    <w:p>
      <w:pPr>
        <w:spacing w:after="0" w:line="14" w:lineRule="exact"/>
        <w:rPr>
          <w:sz w:val="20"/>
          <w:szCs w:val="20"/>
          <w:color w:val="auto"/>
        </w:rPr>
      </w:pPr>
    </w:p>
    <w:p>
      <w:pPr>
        <w:ind w:left="120" w:right="5420"/>
        <w:spacing w:after="0" w:line="264" w:lineRule="auto"/>
        <w:rPr>
          <w:sz w:val="20"/>
          <w:szCs w:val="20"/>
          <w:color w:val="auto"/>
        </w:rPr>
      </w:pPr>
      <w:r>
        <w:rPr>
          <w:rFonts w:ascii="Arial" w:cs="Arial" w:eastAsia="Arial" w:hAnsi="Arial"/>
          <w:sz w:val="17"/>
          <w:szCs w:val="17"/>
          <w:color w:val="auto"/>
        </w:rPr>
        <w:t>upon conversion of Partial Entitlement ADSs for Full Entitlement ADSs, or upon conversion of Restricted ADSs (each as defined in the Deposit Agreement) into freely transferable ADSs, and vice versa).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24"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2" w:lineRule="exact"/>
        <w:rPr>
          <w:rFonts w:ascii="MS PGothic" w:cs="MS PGothic" w:eastAsia="MS PGothic" w:hAnsi="MS PGothic"/>
          <w:sz w:val="25"/>
          <w:szCs w:val="25"/>
          <w:color w:val="auto"/>
          <w:vertAlign w:val="superscript"/>
        </w:rPr>
      </w:pPr>
    </w:p>
    <w:p>
      <w:pPr>
        <w:jc w:val="both"/>
        <w:ind w:left="980" w:right="500" w:hanging="432"/>
        <w:spacing w:after="0" w:line="225"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ind w:left="980" w:hanging="432"/>
        <w:spacing w:after="0" w:line="23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2" w:lineRule="exact"/>
        <w:rPr>
          <w:rFonts w:ascii="MS PGothic" w:cs="MS PGothic" w:eastAsia="MS PGothic" w:hAnsi="MS PGothic"/>
          <w:sz w:val="25"/>
          <w:szCs w:val="25"/>
          <w:color w:val="auto"/>
          <w:vertAlign w:val="superscript"/>
        </w:rPr>
      </w:pPr>
    </w:p>
    <w:p>
      <w:pPr>
        <w:ind w:left="980" w:right="180" w:hanging="432"/>
        <w:spacing w:after="0" w:line="22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5" w:lineRule="exact"/>
        <w:rPr>
          <w:rFonts w:ascii="MS PGothic" w:cs="MS PGothic" w:eastAsia="MS PGothic" w:hAnsi="MS PGothic"/>
          <w:sz w:val="25"/>
          <w:szCs w:val="25"/>
          <w:color w:val="auto"/>
          <w:vertAlign w:val="superscript"/>
        </w:rPr>
      </w:pPr>
    </w:p>
    <w:p>
      <w:pPr>
        <w:ind w:left="980" w:right="180" w:hanging="432"/>
        <w:spacing w:after="0" w:line="230"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80" w:lineRule="exact"/>
        <w:rPr>
          <w:sz w:val="20"/>
          <w:szCs w:val="20"/>
          <w:color w:val="auto"/>
        </w:rPr>
      </w:pPr>
    </w:p>
    <w:p>
      <w:pPr>
        <w:ind w:left="120" w:firstLine="440"/>
        <w:spacing w:after="0" w:line="259" w:lineRule="auto"/>
        <w:rPr>
          <w:sz w:val="20"/>
          <w:szCs w:val="20"/>
          <w:color w:val="auto"/>
        </w:rPr>
      </w:pPr>
      <w:r>
        <w:rPr>
          <w:rFonts w:ascii="Arial" w:cs="Arial" w:eastAsia="Arial" w:hAnsi="Arial"/>
          <w:sz w:val="17"/>
          <w:szCs w:val="17"/>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5" w:right="5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04" w:lineRule="exact"/>
        <w:rPr>
          <w:sz w:val="20"/>
          <w:szCs w:val="20"/>
          <w:color w:val="auto"/>
        </w:rPr>
      </w:pPr>
    </w:p>
    <w:p>
      <w:pPr>
        <w:ind w:left="120" w:right="200" w:firstLine="440"/>
        <w:spacing w:after="0" w:line="242" w:lineRule="auto"/>
        <w:rPr>
          <w:sz w:val="20"/>
          <w:szCs w:val="20"/>
          <w:color w:val="auto"/>
        </w:rPr>
      </w:pPr>
      <w:r>
        <w:rPr>
          <w:rFonts w:ascii="Arial" w:cs="Arial" w:eastAsia="Arial" w:hAnsi="Arial"/>
          <w:sz w:val="18"/>
          <w:szCs w:val="18"/>
          <w:color w:val="auto"/>
        </w:rPr>
        <w:t>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w:t>
      </w:r>
    </w:p>
    <w:p>
      <w:pPr>
        <w:spacing w:after="0" w:line="179"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04" w:lineRule="exact"/>
        <w:rPr>
          <w:sz w:val="20"/>
          <w:szCs w:val="20"/>
          <w:color w:val="auto"/>
        </w:rPr>
      </w:pPr>
    </w:p>
    <w:p>
      <w:pPr>
        <w:jc w:val="both"/>
        <w:ind w:left="120" w:right="60" w:firstLine="440"/>
        <w:spacing w:after="0" w:line="25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w:t>
      </w:r>
    </w:p>
    <w:p>
      <w:pPr>
        <w:spacing w:after="0" w:line="169" w:lineRule="exact"/>
        <w:rPr>
          <w:sz w:val="20"/>
          <w:szCs w:val="20"/>
          <w:color w:val="auto"/>
        </w:rPr>
      </w:pPr>
    </w:p>
    <w:p>
      <w:pPr>
        <w:jc w:val="both"/>
        <w:ind w:left="120" w:right="240" w:firstLine="440"/>
        <w:spacing w:after="0" w:line="275" w:lineRule="auto"/>
        <w:rPr>
          <w:sz w:val="20"/>
          <w:szCs w:val="20"/>
          <w:color w:val="auto"/>
        </w:rPr>
      </w:pPr>
      <w:r>
        <w:rPr>
          <w:rFonts w:ascii="Arial" w:cs="Arial" w:eastAsia="Arial" w:hAnsi="Arial"/>
          <w:sz w:val="17"/>
          <w:szCs w:val="17"/>
          <w:color w:val="auto"/>
        </w:rPr>
        <w:t>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auto"/>
        </w:rPr>
        <w:t>have no further obligations to holders other than to account for the funds then held for the holders of ADSs still outstanding (after deduction of applicable fees, taxes and expenses).</w:t>
      </w:r>
    </w:p>
    <w:p>
      <w:pPr>
        <w:spacing w:after="0" w:line="15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04" w:lineRule="exact"/>
        <w:rPr>
          <w:sz w:val="20"/>
          <w:szCs w:val="20"/>
          <w:color w:val="auto"/>
        </w:rPr>
      </w:pPr>
    </w:p>
    <w:p>
      <w:pPr>
        <w:ind w:left="120" w:right="300" w:firstLine="440"/>
        <w:spacing w:after="0" w:line="253" w:lineRule="auto"/>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169" w:lineRule="exact"/>
        <w:rPr>
          <w:sz w:val="20"/>
          <w:szCs w:val="20"/>
          <w:color w:val="auto"/>
        </w:rPr>
      </w:pPr>
    </w:p>
    <w:p>
      <w:pPr>
        <w:ind w:left="120" w:right="600" w:firstLine="440"/>
        <w:spacing w:after="0" w:line="271"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239" w:lineRule="exact"/>
        <w:rPr>
          <w:sz w:val="20"/>
          <w:szCs w:val="20"/>
          <w:color w:val="auto"/>
        </w:rPr>
      </w:pPr>
    </w:p>
    <w:p>
      <w:pPr>
        <w:ind w:left="980" w:right="120" w:hanging="432"/>
        <w:spacing w:after="0" w:line="230"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4" w:lineRule="exact"/>
        <w:rPr>
          <w:rFonts w:ascii="MS PGothic" w:cs="MS PGothic" w:eastAsia="MS PGothic" w:hAnsi="MS PGothic"/>
          <w:sz w:val="25"/>
          <w:szCs w:val="25"/>
          <w:color w:val="auto"/>
          <w:vertAlign w:val="superscript"/>
        </w:rPr>
      </w:pPr>
    </w:p>
    <w:p>
      <w:pPr>
        <w:ind w:left="980" w:right="60" w:hanging="432"/>
        <w:spacing w:after="0" w:line="230"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4" w:lineRule="exact"/>
        <w:rPr>
          <w:rFonts w:ascii="MS PGothic" w:cs="MS PGothic" w:eastAsia="MS PGothic" w:hAnsi="MS PGothic"/>
          <w:sz w:val="25"/>
          <w:szCs w:val="25"/>
          <w:color w:val="auto"/>
          <w:vertAlign w:val="superscript"/>
        </w:rPr>
      </w:pPr>
    </w:p>
    <w:p>
      <w:pPr>
        <w:ind w:left="980" w:right="40" w:hanging="432"/>
        <w:spacing w:after="0" w:line="232"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3"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2" w:lineRule="exact"/>
        <w:rPr>
          <w:rFonts w:ascii="MS PGothic" w:cs="MS PGothic" w:eastAsia="MS PGothic" w:hAnsi="MS PGothic"/>
          <w:sz w:val="25"/>
          <w:szCs w:val="25"/>
          <w:color w:val="auto"/>
          <w:vertAlign w:val="superscript"/>
        </w:rPr>
      </w:pPr>
    </w:p>
    <w:p>
      <w:pPr>
        <w:ind w:left="980" w:right="220" w:hanging="432"/>
        <w:spacing w:after="0" w:line="228"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8"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980" w:right="200" w:hanging="432"/>
        <w:spacing w:after="0" w:line="231"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6" w:lineRule="exact"/>
        <w:rPr>
          <w:rFonts w:ascii="MS PGothic" w:cs="MS PGothic" w:eastAsia="MS PGothic" w:hAnsi="MS PGothic"/>
          <w:sz w:val="25"/>
          <w:szCs w:val="25"/>
          <w:color w:val="auto"/>
          <w:vertAlign w:val="superscript"/>
        </w:rPr>
      </w:pPr>
    </w:p>
    <w:p>
      <w:pPr>
        <w:ind w:left="980" w:hanging="432"/>
        <w:spacing w:after="0" w:line="231"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spacing w:after="0" w:line="6" w:lineRule="exact"/>
        <w:rPr>
          <w:rFonts w:ascii="MS PGothic" w:cs="MS PGothic" w:eastAsia="MS PGothic" w:hAnsi="MS PGothic"/>
          <w:sz w:val="25"/>
          <w:szCs w:val="25"/>
          <w:color w:val="auto"/>
          <w:vertAlign w:val="superscript"/>
        </w:rPr>
      </w:pPr>
    </w:p>
    <w:p>
      <w:pPr>
        <w:ind w:left="980" w:right="12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4" w:lineRule="exact"/>
        <w:rPr>
          <w:rFonts w:ascii="MS PGothic" w:cs="MS PGothic" w:eastAsia="MS PGothic" w:hAnsi="MS PGothic"/>
          <w:sz w:val="25"/>
          <w:szCs w:val="25"/>
          <w:color w:val="auto"/>
          <w:vertAlign w:val="superscript"/>
        </w:rPr>
      </w:pPr>
    </w:p>
    <w:p>
      <w:pPr>
        <w:ind w:left="980" w:right="56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2" w:lineRule="exact"/>
        <w:rPr>
          <w:rFonts w:ascii="MS PGothic" w:cs="MS PGothic" w:eastAsia="MS PGothic" w:hAnsi="MS PGothic"/>
          <w:sz w:val="25"/>
          <w:szCs w:val="25"/>
          <w:color w:val="auto"/>
          <w:vertAlign w:val="superscript"/>
        </w:rPr>
      </w:pPr>
    </w:p>
    <w:p>
      <w:pPr>
        <w:ind w:left="980" w:right="460" w:hanging="432"/>
        <w:spacing w:after="0" w:line="22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ADS holders.</w:t>
      </w:r>
    </w:p>
    <w:p>
      <w:pPr>
        <w:spacing w:after="0" w:line="5" w:lineRule="exact"/>
        <w:rPr>
          <w:rFonts w:ascii="MS PGothic" w:cs="MS PGothic" w:eastAsia="MS PGothic" w:hAnsi="MS PGothic"/>
          <w:sz w:val="25"/>
          <w:szCs w:val="25"/>
          <w:color w:val="auto"/>
          <w:vertAlign w:val="superscript"/>
        </w:rPr>
      </w:pPr>
    </w:p>
    <w:p>
      <w:pPr>
        <w:ind w:left="980" w:right="120" w:hanging="432"/>
        <w:spacing w:after="0" w:line="232"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04"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174"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04" w:lineRule="exact"/>
        <w:rPr>
          <w:sz w:val="20"/>
          <w:szCs w:val="20"/>
          <w:color w:val="auto"/>
        </w:rPr>
      </w:pPr>
    </w:p>
    <w:p>
      <w:pPr>
        <w:ind w:left="120" w:right="200" w:firstLine="440"/>
        <w:spacing w:after="0" w:line="247"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174" w:lineRule="exact"/>
        <w:rPr>
          <w:sz w:val="20"/>
          <w:szCs w:val="20"/>
          <w:color w:val="auto"/>
        </w:rPr>
      </w:pPr>
    </w:p>
    <w:p>
      <w:pPr>
        <w:ind w:left="120" w:right="880" w:firstLine="440"/>
        <w:spacing w:after="0" w:line="271"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81" w:lineRule="exact"/>
        <w:rPr>
          <w:sz w:val="20"/>
          <w:szCs w:val="20"/>
          <w:color w:val="auto"/>
        </w:rPr>
      </w:pPr>
    </w:p>
    <w:p>
      <w:pPr>
        <w:ind w:left="980" w:right="62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5" w:lineRule="exact"/>
        <w:rPr>
          <w:sz w:val="20"/>
          <w:szCs w:val="20"/>
          <w:color w:val="auto"/>
        </w:rPr>
      </w:pPr>
    </w:p>
    <w:p>
      <w:pPr>
        <w:ind w:left="980" w:hanging="432"/>
        <w:spacing w:after="0"/>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0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54" w:lineRule="exact"/>
        <w:rPr>
          <w:sz w:val="20"/>
          <w:szCs w:val="20"/>
          <w:color w:val="auto"/>
        </w:rPr>
      </w:pPr>
    </w:p>
    <w:p>
      <w:pPr>
        <w:ind w:left="120" w:right="380" w:firstLine="440"/>
        <w:spacing w:after="0" w:line="271"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54" w:lineRule="exact"/>
        <w:rPr>
          <w:sz w:val="20"/>
          <w:szCs w:val="20"/>
          <w:color w:val="auto"/>
        </w:rPr>
      </w:pPr>
    </w:p>
    <w:p>
      <w:pPr>
        <w:ind w:left="120" w:right="240" w:firstLine="440"/>
        <w:spacing w:after="0" w:line="266"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320" w:top="455"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ADSs in one or more of the following ways (or in any combination) from time to time:</w:t>
      </w:r>
    </w:p>
    <w:p>
      <w:pPr>
        <w:spacing w:after="0" w:line="224" w:lineRule="exact"/>
        <w:rPr>
          <w:sz w:val="20"/>
          <w:szCs w:val="20"/>
          <w:color w:val="auto"/>
        </w:rPr>
      </w:pPr>
    </w:p>
    <w:p>
      <w:pPr>
        <w:ind w:left="980" w:hanging="432"/>
        <w:spacing w:after="0"/>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underwriters or dealers;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directly to a limited number of purchasers or to a single purchaser;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“at the market offerings,” within the meaning of Rule 415(a)(4) of the Securities Act, into an existing trading market;</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agents;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any other method permitted by applicable law and described in the applicable prospectus supplement.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ADSs, including:</w:t>
      </w:r>
    </w:p>
    <w:p>
      <w:pPr>
        <w:spacing w:after="0" w:line="224" w:lineRule="exact"/>
        <w:rPr>
          <w:sz w:val="20"/>
          <w:szCs w:val="20"/>
          <w:color w:val="auto"/>
        </w:rPr>
      </w:pPr>
    </w:p>
    <w:p>
      <w:pPr>
        <w:ind w:left="980" w:hanging="432"/>
        <w:spacing w:after="0"/>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or names of any underwriters, dealers or agents;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price of such securities and the proceeds to be received by us, if any;</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underwriting discounts or agency fees and other items constituting underwriters’ or agents’ compensation;</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initial public offering price;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or concessions allowed or reallowed or paid to dealers;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securities exchanges on which the securities may be listed.</w:t>
      </w:r>
    </w:p>
    <w:p>
      <w:pPr>
        <w:spacing w:after="0" w:line="180"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8"/>
          <w:szCs w:val="18"/>
          <w:color w:val="auto"/>
        </w:rPr>
        <w:t>Any initial public offering price and any discounts or concessions allowed or reallowed or paid to dealers may be changed from time to time.</w:t>
      </w:r>
    </w:p>
    <w:p>
      <w:pPr>
        <w:spacing w:after="0" w:line="166" w:lineRule="exact"/>
        <w:rPr>
          <w:sz w:val="20"/>
          <w:szCs w:val="20"/>
          <w:color w:val="auto"/>
        </w:rPr>
      </w:pPr>
    </w:p>
    <w:p>
      <w:pPr>
        <w:ind w:left="980" w:hanging="432"/>
        <w:spacing w:after="0"/>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negotiated transactions;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 fixed public offering price or prices, which may be changed;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market prices prevailing at the time of sale;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prices related to prevailing market prices;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negotiated prices.</w:t>
      </w:r>
    </w:p>
    <w:p>
      <w:pPr>
        <w:spacing w:after="0" w:line="180"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ADSs will be conditioned on customary closing conditions and the underwriters will be obligated to purchase all of such ADSs, if any are purchased.</w:t>
      </w:r>
    </w:p>
    <w:p>
      <w:pPr>
        <w:spacing w:after="0" w:line="154" w:lineRule="exact"/>
        <w:rPr>
          <w:sz w:val="20"/>
          <w:szCs w:val="20"/>
          <w:color w:val="auto"/>
        </w:rPr>
      </w:pPr>
    </w:p>
    <w:p>
      <w:pPr>
        <w:ind w:left="120" w:right="300" w:firstLine="440"/>
        <w:spacing w:after="0" w:line="253" w:lineRule="auto"/>
        <w:rPr>
          <w:sz w:val="20"/>
          <w:szCs w:val="20"/>
          <w:color w:val="auto"/>
        </w:rPr>
      </w:pPr>
      <w:r>
        <w:rPr>
          <w:rFonts w:ascii="Arial" w:cs="Arial" w:eastAsia="Arial" w:hAnsi="Arial"/>
          <w:sz w:val="18"/>
          <w:szCs w:val="18"/>
          <w:color w:val="auto"/>
        </w:rPr>
        <w:t>The ADSs may be sold through agents from time to time. The prospectus supplement will name any agent involved in the offer or sale of the ADSs and any commissions paid to them. Generally, any agent will be acting on a best efforts basis for the period of its appointment.</w:t>
      </w:r>
    </w:p>
    <w:p>
      <w:pPr>
        <w:spacing w:after="0" w:line="169"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Sales to or through one or more underwriters or agents in at-the-market offerings will be made pursuant to the terms of a sales agreement with the underwriters or agents. Such underwriters or agents may act on an agency basis or on a principal basis. During the term of any such agreement, ADSs may be sold on a daily basis on any stock exchange, market or trading facility on which the ADSs are traded, in privately negotiated transactions or otherwise as agreed with the underwriters or agents. The distribution agreement will provide that any ADSs sold will be sold at negotiated prices or at prices related to the then prevailing market prices for our ADSs. Therefore, exact figures regarding proceeds that will be raised or commissions to be paid cannot be determined at this time and will be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described in a prospectus supplement. Pursuant to the terms of the distribution agreement, we may also agree to sell, and the relevant underwriters or agents may agree to solicit offers to purchase, blocks of our ADSs. The terms of each such distribution agreement will be described in a prospectus supplement.</w:t>
      </w:r>
    </w:p>
    <w:p>
      <w:pPr>
        <w:spacing w:after="0" w:line="169" w:lineRule="exact"/>
        <w:rPr>
          <w:sz w:val="20"/>
          <w:szCs w:val="20"/>
          <w:color w:val="auto"/>
        </w:rPr>
      </w:pPr>
    </w:p>
    <w:p>
      <w:pPr>
        <w:jc w:val="both"/>
        <w:ind w:left="120" w:firstLine="440"/>
        <w:spacing w:after="0" w:line="247"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ADSs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7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9" w:lineRule="exact"/>
        <w:rPr>
          <w:sz w:val="20"/>
          <w:szCs w:val="20"/>
          <w:color w:val="auto"/>
        </w:rPr>
      </w:pPr>
    </w:p>
    <w:p>
      <w:pPr>
        <w:jc w:val="both"/>
        <w:ind w:left="120" w:right="520" w:firstLine="440"/>
        <w:spacing w:after="0" w:line="253"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69" w:lineRule="exact"/>
        <w:rPr>
          <w:sz w:val="20"/>
          <w:szCs w:val="20"/>
          <w:color w:val="auto"/>
        </w:rPr>
      </w:pPr>
    </w:p>
    <w:p>
      <w:pPr>
        <w:ind w:left="120" w:right="540" w:firstLine="440"/>
        <w:spacing w:after="0" w:line="271"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5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Any underwriters to whom ADSs are sold for public offering and sale may make a market in the securities, but such underwriters will not be obligated to do so and may discontinue any market making at any time without notice.</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5"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20"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Mayer Brown LLP will pass upon certain legal matters relating to the issuance and sale of the securities offered hereby on behalf of the Mereo BioPharma Group plc. The validity of the ordinary shares underlying the ADSs to be offered pursuant to this prospectus will be passed upon for us by Latham &amp; Watkins (London) LLP. Any underwriters, dealers or agents will be advised by their own legal counsel that we will name in the applicable prospectus supplement.</w:t>
      </w:r>
    </w:p>
    <w:p>
      <w:pPr>
        <w:spacing w:after="0" w:line="28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320" w:lineRule="exact"/>
        <w:rPr>
          <w:sz w:val="20"/>
          <w:szCs w:val="20"/>
          <w:color w:val="auto"/>
        </w:rPr>
      </w:pPr>
    </w:p>
    <w:p>
      <w:pPr>
        <w:ind w:left="120" w:right="380" w:firstLine="440"/>
        <w:spacing w:after="0" w:line="25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69" w:lineRule="exact"/>
        <w:rPr>
          <w:sz w:val="20"/>
          <w:szCs w:val="20"/>
          <w:color w:val="auto"/>
        </w:rPr>
      </w:pPr>
    </w:p>
    <w:p>
      <w:pPr>
        <w:jc w:val="center"/>
        <w:ind w:left="800" w:right="80"/>
        <w:spacing w:after="0" w:line="443" w:lineRule="auto"/>
        <w:rPr>
          <w:sz w:val="20"/>
          <w:szCs w:val="20"/>
          <w:color w:val="auto"/>
        </w:rPr>
      </w:pPr>
      <w:r>
        <w:rPr>
          <w:rFonts w:ascii="Arial" w:cs="Arial" w:eastAsia="Arial" w:hAnsi="Arial"/>
          <w:sz w:val="18"/>
          <w:szCs w:val="18"/>
          <w:color w:val="auto"/>
        </w:rPr>
        <w:t>The registered business address of PricewaterhouseCoopers LLP is 1 Embankment Place, London, WC2N 6RH, United Kingdom. 41</w:t>
      </w:r>
    </w:p>
    <w:p>
      <w:pPr>
        <w:sectPr>
          <w:pgSz w:w="11900" w:h="16838" w:orient="portrait"/>
          <w:cols w:equalWidth="0" w:num="1">
            <w:col w:w="11000"/>
          </w:cols>
          <w:pgMar w:left="320" w:top="455" w:right="5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DE1A1E"/>
        </w:rPr>
        <w:t>The information in this preliminary prospectus supplement is not complete and may be changed. These securities may not be sold until the registration statement filed with the Securities and Exchange Commission is effective. This preliminary prospectus supplement is not an offer to sell nor does it seek an offer to buy these securities in any jurisdiction where the offer or sale is not permitted.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E1A1E"/>
        </w:rPr>
        <w:t>Subject to Completion, dated May 15, 2024.</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103505</wp:posOffset>
            </wp:positionV>
            <wp:extent cx="1680210" cy="4972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68021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Up to $50,000,000</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184785</wp:posOffset>
            </wp:positionV>
            <wp:extent cx="18173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20"/>
        <w:spacing w:after="0" w:line="220"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(the “sales agreement”) with Jefferies LLC, or Jefferies, relating to the American Depository Shares (the “ADSs”) offered by this prospectus supplement and the accompanying prospectus. In accordance with the terms of the sales agreement, under this prospectus supplement, we may offer and sell our ADSs having an aggregate offering price of up to $50,000,000 from time to time through Jefferies acting as our agent.</w:t>
      </w:r>
    </w:p>
    <w:p>
      <w:pPr>
        <w:spacing w:after="0" w:line="115"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Sales of our ADSs, if any, under this prospectus supplement will be made by any method deemed to be an “at the market offering,” as defined in Rule 415(a)(4) promulgated under the Securities Act of 1933, as amended (the “Securities Act”). Jefferies is not required to sell any specific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95"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The compensation to Jefferies for sales of ADSs sold pursuant to the sales agreement will be an amount equal to 3.0% of the gross proceeds of any ADSs sold under the sales agreement. In connection with the sale of the ADSs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See “Plan of Distribution” beginning on page S-12 for additional information regarding the compensation to be paid to Jefferies.</w:t>
      </w:r>
    </w:p>
    <w:p>
      <w:pPr>
        <w:spacing w:after="0" w:line="11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Our ADSs, each representing five ordinary shares, are listed on The Nasdaq Capital Market under the symbol “MREO.” On May 13, 2024, the last reported sale price of our ADSs on The Nasdaq Capital Market was $2.97 per ADS.</w:t>
      </w:r>
    </w:p>
    <w:p>
      <w:pPr>
        <w:spacing w:after="0" w:line="86"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We are an “emerging growth company” and a “smaller reporting company” under applicable Securities and Exchange Commission rules and are eligible for reduced public company disclosure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135255</wp:posOffset>
            </wp:positionV>
            <wp:extent cx="18173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23"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b w:val="1"/>
          <w:bCs w:val="1"/>
          <w:color w:val="auto"/>
        </w:rPr>
        <w:t>Investing in our ADSs involves a high degree of risk.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on page S-6 of this prospectus supplement and in the documents incorporated by reference into this prospectus supplement concerning factors you should consider before investing in our ADSs.</w:t>
      </w:r>
    </w:p>
    <w:p>
      <w:pPr>
        <w:spacing w:after="0" w:line="91"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138430</wp:posOffset>
            </wp:positionV>
            <wp:extent cx="18173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Jefferies</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supplement is                , 2024.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40" w:type="dxa"/>
            <w:vAlign w:val="bottom"/>
            <w:gridSpan w:val="10"/>
            <w:vMerge w:val="restart"/>
          </w:tcPr>
          <w:p>
            <w:pPr>
              <w:spacing w:after="0"/>
              <w:rPr>
                <w:sz w:val="20"/>
                <w:szCs w:val="20"/>
                <w:color w:val="auto"/>
              </w:rPr>
            </w:pPr>
            <w:r>
              <w:rPr>
                <w:rFonts w:ascii="Arial" w:cs="Arial" w:eastAsia="Arial" w:hAnsi="Arial"/>
                <w:sz w:val="18"/>
                <w:szCs w:val="18"/>
                <w:color w:val="0000EE"/>
                <w:w w:val="99"/>
              </w:rPr>
              <w:t>ABOUT THIS PROSPECTUS SUPPLEMENT</w:t>
            </w:r>
          </w:p>
        </w:tc>
        <w:tc>
          <w:tcPr>
            <w:tcW w:w="6820" w:type="dxa"/>
            <w:vAlign w:val="bottom"/>
            <w:gridSpan w:val="3"/>
            <w:vMerge w:val="restart"/>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3640" w:type="dxa"/>
            <w:vAlign w:val="bottom"/>
            <w:tcBorders>
              <w:bottom w:val="single" w:sz="8" w:color="0000EE"/>
            </w:tcBorders>
            <w:gridSpan w:val="10"/>
            <w:vMerge w:val="continue"/>
          </w:tcPr>
          <w:p>
            <w:pPr>
              <w:spacing w:after="0"/>
              <w:rPr>
                <w:sz w:val="13"/>
                <w:szCs w:val="13"/>
                <w:color w:val="auto"/>
              </w:rPr>
            </w:pPr>
          </w:p>
        </w:tc>
        <w:tc>
          <w:tcPr>
            <w:tcW w:w="6820" w:type="dxa"/>
            <w:vAlign w:val="bottom"/>
            <w:gridSpan w:val="3"/>
            <w:vMerge w:val="continue"/>
          </w:tcPr>
          <w:p>
            <w:pPr>
              <w:spacing w:after="0"/>
              <w:rPr>
                <w:sz w:val="13"/>
                <w:szCs w:val="13"/>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6"/>
                <w:szCs w:val="16"/>
                <w:color w:val="auto"/>
              </w:rPr>
              <w:t>S-1 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460" w:type="dxa"/>
            <w:vAlign w:val="bottom"/>
            <w:gridSpan w:val="13"/>
          </w:tcPr>
          <w:p>
            <w:pPr>
              <w:spacing w:after="0" w:line="196" w:lineRule="exact"/>
              <w:rPr>
                <w:sz w:val="20"/>
                <w:szCs w:val="20"/>
                <w:color w:val="auto"/>
              </w:rPr>
            </w:pPr>
            <w:r>
              <w:rPr>
                <w:rFonts w:ascii="Arial" w:cs="Arial" w:eastAsia="Arial" w:hAnsi="Arial"/>
                <w:sz w:val="18"/>
                <w:szCs w:val="18"/>
                <w:color w:val="0000EE"/>
              </w:rPr>
              <w:t>WHERE YOU CAN FIND MORE INFORMATION; INCORPORATION BY REFERENCE</w:t>
            </w:r>
          </w:p>
        </w:tc>
        <w:tc>
          <w:tcPr>
            <w:tcW w:w="50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9"/>
              </w:rPr>
              <w:t>S-2 </w:t>
            </w:r>
          </w:p>
        </w:tc>
        <w:tc>
          <w:tcPr>
            <w:tcW w:w="0" w:type="dxa"/>
            <w:vAlign w:val="bottom"/>
          </w:tcPr>
          <w:p>
            <w:pPr>
              <w:spacing w:after="0"/>
              <w:rPr>
                <w:sz w:val="1"/>
                <w:szCs w:val="1"/>
                <w:color w:val="auto"/>
              </w:rPr>
            </w:pPr>
          </w:p>
        </w:tc>
      </w:tr>
      <w:tr>
        <w:trPr>
          <w:trHeight w:val="183"/>
        </w:trPr>
        <w:tc>
          <w:tcPr>
            <w:tcW w:w="69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THE COMPANY</w:t>
            </w:r>
          </w:p>
        </w:tc>
        <w:tc>
          <w:tcPr>
            <w:tcW w:w="3520" w:type="dxa"/>
            <w:vAlign w:val="bottom"/>
          </w:tcPr>
          <w:p>
            <w:pPr>
              <w:spacing w:after="0"/>
              <w:rPr>
                <w:sz w:val="15"/>
                <w:szCs w:val="15"/>
                <w:color w:val="auto"/>
              </w:rPr>
            </w:pPr>
          </w:p>
        </w:tc>
        <w:tc>
          <w:tcPr>
            <w:tcW w:w="50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9"/>
              </w:rPr>
              <w:t>S-4 </w:t>
            </w:r>
          </w:p>
        </w:tc>
        <w:tc>
          <w:tcPr>
            <w:tcW w:w="0" w:type="dxa"/>
            <w:vAlign w:val="bottom"/>
          </w:tcPr>
          <w:p>
            <w:pPr>
              <w:spacing w:after="0"/>
              <w:rPr>
                <w:sz w:val="1"/>
                <w:szCs w:val="1"/>
                <w:color w:val="auto"/>
              </w:rPr>
            </w:pPr>
          </w:p>
        </w:tc>
      </w:tr>
      <w:tr>
        <w:trPr>
          <w:trHeight w:val="183"/>
        </w:trPr>
        <w:tc>
          <w:tcPr>
            <w:tcW w:w="13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THE OFFERING</w:t>
            </w: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20" w:type="dxa"/>
            <w:vAlign w:val="bottom"/>
            <w:gridSpan w:val="2"/>
          </w:tcPr>
          <w:p>
            <w:pPr>
              <w:spacing w:after="0"/>
              <w:rPr>
                <w:sz w:val="15"/>
                <w:szCs w:val="15"/>
                <w:color w:val="auto"/>
              </w:rPr>
            </w:pPr>
          </w:p>
        </w:tc>
        <w:tc>
          <w:tcPr>
            <w:tcW w:w="4520" w:type="dxa"/>
            <w:vAlign w:val="bottom"/>
            <w:gridSpan w:val="2"/>
          </w:tcPr>
          <w:p>
            <w:pPr>
              <w:spacing w:after="0"/>
              <w:rPr>
                <w:sz w:val="15"/>
                <w:szCs w:val="15"/>
                <w:color w:val="auto"/>
              </w:rPr>
            </w:pPr>
          </w:p>
        </w:tc>
        <w:tc>
          <w:tcPr>
            <w:tcW w:w="50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9"/>
              </w:rPr>
              <w:t>S-5 </w:t>
            </w:r>
          </w:p>
        </w:tc>
        <w:tc>
          <w:tcPr>
            <w:tcW w:w="0" w:type="dxa"/>
            <w:vAlign w:val="bottom"/>
          </w:tcPr>
          <w:p>
            <w:pPr>
              <w:spacing w:after="0"/>
              <w:rPr>
                <w:sz w:val="1"/>
                <w:szCs w:val="1"/>
                <w:color w:val="auto"/>
              </w:rPr>
            </w:pPr>
          </w:p>
        </w:tc>
      </w:tr>
      <w:tr>
        <w:trPr>
          <w:trHeight w:val="183"/>
        </w:trPr>
        <w:tc>
          <w:tcPr>
            <w:tcW w:w="1340" w:type="dxa"/>
            <w:vAlign w:val="bottom"/>
            <w:gridSpan w:val="4"/>
          </w:tcPr>
          <w:p>
            <w:pPr>
              <w:spacing w:after="0" w:line="182" w:lineRule="exact"/>
              <w:rPr>
                <w:sz w:val="20"/>
                <w:szCs w:val="20"/>
                <w:color w:val="auto"/>
              </w:rPr>
            </w:pPr>
            <w:r>
              <w:rPr>
                <w:rFonts w:ascii="Arial" w:cs="Arial" w:eastAsia="Arial" w:hAnsi="Arial"/>
                <w:sz w:val="18"/>
                <w:szCs w:val="18"/>
                <w:color w:val="0000EE"/>
                <w:w w:val="99"/>
              </w:rPr>
              <w:t>RISK FACTORS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20" w:type="dxa"/>
            <w:vAlign w:val="bottom"/>
            <w:gridSpan w:val="2"/>
          </w:tcPr>
          <w:p>
            <w:pPr>
              <w:spacing w:after="0"/>
              <w:rPr>
                <w:sz w:val="15"/>
                <w:szCs w:val="15"/>
                <w:color w:val="auto"/>
              </w:rPr>
            </w:pPr>
          </w:p>
        </w:tc>
        <w:tc>
          <w:tcPr>
            <w:tcW w:w="4520" w:type="dxa"/>
            <w:vAlign w:val="bottom"/>
            <w:gridSpan w:val="2"/>
          </w:tcPr>
          <w:p>
            <w:pPr>
              <w:spacing w:after="0"/>
              <w:rPr>
                <w:sz w:val="15"/>
                <w:szCs w:val="15"/>
                <w:color w:val="auto"/>
              </w:rPr>
            </w:pPr>
          </w:p>
        </w:tc>
        <w:tc>
          <w:tcPr>
            <w:tcW w:w="50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9"/>
              </w:rPr>
              <w:t>S-6 </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CAUTIONARY</w:t>
            </w:r>
          </w:p>
        </w:tc>
        <w:tc>
          <w:tcPr>
            <w:tcW w:w="9140" w:type="dxa"/>
            <w:vAlign w:val="bottom"/>
            <w:gridSpan w:val="10"/>
          </w:tcPr>
          <w:p>
            <w:pPr>
              <w:spacing w:after="0" w:line="182" w:lineRule="exact"/>
              <w:rPr>
                <w:sz w:val="20"/>
                <w:szCs w:val="20"/>
                <w:color w:val="auto"/>
              </w:rPr>
            </w:pPr>
            <w:r>
              <w:rPr>
                <w:rFonts w:ascii="Arial" w:cs="Arial" w:eastAsia="Arial" w:hAnsi="Arial"/>
                <w:sz w:val="18"/>
                <w:szCs w:val="18"/>
                <w:color w:val="0000EE"/>
              </w:rPr>
              <w:t>NOTE REGARDING FORWARD-LOOKING STATEMENTS</w:t>
            </w:r>
          </w:p>
        </w:tc>
        <w:tc>
          <w:tcPr>
            <w:tcW w:w="50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9"/>
              </w:rPr>
              <w:t>S-8 </w:t>
            </w:r>
          </w:p>
        </w:tc>
        <w:tc>
          <w:tcPr>
            <w:tcW w:w="0" w:type="dxa"/>
            <w:vAlign w:val="bottom"/>
          </w:tcPr>
          <w:p>
            <w:pPr>
              <w:spacing w:after="0"/>
              <w:rPr>
                <w:sz w:val="1"/>
                <w:szCs w:val="1"/>
                <w:color w:val="auto"/>
              </w:rPr>
            </w:pPr>
          </w:p>
        </w:tc>
      </w:tr>
      <w:tr>
        <w:trPr>
          <w:trHeight w:val="182"/>
        </w:trPr>
        <w:tc>
          <w:tcPr>
            <w:tcW w:w="59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USE OF PROCEEDS</w:t>
            </w:r>
          </w:p>
        </w:tc>
        <w:tc>
          <w:tcPr>
            <w:tcW w:w="4520" w:type="dxa"/>
            <w:vAlign w:val="bottom"/>
            <w:gridSpan w:val="2"/>
          </w:tcPr>
          <w:p>
            <w:pPr>
              <w:spacing w:after="0"/>
              <w:rPr>
                <w:sz w:val="15"/>
                <w:szCs w:val="15"/>
                <w:color w:val="auto"/>
              </w:rPr>
            </w:pPr>
          </w:p>
        </w:tc>
        <w:tc>
          <w:tcPr>
            <w:tcW w:w="50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9"/>
              </w:rPr>
              <w:t>S-9 </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DIVIDEND POLICY</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540" w:type="dxa"/>
            <w:vAlign w:val="bottom"/>
            <w:gridSpan w:val="4"/>
          </w:tcPr>
          <w:p>
            <w:pPr>
              <w:spacing w:after="0"/>
              <w:rPr>
                <w:sz w:val="15"/>
                <w:szCs w:val="15"/>
                <w:color w:val="auto"/>
              </w:rPr>
            </w:pPr>
          </w:p>
        </w:tc>
        <w:tc>
          <w:tcPr>
            <w:tcW w:w="50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83"/>
        </w:trPr>
        <w:tc>
          <w:tcPr>
            <w:tcW w:w="156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DILUTION</w:t>
            </w:r>
          </w:p>
        </w:tc>
        <w:tc>
          <w:tcPr>
            <w:tcW w:w="52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7540" w:type="dxa"/>
            <w:vAlign w:val="bottom"/>
            <w:gridSpan w:val="4"/>
          </w:tcPr>
          <w:p>
            <w:pPr>
              <w:spacing w:after="0"/>
              <w:rPr>
                <w:sz w:val="15"/>
                <w:szCs w:val="15"/>
                <w:color w:val="auto"/>
              </w:rPr>
            </w:pPr>
          </w:p>
        </w:tc>
        <w:tc>
          <w:tcPr>
            <w:tcW w:w="500" w:type="dxa"/>
            <w:vAlign w:val="bottom"/>
            <w:gridSpan w:val="2"/>
          </w:tcPr>
          <w:p>
            <w:pPr>
              <w:ind w:left="120"/>
              <w:spacing w:after="0" w:line="182"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83"/>
        </w:trPr>
        <w:tc>
          <w:tcPr>
            <w:tcW w:w="84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PLAN OF</w:t>
            </w:r>
          </w:p>
        </w:tc>
        <w:tc>
          <w:tcPr>
            <w:tcW w:w="9620" w:type="dxa"/>
            <w:vAlign w:val="bottom"/>
            <w:gridSpan w:val="12"/>
          </w:tcPr>
          <w:p>
            <w:pPr>
              <w:spacing w:after="0" w:line="182" w:lineRule="exact"/>
              <w:rPr>
                <w:sz w:val="20"/>
                <w:szCs w:val="20"/>
                <w:color w:val="auto"/>
              </w:rPr>
            </w:pPr>
            <w:r>
              <w:rPr>
                <w:rFonts w:ascii="Arial" w:cs="Arial" w:eastAsia="Arial" w:hAnsi="Arial"/>
                <w:sz w:val="18"/>
                <w:szCs w:val="18"/>
                <w:color w:val="0000EE"/>
              </w:rPr>
              <w:t>DISTRIBUTION</w:t>
            </w:r>
          </w:p>
        </w:tc>
        <w:tc>
          <w:tcPr>
            <w:tcW w:w="50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500" w:type="dxa"/>
            <w:vAlign w:val="bottom"/>
            <w:gridSpan w:val="2"/>
            <w:vMerge w:val="restart"/>
          </w:tcPr>
          <w:p>
            <w:pPr>
              <w:ind w:left="100"/>
              <w:spacing w:after="0" w:line="202"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line="20" w:lineRule="exact"/>
              <w:rPr>
                <w:sz w:val="1"/>
                <w:szCs w:val="1"/>
                <w:color w:val="auto"/>
              </w:rPr>
            </w:pPr>
          </w:p>
        </w:tc>
      </w:tr>
      <w:tr>
        <w:trPr>
          <w:trHeight w:val="183"/>
        </w:trPr>
        <w:tc>
          <w:tcPr>
            <w:tcW w:w="10460" w:type="dxa"/>
            <w:vAlign w:val="bottom"/>
            <w:gridSpan w:val="13"/>
          </w:tcPr>
          <w:p>
            <w:pPr>
              <w:spacing w:after="0" w:line="182" w:lineRule="exact"/>
              <w:rPr>
                <w:sz w:val="20"/>
                <w:szCs w:val="20"/>
                <w:color w:val="auto"/>
              </w:rPr>
            </w:pPr>
            <w:r>
              <w:rPr>
                <w:rFonts w:ascii="Arial" w:cs="Arial" w:eastAsia="Arial" w:hAnsi="Arial"/>
                <w:sz w:val="18"/>
                <w:szCs w:val="18"/>
                <w:color w:val="0000EE"/>
              </w:rPr>
              <w:t>MATERIAL TAX CONSIDERATIONS</w:t>
            </w: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LEGAL MATTERS</w:t>
            </w:r>
          </w:p>
        </w:tc>
        <w:tc>
          <w:tcPr>
            <w:tcW w:w="7540" w:type="dxa"/>
            <w:vAlign w:val="bottom"/>
            <w:gridSpan w:val="4"/>
          </w:tcPr>
          <w:p>
            <w:pPr>
              <w:spacing w:after="0"/>
              <w:rPr>
                <w:sz w:val="15"/>
                <w:szCs w:val="15"/>
                <w:color w:val="auto"/>
              </w:rPr>
            </w:pPr>
          </w:p>
        </w:tc>
        <w:tc>
          <w:tcPr>
            <w:tcW w:w="50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183"/>
        </w:trPr>
        <w:tc>
          <w:tcPr>
            <w:tcW w:w="14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EXPERTS</w:t>
            </w:r>
          </w:p>
        </w:tc>
        <w:tc>
          <w:tcPr>
            <w:tcW w:w="8980" w:type="dxa"/>
            <w:vAlign w:val="bottom"/>
            <w:gridSpan w:val="8"/>
          </w:tcPr>
          <w:p>
            <w:pPr>
              <w:spacing w:after="0"/>
              <w:rPr>
                <w:sz w:val="15"/>
                <w:szCs w:val="15"/>
                <w:color w:val="auto"/>
              </w:rPr>
            </w:pPr>
          </w:p>
        </w:tc>
        <w:tc>
          <w:tcPr>
            <w:tcW w:w="500" w:type="dxa"/>
            <w:vAlign w:val="bottom"/>
            <w:gridSpan w:val="2"/>
          </w:tcPr>
          <w:p>
            <w:pPr>
              <w:ind w:left="100"/>
              <w:spacing w:after="0" w:line="182"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376"/>
        </w:trPr>
        <w:tc>
          <w:tcPr>
            <w:tcW w:w="8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20" w:type="dxa"/>
            <w:vAlign w:val="bottom"/>
            <w:gridSpan w:val="3"/>
          </w:tcPr>
          <w:p>
            <w:pPr>
              <w:ind w:left="1760"/>
              <w:spacing w:after="0"/>
              <w:rPr>
                <w:sz w:val="20"/>
                <w:szCs w:val="20"/>
                <w:color w:val="auto"/>
              </w:rPr>
            </w:pPr>
            <w:r>
              <w:rPr>
                <w:rFonts w:ascii="Arial" w:cs="Arial" w:eastAsia="Arial" w:hAnsi="Arial"/>
                <w:sz w:val="18"/>
                <w:szCs w:val="18"/>
                <w:color w:val="auto"/>
              </w:rPr>
              <w:t>S-i</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01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998970" cy="53016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ABOUT THIS PROSPECTUS SUPPLEMENT</w:t>
      </w:r>
    </w:p>
    <w:p>
      <w:pPr>
        <w:spacing w:after="0" w:line="212" w:lineRule="exact"/>
        <w:rPr>
          <w:sz w:val="20"/>
          <w:szCs w:val="20"/>
          <w:color w:val="auto"/>
        </w:rPr>
      </w:pPr>
    </w:p>
    <w:p>
      <w:pPr>
        <w:ind w:left="300" w:right="40" w:firstLine="426"/>
        <w:spacing w:after="0" w:line="242"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Under this shelf registration process, we may from time to time sell our ADSs having an aggregate offering price of up to $50,000,000 under this prospectus supplement at prices and on terms to be determined by market conditions at the time of the offering.</w:t>
      </w:r>
    </w:p>
    <w:p>
      <w:pPr>
        <w:spacing w:after="0" w:line="179" w:lineRule="exact"/>
        <w:rPr>
          <w:sz w:val="20"/>
          <w:szCs w:val="20"/>
          <w:color w:val="auto"/>
        </w:rPr>
      </w:pPr>
    </w:p>
    <w:p>
      <w:pPr>
        <w:ind w:left="300" w:right="180" w:firstLine="426"/>
        <w:spacing w:after="0" w:line="247" w:lineRule="auto"/>
        <w:rPr>
          <w:sz w:val="20"/>
          <w:szCs w:val="20"/>
          <w:color w:val="auto"/>
        </w:rPr>
      </w:pPr>
      <w:r>
        <w:rPr>
          <w:rFonts w:ascii="Arial" w:cs="Arial" w:eastAsia="Arial" w:hAnsi="Arial"/>
          <w:sz w:val="18"/>
          <w:szCs w:val="18"/>
          <w:color w:val="auto"/>
        </w:rPr>
        <w:t>Before buying any of the ADSs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Incorporation by Reference.” These documents contain important information that you should consider when making your investment decision.</w:t>
      </w:r>
    </w:p>
    <w:p>
      <w:pPr>
        <w:spacing w:after="0" w:line="174" w:lineRule="exact"/>
        <w:rPr>
          <w:sz w:val="20"/>
          <w:szCs w:val="20"/>
          <w:color w:val="auto"/>
        </w:rPr>
      </w:pPr>
    </w:p>
    <w:p>
      <w:pPr>
        <w:ind w:left="300" w:right="120" w:firstLine="426"/>
        <w:spacing w:after="0" w:line="242"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w:t>
      </w:r>
    </w:p>
    <w:p>
      <w:pPr>
        <w:spacing w:after="0" w:line="179" w:lineRule="exact"/>
        <w:rPr>
          <w:sz w:val="20"/>
          <w:szCs w:val="20"/>
          <w:color w:val="auto"/>
        </w:rPr>
      </w:pPr>
    </w:p>
    <w:p>
      <w:pPr>
        <w:ind w:left="300" w:firstLine="426"/>
        <w:spacing w:after="0"/>
        <w:rPr>
          <w:sz w:val="20"/>
          <w:szCs w:val="20"/>
          <w:color w:val="auto"/>
        </w:rPr>
      </w:pPr>
      <w:r>
        <w:rPr>
          <w:rFonts w:ascii="Arial" w:cs="Arial" w:eastAsia="Arial" w:hAnsi="Arial"/>
          <w:sz w:val="18"/>
          <w:szCs w:val="18"/>
          <w:color w:val="auto"/>
        </w:rPr>
        <w:t>You should rely only on the information contained in or incorporated by reference in this prospectus supplement and any related free writing prospectus filed by us with the SEC. We have not, and Jefferies LLC has not, authorized anyone to provide you with different information.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0" w:lineRule="exact"/>
        <w:rPr>
          <w:sz w:val="20"/>
          <w:szCs w:val="20"/>
          <w:color w:val="auto"/>
        </w:rPr>
      </w:pPr>
    </w:p>
    <w:p>
      <w:pPr>
        <w:ind w:left="300" w:right="500" w:firstLine="426"/>
        <w:spacing w:after="0" w:line="271"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Incorporation by Reference” in this prospectus supplement.</w:t>
      </w:r>
    </w:p>
    <w:p>
      <w:pPr>
        <w:spacing w:after="0" w:line="154" w:lineRule="exact"/>
        <w:rPr>
          <w:sz w:val="20"/>
          <w:szCs w:val="20"/>
          <w:color w:val="auto"/>
        </w:rPr>
      </w:pPr>
    </w:p>
    <w:p>
      <w:pPr>
        <w:ind w:left="300" w:right="80" w:firstLine="426"/>
        <w:spacing w:after="0" w:line="242" w:lineRule="auto"/>
        <w:rPr>
          <w:sz w:val="20"/>
          <w:szCs w:val="20"/>
          <w:color w:val="auto"/>
        </w:rPr>
      </w:pPr>
      <w:r>
        <w:rPr>
          <w:rFonts w:ascii="Arial" w:cs="Arial" w:eastAsia="Arial" w:hAnsi="Arial"/>
          <w:sz w:val="18"/>
          <w:szCs w:val="18"/>
          <w:color w:val="auto"/>
        </w:rPr>
        <w:t>Throughout this prospectus supplement,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Mereo BioPharma Ireland Limited, Mereo US Holdings Inc. and NAVI Subsidiary, Inc. “Mereo,” the Mereo logo and other trademarks, trade names or service marks of Mereo appearing in this prospectus and the documents incorporated by reference are the property of Mereo.</w:t>
      </w: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jc w:val="both"/>
        <w:ind w:left="300" w:right="40" w:firstLine="426"/>
        <w:spacing w:after="0" w:line="253" w:lineRule="auto"/>
        <w:rPr>
          <w:sz w:val="20"/>
          <w:szCs w:val="20"/>
          <w:color w:val="auto"/>
        </w:rPr>
      </w:pPr>
      <w:r>
        <w:rPr>
          <w:rFonts w:ascii="Arial" w:cs="Arial" w:eastAsia="Arial" w:hAnsi="Arial"/>
          <w:sz w:val="18"/>
          <w:szCs w:val="18"/>
          <w:color w:val="auto"/>
        </w:rPr>
        <w:t>We file reports, proxy statements and other information with the SEC. The SEC maintains a web site that contains reports, proxy and information statements and other information about issuers, such as us, who file electronically with the SEC. The address of that website is http://www.sec.gov.</w:t>
      </w:r>
    </w:p>
    <w:p>
      <w:pPr>
        <w:spacing w:after="0" w:line="169" w:lineRule="exact"/>
        <w:rPr>
          <w:sz w:val="20"/>
          <w:szCs w:val="20"/>
          <w:color w:val="auto"/>
        </w:rPr>
      </w:pPr>
    </w:p>
    <w:p>
      <w:pPr>
        <w:ind w:left="300" w:right="680" w:firstLine="426"/>
        <w:spacing w:after="0" w:line="271"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i w:val="1"/>
          <w:iCs w:val="1"/>
          <w:color w:val="auto"/>
        </w:rPr>
        <w:t>www.mereobiopharma.com</w:t>
      </w:r>
      <w:r>
        <w:rPr>
          <w:rFonts w:ascii="Arial" w:cs="Arial" w:eastAsia="Arial" w:hAnsi="Arial"/>
          <w:sz w:val="18"/>
          <w:szCs w:val="18"/>
          <w:color w:val="auto"/>
        </w:rPr>
        <w:t>. The information on our web site, however, is not, and should not be deemed to be, a part of this prospectus supplement.</w:t>
      </w:r>
    </w:p>
    <w:p>
      <w:pPr>
        <w:spacing w:after="0" w:line="154" w:lineRule="exact"/>
        <w:rPr>
          <w:sz w:val="20"/>
          <w:szCs w:val="20"/>
          <w:color w:val="auto"/>
        </w:rPr>
      </w:pPr>
    </w:p>
    <w:p>
      <w:pPr>
        <w:ind w:left="300" w:right="260" w:firstLine="426"/>
        <w:spacing w:after="0"/>
        <w:rPr>
          <w:sz w:val="20"/>
          <w:szCs w:val="20"/>
          <w:color w:val="auto"/>
        </w:rPr>
      </w:pPr>
      <w:r>
        <w:rPr>
          <w:rFonts w:ascii="Arial" w:cs="Arial" w:eastAsia="Arial" w:hAnsi="Arial"/>
          <w:sz w:val="18"/>
          <w:szCs w:val="18"/>
          <w:color w:val="auto"/>
        </w:rPr>
        <w:t>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Incorporation by Reference</w:t>
      </w:r>
    </w:p>
    <w:p>
      <w:pPr>
        <w:spacing w:after="0" w:line="104"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w:t>
      </w:r>
    </w:p>
    <w:p>
      <w:pPr>
        <w:spacing w:after="0" w:line="85" w:lineRule="exact"/>
        <w:rPr>
          <w:sz w:val="20"/>
          <w:szCs w:val="20"/>
          <w:color w:val="auto"/>
        </w:rPr>
      </w:pPr>
    </w:p>
    <w:p>
      <w:pPr>
        <w:ind w:left="1120" w:hanging="407"/>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 filed with the SEC on March 27, 2024.</w:t>
      </w:r>
    </w:p>
    <w:p>
      <w:pPr>
        <w:spacing w:after="0" w:line="103" w:lineRule="exact"/>
        <w:rPr>
          <w:rFonts w:ascii="Arial" w:cs="Arial" w:eastAsia="Arial" w:hAnsi="Arial"/>
          <w:sz w:val="18"/>
          <w:szCs w:val="18"/>
          <w:color w:val="auto"/>
        </w:rPr>
      </w:pPr>
    </w:p>
    <w:p>
      <w:pPr>
        <w:ind w:left="1120" w:hanging="407"/>
        <w:spacing w:after="0" w:line="209"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2024, filed with the SEC on May 15, 2024.</w:t>
      </w:r>
    </w:p>
    <w:p>
      <w:pPr>
        <w:spacing w:after="0" w:line="103" w:lineRule="exact"/>
        <w:rPr>
          <w:rFonts w:ascii="Arial" w:cs="Arial" w:eastAsia="Arial" w:hAnsi="Arial"/>
          <w:sz w:val="18"/>
          <w:szCs w:val="18"/>
          <w:color w:val="auto"/>
        </w:rPr>
      </w:pPr>
    </w:p>
    <w:p>
      <w:pPr>
        <w:ind w:left="1120" w:hanging="407"/>
        <w:spacing w:after="0" w:line="209"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30">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April 15, 2024.</w:t>
      </w:r>
    </w:p>
    <w:p>
      <w:pPr>
        <w:spacing w:after="0" w:line="103" w:lineRule="exact"/>
        <w:rPr>
          <w:rFonts w:ascii="Arial" w:cs="Arial" w:eastAsia="Arial" w:hAnsi="Arial"/>
          <w:sz w:val="18"/>
          <w:szCs w:val="18"/>
          <w:color w:val="auto"/>
        </w:rPr>
      </w:pPr>
    </w:p>
    <w:p>
      <w:pPr>
        <w:ind w:left="1120" w:right="240" w:hanging="407"/>
        <w:spacing w:after="0" w:line="22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and ADSs contained in our amended registration statement on </w:t>
      </w:r>
      <w:hyperlink r:id="rId3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December 18, 2023 and any amendment or report filed with the SEC for the purpose of updating the description including without limitation, </w:t>
      </w:r>
      <w:hyperlink r:id="rId32">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2023, filed with the SEC on March 27, 2024.</w:t>
      </w:r>
    </w:p>
    <w:p>
      <w:pPr>
        <w:spacing w:after="0" w:line="181" w:lineRule="exact"/>
        <w:rPr>
          <w:rFonts w:ascii="MS PGothic" w:cs="MS PGothic" w:eastAsia="MS PGothic" w:hAnsi="MS PGothic"/>
          <w:sz w:val="25"/>
          <w:szCs w:val="25"/>
          <w:color w:val="auto"/>
          <w:vertAlign w:val="superscript"/>
        </w:rPr>
      </w:pPr>
    </w:p>
    <w:p>
      <w:pPr>
        <w:ind w:left="300" w:firstLine="426"/>
        <w:spacing w:after="0" w:line="24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and deemed to be part of this prospectus supplement from the date of the filing of such reports and documents.</w:t>
      </w:r>
    </w:p>
    <w:p>
      <w:pPr>
        <w:spacing w:after="0" w:line="284" w:lineRule="exact"/>
        <w:rPr>
          <w:rFonts w:ascii="MS PGothic" w:cs="MS PGothic" w:eastAsia="MS PGothic" w:hAnsi="MS PGothic"/>
          <w:sz w:val="25"/>
          <w:szCs w:val="25"/>
          <w:color w:val="auto"/>
          <w:vertAlign w:val="superscript"/>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320" w:top="455" w:right="6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666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998970" cy="16668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firstLine="426"/>
        <w:spacing w:after="0" w:line="271" w:lineRule="auto"/>
        <w:rPr>
          <w:sz w:val="20"/>
          <w:szCs w:val="20"/>
          <w:color w:val="auto"/>
        </w:rPr>
      </w:pPr>
      <w:r>
        <w:rPr>
          <w:rFonts w:ascii="Arial" w:cs="Arial" w:eastAsia="Arial" w:hAnsi="Arial"/>
          <w:sz w:val="18"/>
          <w:szCs w:val="18"/>
          <w:color w:val="auto"/>
        </w:rPr>
        <w:t>You may request a free copy of any of the documents incorporated by reference in this prospectus supplement by writing or telephoning us at:</w:t>
      </w:r>
    </w:p>
    <w:p>
      <w:pPr>
        <w:spacing w:after="0" w:line="154"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Mereo BioPharma Group plc</w:t>
      </w:r>
    </w:p>
    <w:p>
      <w:pPr>
        <w:jc w:val="center"/>
        <w:ind w:right="-679"/>
        <w:spacing w:after="0" w:line="180" w:lineRule="auto"/>
        <w:rPr>
          <w:sz w:val="20"/>
          <w:szCs w:val="20"/>
          <w:color w:val="auto"/>
        </w:rPr>
      </w:pPr>
      <w:r>
        <w:rPr>
          <w:rFonts w:ascii="Arial" w:cs="Arial" w:eastAsia="Arial" w:hAnsi="Arial"/>
          <w:sz w:val="17"/>
          <w:szCs w:val="17"/>
          <w:color w:val="auto"/>
        </w:rPr>
        <w:t>One Cavendish Place, 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w:t>
      </w:r>
    </w:p>
    <w:p>
      <w:pPr>
        <w:jc w:val="center"/>
        <w:ind w:right="-679"/>
        <w:spacing w:after="0" w:line="235" w:lineRule="auto"/>
        <w:rPr>
          <w:sz w:val="20"/>
          <w:szCs w:val="20"/>
          <w:color w:val="auto"/>
        </w:rPr>
      </w:pPr>
      <w:r>
        <w:rPr>
          <w:rFonts w:ascii="Arial" w:cs="Arial" w:eastAsia="Arial" w:hAnsi="Arial"/>
          <w:sz w:val="18"/>
          <w:szCs w:val="18"/>
          <w:color w:val="auto"/>
        </w:rPr>
        <w:t>London, W1G 0QF</w:t>
      </w:r>
    </w:p>
    <w:p>
      <w:pPr>
        <w:jc w:val="center"/>
        <w:ind w:right="-679"/>
        <w:spacing w:after="0" w:line="235" w:lineRule="auto"/>
        <w:rPr>
          <w:sz w:val="20"/>
          <w:szCs w:val="20"/>
          <w:color w:val="auto"/>
        </w:rPr>
      </w:pPr>
      <w:r>
        <w:rPr>
          <w:rFonts w:ascii="Arial" w:cs="Arial" w:eastAsia="Arial" w:hAnsi="Arial"/>
          <w:sz w:val="18"/>
          <w:szCs w:val="18"/>
          <w:color w:val="auto"/>
        </w:rPr>
        <w:t>United Kingdom</w:t>
      </w:r>
    </w:p>
    <w:p>
      <w:pPr>
        <w:jc w:val="center"/>
        <w:ind w:right="-679"/>
        <w:spacing w:after="0"/>
        <w:rPr>
          <w:sz w:val="20"/>
          <w:szCs w:val="20"/>
          <w:color w:val="auto"/>
        </w:rPr>
      </w:pPr>
      <w:r>
        <w:rPr>
          <w:rFonts w:ascii="Arial" w:cs="Arial" w:eastAsia="Arial" w:hAnsi="Arial"/>
          <w:sz w:val="18"/>
          <w:szCs w:val="18"/>
          <w:color w:val="auto"/>
        </w:rPr>
        <w:t>+44 333 023 7300</w:t>
      </w:r>
    </w:p>
    <w:p>
      <w:pPr>
        <w:spacing w:after="0" w:line="194" w:lineRule="exact"/>
        <w:rPr>
          <w:sz w:val="20"/>
          <w:szCs w:val="20"/>
          <w:color w:val="auto"/>
        </w:rPr>
      </w:pPr>
    </w:p>
    <w:p>
      <w:pPr>
        <w:ind w:left="300" w:firstLine="426"/>
        <w:spacing w:after="0" w:line="271"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supplement.</w:t>
      </w:r>
    </w:p>
    <w:p>
      <w:pPr>
        <w:spacing w:after="0" w:line="2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580"/>
          </w:cols>
          <w:pgMar w:left="320" w:top="455"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357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998970" cy="4135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COMPANY</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300" w:right="520" w:firstLine="426"/>
        <w:spacing w:after="0"/>
        <w:rPr>
          <w:sz w:val="20"/>
          <w:szCs w:val="20"/>
          <w:color w:val="auto"/>
        </w:rPr>
      </w:pPr>
      <w:r>
        <w:rPr>
          <w:rFonts w:ascii="Arial" w:cs="Arial" w:eastAsia="Arial" w:hAnsi="Arial"/>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primarily for the treatment of severe alpha-1 antitrypsin deficiency-associated lung disease (AATD-LD). Setrusumab has received orphan designation for OI from the European Medicines Agency (EMA) and the U.S. Food and Drug Administration (FDA), PRIME designation from the EMA and has rare pediatric disease designation from the FDA. Alvelestat has received U.S. Orphan Drug Designation for the treatment of AATD and Fast Track designation for the treatment of AATD-LD.</w:t>
      </w:r>
    </w:p>
    <w:p>
      <w:pPr>
        <w:spacing w:after="0" w:line="185"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7"/>
          <w:szCs w:val="17"/>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the Merger. We have successfully completed large, randomized Phase 2 clinical trials for four of our product candidates and the Phase 1b portion of a Phase 1b/2 for a fifth product candidate.</w:t>
      </w:r>
    </w:p>
    <w:p>
      <w:pPr>
        <w:spacing w:after="0" w:line="165" w:lineRule="exact"/>
        <w:rPr>
          <w:sz w:val="20"/>
          <w:szCs w:val="20"/>
          <w:color w:val="auto"/>
        </w:rPr>
      </w:pPr>
    </w:p>
    <w:p>
      <w:pPr>
        <w:ind w:left="300" w:firstLine="426"/>
        <w:spacing w:after="0" w:line="261" w:lineRule="auto"/>
        <w:rPr>
          <w:sz w:val="20"/>
          <w:szCs w:val="20"/>
          <w:color w:val="auto"/>
        </w:rPr>
      </w:pPr>
      <w:r>
        <w:rPr>
          <w:rFonts w:ascii="Arial" w:cs="Arial" w:eastAsia="Arial" w:hAnsi="Arial"/>
          <w:sz w:val="17"/>
          <w:szCs w:val="17"/>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ind w:left="300" w:right="40" w:firstLine="426"/>
        <w:spacing w:after="0" w:line="220" w:lineRule="auto"/>
        <w:rPr>
          <w:sz w:val="20"/>
          <w:szCs w:val="20"/>
          <w:color w:val="auto"/>
        </w:rPr>
      </w:pPr>
      <w:r>
        <w:rPr>
          <w:rFonts w:ascii="Arial" w:cs="Arial" w:eastAsia="Arial" w:hAnsi="Arial"/>
          <w:sz w:val="18"/>
          <w:szCs w:val="18"/>
          <w:color w:val="auto"/>
        </w:rPr>
        <w:t>Our registered office address is One Cavendish Place,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London, W1G 0QF, United Kingdom and our telephone number is +44 333 023 7300. Our website address is www.mereobiopharma.com. The information contained on, or that can be accessed from, our website does not form part of this prospectus. Our agent for service of process in the United States is Mereo US Holdings Inc.</w:t>
      </w: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5" w:right="6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20"/>
        </w:trPr>
        <w:tc>
          <w:tcPr>
            <w:tcW w:w="3920" w:type="dxa"/>
            <w:vAlign w:val="bottom"/>
            <w:tcBorders>
              <w:top w:val="single" w:sz="8" w:color="auto"/>
              <w:left w:val="single" w:sz="8" w:color="auto"/>
            </w:tcBorders>
          </w:tcPr>
          <w:p>
            <w:pPr>
              <w:spacing w:after="0"/>
              <w:rPr>
                <w:sz w:val="24"/>
                <w:szCs w:val="24"/>
                <w:color w:val="auto"/>
              </w:rPr>
            </w:pPr>
          </w:p>
        </w:tc>
        <w:tc>
          <w:tcPr>
            <w:tcW w:w="710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THE OFFERING</w:t>
            </w:r>
          </w:p>
        </w:tc>
      </w:tr>
      <w:tr>
        <w:trPr>
          <w:trHeight w:val="438"/>
        </w:trPr>
        <w:tc>
          <w:tcPr>
            <w:tcW w:w="3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us</w:t>
            </w:r>
          </w:p>
        </w:tc>
        <w:tc>
          <w:tcPr>
            <w:tcW w:w="71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ADSs having an aggregate offering price of up to $50,000,000.</w:t>
            </w:r>
          </w:p>
        </w:tc>
      </w:tr>
      <w:tr>
        <w:trPr>
          <w:trHeight w:val="423"/>
        </w:trPr>
        <w:tc>
          <w:tcPr>
            <w:tcW w:w="3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Plan of Distribution</w:t>
            </w:r>
          </w:p>
        </w:tc>
        <w:tc>
          <w:tcPr>
            <w:tcW w:w="71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“At the market offering” that may be made from time to time through</w:t>
            </w:r>
          </w:p>
        </w:tc>
      </w:tr>
      <w:tr>
        <w:trPr>
          <w:trHeight w:val="203"/>
        </w:trPr>
        <w:tc>
          <w:tcPr>
            <w:tcW w:w="3920" w:type="dxa"/>
            <w:vAlign w:val="bottom"/>
            <w:tcBorders>
              <w:left w:val="single" w:sz="8" w:color="auto"/>
            </w:tcBorders>
          </w:tcPr>
          <w:p>
            <w:pPr>
              <w:spacing w:after="0"/>
              <w:rPr>
                <w:sz w:val="17"/>
                <w:szCs w:val="17"/>
                <w:color w:val="auto"/>
              </w:rPr>
            </w:pPr>
          </w:p>
        </w:tc>
        <w:tc>
          <w:tcPr>
            <w:tcW w:w="7100" w:type="dxa"/>
            <w:vAlign w:val="bottom"/>
            <w:tcBorders>
              <w:right w:val="single" w:sz="8" w:color="auto"/>
            </w:tcBorders>
          </w:tcPr>
          <w:p>
            <w:pPr>
              <w:ind w:left="1460"/>
              <w:spacing w:after="0" w:line="202" w:lineRule="exact"/>
              <w:rPr>
                <w:sz w:val="20"/>
                <w:szCs w:val="20"/>
                <w:color w:val="auto"/>
              </w:rPr>
            </w:pPr>
            <w:r>
              <w:rPr>
                <w:rFonts w:ascii="Arial" w:cs="Arial" w:eastAsia="Arial" w:hAnsi="Arial"/>
                <w:sz w:val="18"/>
                <w:szCs w:val="18"/>
                <w:color w:val="auto"/>
              </w:rPr>
              <w:t>our sales agent, Jefferies. See “Plan of Distribution” on page S-12 of</w:t>
            </w:r>
          </w:p>
        </w:tc>
      </w:tr>
      <w:tr>
        <w:trPr>
          <w:trHeight w:val="239"/>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this prospectus supplement.</w:t>
            </w:r>
          </w:p>
        </w:tc>
      </w:tr>
      <w:tr>
        <w:trPr>
          <w:trHeight w:val="409"/>
        </w:trPr>
        <w:tc>
          <w:tcPr>
            <w:tcW w:w="3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1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We intend to use the net proceeds from this offering, if any, for</w:t>
            </w:r>
          </w:p>
        </w:tc>
      </w:tr>
      <w:tr>
        <w:trPr>
          <w:trHeight w:val="203"/>
        </w:trPr>
        <w:tc>
          <w:tcPr>
            <w:tcW w:w="3920" w:type="dxa"/>
            <w:vAlign w:val="bottom"/>
            <w:tcBorders>
              <w:left w:val="single" w:sz="8" w:color="auto"/>
            </w:tcBorders>
          </w:tcPr>
          <w:p>
            <w:pPr>
              <w:spacing w:after="0"/>
              <w:rPr>
                <w:sz w:val="17"/>
                <w:szCs w:val="17"/>
                <w:color w:val="auto"/>
              </w:rPr>
            </w:pPr>
          </w:p>
        </w:tc>
        <w:tc>
          <w:tcPr>
            <w:tcW w:w="7100" w:type="dxa"/>
            <w:vAlign w:val="bottom"/>
            <w:tcBorders>
              <w:right w:val="single" w:sz="8" w:color="auto"/>
            </w:tcBorders>
          </w:tcPr>
          <w:p>
            <w:pPr>
              <w:ind w:left="1460"/>
              <w:spacing w:after="0" w:line="202" w:lineRule="exact"/>
              <w:rPr>
                <w:sz w:val="20"/>
                <w:szCs w:val="20"/>
                <w:color w:val="auto"/>
              </w:rPr>
            </w:pPr>
            <w:r>
              <w:rPr>
                <w:rFonts w:ascii="Arial" w:cs="Arial" w:eastAsia="Arial" w:hAnsi="Arial"/>
                <w:sz w:val="18"/>
                <w:szCs w:val="18"/>
                <w:color w:val="auto"/>
              </w:rPr>
              <w:t>general corporate purposes, which may include research and</w:t>
            </w:r>
          </w:p>
        </w:tc>
      </w:tr>
      <w:tr>
        <w:trPr>
          <w:trHeight w:val="203"/>
        </w:trPr>
        <w:tc>
          <w:tcPr>
            <w:tcW w:w="3920" w:type="dxa"/>
            <w:vAlign w:val="bottom"/>
            <w:tcBorders>
              <w:left w:val="single" w:sz="8" w:color="auto"/>
            </w:tcBorders>
          </w:tcPr>
          <w:p>
            <w:pPr>
              <w:spacing w:after="0"/>
              <w:rPr>
                <w:sz w:val="17"/>
                <w:szCs w:val="17"/>
                <w:color w:val="auto"/>
              </w:rPr>
            </w:pPr>
          </w:p>
        </w:tc>
        <w:tc>
          <w:tcPr>
            <w:tcW w:w="7100" w:type="dxa"/>
            <w:vAlign w:val="bottom"/>
            <w:tcBorders>
              <w:right w:val="single" w:sz="8" w:color="auto"/>
            </w:tcBorders>
          </w:tcPr>
          <w:p>
            <w:pPr>
              <w:ind w:left="1460"/>
              <w:spacing w:after="0" w:line="202" w:lineRule="exact"/>
              <w:rPr>
                <w:sz w:val="20"/>
                <w:szCs w:val="20"/>
                <w:color w:val="auto"/>
              </w:rPr>
            </w:pPr>
            <w:r>
              <w:rPr>
                <w:rFonts w:ascii="Arial" w:cs="Arial" w:eastAsia="Arial" w:hAnsi="Arial"/>
                <w:sz w:val="18"/>
                <w:szCs w:val="18"/>
                <w:color w:val="auto"/>
              </w:rPr>
              <w:t>development expenses, working capital and general and</w:t>
            </w:r>
          </w:p>
        </w:tc>
      </w:tr>
      <w:tr>
        <w:trPr>
          <w:trHeight w:val="203"/>
        </w:trPr>
        <w:tc>
          <w:tcPr>
            <w:tcW w:w="3920" w:type="dxa"/>
            <w:vAlign w:val="bottom"/>
            <w:tcBorders>
              <w:left w:val="single" w:sz="8" w:color="auto"/>
            </w:tcBorders>
          </w:tcPr>
          <w:p>
            <w:pPr>
              <w:spacing w:after="0"/>
              <w:rPr>
                <w:sz w:val="17"/>
                <w:szCs w:val="17"/>
                <w:color w:val="auto"/>
              </w:rPr>
            </w:pPr>
          </w:p>
        </w:tc>
        <w:tc>
          <w:tcPr>
            <w:tcW w:w="7100" w:type="dxa"/>
            <w:vAlign w:val="bottom"/>
            <w:tcBorders>
              <w:right w:val="single" w:sz="8" w:color="auto"/>
            </w:tcBorders>
          </w:tcPr>
          <w:p>
            <w:pPr>
              <w:ind w:left="1460"/>
              <w:spacing w:after="0" w:line="202" w:lineRule="exact"/>
              <w:rPr>
                <w:sz w:val="20"/>
                <w:szCs w:val="20"/>
                <w:color w:val="auto"/>
              </w:rPr>
            </w:pPr>
            <w:r>
              <w:rPr>
                <w:rFonts w:ascii="Arial" w:cs="Arial" w:eastAsia="Arial" w:hAnsi="Arial"/>
                <w:sz w:val="18"/>
                <w:szCs w:val="18"/>
                <w:color w:val="auto"/>
              </w:rPr>
              <w:t>administrative expenses. See “Use of Proceeds” on page S-9 of this</w:t>
            </w:r>
          </w:p>
        </w:tc>
      </w:tr>
      <w:tr>
        <w:trPr>
          <w:trHeight w:val="239"/>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prospectus supplement.</w:t>
            </w:r>
          </w:p>
        </w:tc>
      </w:tr>
      <w:tr>
        <w:trPr>
          <w:trHeight w:val="409"/>
        </w:trPr>
        <w:tc>
          <w:tcPr>
            <w:tcW w:w="3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1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You should read the “Risk Factors” section beginning on page S-6</w:t>
            </w:r>
          </w:p>
        </w:tc>
      </w:tr>
      <w:tr>
        <w:trPr>
          <w:trHeight w:val="203"/>
        </w:trPr>
        <w:tc>
          <w:tcPr>
            <w:tcW w:w="3920" w:type="dxa"/>
            <w:vAlign w:val="bottom"/>
            <w:tcBorders>
              <w:left w:val="single" w:sz="8" w:color="auto"/>
            </w:tcBorders>
          </w:tcPr>
          <w:p>
            <w:pPr>
              <w:spacing w:after="0"/>
              <w:rPr>
                <w:sz w:val="17"/>
                <w:szCs w:val="17"/>
                <w:color w:val="auto"/>
              </w:rPr>
            </w:pPr>
          </w:p>
        </w:tc>
        <w:tc>
          <w:tcPr>
            <w:tcW w:w="7100" w:type="dxa"/>
            <w:vAlign w:val="bottom"/>
            <w:tcBorders>
              <w:right w:val="single" w:sz="8" w:color="auto"/>
            </w:tcBorders>
          </w:tcPr>
          <w:p>
            <w:pPr>
              <w:ind w:left="1460"/>
              <w:spacing w:after="0" w:line="202" w:lineRule="exact"/>
              <w:rPr>
                <w:sz w:val="20"/>
                <w:szCs w:val="20"/>
                <w:color w:val="auto"/>
              </w:rPr>
            </w:pPr>
            <w:r>
              <w:rPr>
                <w:rFonts w:ascii="Arial" w:cs="Arial" w:eastAsia="Arial" w:hAnsi="Arial"/>
                <w:sz w:val="18"/>
                <w:szCs w:val="18"/>
                <w:color w:val="auto"/>
              </w:rPr>
              <w:t>of this prospectus supplement for a discussion of factors to consider</w:t>
            </w:r>
          </w:p>
        </w:tc>
      </w:tr>
      <w:tr>
        <w:trPr>
          <w:trHeight w:val="239"/>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carefully before deciding to purchase our ADSs.</w:t>
            </w:r>
          </w:p>
        </w:tc>
      </w:tr>
      <w:tr>
        <w:trPr>
          <w:trHeight w:val="445"/>
        </w:trPr>
        <w:tc>
          <w:tcPr>
            <w:tcW w:w="3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The Nasdaq Capital Market Symbol</w:t>
            </w:r>
          </w:p>
        </w:tc>
        <w:tc>
          <w:tcPr>
            <w:tcW w:w="71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MREO</w:t>
            </w:r>
          </w:p>
        </w:tc>
      </w:tr>
      <w:tr>
        <w:trPr>
          <w:trHeight w:val="155"/>
        </w:trPr>
        <w:tc>
          <w:tcPr>
            <w:tcW w:w="3920" w:type="dxa"/>
            <w:vAlign w:val="bottom"/>
            <w:tcBorders>
              <w:left w:val="single" w:sz="8" w:color="auto"/>
              <w:bottom w:val="single" w:sz="8" w:color="auto"/>
            </w:tcBorders>
          </w:tcPr>
          <w:p>
            <w:pPr>
              <w:spacing w:after="0"/>
              <w:rPr>
                <w:sz w:val="13"/>
                <w:szCs w:val="13"/>
                <w:color w:val="auto"/>
              </w:rPr>
            </w:pPr>
          </w:p>
        </w:tc>
        <w:tc>
          <w:tcPr>
            <w:tcW w:w="7100" w:type="dxa"/>
            <w:vAlign w:val="bottom"/>
            <w:tcBorders>
              <w:bottom w:val="single" w:sz="8" w:color="auto"/>
              <w:right w:val="single" w:sz="8" w:color="auto"/>
            </w:tcBorders>
          </w:tcPr>
          <w:p>
            <w:pPr>
              <w:spacing w:after="0"/>
              <w:rPr>
                <w:sz w:val="13"/>
                <w:szCs w:val="13"/>
                <w:color w:val="auto"/>
              </w:rPr>
            </w:pPr>
          </w:p>
        </w:tc>
      </w:tr>
      <w:tr>
        <w:trPr>
          <w:trHeight w:val="365"/>
        </w:trPr>
        <w:tc>
          <w:tcPr>
            <w:tcW w:w="3920" w:type="dxa"/>
            <w:vAlign w:val="bottom"/>
          </w:tcPr>
          <w:p>
            <w:pPr>
              <w:spacing w:after="0"/>
              <w:rPr>
                <w:sz w:val="24"/>
                <w:szCs w:val="24"/>
                <w:color w:val="auto"/>
              </w:rPr>
            </w:pPr>
          </w:p>
        </w:tc>
        <w:tc>
          <w:tcPr>
            <w:tcW w:w="7100" w:type="dxa"/>
            <w:vAlign w:val="bottom"/>
          </w:tcPr>
          <w:p>
            <w:pPr>
              <w:ind w:left="14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right="80" w:firstLine="440"/>
        <w:spacing w:after="0" w:line="241" w:lineRule="auto"/>
        <w:rPr>
          <w:sz w:val="20"/>
          <w:szCs w:val="20"/>
          <w:color w:val="auto"/>
        </w:rPr>
      </w:pPr>
      <w:r>
        <w:rPr>
          <w:rFonts w:ascii="Arial" w:cs="Arial" w:eastAsia="Arial" w:hAnsi="Arial"/>
          <w:sz w:val="18"/>
          <w:szCs w:val="18"/>
          <w:i w:val="1"/>
          <w:iCs w:val="1"/>
          <w:color w:val="auto"/>
        </w:rPr>
        <w:t>Investment in any securities offered pursuant to this prospectus supplement and the accompanying base prospectus involves risks. You should carefully consider the risk factors described below and in our Annual Report on Form 10-K for the fiscal year ended December 31, 2023 incorporated by reference in this prospectus supplement, any amendment or update thereto reflected in subsequent filings with the SEC, including in our Annual Reports on Form 10-K and Quarterly Reports on Form 10-Q, and all other information contained or incorporated by reference in this prospectus supplement, as updated by our subsequent filings under the Exchange Act. The occurrence of any of these risks might cause you to lose all or part of your investment in the offered securities.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in the book value per share of the ADSs purchased in the offering.</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ADSs sold in this offering, if any, will be sold from time to time at various prices. However, we expect that the offering price of our ADSs will be substantially higher than the net tangible book value per ADS prior to this offering. After giving effect to the assumed sale of ADSs in the aggregate amount of $50.0 million at an assumed offering price of $2.97 per ADS, the last reported sale price of our ADSs on May 13, 2024 on The Nasdaq Capital Market (“Nasdaq”), and after deducting commissions and estimated offering expenses, our as adjusted net tangible book value as of March 31, 2024 would have been $90.1 million or $0.11 per ordinary share. This represents an immediate increase in net tangible book value of approximately $0.27 per ADS to our existing shareholders and an immediate dilution in as adjusted net tangible book value of $2.40 per ADS to purchasers of ADSs in this offering. To the extent outstanding share options or warrants are exercised, there will be further dilution to new investors. In addition, to the extent we need to raise additional capital in the future and we issue additional ADSs or securities convertible or exchangeable for our ordinary shares or ADSs, our then existing shareholders may experience dilution and the new securities may have rights senior to those of our ADSs offered in this offering. See the section titled “Dilution” for a more detailed illustration of the dilution you would incur if you participate in this offering.</w:t>
      </w:r>
    </w:p>
    <w:p>
      <w:pPr>
        <w:spacing w:after="0" w:line="188" w:lineRule="exact"/>
        <w:rPr>
          <w:sz w:val="20"/>
          <w:szCs w:val="20"/>
          <w:color w:val="auto"/>
        </w:rPr>
      </w:pPr>
    </w:p>
    <w:p>
      <w:pPr>
        <w:ind w:left="120" w:right="900"/>
        <w:spacing w:after="0" w:line="278" w:lineRule="auto"/>
        <w:rPr>
          <w:sz w:val="20"/>
          <w:szCs w:val="20"/>
          <w:color w:val="auto"/>
        </w:rPr>
      </w:pPr>
      <w:r>
        <w:rPr>
          <w:rFonts w:ascii="Arial" w:cs="Arial" w:eastAsia="Arial" w:hAnsi="Arial"/>
          <w:sz w:val="18"/>
          <w:szCs w:val="18"/>
          <w:b w:val="1"/>
          <w:bCs w:val="1"/>
          <w:i w:val="1"/>
          <w:iCs w:val="1"/>
          <w:color w:val="auto"/>
        </w:rPr>
        <w:t>The ADSs offered under this prospectus supplement and the accompanying prospectus may be sold in “at-the-market offerings,” and investors who buy ADSs at different times will likely pay different prices.</w:t>
      </w:r>
    </w:p>
    <w:p>
      <w:pPr>
        <w:spacing w:after="0" w:line="31" w:lineRule="exact"/>
        <w:rPr>
          <w:sz w:val="20"/>
          <w:szCs w:val="20"/>
          <w:color w:val="auto"/>
        </w:rPr>
      </w:pPr>
    </w:p>
    <w:p>
      <w:pPr>
        <w:ind w:left="120" w:right="140" w:firstLine="440"/>
        <w:spacing w:after="0" w:line="244" w:lineRule="auto"/>
        <w:rPr>
          <w:sz w:val="20"/>
          <w:szCs w:val="20"/>
          <w:color w:val="auto"/>
        </w:rPr>
      </w:pPr>
      <w:r>
        <w:rPr>
          <w:rFonts w:ascii="Arial" w:cs="Arial" w:eastAsia="Arial" w:hAnsi="Arial"/>
          <w:sz w:val="18"/>
          <w:szCs w:val="18"/>
          <w:color w:val="auto"/>
        </w:rPr>
        <w:t>Investors who purchase ADSs under this prospectus supplement and the accompanying prospectus at different times will likely pay different prices, and so may experience different outcomes in their investment results. We will have discretion, subject to market demand and the terms of the sales agreement, to vary the timing, prices, and numbers of ADSs sold, and there is no minimum or maximum sales price. Investors may experience declines in the value of their shares as a result of ADS sales made at prices lower than the prices they paid.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actual number of ADSs we sell, if any, under the sales agreement and the resulting gross proceeds is uncertain.</w:t>
      </w:r>
    </w:p>
    <w:p>
      <w:pPr>
        <w:spacing w:after="0" w:line="10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sales notice to Jefferies at any time throughout the term of the sales agreement. The number of ADSs that are sold by Jefferies after delivering a sales notice will fluctuate based on the market price of ADSs during the sales period and limits we set with Jefferies, as well as any limits under applicable law or exchange listing rules. Because the price per each ADS sold, if any, will fluctuate based on the market price of the ADSs during the terms of the sales agreement, it is not possible at this stage to predict the number of ADSs that will ultimately be issued, if any.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we may not use them effectively.</w:t>
      </w:r>
    </w:p>
    <w:p>
      <w:pPr>
        <w:spacing w:after="0" w:line="102" w:lineRule="exact"/>
        <w:rPr>
          <w:sz w:val="20"/>
          <w:szCs w:val="20"/>
          <w:color w:val="auto"/>
        </w:rPr>
      </w:pPr>
    </w:p>
    <w:p>
      <w:pPr>
        <w:ind w:left="120" w:right="320" w:firstLine="440"/>
        <w:spacing w:after="0" w:line="244" w:lineRule="auto"/>
        <w:rPr>
          <w:sz w:val="20"/>
          <w:szCs w:val="20"/>
          <w:color w:val="auto"/>
        </w:rPr>
      </w:pPr>
      <w:r>
        <w:rPr>
          <w:rFonts w:ascii="Arial" w:cs="Arial" w:eastAsia="Arial" w:hAnsi="Arial"/>
          <w:sz w:val="18"/>
          <w:szCs w:val="18"/>
          <w:color w:val="auto"/>
        </w:rPr>
        <w:t>We currently intend to use the net proceeds from this offering as described in “Use of Proceeds.” However, our board of directors and our management retains broad discretion in the application of the net proceeds from this offering and could spend the proceeds in ways that do not improve our results of operations or enhance the value of our ADSs. Our failure to apply these funds effectively could result in financial losses, which could have a material adverse effect on our business, results of operations, financial condition and prospects.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ADSs could depress the market price of ADSs.</w:t>
      </w:r>
    </w:p>
    <w:p>
      <w:pPr>
        <w:spacing w:after="0" w:line="10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If holders of ADSs sell, or indicate an intent to sell, substantial amounts of ADSs in the public markets, the trading price of our ADSs could decline significantly. These sales might also make it more difficult for us to sell equity securities at a time and price that we otherwise would deem appropriate.</w:t>
      </w:r>
    </w:p>
    <w:p>
      <w:pPr>
        <w:spacing w:after="0" w:line="171" w:lineRule="exact"/>
        <w:rPr>
          <w:sz w:val="20"/>
          <w:szCs w:val="20"/>
          <w:color w:val="auto"/>
        </w:rPr>
      </w:pPr>
    </w:p>
    <w:p>
      <w:pPr>
        <w:ind w:left="120" w:right="90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ADSs or ordinary shares in the foreseeable future, capital appreciation, if any, will be your sole source of gains and you may never receive a return on your investment.</w:t>
      </w:r>
    </w:p>
    <w:p>
      <w:pPr>
        <w:spacing w:after="0" w:line="31"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Further, we intend to retain future earnings, if any, for use in our business and do not anticipate paying any cash dividends in the foreseeable future. As a result, capital appreciation, if any, on ADSs or ordinary shares will be your sole source of gains for the foreseeable future.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02"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In order to raise additional capital, we may in the future offer additional ADSs. We cannot assure you that we will be able to sell ADSs or other securities in any other offering at a price per ADS that is equal to or greater than the price per ADS paid by investors in this offering, and investors purchasing ADSs or other securities in the future could have rights superior to existing shareholders. The price per ADS at which we sell additional ADSs in future transactions may be higher or lower than the price per ADS in this offering.</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supplement, the accompanying base prospectus and the documents incorporated by reference herein and therein and any free writing prospectus that we have authorized for use in connection with this offering contain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words such as “believe,” “may,” “will,” “estimate,” “continue,” “anticipate,” “intend,” “expect” or the negative of these words or other comparable terminology.</w:t>
      </w:r>
    </w:p>
    <w:p>
      <w:pPr>
        <w:spacing w:after="0" w:line="180"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Any forward-looking statements in this prospectus supplement, the accompanying base prospectus and the documents incorporated by reference herein and therein and any free writing prospectus that we have authorized for use in connection with this offering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“Risk Factors” and elsewhere in this prospectus supplement.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This prospectus supplement, the accompanying base prospectus and the documents incorporated by reference herein and therein and any free writing prospectus that we have authorized for use in connection with this offering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may issue and sell our ADSs having aggregate sales proceeds of up to $50,000,000 from time to time. Because there is no minimum offering amount required as a condition to close this offering, the actual total public offering amount, commissions and proceeds to us, if any, are not determinable at this time. We intend to use the net proceeds from this offering, if any, for general corporate purposes, which may include research and development expenses, working capital and general and administrative expenses. Our expected use of net proceeds from this offering represents our current intentions based upon our present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We have never paid or declared any cash dividends on our ordinary shares or ADSs, and we do not anticipate paying any cash dividends on our ordinary shares or ADSs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60"/>
          </w:cols>
          <w:pgMar w:left="320" w:top="455"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2"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If you invest in our ADSs, your interest will be diluted to the extent of the difference between the price per ADS you pay in this offering and the net tangible book value per ADS immediately after this offering.</w:t>
      </w:r>
    </w:p>
    <w:p>
      <w:pPr>
        <w:spacing w:after="0" w:line="154" w:lineRule="exact"/>
        <w:rPr>
          <w:sz w:val="20"/>
          <w:szCs w:val="20"/>
          <w:color w:val="auto"/>
        </w:rPr>
      </w:pPr>
    </w:p>
    <w:p>
      <w:pPr>
        <w:jc w:val="both"/>
        <w:ind w:left="120" w:right="140" w:firstLine="440"/>
        <w:spacing w:after="0" w:line="253" w:lineRule="auto"/>
        <w:rPr>
          <w:sz w:val="20"/>
          <w:szCs w:val="20"/>
          <w:color w:val="auto"/>
        </w:rPr>
      </w:pPr>
      <w:r>
        <w:rPr>
          <w:rFonts w:ascii="Arial" w:cs="Arial" w:eastAsia="Arial" w:hAnsi="Arial"/>
          <w:sz w:val="18"/>
          <w:szCs w:val="18"/>
          <w:color w:val="auto"/>
        </w:rPr>
        <w:t>As of March 31, 2024, our net tangible book value was $41.9 million, or $0.06 per ordinary share, equivalent to $0.30 per ADS, with each ADS representing 5 ordinary shares. Net tangible book value per ordinary share is equal to our total assets minus intangible assets and total liabilities, divided by 701,349,434, the total number of ordinary shares issued as of March 31, 2024.</w:t>
      </w:r>
    </w:p>
    <w:p>
      <w:pPr>
        <w:spacing w:after="0" w:line="169" w:lineRule="exact"/>
        <w:rPr>
          <w:sz w:val="20"/>
          <w:szCs w:val="20"/>
          <w:color w:val="auto"/>
        </w:rPr>
      </w:pPr>
    </w:p>
    <w:p>
      <w:pPr>
        <w:ind w:left="120" w:right="240" w:firstLine="440"/>
        <w:spacing w:after="0" w:line="261" w:lineRule="auto"/>
        <w:rPr>
          <w:sz w:val="20"/>
          <w:szCs w:val="20"/>
          <w:color w:val="auto"/>
        </w:rPr>
      </w:pPr>
      <w:r>
        <w:rPr>
          <w:rFonts w:ascii="Arial" w:cs="Arial" w:eastAsia="Arial" w:hAnsi="Arial"/>
          <w:sz w:val="17"/>
          <w:szCs w:val="17"/>
          <w:color w:val="auto"/>
        </w:rPr>
        <w:t>After giving effect to the sale of our ADSs in the aggregate amount of $50.0 million at an assumed offering price of $2.97 per ADS, the last reported sale price of our ADSs on the Nasdaq on May 13, 2024, and after deducting commissions and estimated offering expenses payable by us, our as adjusted net tangible book value as of March 31, 2024 would have been $90.1 million, or $0.11 per ordinary share, equivalent to $0.57 per ADS. This represents an immediate increase in net tangible book value of $0.27 per ADS to our existing shareholders and an immediate dilution in net tangible book value of $2.40 per ADS to new investors in this offering.</w:t>
      </w:r>
    </w:p>
    <w:p>
      <w:pPr>
        <w:spacing w:after="0" w:line="166" w:lineRule="exact"/>
        <w:rPr>
          <w:sz w:val="20"/>
          <w:szCs w:val="20"/>
          <w:color w:val="auto"/>
        </w:rPr>
      </w:pPr>
    </w:p>
    <w:p>
      <w:pPr>
        <w:ind w:left="120" w:right="240" w:firstLine="440"/>
        <w:spacing w:after="0" w:line="244" w:lineRule="auto"/>
        <w:rPr>
          <w:sz w:val="20"/>
          <w:szCs w:val="20"/>
          <w:color w:val="auto"/>
        </w:rPr>
      </w:pPr>
      <w:r>
        <w:rPr>
          <w:rFonts w:ascii="Arial" w:cs="Arial" w:eastAsia="Arial" w:hAnsi="Arial"/>
          <w:sz w:val="18"/>
          <w:szCs w:val="18"/>
          <w:color w:val="auto"/>
        </w:rPr>
        <w:t>The following table illustrates this calculation on a per ADS basis. The as adjusted information is illustrative only and will adjust based on the actual price to the public, the actual number of ADSs sold and other terms of the offering determined at the time our ADSs are sold pursuant to this prospectus supplement. The as adjusted information assumes that all of our ADSs in the aggregate amount of $50 million is sold at the assumed offering price of $2.97 per ADS, the last reported sale price of our ADSs on the Nasdaq on May 13, 2024. The ADSs sold in this offering, if any, will be sold from time to time at various prices.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ADS</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r>
      <w:tr>
        <w:trPr>
          <w:trHeight w:val="203"/>
        </w:trPr>
        <w:tc>
          <w:tcPr>
            <w:tcW w:w="9760" w:type="dxa"/>
            <w:vAlign w:val="bottom"/>
          </w:tcPr>
          <w:p>
            <w:pPr>
              <w:spacing w:after="0" w:line="202" w:lineRule="exact"/>
              <w:rPr>
                <w:sz w:val="20"/>
                <w:szCs w:val="20"/>
                <w:color w:val="auto"/>
              </w:rPr>
            </w:pPr>
            <w:r>
              <w:rPr>
                <w:rFonts w:ascii="Arial" w:cs="Arial" w:eastAsia="Arial" w:hAnsi="Arial"/>
                <w:sz w:val="18"/>
                <w:szCs w:val="18"/>
                <w:color w:val="auto"/>
              </w:rPr>
              <w:t>Net tangible book value per ADS as of March 31, 2024</w:t>
            </w:r>
          </w:p>
        </w:tc>
        <w:tc>
          <w:tcPr>
            <w:tcW w:w="7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w w:val="97"/>
              </w:rPr>
              <w:t>$0.30</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per ADS attributable to new investors purchasing ADSs in this offering</w:t>
            </w:r>
          </w:p>
        </w:tc>
        <w:tc>
          <w:tcPr>
            <w:tcW w:w="74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0.27</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760" w:type="dxa"/>
            <w:vAlign w:val="bottom"/>
          </w:tcPr>
          <w:p>
            <w:pPr>
              <w:spacing w:after="0"/>
              <w:rPr>
                <w:sz w:val="20"/>
                <w:szCs w:val="20"/>
                <w:color w:val="auto"/>
              </w:rPr>
            </w:pPr>
            <w:r>
              <w:rPr>
                <w:rFonts w:ascii="Arial" w:cs="Arial" w:eastAsia="Arial" w:hAnsi="Arial"/>
                <w:sz w:val="18"/>
                <w:szCs w:val="18"/>
                <w:color w:val="auto"/>
              </w:rPr>
              <w:t>As adjusted net tangible book value per ADS after giving effect to this offering</w:t>
            </w:r>
          </w:p>
        </w:tc>
        <w:tc>
          <w:tcPr>
            <w:tcW w:w="460" w:type="dxa"/>
            <w:vAlign w:val="bottom"/>
            <w:tcBorders>
              <w:top w:val="single" w:sz="8" w:color="auto"/>
            </w:tcBorders>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0.57</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ADS to new investors</w:t>
            </w:r>
          </w:p>
        </w:tc>
        <w:tc>
          <w:tcPr>
            <w:tcW w:w="12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w:t>
            </w:r>
          </w:p>
        </w:tc>
      </w:tr>
      <w:tr>
        <w:trPr>
          <w:trHeight w:val="20"/>
        </w:trPr>
        <w:tc>
          <w:tcPr>
            <w:tcW w:w="9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discussion and table are based on 701,349,434 ordinary shares issued as of March 31, 2024 and excludes:</w:t>
      </w:r>
    </w:p>
    <w:p>
      <w:pPr>
        <w:spacing w:after="0" w:line="239" w:lineRule="exact"/>
        <w:rPr>
          <w:sz w:val="20"/>
          <w:szCs w:val="20"/>
          <w:color w:val="auto"/>
        </w:rPr>
      </w:pPr>
    </w:p>
    <w:p>
      <w:pPr>
        <w:ind w:left="980" w:right="400" w:hanging="432"/>
        <w:spacing w:after="0" w:line="230"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88,532,810 ordinary shares issuable upon exercise of outstanding awards under our equity incentive plans as of March 31, 2024; and</w:t>
      </w:r>
    </w:p>
    <w:p>
      <w:pPr>
        <w:spacing w:after="0" w:line="4" w:lineRule="exact"/>
        <w:rPr>
          <w:rFonts w:ascii="MS PGothic" w:cs="MS PGothic" w:eastAsia="MS PGothic" w:hAnsi="MS PGothic"/>
          <w:sz w:val="25"/>
          <w:szCs w:val="25"/>
          <w:color w:val="auto"/>
          <w:vertAlign w:val="superscript"/>
        </w:rPr>
      </w:pPr>
    </w:p>
    <w:p>
      <w:pPr>
        <w:ind w:left="980" w:right="180" w:hanging="432"/>
        <w:spacing w:after="0" w:line="230"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25,944,272 ordinary shares issuable upon the exercise of warrants, convertible notes and other committed equity outstanding as of March 31, 2024.</w:t>
      </w:r>
    </w:p>
    <w:p>
      <w:pPr>
        <w:spacing w:after="0" w:line="180"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To the extent that outstanding equity incentive awards or warrants are exercised or convertible notes converted,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securities, the issuance of these securities may result in further dilution to our shareholders.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12"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color w:val="auto"/>
        </w:rPr>
        <w:t>We have entered into the sales agreement with Jefferies, under which we may offer and sell our ADSs from time to time through Jefferies acting as agent. Pursuant to this prospectus supplement we may offer and sell up to $50,000,000 of our ADSs. Sales of our ADSs, if any, under this prospectus supplement and the accompanying prospectus will be made by any method that is deemed to be an “at the market offering” as defined in Rule 415(a)(4) under the Securities Act.</w:t>
      </w:r>
    </w:p>
    <w:p>
      <w:pPr>
        <w:spacing w:after="0" w:line="17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Each time we wish to issue and sell ADSs under the sales agreement, we will notify Jefferies of the number of ADSs to be issued, the dates on which such sales are anticipated to be made, any limitation on the number of ADSs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ADSs up to the amount specified on such terms. The obligations of Jefferies under the sales agreement to sell our ADSs are subject to a number of conditions that we must meet.</w:t>
      </w:r>
    </w:p>
    <w:p>
      <w:pPr>
        <w:spacing w:after="0" w:line="179"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settlement of sales of ADSs between us and Jefferies is generally anticipated to occur on the second trading day following the date on which the sale was made. Sales of our ADSs as contemplated in this prospectus supplement will be settled through the facilities of The Depository Trust Company or by such other means as we and Jefferies may agree upon. Pursuant to recent amendments to Rule 15c6-1 of the Exchange Act, settlement for any securities offered under this prospectus supplement on or after May 28, 2024, may occur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7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will pay Jefferies a commission equal to 3.0% of the aggregate gross proceeds we receive from each sale of our ADSs.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$125,000, in addition to certain ongoing disbursements of its legal counsel, unless we and Jefferies otherwise agree. In addition, we estimate that the total expenses for the offering, excluding any commissions or expense reimbursement payable to Jefferies under the terms of the sales agreement and ADS issuance fees payable to the depositary bank, will be approximately $300,000. The remaining sale proceeds, after deducting any other transaction fees, will equal our net proceeds from the sale of such ADSs.</w:t>
      </w:r>
    </w:p>
    <w:p>
      <w:pPr>
        <w:spacing w:after="0" w:line="180" w:lineRule="exact"/>
        <w:rPr>
          <w:sz w:val="20"/>
          <w:szCs w:val="20"/>
          <w:color w:val="auto"/>
        </w:rPr>
      </w:pPr>
    </w:p>
    <w:p>
      <w:pPr>
        <w:jc w:val="both"/>
        <w:ind w:left="120" w:right="360" w:firstLine="440"/>
        <w:spacing w:after="0" w:line="253" w:lineRule="auto"/>
        <w:rPr>
          <w:sz w:val="20"/>
          <w:szCs w:val="20"/>
          <w:color w:val="auto"/>
        </w:rPr>
      </w:pPr>
      <w:r>
        <w:rPr>
          <w:rFonts w:ascii="Arial" w:cs="Arial" w:eastAsia="Arial" w:hAnsi="Arial"/>
          <w:sz w:val="18"/>
          <w:szCs w:val="18"/>
          <w:color w:val="auto"/>
        </w:rPr>
        <w:t>Jefferies will provide written confirmation to us before the open on the Nasdaq on the day following each day on which ADSs are sold under the sales agreement. Each confirmation will include the number of ADSs sold on that day, the aggregate gross proceeds of such sales and the proceeds to us.</w:t>
      </w:r>
    </w:p>
    <w:p>
      <w:pPr>
        <w:spacing w:after="0" w:line="169" w:lineRule="exact"/>
        <w:rPr>
          <w:sz w:val="20"/>
          <w:szCs w:val="20"/>
          <w:color w:val="auto"/>
        </w:rPr>
      </w:pPr>
    </w:p>
    <w:p>
      <w:pPr>
        <w:ind w:left="120" w:right="480" w:firstLine="440"/>
        <w:spacing w:after="0" w:line="247" w:lineRule="auto"/>
        <w:rPr>
          <w:sz w:val="20"/>
          <w:szCs w:val="20"/>
          <w:color w:val="auto"/>
        </w:rPr>
      </w:pPr>
      <w:r>
        <w:rPr>
          <w:rFonts w:ascii="Arial" w:cs="Arial" w:eastAsia="Arial" w:hAnsi="Arial"/>
          <w:sz w:val="18"/>
          <w:szCs w:val="18"/>
          <w:color w:val="auto"/>
        </w:rPr>
        <w:t>In connection with the sale of the ADSs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offering of our ADSs pursuant to the sales agreement will terminate as permitted therein.</w:t>
      </w:r>
    </w:p>
    <w:p>
      <w:pPr>
        <w:spacing w:after="0" w:line="212"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7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U.S. state, local, or non-U.S. tax considerations, and any tax consequences applicable to U.S. Holders subject to special rules, such as:</w:t>
      </w:r>
    </w:p>
    <w:p>
      <w:pPr>
        <w:spacing w:after="0" w:line="197" w:lineRule="exact"/>
        <w:rPr>
          <w:sz w:val="20"/>
          <w:szCs w:val="20"/>
          <w:color w:val="auto"/>
        </w:rPr>
      </w:pPr>
    </w:p>
    <w:p>
      <w:pPr>
        <w:ind w:left="980" w:hanging="432"/>
        <w:spacing w:after="0"/>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 market method of tax accounting;</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2" w:lineRule="exact"/>
        <w:rPr>
          <w:rFonts w:ascii="MS PGothic" w:cs="MS PGothic" w:eastAsia="MS PGothic" w:hAnsi="MS PGothic"/>
          <w:sz w:val="25"/>
          <w:szCs w:val="25"/>
          <w:color w:val="auto"/>
          <w:vertAlign w:val="superscript"/>
        </w:rPr>
      </w:pPr>
    </w:p>
    <w:p>
      <w:pPr>
        <w:ind w:left="980" w:right="380" w:hanging="432"/>
        <w:spacing w:after="0" w:line="220"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180"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174"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54" w:lineRule="exact"/>
        <w:rPr>
          <w:sz w:val="20"/>
          <w:szCs w:val="20"/>
          <w:color w:val="auto"/>
        </w:rPr>
      </w:pPr>
    </w:p>
    <w:p>
      <w:pPr>
        <w:ind w:left="120" w:right="700" w:firstLine="440"/>
        <w:spacing w:after="0" w:line="271"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 have not sought and do not intend to seek any ruling from the Internal Revenue Service (the “IRS”) with respect to the U.S.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federal income tax consequences described herein and there can be no assurance that the IRS or a court will not take a contrary position.</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66" w:lineRule="exact"/>
        <w:rPr>
          <w:sz w:val="20"/>
          <w:szCs w:val="20"/>
          <w:color w:val="auto"/>
        </w:rPr>
      </w:pPr>
    </w:p>
    <w:p>
      <w:pPr>
        <w:ind w:left="980" w:hanging="432"/>
        <w:spacing w:after="0"/>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w:t>
      </w:r>
    </w:p>
    <w:p>
      <w:pPr>
        <w:spacing w:after="0" w:line="22" w:lineRule="exact"/>
        <w:rPr>
          <w:rFonts w:ascii="MS PGothic" w:cs="MS PGothic" w:eastAsia="MS PGothic" w:hAnsi="MS PGothic"/>
          <w:sz w:val="25"/>
          <w:szCs w:val="25"/>
          <w:color w:val="auto"/>
          <w:vertAlign w:val="superscript"/>
        </w:rPr>
      </w:pPr>
    </w:p>
    <w:p>
      <w:pPr>
        <w:ind w:left="980" w:right="80" w:hanging="432"/>
        <w:spacing w:after="0" w:line="220"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2" w:lineRule="exact"/>
        <w:rPr>
          <w:rFonts w:ascii="MS PGothic" w:cs="MS PGothic" w:eastAsia="MS PGothic" w:hAnsi="MS PGothic"/>
          <w:sz w:val="25"/>
          <w:szCs w:val="25"/>
          <w:color w:val="auto"/>
          <w:vertAlign w:val="superscript"/>
        </w:rPr>
      </w:pPr>
    </w:p>
    <w:p>
      <w:pPr>
        <w:ind w:left="980" w:right="140" w:hanging="432"/>
        <w:spacing w:after="0" w:line="225"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180"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54" w:lineRule="exact"/>
        <w:rPr>
          <w:sz w:val="20"/>
          <w:szCs w:val="20"/>
          <w:color w:val="auto"/>
        </w:rPr>
      </w:pPr>
    </w:p>
    <w:p>
      <w:pPr>
        <w:ind w:left="120" w:right="480" w:firstLine="440"/>
        <w:spacing w:after="0" w:line="253" w:lineRule="auto"/>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02"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180"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Although we believe we have been treated as a PFIC in the past, based on our gross income, the average value of our assets, including goodwill, and the nature of the current state of our business, we do not believe we were a PFIC for the year ended December 31, 2023. There can be no assurance regarding our PFIC status for the current year 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w:t>
      </w:r>
    </w:p>
    <w:p>
      <w:pPr>
        <w:spacing w:after="0" w:line="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Accordingly, U.S. Holders should invest in our ADSs only if they are willing to bear the U.S. federal income tax consequences associated with investments in PFICs.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7"/>
          <w:szCs w:val="17"/>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w:t>
      </w:r>
    </w:p>
    <w:p>
      <w:pPr>
        <w:spacing w:after="0" w:line="2" w:lineRule="exact"/>
        <w:rPr>
          <w:sz w:val="20"/>
          <w:szCs w:val="20"/>
          <w:color w:val="auto"/>
        </w:rPr>
      </w:pPr>
    </w:p>
    <w:p>
      <w:pPr>
        <w:ind w:left="120" w:right="320" w:hanging="4"/>
        <w:spacing w:after="0" w:line="250"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7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18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To avoid the foregoing rules, a U.S. Holder can make a qualified electing fund election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80"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We will provide the information necessary for a U.S. Holder to make a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185" w:lineRule="exact"/>
        <w:rPr>
          <w:sz w:val="20"/>
          <w:szCs w:val="20"/>
          <w:color w:val="auto"/>
        </w:rPr>
      </w:pPr>
    </w:p>
    <w:p>
      <w:pPr>
        <w:ind w:left="120" w:right="360" w:firstLine="440"/>
        <w:spacing w:after="0" w:line="253" w:lineRule="auto"/>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185"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18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18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2"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w:t>
      </w:r>
    </w:p>
    <w:p>
      <w:pPr>
        <w:spacing w:after="0" w:line="1"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color w:val="auto"/>
        </w:rPr>
        <w:t>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17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on the sale or retirement of an ADS or an ordinary share.</w:t>
      </w:r>
    </w:p>
    <w:p>
      <w:pPr>
        <w:spacing w:after="0" w:line="180" w:lineRule="exact"/>
        <w:rPr>
          <w:sz w:val="20"/>
          <w:szCs w:val="20"/>
          <w:color w:val="auto"/>
        </w:rPr>
      </w:pPr>
    </w:p>
    <w:p>
      <w:pPr>
        <w:ind w:left="120" w:right="120" w:firstLine="440"/>
        <w:spacing w:after="0" w:line="239"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02" w:lineRule="exact"/>
        <w:rPr>
          <w:sz w:val="20"/>
          <w:szCs w:val="20"/>
          <w:color w:val="auto"/>
        </w:rPr>
      </w:pPr>
    </w:p>
    <w:p>
      <w:pPr>
        <w:ind w:left="120" w:right="280" w:firstLine="440"/>
        <w:spacing w:after="0" w:line="244"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should consult their tax advisers regarding any potential foreign currency gain or loss that may have to be recognized.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02"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185"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legal or tax advice to any particular holder. Holders of our ADSs are strongly urged to consult their tax advisers in connection with the U.K.</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consequences of their investment in our ADSs.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102" w:lineRule="exact"/>
        <w:rPr>
          <w:sz w:val="20"/>
          <w:szCs w:val="20"/>
          <w:color w:val="auto"/>
        </w:rPr>
      </w:pPr>
    </w:p>
    <w:p>
      <w:pPr>
        <w:ind w:left="120" w:right="560" w:firstLine="440"/>
        <w:spacing w:after="0" w:line="271"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ordinary shares.</w:t>
      </w:r>
    </w:p>
    <w:p>
      <w:pPr>
        <w:spacing w:after="0" w:line="15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102"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169"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Any such individual holder of our ADSs who is temporarily a non-resident for U.K. tax purposes will, in certain circumstances, become liable to U.K. tax on capital gains in respect of gains realized while they were not resident in the U.K.</w:t>
      </w:r>
    </w:p>
    <w:p>
      <w:pPr>
        <w:spacing w:after="0" w:line="15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color w:val="auto"/>
        </w:rPr>
        <w:t>No stamp duty or stamp duty reserve tax (“SDRT”) is payable on the issue of our ordinary shares into a depositary receipt system (such as, Mereo understands, that operated by Citibank) or a clearance service (such as, Mereo understands, DTC). Accordingly, no stamp duty or SDRT should be payable on the creation and issue of our ADSs pursuant to the issue of our ordinary shares to Citibank’s custodian.</w:t>
      </w:r>
    </w:p>
    <w:p>
      <w:pPr>
        <w:spacing w:after="0" w:line="174"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Transfers of our ordinary shares to, or to a nominee or agent for, a person whose business is or includes issuing depositary receipts or to, or to a nominee or agent for, a person whose business is or includes the provision of clearance services, will generally be subject to stamp duty or SDRT at 1.5% of the amount or value of the consideration or, in certain circumstances, the value of the ordinary shares transferred. In practice, this liability for stamp duty or SDRT is in general borne by such person depositing the relevant shares in the depositary receipt system or clearance service. U.K. stamp duty and SDRT should not, however, arise on a transfer of our ordinary shares to a depositary receipt issuer or to a clearance service to the extent that such transfer is an “exempt capital-raising transfer” or an “exempt listing transfer,” as defined in Finance Act 2024.</w:t>
      </w:r>
    </w:p>
    <w:p>
      <w:pPr>
        <w:spacing w:after="0" w:line="185" w:lineRule="exact"/>
        <w:rPr>
          <w:sz w:val="20"/>
          <w:szCs w:val="20"/>
          <w:color w:val="auto"/>
        </w:rPr>
      </w:pPr>
    </w:p>
    <w:p>
      <w:pPr>
        <w:ind w:left="120" w:right="340" w:firstLine="440"/>
        <w:spacing w:after="0" w:line="271" w:lineRule="auto"/>
        <w:rPr>
          <w:sz w:val="20"/>
          <w:szCs w:val="20"/>
          <w:color w:val="auto"/>
        </w:rPr>
      </w:pPr>
      <w:r>
        <w:rPr>
          <w:rFonts w:ascii="Arial" w:cs="Arial" w:eastAsia="Arial" w:hAnsi="Arial"/>
          <w:sz w:val="18"/>
          <w:szCs w:val="18"/>
          <w:color w:val="auto"/>
        </w:rPr>
        <w:t>The transfer on sale of ordinary shares by a written instrument of transfer will generally be liable to U.K. stamp duty at the rate of 0.5% of the amount or value of the consideration for the transfer. The purchaser normally pays the stamp duty.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An agreement to transfer ordinary shares outside a depositary receipt system or a clearance service will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7"/>
          <w:szCs w:val="17"/>
          <w:color w:val="auto"/>
        </w:rPr>
        <w:t>Mayer Brown LLP will pass upon certain legal matters relating to the issuance and sale of the securities offered hereby on behalf of Mereo BioPharma Group plc. The validity of the ordinary shares underlying the ADSs to be offered pursuant to this prospectus supplement will be passed upon for us by Latham &amp; Watkins (London) LLP. Jefferies LLC is being represented in connection with this offering by Cooley LLP, New York, New York with respect to U.S. law and Cooley (UK) LLP with respect to certain matters of English law.</w:t>
      </w: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The financial statements incorporated in this prospectus supplement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business address of PricewaterhouseCoopers LLP is 1 Embankment Place, London, WC2N 6RH, United Kingdom.</w:t>
      </w: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60"/>
          </w:cols>
          <w:pgMar w:left="320" w:top="455"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988060</wp:posOffset>
            </wp:positionV>
            <wp:extent cx="1680210" cy="4972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168021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560"/>
        <w:spacing w:after="0"/>
        <w:rPr>
          <w:sz w:val="20"/>
          <w:szCs w:val="20"/>
          <w:color w:val="auto"/>
        </w:rPr>
      </w:pPr>
      <w:r>
        <w:rPr>
          <w:rFonts w:ascii="Arial" w:cs="Arial" w:eastAsia="Arial" w:hAnsi="Arial"/>
          <w:sz w:val="25"/>
          <w:szCs w:val="25"/>
          <w:b w:val="1"/>
          <w:bCs w:val="1"/>
          <w:color w:val="auto"/>
        </w:rPr>
        <w:t>Up to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939"/>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1093470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200660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60"/>
        <w:spacing w:after="0"/>
        <w:rPr>
          <w:sz w:val="20"/>
          <w:szCs w:val="20"/>
          <w:color w:val="auto"/>
        </w:rPr>
      </w:pPr>
      <w:r>
        <w:rPr>
          <w:rFonts w:ascii="Arial" w:cs="Arial" w:eastAsia="Arial" w:hAnsi="Arial"/>
          <w:sz w:val="32"/>
          <w:szCs w:val="32"/>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               , 2024</w:t>
      </w:r>
    </w:p>
    <w:p>
      <w:pPr>
        <w:sectPr>
          <w:pgSz w:w="11900" w:h="16838" w:orient="portrait"/>
          <w:cols w:equalWidth="0" w:num="1">
            <w:col w:w="10139"/>
          </w:cols>
          <w:pgMar w:left="320" w:top="455"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04"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8"/>
          <w:szCs w:val="18"/>
          <w:color w:val="auto"/>
        </w:rPr>
        <w:t>The following is an estimate, other than with respect to the SEC registration fee, of the expenses (all of which are to be paid by the registrant) that we may incur in connection with the securities being registered hereby.</w:t>
      </w:r>
    </w:p>
    <w:p>
      <w:pPr>
        <w:spacing w:after="0" w:line="103" w:lineRule="exact"/>
        <w:rPr>
          <w:sz w:val="20"/>
          <w:szCs w:val="20"/>
          <w:color w:val="auto"/>
        </w:rPr>
      </w:pPr>
    </w:p>
    <w:tbl>
      <w:tblPr>
        <w:tblLayout w:type="fixed"/>
        <w:tblInd w:w="1660" w:type="dxa"/>
        <w:tblCellMar>
          <w:top w:w="0" w:type="dxa"/>
          <w:left w:w="0" w:type="dxa"/>
          <w:bottom w:w="0" w:type="dxa"/>
          <w:right w:w="0" w:type="dxa"/>
        </w:tblCellMar>
      </w:tblPr>
      <w:tr>
        <w:trPr>
          <w:trHeight w:val="29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25,830</w:t>
            </w:r>
            <w:r>
              <w:rPr>
                <w:rFonts w:ascii="Arial" w:cs="Arial" w:eastAsia="Arial" w:hAnsi="Arial"/>
                <w:sz w:val="26"/>
                <w:szCs w:val="26"/>
                <w:color w:val="auto"/>
                <w:w w:val="91"/>
                <w:vertAlign w:val="superscript"/>
              </w:rPr>
              <w:t>(2)</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expenses</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Legal fees and expenses</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Printing Expenses</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18173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7" w:lineRule="exact"/>
        <w:rPr>
          <w:sz w:val="20"/>
          <w:szCs w:val="20"/>
          <w:color w:val="auto"/>
        </w:rPr>
      </w:pPr>
    </w:p>
    <w:p>
      <w:pPr>
        <w:ind w:left="540" w:right="140" w:hanging="424"/>
        <w:spacing w:after="0" w:line="245"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Excludes registration fee offset pursuant to Rule 457(p).</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w:t>
      </w:r>
      <w:r>
        <w:rPr>
          <w:rFonts w:ascii="Arial" w:cs="Arial" w:eastAsia="Arial" w:hAnsi="Arial"/>
          <w:sz w:val="18"/>
          <w:szCs w:val="18"/>
          <w:b w:val="1"/>
          <w:bCs w:val="1"/>
          <w:color w:val="auto"/>
        </w:rPr>
        <w:t xml:space="preserve"> of Directors and Officers</w:t>
      </w:r>
    </w:p>
    <w:p>
      <w:pPr>
        <w:spacing w:after="0" w:line="10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174" w:lineRule="exact"/>
        <w:rPr>
          <w:sz w:val="20"/>
          <w:szCs w:val="20"/>
          <w:color w:val="auto"/>
        </w:rPr>
      </w:pPr>
    </w:p>
    <w:p>
      <w:pPr>
        <w:ind w:left="120" w:right="120" w:firstLine="440"/>
        <w:spacing w:after="0" w:line="247"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17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174" w:lineRule="exact"/>
        <w:rPr>
          <w:sz w:val="20"/>
          <w:szCs w:val="20"/>
          <w:color w:val="auto"/>
        </w:rPr>
      </w:pPr>
    </w:p>
    <w:p>
      <w:pPr>
        <w:ind w:left="120" w:right="340" w:firstLine="440"/>
        <w:spacing w:after="0" w:line="271"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5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180" w:type="dxa"/>
            <w:vAlign w:val="bottom"/>
          </w:tcPr>
          <w:p>
            <w:pPr>
              <w:spacing w:after="0"/>
              <w:rPr>
                <w:sz w:val="20"/>
                <w:szCs w:val="20"/>
                <w:color w:val="auto"/>
              </w:rPr>
            </w:pPr>
            <w:r>
              <w:rPr>
                <w:rFonts w:ascii="Arial" w:cs="Arial" w:eastAsia="Arial" w:hAnsi="Arial"/>
                <w:sz w:val="18"/>
                <w:szCs w:val="18"/>
                <w:color w:val="auto"/>
              </w:rPr>
              <w:t>  1.1*</w:t>
            </w:r>
          </w:p>
        </w:tc>
        <w:tc>
          <w:tcPr>
            <w:tcW w:w="9680" w:type="dxa"/>
            <w:vAlign w:val="bottom"/>
            <w:gridSpan w:val="14"/>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25"/>
        </w:trPr>
        <w:tc>
          <w:tcPr>
            <w:tcW w:w="1180" w:type="dxa"/>
            <w:vAlign w:val="bottom"/>
            <w:vMerge w:val="restart"/>
          </w:tcPr>
          <w:p>
            <w:pPr>
              <w:spacing w:after="0"/>
              <w:rPr>
                <w:sz w:val="20"/>
                <w:szCs w:val="20"/>
                <w:color w:val="auto"/>
              </w:rPr>
            </w:pPr>
            <w:r>
              <w:rPr>
                <w:rFonts w:ascii="Arial" w:cs="Arial" w:eastAsia="Arial" w:hAnsi="Arial"/>
                <w:sz w:val="18"/>
                <w:szCs w:val="18"/>
                <w:color w:val="auto"/>
              </w:rPr>
              <w:t>  1.2</w:t>
            </w:r>
          </w:p>
        </w:tc>
        <w:tc>
          <w:tcPr>
            <w:tcW w:w="2380" w:type="dxa"/>
            <w:vAlign w:val="bottom"/>
            <w:vMerge w:val="restart"/>
          </w:tcPr>
          <w:p>
            <w:pPr>
              <w:spacing w:after="0"/>
              <w:rPr>
                <w:sz w:val="20"/>
                <w:szCs w:val="20"/>
                <w:color w:val="auto"/>
              </w:rPr>
            </w:pPr>
            <w:r>
              <w:rPr>
                <w:rFonts w:ascii="Arial" w:cs="Arial" w:eastAsia="Arial" w:hAnsi="Arial"/>
                <w:sz w:val="18"/>
                <w:szCs w:val="18"/>
                <w:color w:val="0000EE"/>
                <w:w w:val="99"/>
              </w:rPr>
              <w:t>Open Market Sale Agreement</w:t>
            </w: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color w:val="0000EE"/>
                <w:w w:val="92"/>
              </w:rPr>
              <w:t>SM</w:t>
            </w:r>
          </w:p>
        </w:tc>
        <w:tc>
          <w:tcPr>
            <w:tcW w:w="6760" w:type="dxa"/>
            <w:vAlign w:val="bottom"/>
            <w:gridSpan w:val="8"/>
            <w:vMerge w:val="restart"/>
          </w:tcPr>
          <w:p>
            <w:pPr>
              <w:spacing w:after="0"/>
              <w:rPr>
                <w:sz w:val="20"/>
                <w:szCs w:val="20"/>
                <w:color w:val="auto"/>
              </w:rPr>
            </w:pPr>
            <w:r>
              <w:rPr>
                <w:rFonts w:ascii="Arial" w:cs="Arial" w:eastAsia="Arial" w:hAnsi="Arial"/>
                <w:sz w:val="18"/>
                <w:szCs w:val="18"/>
                <w:color w:val="0000EE"/>
                <w:w w:val="99"/>
              </w:rPr>
              <w:t>, dated as of May 15, 2024, between Mereo BioPharma Group plc and Jefferies LLC.</w:t>
            </w:r>
          </w:p>
        </w:tc>
        <w:tc>
          <w:tcPr>
            <w:tcW w:w="340" w:type="dxa"/>
            <w:vAlign w:val="bottom"/>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80" w:type="dxa"/>
            <w:vAlign w:val="bottom"/>
            <w:vMerge w:val="continue"/>
          </w:tcPr>
          <w:p>
            <w:pPr>
              <w:spacing w:after="0" w:line="20" w:lineRule="exact"/>
              <w:rPr>
                <w:sz w:val="1"/>
                <w:szCs w:val="1"/>
                <w:color w:val="auto"/>
              </w:rPr>
            </w:pPr>
          </w:p>
        </w:tc>
        <w:tc>
          <w:tcPr>
            <w:tcW w:w="238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60" w:type="dxa"/>
            <w:vAlign w:val="bottom"/>
            <w:tcBorders>
              <w:bottom w:val="single" w:sz="8" w:color="0000EE"/>
            </w:tcBorders>
            <w:gridSpan w:val="8"/>
            <w:vMerge w:val="continue"/>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180" w:type="dxa"/>
            <w:vAlign w:val="bottom"/>
          </w:tcPr>
          <w:p>
            <w:pPr>
              <w:spacing w:after="0"/>
              <w:rPr>
                <w:sz w:val="20"/>
                <w:szCs w:val="20"/>
                <w:color w:val="auto"/>
              </w:rPr>
            </w:pPr>
            <w:r>
              <w:rPr>
                <w:rFonts w:ascii="Arial" w:cs="Arial" w:eastAsia="Arial" w:hAnsi="Arial"/>
                <w:sz w:val="18"/>
                <w:szCs w:val="18"/>
                <w:color w:val="auto"/>
              </w:rPr>
              <w:t>  3.1**</w:t>
            </w:r>
          </w:p>
        </w:tc>
        <w:tc>
          <w:tcPr>
            <w:tcW w:w="9680" w:type="dxa"/>
            <w:vAlign w:val="bottom"/>
            <w:gridSpan w:val="14"/>
          </w:tcPr>
          <w:p>
            <w:pPr>
              <w:spacing w:after="0"/>
              <w:rPr>
                <w:rFonts w:ascii="Arial" w:cs="Arial" w:eastAsia="Arial" w:hAnsi="Arial"/>
                <w:sz w:val="18"/>
                <w:szCs w:val="18"/>
                <w:color w:val="0000EE"/>
              </w:rPr>
            </w:pPr>
            <w:hyperlink r:id="rId125">
              <w:r>
                <w:rPr>
                  <w:rFonts w:ascii="Arial" w:cs="Arial" w:eastAsia="Arial" w:hAnsi="Arial"/>
                  <w:sz w:val="18"/>
                  <w:szCs w:val="18"/>
                  <w:color w:val="0000EE"/>
                </w:rPr>
                <w:t>Articles of Association of the Company (incorporated by reference to Exhibit 3.1 to Mereo BioPharma Group plc’s Form</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55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25">
              <w:r>
                <w:rPr>
                  <w:rFonts w:ascii="Arial" w:cs="Arial" w:eastAsia="Arial" w:hAnsi="Arial"/>
                  <w:sz w:val="18"/>
                  <w:szCs w:val="18"/>
                  <w:color w:val="0000EE"/>
                  <w:w w:val="99"/>
                </w:rPr>
                <w:t>6-K, filed with the SEC on December 18, 2023 (File No. 001-38452)).</w:t>
              </w:r>
            </w:hyperlink>
          </w:p>
        </w:tc>
        <w:tc>
          <w:tcPr>
            <w:tcW w:w="3960" w:type="dxa"/>
            <w:vAlign w:val="bottom"/>
            <w:tcBorders>
              <w:top w:val="single" w:sz="8" w:color="0000EE"/>
            </w:tcBorders>
            <w:gridSpan w:val="6"/>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  4.1**</w:t>
            </w:r>
          </w:p>
        </w:tc>
        <w:tc>
          <w:tcPr>
            <w:tcW w:w="9680" w:type="dxa"/>
            <w:vAlign w:val="bottom"/>
            <w:tcBorders>
              <w:bottom w:val="single" w:sz="8" w:color="0000EE"/>
            </w:tcBorders>
            <w:gridSpan w:val="14"/>
          </w:tcPr>
          <w:p>
            <w:pPr>
              <w:spacing w:after="0"/>
              <w:rPr>
                <w:rFonts w:ascii="Arial" w:cs="Arial" w:eastAsia="Arial" w:hAnsi="Arial"/>
                <w:sz w:val="18"/>
                <w:szCs w:val="18"/>
                <w:color w:val="0000EE"/>
                <w:w w:val="99"/>
              </w:rPr>
            </w:pPr>
            <w:hyperlink r:id="rId126">
              <w:r>
                <w:rPr>
                  <w:rFonts w:ascii="Arial" w:cs="Arial" w:eastAsia="Arial" w:hAnsi="Arial"/>
                  <w:sz w:val="18"/>
                  <w:szCs w:val="18"/>
                  <w:color w:val="0000EE"/>
                  <w:w w:val="99"/>
                </w:rPr>
                <w:t>Form of American Depositary Receipt of Mereo BioPharma Group plc (incorporated by reference to Exhibit 4.3 to Mereo’s</w:t>
              </w:r>
            </w:hyperlink>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9680" w:type="dxa"/>
            <w:vAlign w:val="bottom"/>
            <w:gridSpan w:val="14"/>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Form F-4/A filed March 15, 2019 (File No. 333-229351)).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  4.2**</w:t>
            </w:r>
          </w:p>
        </w:tc>
        <w:tc>
          <w:tcPr>
            <w:tcW w:w="9680" w:type="dxa"/>
            <w:vAlign w:val="bottom"/>
            <w:gridSpan w:val="14"/>
          </w:tcPr>
          <w:p>
            <w:pPr>
              <w:spacing w:after="0"/>
              <w:rPr>
                <w:rFonts w:ascii="Arial" w:cs="Arial" w:eastAsia="Arial" w:hAnsi="Arial"/>
                <w:sz w:val="18"/>
                <w:szCs w:val="18"/>
                <w:color w:val="0000EE"/>
              </w:rPr>
            </w:pPr>
            <w:hyperlink r:id="rId32">
              <w:r>
                <w:rPr>
                  <w:rFonts w:ascii="Arial" w:cs="Arial" w:eastAsia="Arial" w:hAnsi="Arial"/>
                  <w:sz w:val="18"/>
                  <w:szCs w:val="18"/>
                  <w:color w:val="0000EE"/>
                </w:rPr>
                <w:t>Description of Securities Registered under Section 12 of the Exchange Act (incorporated by reference to Exhibit 4.2 to</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70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32">
              <w:r>
                <w:rPr>
                  <w:rFonts w:ascii="Arial" w:cs="Arial" w:eastAsia="Arial" w:hAnsi="Arial"/>
                  <w:sz w:val="18"/>
                  <w:szCs w:val="18"/>
                  <w:color w:val="0000EE"/>
                  <w:w w:val="99"/>
                </w:rPr>
                <w:t>Mereo BioPharma Group plc’s Form 10-K filed on March 27, 2024 (File No. 001-38452)).</w:t>
              </w:r>
            </w:hyperlink>
          </w:p>
        </w:tc>
        <w:tc>
          <w:tcPr>
            <w:tcW w:w="2380" w:type="dxa"/>
            <w:vAlign w:val="bottom"/>
            <w:tcBorders>
              <w:top w:val="single" w:sz="8" w:color="0000EE"/>
            </w:tcBorders>
            <w:gridSpan w:val="3"/>
          </w:tcPr>
          <w:p>
            <w:pPr>
              <w:spacing w:after="0"/>
              <w:rPr>
                <w:sz w:val="15"/>
                <w:szCs w:val="15"/>
                <w:color w:val="auto"/>
              </w:rPr>
            </w:pPr>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  5.1</w:t>
            </w:r>
          </w:p>
        </w:tc>
        <w:tc>
          <w:tcPr>
            <w:tcW w:w="3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8"/>
              </w:rPr>
              <w:t>Opinion of Latham &amp; Watkins (London) LLP.</w:t>
            </w:r>
          </w:p>
        </w:tc>
        <w:tc>
          <w:tcPr>
            <w:tcW w:w="61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23.1</w:t>
            </w:r>
          </w:p>
        </w:tc>
        <w:tc>
          <w:tcPr>
            <w:tcW w:w="9680" w:type="dxa"/>
            <w:vAlign w:val="bottom"/>
            <w:gridSpan w:val="14"/>
          </w:tcPr>
          <w:p>
            <w:pPr>
              <w:spacing w:after="0"/>
              <w:rPr>
                <w:sz w:val="20"/>
                <w:szCs w:val="20"/>
                <w:color w:val="auto"/>
              </w:rPr>
            </w:pPr>
            <w:r>
              <w:rPr>
                <w:rFonts w:ascii="Arial" w:cs="Arial" w:eastAsia="Arial" w:hAnsi="Arial"/>
                <w:sz w:val="18"/>
                <w:szCs w:val="18"/>
                <w:color w:val="0000EE"/>
              </w:rPr>
              <w:t>Consent of Latham &amp; Watkins (London) LLP (included in Exhibit 5.1).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80" w:type="dxa"/>
            <w:vAlign w:val="bottom"/>
            <w:gridSpan w:val="6"/>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80" w:type="dxa"/>
            <w:vAlign w:val="bottom"/>
          </w:tcPr>
          <w:p>
            <w:pPr>
              <w:spacing w:after="0"/>
              <w:rPr>
                <w:sz w:val="20"/>
                <w:szCs w:val="20"/>
                <w:color w:val="auto"/>
              </w:rPr>
            </w:pPr>
            <w:r>
              <w:rPr>
                <w:rFonts w:ascii="Arial" w:cs="Arial" w:eastAsia="Arial" w:hAnsi="Arial"/>
                <w:sz w:val="18"/>
                <w:szCs w:val="18"/>
                <w:color w:val="auto"/>
              </w:rPr>
              <w:t>23.3</w:t>
            </w:r>
          </w:p>
        </w:tc>
        <w:tc>
          <w:tcPr>
            <w:tcW w:w="70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Consent of PricewaterhouseCoopers LLP, independent registered public accounting firm.</w:t>
            </w:r>
          </w:p>
        </w:tc>
        <w:tc>
          <w:tcPr>
            <w:tcW w:w="2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24.1</w:t>
            </w:r>
          </w:p>
        </w:tc>
        <w:tc>
          <w:tcPr>
            <w:tcW w:w="61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Powers of Attorney (incorporated by reference to the signature page hereto).</w:t>
            </w:r>
          </w:p>
        </w:tc>
        <w:tc>
          <w:tcPr>
            <w:tcW w:w="35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300" w:hanging="118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18173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8" w:lineRule="exact"/>
        <w:rPr>
          <w:sz w:val="20"/>
          <w:szCs w:val="20"/>
          <w:color w:val="auto"/>
        </w:rPr>
      </w:pPr>
    </w:p>
    <w:p>
      <w:pPr>
        <w:ind w:left="120" w:right="2360" w:hanging="4"/>
        <w:spacing w:after="0" w:line="271" w:lineRule="auto"/>
        <w:tabs>
          <w:tab w:leader="none" w:pos="5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 ** Previously filed.</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04" w:lineRule="exact"/>
        <w:rPr>
          <w:sz w:val="20"/>
          <w:szCs w:val="20"/>
          <w:color w:val="auto"/>
        </w:rPr>
      </w:pPr>
    </w:p>
    <w:p>
      <w:pPr>
        <w:ind w:left="820" w:hanging="2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03" w:lineRule="exact"/>
        <w:rPr>
          <w:rFonts w:ascii="Arial" w:cs="Arial" w:eastAsia="Arial" w:hAnsi="Arial"/>
          <w:sz w:val="18"/>
          <w:szCs w:val="18"/>
          <w:color w:val="auto"/>
        </w:rPr>
      </w:pPr>
    </w:p>
    <w:p>
      <w:pPr>
        <w:ind w:left="1240" w:hanging="261"/>
        <w:spacing w:after="0"/>
        <w:tabs>
          <w:tab w:leader="none" w:pos="12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15" w:lineRule="exact"/>
        <w:rPr>
          <w:rFonts w:ascii="Arial" w:cs="Arial" w:eastAsia="Arial" w:hAnsi="Arial"/>
          <w:sz w:val="17"/>
          <w:szCs w:val="17"/>
          <w:color w:val="auto"/>
        </w:rPr>
      </w:pPr>
    </w:p>
    <w:p>
      <w:pPr>
        <w:ind w:left="1620" w:hanging="218"/>
        <w:spacing w:after="0"/>
        <w:tabs>
          <w:tab w:leader="none" w:pos="16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03" w:lineRule="exact"/>
        <w:rPr>
          <w:rFonts w:ascii="Arial" w:cs="Arial" w:eastAsia="Arial" w:hAnsi="Arial"/>
          <w:sz w:val="18"/>
          <w:szCs w:val="18"/>
          <w:color w:val="auto"/>
        </w:rPr>
      </w:pPr>
    </w:p>
    <w:p>
      <w:pPr>
        <w:ind w:left="1000" w:firstLine="402"/>
        <w:spacing w:after="0"/>
        <w:tabs>
          <w:tab w:leader="none" w:pos="1655"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2" w:lineRule="exact"/>
        <w:rPr>
          <w:rFonts w:ascii="Arial" w:cs="Arial" w:eastAsia="Arial" w:hAnsi="Arial"/>
          <w:sz w:val="18"/>
          <w:szCs w:val="18"/>
          <w:color w:val="auto"/>
        </w:rPr>
      </w:pPr>
    </w:p>
    <w:p>
      <w:pPr>
        <w:ind w:left="1000" w:right="180" w:firstLine="402"/>
        <w:spacing w:after="0" w:line="271" w:lineRule="auto"/>
        <w:tabs>
          <w:tab w:leader="none" w:pos="1695"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60"/>
          </w:cols>
          <w:pgMar w:left="320" w:top="455"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140"/>
        <w:spacing w:after="0" w:line="24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68" w:lineRule="exact"/>
        <w:rPr>
          <w:sz w:val="20"/>
          <w:szCs w:val="20"/>
          <w:color w:val="auto"/>
        </w:rPr>
      </w:pPr>
    </w:p>
    <w:p>
      <w:pPr>
        <w:jc w:val="both"/>
        <w:ind w:left="560" w:right="20" w:firstLine="419"/>
        <w:spacing w:after="0" w:line="253" w:lineRule="auto"/>
        <w:tabs>
          <w:tab w:leader="none" w:pos="12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0" w:lineRule="exact"/>
        <w:rPr>
          <w:rFonts w:ascii="Arial" w:cs="Arial" w:eastAsia="Arial" w:hAnsi="Arial"/>
          <w:sz w:val="18"/>
          <w:szCs w:val="18"/>
          <w:color w:val="auto"/>
        </w:rPr>
      </w:pPr>
    </w:p>
    <w:p>
      <w:pPr>
        <w:ind w:left="560" w:right="280" w:firstLine="419"/>
        <w:spacing w:after="0" w:line="271" w:lineRule="auto"/>
        <w:tabs>
          <w:tab w:leader="none" w:pos="12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45" w:lineRule="exact"/>
        <w:rPr>
          <w:rFonts w:ascii="Arial" w:cs="Arial" w:eastAsia="Arial" w:hAnsi="Arial"/>
          <w:sz w:val="18"/>
          <w:szCs w:val="18"/>
          <w:color w:val="auto"/>
        </w:rPr>
      </w:pPr>
    </w:p>
    <w:p>
      <w:pPr>
        <w:ind w:left="1240" w:hanging="26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03" w:lineRule="exact"/>
        <w:rPr>
          <w:rFonts w:ascii="Arial" w:cs="Arial" w:eastAsia="Arial" w:hAnsi="Arial"/>
          <w:sz w:val="18"/>
          <w:szCs w:val="18"/>
          <w:color w:val="auto"/>
        </w:rPr>
      </w:pPr>
    </w:p>
    <w:p>
      <w:pPr>
        <w:ind w:left="1000" w:right="580" w:firstLine="402"/>
        <w:spacing w:after="0" w:line="271" w:lineRule="auto"/>
        <w:tabs>
          <w:tab w:leader="none" w:pos="16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5" w:lineRule="exact"/>
        <w:rPr>
          <w:rFonts w:ascii="Arial" w:cs="Arial" w:eastAsia="Arial" w:hAnsi="Arial"/>
          <w:sz w:val="18"/>
          <w:szCs w:val="18"/>
          <w:color w:val="auto"/>
        </w:rPr>
      </w:pPr>
    </w:p>
    <w:p>
      <w:pPr>
        <w:ind w:left="1000" w:right="20" w:firstLine="402"/>
        <w:spacing w:after="0" w:line="238" w:lineRule="auto"/>
        <w:tabs>
          <w:tab w:leader="none" w:pos="16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2" w:lineRule="exact"/>
        <w:rPr>
          <w:rFonts w:ascii="Arial" w:cs="Arial" w:eastAsia="Arial" w:hAnsi="Arial"/>
          <w:sz w:val="18"/>
          <w:szCs w:val="18"/>
          <w:color w:val="auto"/>
        </w:rPr>
      </w:pPr>
    </w:p>
    <w:p>
      <w:pPr>
        <w:ind w:left="560" w:right="160" w:firstLine="419"/>
        <w:spacing w:after="0" w:line="271" w:lineRule="auto"/>
        <w:tabs>
          <w:tab w:leader="none" w:pos="12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46" w:lineRule="exact"/>
        <w:rPr>
          <w:sz w:val="20"/>
          <w:szCs w:val="20"/>
          <w:color w:val="auto"/>
        </w:rPr>
      </w:pPr>
    </w:p>
    <w:p>
      <w:pPr>
        <w:ind w:left="1000" w:firstLine="405"/>
        <w:spacing w:after="0" w:line="247"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6" w:lineRule="exact"/>
        <w:rPr>
          <w:sz w:val="20"/>
          <w:szCs w:val="20"/>
          <w:color w:val="auto"/>
        </w:rPr>
      </w:pPr>
    </w:p>
    <w:p>
      <w:pPr>
        <w:ind w:left="1000" w:right="520" w:firstLine="402"/>
        <w:spacing w:after="0" w:line="271" w:lineRule="auto"/>
        <w:tabs>
          <w:tab w:leader="none" w:pos="16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45" w:lineRule="exact"/>
        <w:rPr>
          <w:rFonts w:ascii="Arial" w:cs="Arial" w:eastAsia="Arial" w:hAnsi="Arial"/>
          <w:sz w:val="18"/>
          <w:szCs w:val="18"/>
          <w:color w:val="auto"/>
        </w:rPr>
      </w:pPr>
    </w:p>
    <w:p>
      <w:pPr>
        <w:ind w:left="1000" w:right="300" w:firstLine="402"/>
        <w:spacing w:after="0" w:line="271" w:lineRule="auto"/>
        <w:tabs>
          <w:tab w:leader="none" w:pos="1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right="560" w:firstLine="402"/>
        <w:spacing w:after="0" w:line="271" w:lineRule="auto"/>
        <w:tabs>
          <w:tab w:leader="none" w:pos="1695"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45" w:lineRule="exact"/>
        <w:rPr>
          <w:rFonts w:ascii="Arial" w:cs="Arial" w:eastAsia="Arial" w:hAnsi="Arial"/>
          <w:sz w:val="18"/>
          <w:szCs w:val="18"/>
          <w:color w:val="auto"/>
        </w:rPr>
      </w:pPr>
    </w:p>
    <w:p>
      <w:pPr>
        <w:ind w:left="1700" w:hanging="298"/>
        <w:spacing w:after="0"/>
        <w:tabs>
          <w:tab w:leader="none" w:pos="1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11" w:lineRule="exact"/>
        <w:rPr>
          <w:rFonts w:ascii="Arial" w:cs="Arial" w:eastAsia="Arial" w:hAnsi="Arial"/>
          <w:sz w:val="18"/>
          <w:szCs w:val="18"/>
          <w:color w:val="auto"/>
        </w:rPr>
      </w:pPr>
    </w:p>
    <w:p>
      <w:pPr>
        <w:ind w:left="120" w:right="100" w:firstLine="436"/>
        <w:spacing w:after="0" w:line="244" w:lineRule="auto"/>
        <w:tabs>
          <w:tab w:leader="none" w:pos="8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6" w:lineRule="exact"/>
        <w:rPr>
          <w:rFonts w:ascii="Arial" w:cs="Arial" w:eastAsia="Arial" w:hAnsi="Arial"/>
          <w:sz w:val="18"/>
          <w:szCs w:val="18"/>
          <w:color w:val="auto"/>
        </w:rPr>
      </w:pPr>
    </w:p>
    <w:p>
      <w:pPr>
        <w:ind w:left="120" w:firstLine="436"/>
        <w:spacing w:after="0" w:line="239"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120" w:right="380" w:firstLine="440"/>
        <w:spacing w:after="0" w:line="25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London, the United Kingdom, on May 15, 2024.</w:t>
      </w:r>
    </w:p>
    <w:p>
      <w:pPr>
        <w:spacing w:after="0" w:line="19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MEREO BIOPHARMA GROUP PLC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Denise Scots-Knight</w:t>
      </w: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Denise Scots- Knight, Ph.D. and Christine Fox, and each of them,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(and any additional registration statement related hereto permitted by Rule 462(b) promulgated under the Securities Act of 1933, as amended (and all further amendments, including post-effective amendments, thereto)), and to file the same, with all exhibits thereto, and other documents in connection therewith, with the Securities and Exchange Commission, granting unto</w:t>
      </w:r>
    </w:p>
    <w:p>
      <w:pPr>
        <w:spacing w:after="0" w:line="5" w:lineRule="exact"/>
        <w:rPr>
          <w:sz w:val="20"/>
          <w:szCs w:val="20"/>
          <w:color w:val="auto"/>
        </w:rPr>
      </w:pPr>
    </w:p>
    <w:p>
      <w:pPr>
        <w:ind w:left="120" w:right="400"/>
        <w:spacing w:after="0" w:line="242" w:lineRule="auto"/>
        <w:rPr>
          <w:sz w:val="20"/>
          <w:szCs w:val="20"/>
          <w:color w:val="auto"/>
        </w:rPr>
      </w:pPr>
      <w:r>
        <w:rPr>
          <w:rFonts w:ascii="Arial" w:cs="Arial" w:eastAsia="Arial" w:hAnsi="Arial"/>
          <w:sz w:val="18"/>
          <w:szCs w:val="18"/>
          <w:color w:val="auto"/>
        </w:rPr>
        <w:t>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7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May 15, 2024 in the capacities indicated.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74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Title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196"/>
        </w:trPr>
        <w:tc>
          <w:tcPr>
            <w:tcW w:w="474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/s/ Denise Scots-Knight</w:t>
            </w:r>
          </w:p>
        </w:tc>
        <w:tc>
          <w:tcPr>
            <w:tcW w:w="120" w:type="dxa"/>
            <w:vAlign w:val="bottom"/>
          </w:tcPr>
          <w:p>
            <w:pPr>
              <w:spacing w:after="0"/>
              <w:rPr>
                <w:sz w:val="17"/>
                <w:szCs w:val="17"/>
                <w:color w:val="auto"/>
              </w:rPr>
            </w:pPr>
          </w:p>
        </w:tc>
        <w:tc>
          <w:tcPr>
            <w:tcW w:w="462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Chief Executive Officer and Director</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w w:val="99"/>
              </w:rPr>
              <w:t>Denise Scots-Knight</w:t>
            </w:r>
          </w:p>
        </w:tc>
        <w:tc>
          <w:tcPr>
            <w:tcW w:w="120" w:type="dxa"/>
            <w:vAlign w:val="bottom"/>
          </w:tcPr>
          <w:p>
            <w:pPr>
              <w:spacing w:after="0"/>
              <w:rPr>
                <w:sz w:val="20"/>
                <w:szCs w:val="20"/>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9"/>
              </w:rPr>
              <w:t>(Principal Executive Officer)</w:t>
            </w:r>
          </w:p>
        </w:tc>
        <w:tc>
          <w:tcPr>
            <w:tcW w:w="1440" w:type="dxa"/>
            <w:vAlign w:val="bottom"/>
          </w:tcPr>
          <w:p>
            <w:pPr>
              <w:spacing w:after="0"/>
              <w:rPr>
                <w:sz w:val="20"/>
                <w:szCs w:val="20"/>
                <w:color w:val="auto"/>
              </w:rPr>
            </w:pPr>
          </w:p>
        </w:tc>
      </w:tr>
      <w:tr>
        <w:trPr>
          <w:trHeight w:val="396"/>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Christine Fox</w:t>
            </w:r>
          </w:p>
        </w:tc>
        <w:tc>
          <w:tcPr>
            <w:tcW w:w="120" w:type="dxa"/>
            <w:vAlign w:val="bottom"/>
          </w:tcPr>
          <w:p>
            <w:pPr>
              <w:spacing w:after="0"/>
              <w:rPr>
                <w:sz w:val="24"/>
                <w:szCs w:val="24"/>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Chief Financial Officer</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w w:val="99"/>
              </w:rPr>
              <w:t>Christine Fox</w:t>
            </w:r>
          </w:p>
        </w:tc>
        <w:tc>
          <w:tcPr>
            <w:tcW w:w="120" w:type="dxa"/>
            <w:vAlign w:val="bottom"/>
          </w:tcPr>
          <w:p>
            <w:pPr>
              <w:spacing w:after="0"/>
              <w:rPr>
                <w:sz w:val="20"/>
                <w:szCs w:val="20"/>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Accounting and Financial Officer</w:t>
            </w:r>
            <w:r>
              <w:rPr>
                <w:rFonts w:ascii="Arial" w:cs="Arial" w:eastAsia="Arial" w:hAnsi="Arial"/>
                <w:sz w:val="18"/>
                <w:szCs w:val="18"/>
                <w:color w:val="auto"/>
                <w:w w:val="99"/>
              </w:rPr>
              <w:t>)</w:t>
            </w:r>
          </w:p>
        </w:tc>
        <w:tc>
          <w:tcPr>
            <w:tcW w:w="1440" w:type="dxa"/>
            <w:vAlign w:val="bottom"/>
          </w:tcPr>
          <w:p>
            <w:pPr>
              <w:spacing w:after="0"/>
              <w:rPr>
                <w:sz w:val="20"/>
                <w:szCs w:val="20"/>
                <w:color w:val="auto"/>
              </w:rPr>
            </w:pPr>
          </w:p>
        </w:tc>
      </w:tr>
      <w:tr>
        <w:trPr>
          <w:trHeight w:val="396"/>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Wyzga</w:t>
            </w:r>
          </w:p>
        </w:tc>
        <w:tc>
          <w:tcPr>
            <w:tcW w:w="120" w:type="dxa"/>
            <w:vAlign w:val="bottom"/>
          </w:tcPr>
          <w:p>
            <w:pPr>
              <w:spacing w:after="0"/>
              <w:rPr>
                <w:sz w:val="24"/>
                <w:szCs w:val="24"/>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Chairman of the Board of Directors</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w w:val="99"/>
              </w:rPr>
              <w:t>Michael Wyzga</w:t>
            </w: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96"/>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Jeremy Bender</w:t>
            </w:r>
          </w:p>
        </w:tc>
        <w:tc>
          <w:tcPr>
            <w:tcW w:w="120" w:type="dxa"/>
            <w:vAlign w:val="bottom"/>
          </w:tcPr>
          <w:p>
            <w:pPr>
              <w:spacing w:after="0"/>
              <w:rPr>
                <w:sz w:val="24"/>
                <w:szCs w:val="24"/>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w w:val="99"/>
              </w:rPr>
              <w:t>Jeremy Bender</w:t>
            </w: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96"/>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Anders Ekblom</w:t>
            </w:r>
          </w:p>
        </w:tc>
        <w:tc>
          <w:tcPr>
            <w:tcW w:w="120" w:type="dxa"/>
            <w:vAlign w:val="bottom"/>
          </w:tcPr>
          <w:p>
            <w:pPr>
              <w:spacing w:after="0"/>
              <w:rPr>
                <w:sz w:val="24"/>
                <w:szCs w:val="24"/>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w w:val="99"/>
              </w:rPr>
              <w:t>Anders Ekblom</w:t>
            </w: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99"/>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Pierre Jacquet</w:t>
            </w:r>
          </w:p>
        </w:tc>
        <w:tc>
          <w:tcPr>
            <w:tcW w:w="120" w:type="dxa"/>
            <w:vAlign w:val="bottom"/>
          </w:tcPr>
          <w:p>
            <w:pPr>
              <w:spacing w:after="0"/>
              <w:rPr>
                <w:sz w:val="24"/>
                <w:szCs w:val="24"/>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w w:val="99"/>
              </w:rPr>
              <w:t>Pierre Jacquet</w:t>
            </w: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88"/>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Annalisa Jenkins</w:t>
            </w:r>
          </w:p>
        </w:tc>
        <w:tc>
          <w:tcPr>
            <w:tcW w:w="120" w:type="dxa"/>
            <w:vAlign w:val="bottom"/>
          </w:tcPr>
          <w:p>
            <w:pPr>
              <w:spacing w:after="0"/>
              <w:rPr>
                <w:sz w:val="24"/>
                <w:szCs w:val="24"/>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w w:val="99"/>
              </w:rPr>
              <w:t>Annalisa Jenkins</w:t>
            </w: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88"/>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Deepika Pakianathan</w:t>
            </w:r>
          </w:p>
        </w:tc>
        <w:tc>
          <w:tcPr>
            <w:tcW w:w="120" w:type="dxa"/>
            <w:vAlign w:val="bottom"/>
          </w:tcPr>
          <w:p>
            <w:pPr>
              <w:spacing w:after="0"/>
              <w:rPr>
                <w:sz w:val="24"/>
                <w:szCs w:val="24"/>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rPr>
              <w:t>Deepika Pakianathan</w:t>
            </w: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88"/>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Justin Roberts</w:t>
            </w:r>
          </w:p>
        </w:tc>
        <w:tc>
          <w:tcPr>
            <w:tcW w:w="120" w:type="dxa"/>
            <w:vAlign w:val="bottom"/>
          </w:tcPr>
          <w:p>
            <w:pPr>
              <w:spacing w:after="0"/>
              <w:rPr>
                <w:sz w:val="24"/>
                <w:szCs w:val="24"/>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w w:val="99"/>
              </w:rPr>
              <w:t>Justin Roberts</w:t>
            </w: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88"/>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Daniel Shames</w:t>
            </w:r>
          </w:p>
        </w:tc>
        <w:tc>
          <w:tcPr>
            <w:tcW w:w="120" w:type="dxa"/>
            <w:vAlign w:val="bottom"/>
          </w:tcPr>
          <w:p>
            <w:pPr>
              <w:spacing w:after="0"/>
              <w:rPr>
                <w:sz w:val="24"/>
                <w:szCs w:val="24"/>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w w:val="99"/>
              </w:rPr>
              <w:t>Daniel Shames</w:t>
            </w: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88"/>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Marc Yoskowitz</w:t>
            </w:r>
          </w:p>
        </w:tc>
        <w:tc>
          <w:tcPr>
            <w:tcW w:w="120" w:type="dxa"/>
            <w:vAlign w:val="bottom"/>
          </w:tcPr>
          <w:p>
            <w:pPr>
              <w:spacing w:after="0"/>
              <w:rPr>
                <w:sz w:val="24"/>
                <w:szCs w:val="24"/>
                <w:color w:val="auto"/>
              </w:rPr>
            </w:pPr>
          </w:p>
        </w:tc>
        <w:tc>
          <w:tcPr>
            <w:tcW w:w="472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May 15, 2024</w:t>
            </w:r>
          </w:p>
        </w:tc>
      </w:tr>
      <w:tr>
        <w:trPr>
          <w:trHeight w:val="232"/>
        </w:trPr>
        <w:tc>
          <w:tcPr>
            <w:tcW w:w="4740" w:type="dxa"/>
            <w:vAlign w:val="bottom"/>
          </w:tcPr>
          <w:p>
            <w:pPr>
              <w:jc w:val="center"/>
              <w:spacing w:after="0"/>
              <w:rPr>
                <w:sz w:val="20"/>
                <w:szCs w:val="20"/>
                <w:color w:val="auto"/>
              </w:rPr>
            </w:pPr>
            <w:r>
              <w:rPr>
                <w:rFonts w:ascii="Arial" w:cs="Arial" w:eastAsia="Arial" w:hAnsi="Arial"/>
                <w:sz w:val="18"/>
                <w:szCs w:val="18"/>
                <w:color w:val="auto"/>
                <w:w w:val="98"/>
              </w:rPr>
              <w:t>Marc Yoskowitz</w:t>
            </w: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12"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Form S-3 on May 15, 2024.</w:t>
      </w:r>
    </w:p>
    <w:p>
      <w:pPr>
        <w:spacing w:after="0" w:line="18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MEREO US HOLDINGS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Denise Scots-Knight</w:t>
      </w:r>
    </w:p>
    <w:p>
      <w:pPr>
        <w:ind w:left="7100"/>
        <w:spacing w:after="0"/>
        <w:rPr>
          <w:sz w:val="20"/>
          <w:szCs w:val="20"/>
          <w:color w:val="auto"/>
        </w:rPr>
      </w:pPr>
      <w:r>
        <w:rPr>
          <w:rFonts w:ascii="Arial" w:cs="Arial" w:eastAsia="Arial" w:hAnsi="Arial"/>
          <w:sz w:val="18"/>
          <w:szCs w:val="18"/>
          <w:color w:val="auto"/>
        </w:rPr>
        <w:t>Title: President</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960"/>
          </w:cols>
          <w:pgMar w:left="320" w:top="455" w:right="6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b w:val="1"/>
          <w:bCs w:val="1"/>
          <w:color w:val="auto"/>
        </w:rPr>
        <w:t>Exhibit 1.2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OPEN MARKET SALE AGREEMENT</w:t>
      </w:r>
      <w:r>
        <w:rPr>
          <w:rFonts w:ascii="Times New Roman" w:cs="Times New Roman" w:eastAsia="Times New Roman" w:hAnsi="Times New Roman"/>
          <w:sz w:val="16"/>
          <w:szCs w:val="16"/>
          <w:b w:val="1"/>
          <w:bCs w:val="1"/>
          <w:color w:val="auto"/>
        </w:rPr>
        <w:t>SM</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May 15,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Madison Avenue</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551"/>
        <w:spacing w:after="0" w:line="238" w:lineRule="auto"/>
        <w:rPr>
          <w:sz w:val="20"/>
          <w:szCs w:val="20"/>
          <w:color w:val="auto"/>
        </w:rPr>
      </w:pPr>
      <w:r>
        <w:rPr>
          <w:rFonts w:ascii="Times New Roman" w:cs="Times New Roman" w:eastAsia="Times New Roman" w:hAnsi="Times New Roman"/>
          <w:sz w:val="22"/>
          <w:szCs w:val="22"/>
          <w:color w:val="auto"/>
        </w:rPr>
        <w:t>Mereo BioPharma Group plc, a public limited company incorporated under the laws of England and Wales with registered number 09481161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American Depositary Shares of the Company (the “</w:t>
      </w:r>
      <w:r>
        <w:rPr>
          <w:rFonts w:ascii="Times New Roman" w:cs="Times New Roman" w:eastAsia="Times New Roman" w:hAnsi="Times New Roman"/>
          <w:sz w:val="22"/>
          <w:szCs w:val="22"/>
          <w:b w:val="1"/>
          <w:bCs w:val="1"/>
          <w:color w:val="auto"/>
        </w:rPr>
        <w:t>ADSs</w:t>
      </w:r>
      <w:r>
        <w:rPr>
          <w:rFonts w:ascii="Times New Roman" w:cs="Times New Roman" w:eastAsia="Times New Roman" w:hAnsi="Times New Roman"/>
          <w:sz w:val="22"/>
          <w:szCs w:val="22"/>
          <w:color w:val="auto"/>
        </w:rPr>
        <w:t>”), each representing five ordinary shares, nominal value £0.003 per share in the capital of the Company (the “</w:t>
      </w:r>
      <w:r>
        <w:rPr>
          <w:rFonts w:ascii="Times New Roman" w:cs="Times New Roman" w:eastAsia="Times New Roman" w:hAnsi="Times New Roman"/>
          <w:sz w:val="22"/>
          <w:szCs w:val="22"/>
          <w:b w:val="1"/>
          <w:bCs w:val="1"/>
          <w:color w:val="auto"/>
        </w:rPr>
        <w:t>Ordinary Shares</w:t>
      </w:r>
      <w:r>
        <w:rPr>
          <w:rFonts w:ascii="Times New Roman" w:cs="Times New Roman" w:eastAsia="Times New Roman" w:hAnsi="Times New Roman"/>
          <w:sz w:val="22"/>
          <w:szCs w:val="22"/>
          <w:color w:val="auto"/>
        </w:rPr>
        <w:t>”), on the terms set forth in this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The ADSs shall be issued pursuant to a deposit agreement, dated as of April 23, 2019, by and among the Company, Citibank, N.A., as depositary (the “</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and all holders and beneficial holders of the ADSs issued thereunder, as supplemented by a letter agreement, to be entered into by and between the Company and the Depositary addressing the establishment and maintenance of a facility related to the ADSs that are contemplated to be issued pursuant to this Agreement (collectively, the “</w:t>
      </w:r>
      <w:r>
        <w:rPr>
          <w:rFonts w:ascii="Times New Roman" w:cs="Times New Roman" w:eastAsia="Times New Roman" w:hAnsi="Times New Roman"/>
          <w:sz w:val="22"/>
          <w:szCs w:val="22"/>
          <w:b w:val="1"/>
          <w:bCs w:val="1"/>
          <w:color w:val="auto"/>
        </w:rPr>
        <w:t>Deposit Agreement</w:t>
      </w:r>
      <w:r>
        <w:rPr>
          <w:rFonts w:ascii="Times New Roman" w:cs="Times New Roman" w:eastAsia="Times New Roman" w:hAnsi="Times New Roman"/>
          <w:sz w:val="22"/>
          <w:szCs w:val="22"/>
          <w:color w:val="auto"/>
        </w:rPr>
        <w:t>”). The Company shall, following subscription by the Agent of the ADSs, deposit, on behalf of the Agent, the Ordinary Shares represented by such ADSs (the “</w:t>
      </w:r>
      <w:r>
        <w:rPr>
          <w:rFonts w:ascii="Times New Roman" w:cs="Times New Roman" w:eastAsia="Times New Roman" w:hAnsi="Times New Roman"/>
          <w:sz w:val="22"/>
          <w:szCs w:val="22"/>
          <w:b w:val="1"/>
          <w:bCs w:val="1"/>
          <w:color w:val="auto"/>
        </w:rPr>
        <w:t>Underlying Shares</w:t>
      </w:r>
      <w:r>
        <w:rPr>
          <w:rFonts w:ascii="Times New Roman" w:cs="Times New Roman" w:eastAsia="Times New Roman" w:hAnsi="Times New Roman"/>
          <w:sz w:val="22"/>
          <w:szCs w:val="22"/>
          <w:color w:val="auto"/>
        </w:rPr>
        <w:t>”) with Citibank N.A., London Branch, as custodian for the Depositary (the “</w:t>
      </w:r>
      <w:r>
        <w:rPr>
          <w:rFonts w:ascii="Times New Roman" w:cs="Times New Roman" w:eastAsia="Times New Roman" w:hAnsi="Times New Roman"/>
          <w:sz w:val="22"/>
          <w:szCs w:val="22"/>
          <w:b w:val="1"/>
          <w:bCs w:val="1"/>
          <w:color w:val="auto"/>
        </w:rPr>
        <w:t>Custodian</w:t>
      </w:r>
      <w:r>
        <w:rPr>
          <w:rFonts w:ascii="Times New Roman" w:cs="Times New Roman" w:eastAsia="Times New Roman" w:hAnsi="Times New Roman"/>
          <w:sz w:val="22"/>
          <w:szCs w:val="22"/>
          <w:color w:val="auto"/>
        </w:rPr>
        <w:t>”), pursuant to which the Depositary shall deliver the ADSs to the Agent.</w:t>
      </w:r>
    </w:p>
    <w:p>
      <w:pPr>
        <w:spacing w:after="0" w:line="178"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References in this Agreement to (1) the Company issuing and selling ADSs through the Agent, and similar or analogous expressions, shall be understood to include references to the Company allotting and issuing the new Ordinary Shares represented by those ADSs to the Depositary or its nominee and procuring the issue of ADSs representing such Ordinary Shares by the Depositary or its nominee to the Agent (acting as agent and/or principal); and (2) the purchase of, or payment for, any ADSs, and similar or analogous expressions, shall be understood to refer to the subscription for the Ordinary Shares represented by those ADSs, as well as deposit of the Ordinary Shares for ADSs representing such Ordinary Shares, and the payment of the subscription moneys in respect of such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DEFINITIONS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capitalized terms used herein and not otherwise defined shall have the following respective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546735</wp:posOffset>
            </wp:positionV>
            <wp:extent cx="18173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SM</w:t>
      </w:r>
      <w:r>
        <w:rPr>
          <w:sz w:val="20"/>
          <w:szCs w:val="20"/>
          <w:color w:val="auto"/>
        </w:rPr>
        <w:tab/>
      </w:r>
      <w:r>
        <w:rPr>
          <w:rFonts w:ascii="Times New Roman" w:cs="Times New Roman" w:eastAsia="Times New Roman" w:hAnsi="Times New Roman"/>
          <w:sz w:val="18"/>
          <w:szCs w:val="18"/>
          <w:color w:val="auto"/>
        </w:rPr>
        <w:t>“Open Market Sale Agreement” is a service mark of Jefferies LLC</w:t>
      </w:r>
    </w:p>
    <w:p>
      <w:pPr>
        <w:sectPr>
          <w:pgSz w:w="11900" w:h="16838" w:orient="portrait"/>
          <w:cols w:equalWidth="0" w:num="1">
            <w:col w:w="11020"/>
          </w:cols>
          <w:pgMar w:left="440" w:top="108" w:right="439" w:bottom="1440" w:gutter="0" w:footer="0" w:header="0"/>
        </w:sectPr>
      </w:pPr>
    </w:p>
    <w:bookmarkStart w:id="77" w:name="page78"/>
    <w:bookmarkEnd w:id="77"/>
    <w:p>
      <w:pPr>
        <w:jc w:val="both"/>
        <w:ind w:left="4" w:right="20" w:firstLine="551"/>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Agency Period</w:t>
      </w:r>
      <w:r>
        <w:rPr>
          <w:rFonts w:ascii="Times New Roman" w:cs="Times New Roman" w:eastAsia="Times New Roman" w:hAnsi="Times New Roman"/>
          <w:sz w:val="22"/>
          <w:szCs w:val="22"/>
          <w:color w:val="auto"/>
        </w:rPr>
        <w:t>” means the period commencing on the date of this Agreement and expiring on the earliest to occur of</w:t>
      </w:r>
    </w:p>
    <w:p>
      <w:pPr>
        <w:spacing w:after="0" w:line="18" w:lineRule="exact"/>
        <w:rPr>
          <w:sz w:val="20"/>
          <w:szCs w:val="20"/>
          <w:color w:val="auto"/>
        </w:rPr>
      </w:pPr>
    </w:p>
    <w:p>
      <w:pPr>
        <w:ind w:left="4" w:right="20" w:hanging="4"/>
        <w:spacing w:after="0" w:line="237" w:lineRule="auto"/>
        <w:tabs>
          <w:tab w:leader="none" w:pos="31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on which the Agent shall have placed the Maximum Program Amount pursuant to this Agreement and (y) the date this Agreement is terminated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 2006</w:t>
      </w:r>
      <w:r>
        <w:rPr>
          <w:rFonts w:ascii="Times New Roman" w:cs="Times New Roman" w:eastAsia="Times New Roman" w:hAnsi="Times New Roman"/>
          <w:sz w:val="22"/>
          <w:szCs w:val="22"/>
          <w:color w:val="auto"/>
        </w:rPr>
        <w:t>” means the UK Companies Act 2006, as amended.</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jc w:val="both"/>
        <w:ind w:left="4" w:right="20"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of the Commission thereunder.</w:t>
      </w:r>
    </w:p>
    <w:p>
      <w:pPr>
        <w:spacing w:after="0" w:line="150" w:lineRule="exact"/>
        <w:rPr>
          <w:sz w:val="20"/>
          <w:szCs w:val="20"/>
          <w:color w:val="auto"/>
        </w:rPr>
      </w:pPr>
    </w:p>
    <w:p>
      <w:pPr>
        <w:jc w:val="both"/>
        <w:ind w:left="4" w:right="20" w:firstLine="55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Floor Price</w:t>
      </w:r>
      <w:r>
        <w:rPr>
          <w:rFonts w:ascii="Times New Roman" w:cs="Times New Roman" w:eastAsia="Times New Roman" w:hAnsi="Times New Roman"/>
          <w:sz w:val="22"/>
          <w:szCs w:val="22"/>
          <w:color w:val="auto"/>
        </w:rPr>
        <w:t>” means the minimum price set by the Company in the Issuance Notice below which the Agent shall not sell Shares (as defined below)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177" w:lineRule="exact"/>
        <w:rPr>
          <w:sz w:val="20"/>
          <w:szCs w:val="20"/>
          <w:color w:val="auto"/>
        </w:rPr>
      </w:pPr>
    </w:p>
    <w:p>
      <w:pPr>
        <w:jc w:val="both"/>
        <w:ind w:left="4" w:right="20"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Amount</w:t>
      </w:r>
      <w:r>
        <w:rPr>
          <w:rFonts w:ascii="Times New Roman" w:cs="Times New Roman" w:eastAsia="Times New Roman" w:hAnsi="Times New Roman"/>
          <w:sz w:val="22"/>
          <w:szCs w:val="22"/>
          <w:color w:val="auto"/>
        </w:rPr>
        <w:t>” means the aggregate Sales Price of the Shares to be sold by the Agent pursuant to any Issuance Notice.</w:t>
      </w:r>
    </w:p>
    <w:p>
      <w:pPr>
        <w:spacing w:after="0" w:line="150" w:lineRule="exact"/>
        <w:rPr>
          <w:sz w:val="20"/>
          <w:szCs w:val="20"/>
          <w:color w:val="auto"/>
        </w:rPr>
      </w:pPr>
    </w:p>
    <w:p>
      <w:pPr>
        <w:jc w:val="both"/>
        <w:ind w:left="4" w:right="20"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Notice</w:t>
      </w:r>
      <w:r>
        <w:rPr>
          <w:rFonts w:ascii="Times New Roman" w:cs="Times New Roman" w:eastAsia="Times New Roman" w:hAnsi="Times New Roman"/>
          <w:sz w:val="22"/>
          <w:szCs w:val="22"/>
          <w:color w:val="auto"/>
        </w:rPr>
        <w:t>” means a written notice delivered to the Agent by the Company in accordance with this Agreement in the form attached hereto as Exhibit A that is executed by its Chief Executive Officer, President or Chief Financial Officer.</w:t>
      </w:r>
    </w:p>
    <w:p>
      <w:pPr>
        <w:spacing w:after="0" w:line="150" w:lineRule="exact"/>
        <w:rPr>
          <w:sz w:val="20"/>
          <w:szCs w:val="20"/>
          <w:color w:val="auto"/>
        </w:rPr>
      </w:pPr>
    </w:p>
    <w:p>
      <w:pPr>
        <w:jc w:val="both"/>
        <w:ind w:left="4"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Notice Date</w:t>
      </w:r>
      <w:r>
        <w:rPr>
          <w:rFonts w:ascii="Times New Roman" w:cs="Times New Roman" w:eastAsia="Times New Roman" w:hAnsi="Times New Roman"/>
          <w:sz w:val="22"/>
          <w:szCs w:val="22"/>
          <w:color w:val="auto"/>
        </w:rPr>
        <w:t xml:space="preserve">” means any Trading Day during the Agency Period that an Issuance Notice is delivered pursuant to </w:t>
      </w:r>
      <w:r>
        <w:rPr>
          <w:rFonts w:ascii="Times New Roman" w:cs="Times New Roman" w:eastAsia="Times New Roman" w:hAnsi="Times New Roman"/>
          <w:sz w:val="22"/>
          <w:szCs w:val="22"/>
          <w:u w:val="single" w:color="auto"/>
          <w:color w:val="auto"/>
        </w:rPr>
        <w:t>Section 3(b)(i)</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Price</w:t>
      </w:r>
      <w:r>
        <w:rPr>
          <w:rFonts w:ascii="Times New Roman" w:cs="Times New Roman" w:eastAsia="Times New Roman" w:hAnsi="Times New Roman"/>
          <w:sz w:val="22"/>
          <w:szCs w:val="22"/>
          <w:color w:val="auto"/>
        </w:rPr>
        <w:t>” means the Sales Price less the Selling Commission.</w:t>
      </w:r>
    </w:p>
    <w:p>
      <w:pPr>
        <w:spacing w:after="0" w:line="206" w:lineRule="exact"/>
        <w:rPr>
          <w:sz w:val="20"/>
          <w:szCs w:val="20"/>
          <w:color w:val="auto"/>
        </w:rPr>
      </w:pPr>
    </w:p>
    <w:p>
      <w:pPr>
        <w:jc w:val="both"/>
        <w:ind w:left="4" w:firstLine="551"/>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Program Amount</w:t>
      </w:r>
      <w:r>
        <w:rPr>
          <w:rFonts w:ascii="Times New Roman" w:cs="Times New Roman" w:eastAsia="Times New Roman" w:hAnsi="Times New Roman"/>
          <w:sz w:val="22"/>
          <w:szCs w:val="22"/>
          <w:color w:val="auto"/>
        </w:rPr>
        <w:t>” means Shares with an aggregate Sales Price of the lesser of (a) the number or dollar amount of Underlying Shares registered under the effective Registration Statement (defined below) pursuant to which the offering is being made, (b) the number of Ordinary Shares representing the pound sterling nominal amount of Ordinary Shares that the Company’s board of directors or a duly authorized committee thereof is authorized to allot from time to time, in accordance with the Company’s articles of association and pursuant to a valid authority under section 551 of the CA 2006 and a valid power under section 570 of the CA 2006 to allot Ordinary Shares as if section 561 of the CA 2006 did not apply (less any Ordinary Shares issued or rights to subscribe for or to convert any security into Ordinary Shares granted pursuant to such authorities)), (c) the number or dollar amount of Ordinary Shares, represented by ADSs, permitted to be sold under Form S-3 (including General Instruction I.B.6 thereof, if applicable) and Form F-6, as applicable, or (d) the number or dollar amount of ADSs for which the Company has filed a Prospectus (defined below).</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4"/>
          </w:cols>
          <w:pgMar w:left="436" w:top="257" w:right="439" w:bottom="1440" w:gutter="0" w:footer="0" w:header="0"/>
        </w:sectPr>
      </w:pPr>
    </w:p>
    <w:bookmarkStart w:id="78" w:name="page79"/>
    <w:bookmarkEnd w:id="78"/>
    <w:p>
      <w:pPr>
        <w:jc w:val="both"/>
        <w:ind w:right="20" w:firstLine="551"/>
        <w:spacing w:after="0" w:line="26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50" w:lineRule="exact"/>
        <w:rPr>
          <w:sz w:val="20"/>
          <w:szCs w:val="20"/>
          <w:color w:val="auto"/>
        </w:rPr>
      </w:pPr>
    </w:p>
    <w:p>
      <w:pPr>
        <w:jc w:val="both"/>
        <w:ind w:right="20"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Market</w:t>
      </w:r>
      <w:r>
        <w:rPr>
          <w:rFonts w:ascii="Times New Roman" w:cs="Times New Roman" w:eastAsia="Times New Roman" w:hAnsi="Times New Roman"/>
          <w:sz w:val="22"/>
          <w:szCs w:val="22"/>
          <w:color w:val="auto"/>
        </w:rPr>
        <w:t>” means the Nasdaq Capital Market or such other national securities exchange on which the ADSs, including any Shares, are then listed.</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Price</w:t>
      </w:r>
      <w:r>
        <w:rPr>
          <w:rFonts w:ascii="Times New Roman" w:cs="Times New Roman" w:eastAsia="Times New Roman" w:hAnsi="Times New Roman"/>
          <w:sz w:val="22"/>
          <w:szCs w:val="22"/>
          <w:color w:val="auto"/>
        </w:rPr>
        <w:t>” means the actual sale execution price of each Share placed by the Agent pursuant to this Agreement.</w:t>
      </w:r>
    </w:p>
    <w:p>
      <w:pPr>
        <w:spacing w:after="0" w:line="206" w:lineRule="exact"/>
        <w:rPr>
          <w:sz w:val="20"/>
          <w:szCs w:val="20"/>
          <w:color w:val="auto"/>
        </w:rPr>
      </w:pPr>
    </w:p>
    <w:p>
      <w:pPr>
        <w:jc w:val="both"/>
        <w:ind w:right="20"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of the Commission thereunder.</w:t>
      </w:r>
    </w:p>
    <w:p>
      <w:pPr>
        <w:spacing w:after="0" w:line="150"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Commission</w:t>
      </w:r>
      <w:r>
        <w:rPr>
          <w:rFonts w:ascii="Times New Roman" w:cs="Times New Roman" w:eastAsia="Times New Roman" w:hAnsi="Times New Roman"/>
          <w:sz w:val="22"/>
          <w:szCs w:val="22"/>
          <w:color w:val="auto"/>
        </w:rPr>
        <w:t>” means three percent (3.0%) of the gross proceeds of Shares sold pursuant to this Agreement, or as otherwise agreed between the Company and the Agent with respect to any Shares sold pursuant to this Agreement and being compliant with the CA 2006.</w:t>
      </w:r>
    </w:p>
    <w:p>
      <w:pPr>
        <w:spacing w:after="0" w:line="167" w:lineRule="exact"/>
        <w:rPr>
          <w:sz w:val="20"/>
          <w:szCs w:val="20"/>
          <w:color w:val="auto"/>
        </w:rPr>
      </w:pPr>
    </w:p>
    <w:p>
      <w:pPr>
        <w:jc w:val="both"/>
        <w:ind w:right="20" w:firstLine="55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means the second Trading Day (or, as of May 28, 2024, the first Trading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2" w:lineRule="exact"/>
        <w:rPr>
          <w:sz w:val="20"/>
          <w:szCs w:val="20"/>
          <w:color w:val="auto"/>
        </w:rPr>
      </w:pPr>
    </w:p>
    <w:p>
      <w:pPr>
        <w:jc w:val="both"/>
        <w:ind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shall mean the Company’s ADSs issued or issuable pursuant to the Deposit Agreement and upon the transactions contemplated by this Agreement.</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any day on which the Principal Market is open for trading.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REPRESENTATIONS AND WARRANTIES OF THE COMPANY</w:t>
      </w:r>
    </w:p>
    <w:p>
      <w:pPr>
        <w:spacing w:after="0" w:line="210" w:lineRule="exact"/>
        <w:rPr>
          <w:sz w:val="20"/>
          <w:szCs w:val="20"/>
          <w:color w:val="auto"/>
        </w:rPr>
      </w:pPr>
    </w:p>
    <w:p>
      <w:pPr>
        <w:jc w:val="both"/>
        <w:ind w:right="20" w:firstLine="551"/>
        <w:spacing w:after="0" w:line="255" w:lineRule="auto"/>
        <w:rPr>
          <w:sz w:val="20"/>
          <w:szCs w:val="20"/>
          <w:color w:val="auto"/>
        </w:rPr>
      </w:pPr>
      <w:r>
        <w:rPr>
          <w:rFonts w:ascii="Times New Roman" w:cs="Times New Roman" w:eastAsia="Times New Roman" w:hAnsi="Times New Roman"/>
          <w:sz w:val="21"/>
          <w:szCs w:val="21"/>
          <w:color w:val="auto"/>
        </w:rPr>
        <w:t>The Company represents and warrants to, and agrees with, the Agent that as of (1) the date of this Agreement, (2) each Issuance Notice Date, (3) each Settlement Date, (4) each Triggering Event Date and (5) as of each Time of Sale (each of the times referenced above is referred to herein as a “</w:t>
      </w:r>
      <w:r>
        <w:rPr>
          <w:rFonts w:ascii="Times New Roman" w:cs="Times New Roman" w:eastAsia="Times New Roman" w:hAnsi="Times New Roman"/>
          <w:sz w:val="21"/>
          <w:szCs w:val="21"/>
          <w:b w:val="1"/>
          <w:bCs w:val="1"/>
          <w:color w:val="auto"/>
        </w:rPr>
        <w:t>Representation Date</w:t>
      </w:r>
      <w:r>
        <w:rPr>
          <w:rFonts w:ascii="Times New Roman" w:cs="Times New Roman" w:eastAsia="Times New Roman" w:hAnsi="Times New Roman"/>
          <w:sz w:val="21"/>
          <w:szCs w:val="21"/>
          <w:color w:val="auto"/>
        </w:rPr>
        <w:t>”), except as may be disclosed in the Prospectus (including any documents incorporated by reference therein and any supplements thereto) on or before a Representation Date:</w:t>
      </w:r>
    </w:p>
    <w:p>
      <w:pPr>
        <w:spacing w:after="0" w:line="16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Company has prepared and filed, or will file, with the Commission a shelf registration statement on Form S-3 that contains a base prospectus (the “</w:t>
      </w:r>
      <w:r>
        <w:rPr>
          <w:rFonts w:ascii="Times New Roman" w:cs="Times New Roman" w:eastAsia="Times New Roman" w:hAnsi="Times New Roman"/>
          <w:sz w:val="22"/>
          <w:szCs w:val="22"/>
          <w:b w:val="1"/>
          <w:bCs w:val="1"/>
          <w:color w:val="auto"/>
        </w:rPr>
        <w:t>Base Prospectus</w:t>
      </w:r>
      <w:r>
        <w:rPr>
          <w:rFonts w:ascii="Times New Roman" w:cs="Times New Roman" w:eastAsia="Times New Roman" w:hAnsi="Times New Roman"/>
          <w:sz w:val="22"/>
          <w:szCs w:val="22"/>
          <w:color w:val="auto"/>
        </w:rPr>
        <w:t>”). Such registration statement registers the issuance and sale by the Company of the Underlying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440" w:top="257" w:right="439" w:bottom="1440" w:gutter="0" w:footer="0" w:header="0"/>
        </w:sectPr>
      </w:pPr>
    </w:p>
    <w:bookmarkStart w:id="79" w:name="page80"/>
    <w:bookmarkEnd w:id="79"/>
    <w:p>
      <w:pPr>
        <w:jc w:val="both"/>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21"/>
          <w:szCs w:val="21"/>
          <w:b w:val="1"/>
          <w:bCs w:val="1"/>
          <w:color w:val="auto"/>
        </w:rPr>
        <w:t>Registration Statement,</w:t>
      </w:r>
      <w:r>
        <w:rPr>
          <w:rFonts w:ascii="Times New Roman" w:cs="Times New Roman" w:eastAsia="Times New Roman" w:hAnsi="Times New Roman"/>
          <w:sz w:val="21"/>
          <w:szCs w:val="21"/>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21"/>
          <w:szCs w:val="21"/>
          <w:b w:val="1"/>
          <w:bCs w:val="1"/>
          <w:color w:val="auto"/>
        </w:rPr>
        <w:t>Original Registration Statement.</w:t>
      </w:r>
      <w:r>
        <w:rPr>
          <w:rFonts w:ascii="Times New Roman" w:cs="Times New Roman" w:eastAsia="Times New Roman" w:hAnsi="Times New Roman"/>
          <w:sz w:val="21"/>
          <w:szCs w:val="21"/>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 The Company and the Depositary have filed with the Commission separate registration statements on Form F-6 (Nos. 333-223890, 333-249338 and 333-258824), and may file additional registration statements on Form F-6, covering the registration of the ADSs under the Securities Act. The registration statements on Form F-6 relating to the ADSs are hereinafter referred to as the “</w:t>
      </w:r>
      <w:r>
        <w:rPr>
          <w:rFonts w:ascii="Times New Roman" w:cs="Times New Roman" w:eastAsia="Times New Roman" w:hAnsi="Times New Roman"/>
          <w:sz w:val="21"/>
          <w:szCs w:val="21"/>
          <w:b w:val="1"/>
          <w:bCs w:val="1"/>
          <w:color w:val="auto"/>
        </w:rPr>
        <w:t>ADS Registration Statement</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22"/>
          <w:szCs w:val="22"/>
          <w:color w:val="auto"/>
        </w:rPr>
        <w:t>All references in this Agreement to financial statements and schedules and other information which is “contained,” “included” or “stated” in the Registration Statement, the ADS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the ADS Registration Statement or the Prospectus, as the case may be, as of any specified date; and all references in this Agreement to amendments or supplements to the Registration Statement, the ADS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the ADS Registration Statement or the Prospectus, as the case may be, as of any specified date.</w:t>
      </w:r>
    </w:p>
    <w:p>
      <w:pPr>
        <w:spacing w:after="0" w:line="179" w:lineRule="exact"/>
        <w:rPr>
          <w:sz w:val="20"/>
          <w:szCs w:val="20"/>
          <w:color w:val="auto"/>
        </w:rPr>
      </w:pPr>
    </w:p>
    <w:p>
      <w:pPr>
        <w:jc w:val="both"/>
        <w:ind w:right="20" w:firstLine="551"/>
        <w:spacing w:after="0" w:line="255" w:lineRule="auto"/>
        <w:rPr>
          <w:sz w:val="20"/>
          <w:szCs w:val="20"/>
          <w:color w:val="auto"/>
        </w:rPr>
      </w:pPr>
      <w:r>
        <w:rPr>
          <w:rFonts w:ascii="Times New Roman" w:cs="Times New Roman" w:eastAsia="Times New Roman" w:hAnsi="Times New Roman"/>
          <w:sz w:val="21"/>
          <w:szCs w:val="21"/>
          <w:color w:val="auto"/>
        </w:rPr>
        <w:t>At the time the Original Registration Statement was or will be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Compliance with Registration Requirements</w:t>
      </w:r>
      <w:r>
        <w:rPr>
          <w:rFonts w:ascii="Times New Roman" w:cs="Times New Roman" w:eastAsia="Times New Roman" w:hAnsi="Times New Roman"/>
          <w:sz w:val="22"/>
          <w:szCs w:val="22"/>
          <w:color w:val="auto"/>
        </w:rPr>
        <w:t>. The Original Registration Statement and any registration statement filed pursuant to Rule 462(b) under the Securities Act with respect to the Registration Statement (a “</w:t>
      </w:r>
      <w:r>
        <w:rPr>
          <w:rFonts w:ascii="Times New Roman" w:cs="Times New Roman" w:eastAsia="Times New Roman" w:hAnsi="Times New Roman"/>
          <w:sz w:val="22"/>
          <w:szCs w:val="22"/>
          <w:b w:val="1"/>
          <w:bCs w:val="1"/>
          <w:color w:val="auto"/>
        </w:rPr>
        <w:t>Rule 462(b)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have been or will be declared effective by the Commission under the Securities Act. The Company has complied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will comply to the Commission’s satisfaction with all requests of the Commission for additional 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440" w:top="261" w:right="439" w:bottom="1440" w:gutter="0" w:footer="0" w:header="0"/>
        </w:sectPr>
      </w:pPr>
    </w:p>
    <w:bookmarkStart w:id="80" w:name="page81"/>
    <w:bookmarkEnd w:id="80"/>
    <w:p>
      <w:pPr>
        <w:jc w:val="both"/>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73" w:lineRule="exact"/>
        <w:rPr>
          <w:sz w:val="20"/>
          <w:szCs w:val="20"/>
          <w:color w:val="auto"/>
        </w:rPr>
      </w:pPr>
    </w:p>
    <w:p>
      <w:pPr>
        <w:jc w:val="both"/>
        <w:ind w:firstLine="551"/>
        <w:spacing w:after="0" w:line="232" w:lineRule="auto"/>
        <w:rPr>
          <w:sz w:val="20"/>
          <w:szCs w:val="20"/>
          <w:color w:val="auto"/>
        </w:rPr>
      </w:pPr>
      <w:r>
        <w:rPr>
          <w:rFonts w:ascii="Times New Roman" w:cs="Times New Roman" w:eastAsia="Times New Roman" w:hAnsi="Times New Roman"/>
          <w:sz w:val="22"/>
          <w:szCs w:val="22"/>
          <w:color w:val="auto"/>
        </w:rPr>
        <w:t>The Prospectus when filed complied or will comply in all material respects with the Securities Act and, if filed with the Commission through its Electronic Data Gathering, Analysis and Retrieval system (“</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(except as may be permitted by Regulation S T under the Securities Act), was identical to the copy thereof delivered to the Agent for use in connection with the issuance and sale of the Shares. Each of the Registration Statement, the ADS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22"/>
          <w:szCs w:val="22"/>
          <w:b w:val="1"/>
          <w:bCs w:val="1"/>
          <w:color w:val="auto"/>
        </w:rPr>
        <w:t>Time of Sale Information</w:t>
      </w:r>
      <w:r>
        <w:rPr>
          <w:rFonts w:ascii="Times New Roman" w:cs="Times New Roman" w:eastAsia="Times New Roman" w:hAnsi="Times New Roman"/>
          <w:sz w:val="22"/>
          <w:szCs w:val="22"/>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the ADS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Ineligible Issuer Status</w:t>
      </w:r>
      <w:r>
        <w:rPr>
          <w:rFonts w:ascii="Times New Roman" w:cs="Times New Roman" w:eastAsia="Times New Roman" w:hAnsi="Times New Roman"/>
          <w:sz w:val="21"/>
          <w:szCs w:val="21"/>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the ADS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440" w:top="261" w:right="439" w:bottom="1440" w:gutter="0" w:footer="0" w:header="0"/>
        </w:sectPr>
      </w:pPr>
    </w:p>
    <w:bookmarkStart w:id="81" w:name="page82"/>
    <w:bookmarkEnd w:id="81"/>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22"/>
          <w:szCs w:val="22"/>
          <w:u w:val="single" w:color="auto"/>
          <w:color w:val="auto"/>
        </w:rPr>
        <w:t>Incorporated Documents</w:t>
      </w:r>
      <w:r>
        <w:rPr>
          <w:rFonts w:ascii="Times New Roman" w:cs="Times New Roman" w:eastAsia="Times New Roman" w:hAnsi="Times New Roman"/>
          <w:sz w:val="22"/>
          <w:szCs w:val="22"/>
          <w:color w:val="auto"/>
        </w:rPr>
        <w:t>. The documents incorporated or deemed to be incorporated by reference in the Registration Statement, the ADS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Exchange Act Compliance</w:t>
      </w:r>
      <w:r>
        <w:rPr>
          <w:rFonts w:ascii="Times New Roman" w:cs="Times New Roman" w:eastAsia="Times New Roman" w:hAnsi="Times New Roman"/>
          <w:sz w:val="22"/>
          <w:szCs w:val="22"/>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the ADS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7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Emerging Growth Company Status</w:t>
      </w:r>
      <w:r>
        <w:rPr>
          <w:rFonts w:ascii="Times New Roman" w:cs="Times New Roman" w:eastAsia="Times New Roman" w:hAnsi="Times New Roman"/>
          <w:sz w:val="22"/>
          <w:szCs w:val="22"/>
          <w:color w:val="auto"/>
        </w:rPr>
        <w:t>. From the time of the initial filing of the Registration Statement with the Commission through the date hereof, the Company has been and is an “emerging growth company,” as defined in Section 2(a) of the Securities Act (an “</w:t>
      </w:r>
      <w:r>
        <w:rPr>
          <w:rFonts w:ascii="Times New Roman" w:cs="Times New Roman" w:eastAsia="Times New Roman" w:hAnsi="Times New Roman"/>
          <w:sz w:val="22"/>
          <w:szCs w:val="22"/>
          <w:b w:val="1"/>
          <w:bCs w:val="1"/>
          <w:color w:val="auto"/>
        </w:rPr>
        <w:t>Emerging Growth Company</w:t>
      </w:r>
      <w:r>
        <w:rPr>
          <w:rFonts w:ascii="Times New Roman" w:cs="Times New Roman" w:eastAsia="Times New Roman" w:hAnsi="Times New Roman"/>
          <w:sz w:val="22"/>
          <w:szCs w:val="22"/>
          <w:color w:val="auto"/>
        </w:rPr>
        <w:t>”); provided however, the Company shall no longer be an Emerging Growth Company on December 31, 2024.</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Stamp Taxes</w:t>
      </w:r>
      <w:r>
        <w:rPr>
          <w:rFonts w:ascii="Times New Roman" w:cs="Times New Roman" w:eastAsia="Times New Roman" w:hAnsi="Times New Roman"/>
          <w:sz w:val="22"/>
          <w:szCs w:val="22"/>
          <w:color w:val="auto"/>
        </w:rPr>
        <w:t>. Except as described in the Registration Statement and the Prospectus, no stamp duty, stamp duty reserve, registration, stamp or other issuance or transfer taxes or other similar taxes or duties (“</w:t>
      </w:r>
      <w:r>
        <w:rPr>
          <w:rFonts w:ascii="Times New Roman" w:cs="Times New Roman" w:eastAsia="Times New Roman" w:hAnsi="Times New Roman"/>
          <w:sz w:val="22"/>
          <w:szCs w:val="22"/>
          <w:b w:val="1"/>
          <w:bCs w:val="1"/>
          <w:color w:val="auto"/>
        </w:rPr>
        <w:t>Transfer Taxes</w:t>
      </w:r>
      <w:r>
        <w:rPr>
          <w:rFonts w:ascii="Times New Roman" w:cs="Times New Roman" w:eastAsia="Times New Roman" w:hAnsi="Times New Roman"/>
          <w:sz w:val="22"/>
          <w:szCs w:val="22"/>
          <w:color w:val="auto"/>
        </w:rPr>
        <w:t>”) are payable in the United States or United Kingdom by or on behalf of the Agent in connection with (i) the issuance of Underlying Shares by the Company or the deposit of the Underlying Shares by the Company in accordance with the terms of the Deposit Agreement against the issuance of the Shares; (ii) the issuance by the Depositary of the Shares (or Shares evidenced by American Depositary Receipts (“</w:t>
      </w:r>
      <w:r>
        <w:rPr>
          <w:rFonts w:ascii="Times New Roman" w:cs="Times New Roman" w:eastAsia="Times New Roman" w:hAnsi="Times New Roman"/>
          <w:sz w:val="22"/>
          <w:szCs w:val="22"/>
          <w:b w:val="1"/>
          <w:bCs w:val="1"/>
          <w:color w:val="auto"/>
        </w:rPr>
        <w:t>ADRs</w:t>
      </w:r>
      <w:r>
        <w:rPr>
          <w:rFonts w:ascii="Times New Roman" w:cs="Times New Roman" w:eastAsia="Times New Roman" w:hAnsi="Times New Roman"/>
          <w:sz w:val="22"/>
          <w:szCs w:val="22"/>
          <w:color w:val="auto"/>
        </w:rPr>
        <w:t>”)) in accordance with the terms of the Deposit Agreement; (iii) the sale, agreement to sell, issuance or delivery of the Shares (or Shares evidenced by ADRs) to the Agent in the manner contemplated by this Agreement and the Deposit Agreement; (iv) the initial sale, agreement to sell or delivery by the Agent of the Shares (or Shares evidenced by ADRs) to or for the account of purchasers thereof in the manner contemplated by this Agreement and the Deposit Agreement; or (v) the execution and delivery of this Agreement or the Deposit Agreement.</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(h)    </w:t>
      </w:r>
      <w:r>
        <w:rPr>
          <w:rFonts w:ascii="Times New Roman" w:cs="Times New Roman" w:eastAsia="Times New Roman" w:hAnsi="Times New Roman"/>
          <w:sz w:val="22"/>
          <w:szCs w:val="22"/>
          <w:u w:val="single" w:color="auto"/>
          <w:color w:val="auto"/>
        </w:rPr>
        <w:t>Dividends and Distributions</w:t>
      </w:r>
      <w:r>
        <w:rPr>
          <w:rFonts w:ascii="Times New Roman" w:cs="Times New Roman" w:eastAsia="Times New Roman" w:hAnsi="Times New Roman"/>
          <w:sz w:val="22"/>
          <w:szCs w:val="22"/>
          <w:color w:val="auto"/>
        </w:rPr>
        <w:t>. Except as described in the Prospectus, all dividends and other distributions declared and payable on the Ordinary Shares may under applicable English law and regulations be paid to the Depositary in pounds sterling and may be converted into foreign currency that may be transferred out of the United Kingdom in accordance with the Deposit Agreement.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440" w:top="261" w:right="439" w:bottom="1440" w:gutter="0" w:footer="0" w:header="0"/>
        </w:sectPr>
      </w:pPr>
    </w:p>
    <w:bookmarkStart w:id="82" w:name="page83"/>
    <w:bookmarkEnd w:id="82"/>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disclosed in the Prospectus, no subsidiary of the Company (each, a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(j)    </w:t>
      </w: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The accountants who certified the audited financial statements of the Company included or incorporated by reference in the Registration Statement and the Prospectus are an independent registered public accounting firm as required by, and delivered their report thereon in compliance with, the Securities Act and the Public Company Accounting Oversight Board (United States) (“</w:t>
      </w:r>
      <w:r>
        <w:rPr>
          <w:rFonts w:ascii="Times New Roman" w:cs="Times New Roman" w:eastAsia="Times New Roman" w:hAnsi="Times New Roman"/>
          <w:sz w:val="22"/>
          <w:szCs w:val="22"/>
          <w:b w:val="1"/>
          <w:bCs w:val="1"/>
          <w:color w:val="auto"/>
        </w:rPr>
        <w:t>PCAOB</w:t>
      </w:r>
      <w:r>
        <w:rPr>
          <w:rFonts w:ascii="Times New Roman" w:cs="Times New Roman" w:eastAsia="Times New Roman" w:hAnsi="Times New Roman"/>
          <w:sz w:val="22"/>
          <w:szCs w:val="22"/>
          <w:color w:val="auto"/>
        </w:rPr>
        <w:t>”), and which is registered as a public accounting firm as defined by the PCAOB whose registration has not been suspended or revoked and who has not requested such registration to be withdrawn.</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(k)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consolidated financial statements of the Company included or incorporated by reference in the Registration Statement and the Prospectus, together with the related notes, comply as to form in all material respects with Regulation S-X under the Securities Act and present fairly, in all material respects, the financial position of the Company and its consolidated Subsidiaries at the dates indicated and the results of operations and cash flows of the Company and its consolidated Subsidiaries for the periods specified; said financial statements have been prepared in conformity with generally accepted accounting principles accepted in the United States of America (“</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applied on a consistent basis throughout the periods involved except as may be expressly stated in the related notes thereto. The interactive data in eXtensible Business Reporting Language incorporated by reference in the Registration Statement and the Prospectus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each of the Registration Statement and the Prospectus under the caption “Capitalization” fairly presents the information set forth therein on a basis consistent with that of the audited financial statements contained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9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(l)    </w:t>
      </w:r>
      <w:r>
        <w:rPr>
          <w:rFonts w:ascii="Times New Roman" w:cs="Times New Roman" w:eastAsia="Times New Roman" w:hAnsi="Times New Roman"/>
          <w:sz w:val="22"/>
          <w:szCs w:val="22"/>
          <w:u w:val="single" w:color="auto"/>
          <w:color w:val="auto"/>
        </w:rPr>
        <w:t>Compliance with the Sarbanes-Oxley Act of 2002</w:t>
      </w:r>
      <w:r>
        <w:rPr>
          <w:rFonts w:ascii="Times New Roman" w:cs="Times New Roman" w:eastAsia="Times New Roman" w:hAnsi="Times New Roman"/>
          <w:sz w:val="22"/>
          <w:szCs w:val="22"/>
          <w:color w:val="auto"/>
        </w:rPr>
        <w:t>.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440" w:top="257" w:right="439" w:bottom="1440" w:gutter="0" w:footer="0" w:header="0"/>
        </w:sectPr>
      </w:pPr>
    </w:p>
    <w:bookmarkStart w:id="83" w:name="page84"/>
    <w:bookmarkEnd w:id="83"/>
    <w:p>
      <w:pPr>
        <w:jc w:val="both"/>
        <w:ind w:left="4"/>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    </w:t>
      </w:r>
      <w:r>
        <w:rPr>
          <w:rFonts w:ascii="Times New Roman" w:cs="Times New Roman" w:eastAsia="Times New Roman" w:hAnsi="Times New Roman"/>
          <w:sz w:val="21"/>
          <w:szCs w:val="21"/>
          <w:u w:val="single" w:color="auto"/>
          <w:color w:val="auto"/>
        </w:rPr>
        <w:t>No Material Adverse Effect to Business</w:t>
      </w:r>
      <w:r>
        <w:rPr>
          <w:rFonts w:ascii="Times New Roman" w:cs="Times New Roman" w:eastAsia="Times New Roman" w:hAnsi="Times New Roman"/>
          <w:sz w:val="21"/>
          <w:szCs w:val="21"/>
          <w:color w:val="auto"/>
        </w:rPr>
        <w:t>. Except as otherwise stated therein, since the respective dates as of which information is given in the Registration Statement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(B) there have been no transactions entered into by the Company or any of its Subsidiaries, other than those in the ordinary course of business, which are material with respect to the Company and its Subsidiaries considered as one enterprise, (C) there have been no material liabilities or obligations, direct or contingent, entered into by the Company or any of its Subsidiaries and</w:t>
      </w:r>
    </w:p>
    <w:p>
      <w:pPr>
        <w:spacing w:after="0" w:line="6" w:lineRule="exact"/>
        <w:rPr>
          <w:sz w:val="20"/>
          <w:szCs w:val="20"/>
          <w:color w:val="auto"/>
        </w:rPr>
      </w:pPr>
    </w:p>
    <w:p>
      <w:pPr>
        <w:jc w:val="both"/>
        <w:ind w:left="4" w:right="20" w:hanging="4"/>
        <w:spacing w:after="0" w:line="235" w:lineRule="auto"/>
        <w:tabs>
          <w:tab w:leader="none" w:pos="3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dividend or distribution of any kind declared, paid or made by the Company or any of its Subsidiaries on any class of share capital, or any repurchase or redemption by the Company or any of its Subsidiaries of any class of share capital.</w:t>
      </w:r>
    </w:p>
    <w:p>
      <w:pPr>
        <w:spacing w:after="0" w:line="178" w:lineRule="exact"/>
        <w:rPr>
          <w:sz w:val="20"/>
          <w:szCs w:val="20"/>
          <w:color w:val="auto"/>
        </w:rPr>
      </w:pPr>
    </w:p>
    <w:p>
      <w:pPr>
        <w:jc w:val="both"/>
        <w:ind w:left="4" w:right="20"/>
        <w:spacing w:after="0" w:line="248" w:lineRule="auto"/>
        <w:rPr>
          <w:sz w:val="20"/>
          <w:szCs w:val="20"/>
          <w:color w:val="auto"/>
        </w:rPr>
      </w:pPr>
      <w:r>
        <w:rPr>
          <w:rFonts w:ascii="Times New Roman" w:cs="Times New Roman" w:eastAsia="Times New Roman" w:hAnsi="Times New Roman"/>
          <w:sz w:val="21"/>
          <w:szCs w:val="21"/>
          <w:color w:val="auto"/>
        </w:rPr>
        <w:t xml:space="preserve">(n)    </w:t>
      </w:r>
      <w:r>
        <w:rPr>
          <w:rFonts w:ascii="Times New Roman" w:cs="Times New Roman" w:eastAsia="Times New Roman" w:hAnsi="Times New Roman"/>
          <w:sz w:val="21"/>
          <w:szCs w:val="21"/>
          <w:u w:val="single" w:color="auto"/>
          <w:color w:val="auto"/>
        </w:rPr>
        <w:t>Incorporation and Good Standing of the Company</w:t>
      </w:r>
      <w:r>
        <w:rPr>
          <w:rFonts w:ascii="Times New Roman" w:cs="Times New Roman" w:eastAsia="Times New Roman" w:hAnsi="Times New Roman"/>
          <w:sz w:val="21"/>
          <w:szCs w:val="21"/>
          <w:color w:val="auto"/>
        </w:rPr>
        <w:t>. The Company has been duly incorporated and is validly existing as a public limited company under the laws of England and Wales and has corporate or similar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(to the extent such concept applies) in each other jurisdiction in which such qualification is required, whether by reason of the ownership or leasing of property or the conduct of business, except where the failure to be so qualified or to be in good standing would not reasonably be expected to result in a Material Adverse Effect.</w:t>
      </w:r>
    </w:p>
    <w:p>
      <w:pPr>
        <w:spacing w:after="0" w:line="170" w:lineRule="exact"/>
        <w:rPr>
          <w:sz w:val="20"/>
          <w:szCs w:val="20"/>
          <w:color w:val="auto"/>
        </w:rPr>
      </w:pPr>
    </w:p>
    <w:p>
      <w:pPr>
        <w:jc w:val="both"/>
        <w:ind w:left="4"/>
        <w:spacing w:after="0" w:line="232" w:lineRule="auto"/>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22"/>
          <w:szCs w:val="22"/>
          <w:u w:val="single" w:color="auto"/>
          <w:color w:val="auto"/>
        </w:rPr>
        <w:t>Incorporation/Organization and Good Standing of the Company’s Subsidiaries</w:t>
      </w:r>
      <w:r>
        <w:rPr>
          <w:rFonts w:ascii="Times New Roman" w:cs="Times New Roman" w:eastAsia="Times New Roman" w:hAnsi="Times New Roman"/>
          <w:sz w:val="22"/>
          <w:szCs w:val="22"/>
          <w:color w:val="auto"/>
        </w:rPr>
        <w:t>. Each Subsidiary has been duly incorporated or organized and is validly existing in good standing (to the extent such concept applies)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(to the extent such concept applies) in each jurisdiction in which such qualification is required, whether by reason of the ownership or leasing of property or the conduct of business, except where the failure to be so qualified or to be in good standing (to the extent such concept applies) would not reasonably be expected to result in a Material Adverse Effect. Except as otherwise disclosed in the Registration Statement and the Prospectus, all of the issued and outstanding share capital or capital stock or other equity ownership interests (as applicable) of each Subsidiary has been duly authorized and validly issued, is fully paid and non-assessable (to the extent such concept applies) and is owned by the Company, directly or through Subsidiaries, free and clear of any security interest, mortgage, pledge, lien, encumbrance, claim or equity. The constitutive or organizational documents of each Subsidiary comply in all material respects with the requirements of applicable laws of its jurisdiction of incorporation and are in full force and effect. None of the issued share capital or capital stock of any Subsidiary was issued in violation of the preemptive or similar rights of any securityholder of such Subsidiary. The only Subsidiaries of the Company are the entities listed on Exhibit 21.1 to the Company’s Annual Report on Form 10-K, as filed with the Commission, for its most recently completed fiscal year.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4"/>
          </w:cols>
          <w:pgMar w:left="436" w:top="261" w:right="439" w:bottom="1440" w:gutter="0" w:footer="0" w:header="0"/>
        </w:sectPr>
      </w:pPr>
    </w:p>
    <w:bookmarkStart w:id="84" w:name="page85"/>
    <w:bookmarkEnd w:id="84"/>
    <w:p>
      <w:pPr>
        <w:jc w:val="both"/>
        <w:spacing w:after="0" w:line="243"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    </w:t>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(i) The issued and outstanding share capital of the Company is as set forth in the Registration Statement and the Prospectus. The issued and outstanding Ordinary Shares of the Company have been duly authorized and are validly issued and fully paid and no further contribution of capital in respect of such Ordinary Shares will be required to be made to the Company by the holders of such shares by reason solely of them being such holders. The issued and outstanding ADSs have been duly authorized and are validly issued. None of the issued and outstanding Ordinary Shares of the Company was issued in violation of the preemptive or other similar rights of any securityholder of the Company. (ii) The Underlying Shares may be issued to the Custodian or its nominee against payment therefor to the Company following which the Depositary will issue ADSs against the deposit of the Underlying Shares and at the time of issue such issuance of Underlying Shares will be within all authorizations of the directors for the issuance of Ordinary Shares under the CA 2006. Upon due issuance by the Depositary of the ADSs against the deposit of the Underlying Shares in respect thereof in accordance with the provisions of the Deposit Agreement, such ADSs will be duly and validly issued and the persons in whose names the ADSs are registered will be entitled to the rights specified therein and in the Deposit Agreement. Except as disclosed in the Registration Statement, the allotment and issue of the Underlying Shares in the form of ADSs by the Company and the deposit of the Underlying Shares with the Depositary or its nominee and the issuance of the ADSs representing such Underlying Shares as contemplated by this Agreement and the Deposit Agreement will not trigger any anti-dilution or preemptive or similar rights of any holder of any Ordinary Shares or ADSs, securities convertible into or exchangeable or exercisable for Ordinary Shares or ADSs or options, warrants or other rights to purchase Ordinary Shares or ADSs or any other securities of the Company with respect to such Ordinary Shares, ADSs, securities, options, warrants or rights, save for any rights of preemption under the CA 2006 that will, at the time of allotment of the Underlying Shares, have been validly waived or disapplied. The Deposit Agreement and the ADSs conform in all material respects to each description thereof in the Registration Statement and the Prospectus. Each holder of ADSs issued pursuant to the Deposit Agreement shall be entitled, subject to the Deposit Agreement, to seek enforcement of its rights in a direct suit, action or proceeding against the Company. (iii) There are no authorized or outstanding options, warrants, preemptive rights, rights of first refusal or other rights to purchase, or equity or debt securities convertible into or exchangeable or exercisable for, any Ordinary Shares of the Company or its Subsidiaries other than those described in the Registration Statement and the Prospectus.</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(q)    </w:t>
      </w:r>
      <w:r>
        <w:rPr>
          <w:rFonts w:ascii="Times New Roman" w:cs="Times New Roman" w:eastAsia="Times New Roman" w:hAnsi="Times New Roman"/>
          <w:sz w:val="22"/>
          <w:szCs w:val="22"/>
          <w:u w:val="single" w:color="auto"/>
          <w:color w:val="auto"/>
        </w:rPr>
        <w:t>This Agreement</w:t>
      </w:r>
      <w:r>
        <w:rPr>
          <w:rFonts w:ascii="Times New Roman" w:cs="Times New Roman" w:eastAsia="Times New Roman" w:hAnsi="Times New Roman"/>
          <w:sz w:val="22"/>
          <w:szCs w:val="22"/>
          <w:color w:val="auto"/>
        </w:rPr>
        <w:t>. The Company has the corporate power to enter into this Agreement and this Agreement has been duly authorized, executed and delivered by the Company.</w:t>
      </w:r>
    </w:p>
    <w:p>
      <w:pPr>
        <w:spacing w:after="0" w:line="158"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 xml:space="preserve">(r)    </w:t>
      </w:r>
      <w:r>
        <w:rPr>
          <w:rFonts w:ascii="Times New Roman" w:cs="Times New Roman" w:eastAsia="Times New Roman" w:hAnsi="Times New Roman"/>
          <w:sz w:val="22"/>
          <w:szCs w:val="22"/>
          <w:u w:val="single" w:color="auto"/>
          <w:color w:val="auto"/>
        </w:rPr>
        <w:t>Authorization and Description of Ordinary Shares</w:t>
      </w:r>
      <w:r>
        <w:rPr>
          <w:rFonts w:ascii="Times New Roman" w:cs="Times New Roman" w:eastAsia="Times New Roman" w:hAnsi="Times New Roman"/>
          <w:sz w:val="22"/>
          <w:szCs w:val="22"/>
          <w:color w:val="auto"/>
        </w:rPr>
        <w:t>. On each Settlement Date, the Company and its directors will have the power and authority to allot and issue the Underlying Shares to be delivered on such Settlement Date pursuant to this Agreement without further sanction or consent by any securityholder of the Company (including under section 551 of the CA 2006) and, when the Underlying Shares are issued and allotted by the Company to the Custodian (or its nominee) and the ADSs are issued and delivered pursuant to the Deposit Agreement against payment of the consideration therefor, those ADSs (and the Underlying Shares) will be validly issued and fully paid without any encumbrance or call for payment of further capital; and on each Settlement Date, the issuance of the Underlying Shares will not be subject to the preemptive or other similar rights of any securityholder of the Company (including under section 561 of the CA 2006), or any such rights will have been validly disapplied. The Underlying Shares will rank equally in all respects with the existing Ordinary Shares. The Ordinary Shares will conform in all material respects to all statements relating thereto contained in the Registration Statement and the Prospectus and such description conforms in all material respects to the rights set forth in the instruments defining the same.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440" w:top="261" w:right="439" w:bottom="1440" w:gutter="0" w:footer="0" w:header="0"/>
        </w:sectPr>
      </w:pPr>
    </w:p>
    <w:bookmarkStart w:id="85" w:name="page86"/>
    <w:bookmarkEnd w:id="85"/>
    <w:p>
      <w:pPr>
        <w:jc w:val="both"/>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    </w:t>
      </w:r>
      <w:r>
        <w:rPr>
          <w:rFonts w:ascii="Times New Roman" w:cs="Times New Roman" w:eastAsia="Times New Roman" w:hAnsi="Times New Roman"/>
          <w:sz w:val="22"/>
          <w:szCs w:val="22"/>
          <w:u w:val="single" w:color="auto"/>
          <w:color w:val="auto"/>
        </w:rPr>
        <w:t>Authorization of Deposit Agreement</w:t>
      </w:r>
      <w:r>
        <w:rPr>
          <w:rFonts w:ascii="Times New Roman" w:cs="Times New Roman" w:eastAsia="Times New Roman" w:hAnsi="Times New Roman"/>
          <w:sz w:val="22"/>
          <w:szCs w:val="22"/>
          <w:color w:val="auto"/>
        </w:rPr>
        <w:t>. The Deposit Agreement has been duly authorized, executed and delivered by the Company and, assuming due authorization, execution and delivery by the Depositary, constitutes a valid and legally binding obligation of the Company, enforceable in accordance with its terms, except as rights to indemnification thereunder may be limited by applicable law and public policy considerations and subject, as to enforceability, to bankruptcy, insolvency, reorganization, moratorium and similar laws of general applicability relating to or affecting creditors’ rights and to general equity principles; upon due issuance by the Depositary of the ADSs against the deposit of the Underlying Shares in respect thereof in accordance with the provisions of the Deposit Agreement, such ADSs will be duly and validly issued, and the persons in whose names the ADSs are registered will be entitled to the rights specified therein, respectively, and in the Deposit Agreement; and the Deposit Agreement and the ADSs conform in all material respects to the descriptions thereof contained in the Registration Statement and the Prospectus. There has been no change in the Company’s agreement with the Depositary in connection with any pre-release of the ADSs and no such change is currently contemplated.</w:t>
      </w:r>
    </w:p>
    <w:p>
      <w:pPr>
        <w:spacing w:after="0" w:line="1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    </w:t>
      </w: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There are no persons with registration rights or other similar rights to have any securities registered for sale pursuant to the Registration Statement or otherwise registered for sale or sold by the Company under the Securities Act pursuant to this Agreement, other than those rights that have been disclosed in the Registration Statement and the Prospectus and have been waived.</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(u)    </w:t>
      </w:r>
      <w:r>
        <w:rPr>
          <w:rFonts w:ascii="Times New Roman" w:cs="Times New Roman" w:eastAsia="Times New Roman" w:hAnsi="Times New Roman"/>
          <w:sz w:val="21"/>
          <w:szCs w:val="21"/>
          <w:u w:val="single" w:color="auto"/>
          <w:color w:val="auto"/>
        </w:rPr>
        <w:t>Absence of Violations, Defaults and Conflicts</w:t>
      </w:r>
      <w:r>
        <w:rPr>
          <w:rFonts w:ascii="Times New Roman" w:cs="Times New Roman" w:eastAsia="Times New Roman" w:hAnsi="Times New Roman"/>
          <w:sz w:val="21"/>
          <w:szCs w:val="21"/>
          <w:color w:val="auto"/>
        </w:rPr>
        <w:t>. Neither the Company nor any Subsidiary is (A) in violation of its articles of association, charter, by-laws or similar constitutive or organizational document, (B) in default in the performance or observance of any obligation, agreement, covenant or condition contained in any contract, indenture, mortgage, deed of trust, loan or credit agreement, note, lease or other agreement or instrument to which the Company or any Subsidiary is a party or by which either of them may be bound or to which any of the properties or assets of the Company or any Subsidiary is subject (collectively, “</w:t>
      </w:r>
      <w:r>
        <w:rPr>
          <w:rFonts w:ascii="Times New Roman" w:cs="Times New Roman" w:eastAsia="Times New Roman" w:hAnsi="Times New Roman"/>
          <w:sz w:val="21"/>
          <w:szCs w:val="21"/>
          <w:b w:val="1"/>
          <w:bCs w:val="1"/>
          <w:color w:val="auto"/>
        </w:rPr>
        <w:t>Agreements and Instruments</w:t>
      </w:r>
      <w:r>
        <w:rPr>
          <w:rFonts w:ascii="Times New Roman" w:cs="Times New Roman" w:eastAsia="Times New Roman" w:hAnsi="Times New Roman"/>
          <w:sz w:val="21"/>
          <w:szCs w:val="21"/>
          <w:color w:val="auto"/>
        </w:rPr>
        <w:t>”), or (C) in violation of any applicable law, statute, rule, regulation, judgment, order, writ or decree of any arbitrator, court, governmental body, regulatory body, administrative agency or other authority, body or agency having jurisdiction over the Company or its Subsidiaries or any of their respective properties, assets or operations (each, a “</w:t>
      </w:r>
      <w:r>
        <w:rPr>
          <w:rFonts w:ascii="Times New Roman" w:cs="Times New Roman" w:eastAsia="Times New Roman" w:hAnsi="Times New Roman"/>
          <w:sz w:val="21"/>
          <w:szCs w:val="21"/>
          <w:b w:val="1"/>
          <w:bCs w:val="1"/>
          <w:color w:val="auto"/>
        </w:rPr>
        <w:t>Governmental Entity</w:t>
      </w:r>
      <w:r>
        <w:rPr>
          <w:rFonts w:ascii="Times New Roman" w:cs="Times New Roman" w:eastAsia="Times New Roman" w:hAnsi="Times New Roman"/>
          <w:sz w:val="21"/>
          <w:szCs w:val="21"/>
          <w:color w:val="auto"/>
        </w:rPr>
        <w:t>”), except in the case of each of (B) and (C) above, for such defaults or violations that would not, singly or in the aggregate, reasonably be expected to result in a Material Adverse Effect. The execution, delivery and performance of this Agreement and the performance of the Deposit Agreement and the consummation of the transactions contemplated herein or therein and in the Registration Statement and the Prospectus (including the allotment and issuance of the Underlying Shares and Shares and deposit with the Custodian or its nominee of the Underlying Shares and the use of the proceeds from the sale of the Shares as described therein under the caption “Use of Proceeds”) and compliance by the Company with its obligations hereunder have been duly authorized by all necessary corporate action by the Company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Subsidiaries pursuant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440" w:top="261" w:right="439" w:bottom="1440" w:gutter="0" w:footer="0" w:header="0"/>
        </w:sectPr>
      </w:pPr>
    </w:p>
    <w:bookmarkStart w:id="86" w:name="page87"/>
    <w:bookmarkEnd w:id="86"/>
    <w:p>
      <w:pPr>
        <w:jc w:val="both"/>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Agreements and Instruments (except for such conflicts, breaches, defaults or Repayment Events or liens, charges or encumbrances that would not, singly or in the aggregate, result in a Material Adverse Effect), nor will such action result in any violation of the provisions of the charter, by-laws or similar organizational document of the Company or its Subsidiaries or any law, statute, rule, regulation, judgment, order, writ or decree of any Governmental Entity. As used herein, a “</w:t>
      </w:r>
      <w:r>
        <w:rPr>
          <w:rFonts w:ascii="Times New Roman" w:cs="Times New Roman" w:eastAsia="Times New Roman" w:hAnsi="Times New Roman"/>
          <w:sz w:val="22"/>
          <w:szCs w:val="22"/>
          <w:b w:val="1"/>
          <w:bCs w:val="1"/>
          <w:color w:val="auto"/>
        </w:rPr>
        <w:t>Repayment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Event</w:t>
      </w:r>
      <w:r>
        <w:rPr>
          <w:rFonts w:ascii="Times New Roman" w:cs="Times New Roman" w:eastAsia="Times New Roman" w:hAnsi="Times New Roman"/>
          <w:sz w:val="22"/>
          <w:szCs w:val="22"/>
          <w:color w:val="auto"/>
        </w:rPr>
        <w:t>” means any event or condition which gives the holder of any note, debenture or other evidence of indebtedness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acting on such holder’s behalf) the right to require the repurchase, redemption or repayment of all or a portion of such indebtedness by the Company or its Subsidiaries.</w:t>
      </w:r>
    </w:p>
    <w:p>
      <w:pPr>
        <w:spacing w:after="0" w:line="18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 xml:space="preserve">(v)    </w:t>
      </w:r>
      <w:r>
        <w:rPr>
          <w:rFonts w:ascii="Times New Roman" w:cs="Times New Roman" w:eastAsia="Times New Roman" w:hAnsi="Times New Roman"/>
          <w:sz w:val="22"/>
          <w:szCs w:val="22"/>
          <w:u w:val="single" w:color="auto"/>
          <w:color w:val="auto"/>
        </w:rPr>
        <w:t>Stock Exchange Listing</w:t>
      </w:r>
      <w:r>
        <w:rPr>
          <w:rFonts w:ascii="Times New Roman" w:cs="Times New Roman" w:eastAsia="Times New Roman" w:hAnsi="Times New Roman"/>
          <w:sz w:val="22"/>
          <w:szCs w:val="22"/>
          <w:color w:val="auto"/>
        </w:rPr>
        <w:t>. The ADSs are registered pursuant to Section 12(b) of the Exchange Act and are listed on the Principal Market and the Company has taken no action designed to, or likely to have the effect of, terminating the registration of the ADSs under the Exchange Act or delisting the ADSs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7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(w)    </w:t>
      </w:r>
      <w:r>
        <w:rPr>
          <w:rFonts w:ascii="Times New Roman" w:cs="Times New Roman" w:eastAsia="Times New Roman" w:hAnsi="Times New Roman"/>
          <w:sz w:val="22"/>
          <w:szCs w:val="22"/>
          <w:u w:val="single" w:color="auto"/>
          <w:color w:val="auto"/>
        </w:rPr>
        <w:t>Absence of Labor Dispute</w:t>
      </w:r>
      <w:r>
        <w:rPr>
          <w:rFonts w:ascii="Times New Roman" w:cs="Times New Roman" w:eastAsia="Times New Roman" w:hAnsi="Times New Roman"/>
          <w:sz w:val="22"/>
          <w:szCs w:val="22"/>
          <w:color w:val="auto"/>
        </w:rPr>
        <w:t>. No labor dispute with the employees of the Company or its Subsidiaries exists or, to the knowledge of the Company, is imminent, and the Company is not aware of any existing or imminent labor disturbance by the employees of any of its or its Subsidiaries’ principal suppliers, manufacturers, customers or contractors, which, in either case, would reasonably be expected to result in a Material Adverse Effect.</w:t>
      </w:r>
    </w:p>
    <w:p>
      <w:pPr>
        <w:spacing w:after="0" w:line="180"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 xml:space="preserve">(x)    </w:t>
      </w:r>
      <w:r>
        <w:rPr>
          <w:rFonts w:ascii="Times New Roman" w:cs="Times New Roman" w:eastAsia="Times New Roman" w:hAnsi="Times New Roman"/>
          <w:sz w:val="22"/>
          <w:szCs w:val="22"/>
          <w:u w:val="single" w:color="auto"/>
          <w:color w:val="auto"/>
        </w:rPr>
        <w:t>Absence of Monitoring Agreements</w:t>
      </w:r>
      <w:r>
        <w:rPr>
          <w:rFonts w:ascii="Times New Roman" w:cs="Times New Roman" w:eastAsia="Times New Roman" w:hAnsi="Times New Roman"/>
          <w:sz w:val="22"/>
          <w:szCs w:val="22"/>
          <w:color w:val="auto"/>
        </w:rPr>
        <w:t>. Neither the Company nor any of its Subsidiaries is a party to any corporate integrity agreements, monitoring agreements, consent decrees, settlement orders, or similar agreements with or imposed by any governmental or regulatory authority. The Company and each of its Subsidiaries is in compliance with all applicable U.S. or non-U.S. laws, rules, regulations, orders and decrees governing its business and the regulation of pharmaceuticals or biohazardous substances or materials, including without limitation the U.S. federal Food, Drug and Cosmetic Act, U.S. data privacy and securities laws and U.S. health care fraud and abuse laws, except where noncompliance would not, individually or in the aggregate, reasonably be expected to have a Material Adverse Effect.</w:t>
      </w:r>
    </w:p>
    <w:p>
      <w:pPr>
        <w:spacing w:after="0" w:line="18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(y)    </w:t>
      </w:r>
      <w:r>
        <w:rPr>
          <w:rFonts w:ascii="Times New Roman" w:cs="Times New Roman" w:eastAsia="Times New Roman" w:hAnsi="Times New Roman"/>
          <w:sz w:val="22"/>
          <w:szCs w:val="22"/>
          <w:u w:val="single" w:color="auto"/>
          <w:color w:val="auto"/>
        </w:rPr>
        <w:t>Absence of Further Requirements</w:t>
      </w:r>
      <w:r>
        <w:rPr>
          <w:rFonts w:ascii="Times New Roman" w:cs="Times New Roman" w:eastAsia="Times New Roman" w:hAnsi="Times New Roman"/>
          <w:sz w:val="22"/>
          <w:szCs w:val="22"/>
          <w:color w:val="auto"/>
        </w:rPr>
        <w:t>. No filing with, or authorization, approval, consent, license, order, registration, qualification or decree of, any Governmental Entity is necessary or required for the performance by the Company of its obligations hereunder, in connection with the offering, allotment or issuance of the ADSs or the issuance and deposit with the Custodian or its nominee of the Underlying Shares hereunder or the consummation of the transactions contemplated by this Agreement, except such as have been already obtained or as may be required under the Securities Act, the rules of the Principal Market, state securities laws or the rules of the Financial Industry Regulatory Authority, Inc.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(z)    </w:t>
      </w:r>
      <w:r>
        <w:rPr>
          <w:rFonts w:ascii="Times New Roman" w:cs="Times New Roman" w:eastAsia="Times New Roman" w:hAnsi="Times New Roman"/>
          <w:sz w:val="22"/>
          <w:szCs w:val="22"/>
          <w:u w:val="single" w:color="auto"/>
          <w:color w:val="auto"/>
        </w:rPr>
        <w:t>Possession of Licenses and Permits</w:t>
      </w:r>
      <w:r>
        <w:rPr>
          <w:rFonts w:ascii="Times New Roman" w:cs="Times New Roman" w:eastAsia="Times New Roman" w:hAnsi="Times New Roman"/>
          <w:sz w:val="22"/>
          <w:szCs w:val="22"/>
          <w:color w:val="auto"/>
        </w:rPr>
        <w:t>. The Company and each of its Subsidiaries possess all licenses, certificates, authorizations and permits issued by, and has made all declarations and filings with, the appropriate U.S. or non-U.S. governmental or regulatory authorities of competent jurisdiction (including, without limitation, the FDA, the EMA or comparable U.S. or non-U.S.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0"/>
          </w:cols>
          <w:pgMar w:left="440" w:top="261" w:right="439" w:bottom="1440" w:gutter="0" w:footer="0" w:header="0"/>
        </w:sectPr>
      </w:pPr>
    </w:p>
    <w:bookmarkStart w:id="87" w:name="page88"/>
    <w:bookmarkEnd w:id="87"/>
    <w:p>
      <w:pPr>
        <w:jc w:val="both"/>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governmental authorities of competent jurisdiction) that are necessary for the ownership or lease of their respective properties or the conduct of their respective businesses as described in the Registration Statement and the Prospectus (collectively, the “</w:t>
      </w:r>
      <w:r>
        <w:rPr>
          <w:rFonts w:ascii="Times New Roman" w:cs="Times New Roman" w:eastAsia="Times New Roman" w:hAnsi="Times New Roman"/>
          <w:sz w:val="22"/>
          <w:szCs w:val="22"/>
          <w:b w:val="1"/>
          <w:bCs w:val="1"/>
          <w:color w:val="auto"/>
        </w:rPr>
        <w:t>Governmental Permits</w:t>
      </w:r>
      <w:r>
        <w:rPr>
          <w:rFonts w:ascii="Times New Roman" w:cs="Times New Roman" w:eastAsia="Times New Roman" w:hAnsi="Times New Roman"/>
          <w:sz w:val="22"/>
          <w:szCs w:val="22"/>
          <w:color w:val="auto"/>
        </w:rPr>
        <w:t>”), except where any failures to possess or make the same would not, individually or in the aggregate, reasonably be expected to have a Material Adverse Effect. The Company and its Subsidiaries are in compliance with all such Governmental Permits, and all such Governmental Permits are valid and in full force and effect, except where such non-compliance, invalidity or failure to be in full force and effect would not reasonably be expected, individually or in the aggregate, to have a Material Adverse Effect. Neither the Company nor any Subsidiary has received written notification of any revocation, modification, suspension, termination or invalidation (or proceedings related thereto) of any such Governmental Permit and the Company has no knowledge that any such Governmental Permit requiring renewal will not be renewed, except where any revocation, modification, suspension, termination or invalidation (or proceedings related thereto) would not, individually or in the aggregate, reasonably be expected to have a Material Adverse Effect. The Company and each of its Subsidiaries have filed, obtained, maintained or submitted all material reports, documents, forms, notices, applications, records, claims, submissions and supplements or amendments as required by any applicable laws or Governmental Permits, and all such material reports, documents, forms, notices, applications, records, claims, submissions and supplements or amendments were complete and accurate on the date filed in all material respects (or were materially corrected or supplemented by a subsequent submission), except where the failure to so file, obtain, maintain or submit, or such incompleteness or inaccuracy, would not reasonably be expected to have a Material Adverse Effect.</w:t>
      </w:r>
    </w:p>
    <w:p>
      <w:pPr>
        <w:spacing w:after="0" w:line="19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(aa)  </w:t>
      </w:r>
      <w:r>
        <w:rPr>
          <w:rFonts w:ascii="Times New Roman" w:cs="Times New Roman" w:eastAsia="Times New Roman" w:hAnsi="Times New Roman"/>
          <w:sz w:val="22"/>
          <w:szCs w:val="22"/>
          <w:u w:val="single" w:color="auto"/>
          <w:color w:val="auto"/>
        </w:rPr>
        <w:t>Company Studies and Trials</w:t>
      </w:r>
      <w:r>
        <w:rPr>
          <w:rFonts w:ascii="Times New Roman" w:cs="Times New Roman" w:eastAsia="Times New Roman" w:hAnsi="Times New Roman"/>
          <w:sz w:val="22"/>
          <w:szCs w:val="22"/>
          <w:color w:val="auto"/>
        </w:rPr>
        <w:t>. The studies, tests and preclinical studies or clinical trials conducted by or on behalf of the Company and its Subsidiaries that are described in the Prospectus (the “</w:t>
      </w:r>
      <w:r>
        <w:rPr>
          <w:rFonts w:ascii="Times New Roman" w:cs="Times New Roman" w:eastAsia="Times New Roman" w:hAnsi="Times New Roman"/>
          <w:sz w:val="22"/>
          <w:szCs w:val="22"/>
          <w:b w:val="1"/>
          <w:bCs w:val="1"/>
          <w:color w:val="auto"/>
        </w:rPr>
        <w:t>Company Studies and Trials</w:t>
      </w:r>
      <w:r>
        <w:rPr>
          <w:rFonts w:ascii="Times New Roman" w:cs="Times New Roman" w:eastAsia="Times New Roman" w:hAnsi="Times New Roman"/>
          <w:sz w:val="22"/>
          <w:szCs w:val="22"/>
          <w:color w:val="auto"/>
        </w:rPr>
        <w:t>”) were and, if still pending, are being conducted, to the Company’s knowledge, in all material respects in accordance with applicable laws and regulations; the descriptions of the results of the Company Studies and Trials contained in the Registration Statement and the Prospectus are, to the Company’s knowledge, accurate in all material respects; except to the extent disclosed in the Registration Statement and the Prospectus, the Company has no knowledge of any other studies or trials not described in the Prospectus, the results of which materially call into question the results described or referred to in the Prospectus when viewed in the context in which such results are described and the clinical state of development; and except to the extent disclosed in the Registration Statement and the Prospectus, the Company has not received any written notices or correspondence from the FDA, the EMA or comparable U.S. or non-U.S. governmental authorities of competent jurisdiction requiring the termination, suspension or material modification of any Company Studies and Trials where such termination, suspension or material modification would reasonably be expected to have a Material Adverse Effect.</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(bb)  </w:t>
      </w:r>
      <w:r>
        <w:rPr>
          <w:rFonts w:ascii="Times New Roman" w:cs="Times New Roman" w:eastAsia="Times New Roman" w:hAnsi="Times New Roman"/>
          <w:sz w:val="22"/>
          <w:szCs w:val="22"/>
          <w:u w:val="single" w:color="auto"/>
          <w:color w:val="auto"/>
        </w:rPr>
        <w:t>Relationships</w:t>
      </w:r>
      <w:r>
        <w:rPr>
          <w:rFonts w:ascii="Times New Roman" w:cs="Times New Roman" w:eastAsia="Times New Roman" w:hAnsi="Times New Roman"/>
          <w:sz w:val="22"/>
          <w:szCs w:val="22"/>
          <w:color w:val="auto"/>
        </w:rPr>
        <w:t>. There are no business relationships or related-party transactions involving the Company or any Subsidiary or any other person required to be described in the Registration Statement or the Prospectus which have not been described as required.</w:t>
      </w:r>
    </w:p>
    <w:p>
      <w:pPr>
        <w:spacing w:after="0" w:line="17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(cc)  </w:t>
      </w:r>
      <w:r>
        <w:rPr>
          <w:rFonts w:ascii="Times New Roman" w:cs="Times New Roman" w:eastAsia="Times New Roman" w:hAnsi="Times New Roman"/>
          <w:sz w:val="22"/>
          <w:szCs w:val="22"/>
          <w:u w:val="single" w:color="auto"/>
          <w:color w:val="auto"/>
        </w:rPr>
        <w:t>Title to Property</w:t>
      </w:r>
      <w:r>
        <w:rPr>
          <w:rFonts w:ascii="Times New Roman" w:cs="Times New Roman" w:eastAsia="Times New Roman" w:hAnsi="Times New Roman"/>
          <w:sz w:val="22"/>
          <w:szCs w:val="22"/>
          <w:color w:val="auto"/>
        </w:rPr>
        <w:t>. The Company and its Subsidiaries do not own any real property and any material real property and buildings held under lease by the Company and its Subsidiaries is held by them under valid, subsisting and enforceable leases with such exceptions as are not material and do not materially interfere with the use made and proposed to be made of such property by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20"/>
          </w:cols>
          <w:pgMar w:left="440" w:top="261" w:right="439" w:bottom="1440" w:gutter="0" w:footer="0" w:header="0"/>
        </w:sectPr>
      </w:pPr>
    </w:p>
    <w:bookmarkStart w:id="88" w:name="page89"/>
    <w:bookmarkEnd w:id="88"/>
    <w:p>
      <w:pPr>
        <w:jc w:val="both"/>
        <w:ind w:left="4"/>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 its Subsidiaries. The Company and its Subsidiaries have good title to all other properties owned by them, in each case, free and clear of all mortgages, pledges, liens, security interests, claims, restrictions or encumbrances of any kind except such as (A) are described in the Registration Statement and the Prospectus or (B) would not, individually or in the aggregate, reasonably be expected to have a Material Adverse Effect; and all of the leases and subleases material to the business of the Company and its Subsidiaries, considered as one enterprise, and under which the Company or its Subsidiaries holds properties described in the Registration Statement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79" w:lineRule="exact"/>
        <w:rPr>
          <w:sz w:val="20"/>
          <w:szCs w:val="20"/>
          <w:color w:val="auto"/>
        </w:rPr>
      </w:pPr>
    </w:p>
    <w:p>
      <w:pPr>
        <w:jc w:val="both"/>
        <w:ind w:left="4" w:right="20"/>
        <w:spacing w:after="0" w:line="253" w:lineRule="auto"/>
        <w:rPr>
          <w:sz w:val="20"/>
          <w:szCs w:val="20"/>
          <w:color w:val="auto"/>
        </w:rPr>
      </w:pPr>
      <w:r>
        <w:rPr>
          <w:rFonts w:ascii="Times New Roman" w:cs="Times New Roman" w:eastAsia="Times New Roman" w:hAnsi="Times New Roman"/>
          <w:sz w:val="21"/>
          <w:szCs w:val="21"/>
          <w:color w:val="auto"/>
        </w:rPr>
        <w:t xml:space="preserve">(dd)  </w:t>
      </w:r>
      <w:r>
        <w:rPr>
          <w:rFonts w:ascii="Times New Roman" w:cs="Times New Roman" w:eastAsia="Times New Roman" w:hAnsi="Times New Roman"/>
          <w:sz w:val="21"/>
          <w:szCs w:val="21"/>
          <w:u w:val="single" w:color="auto"/>
          <w:color w:val="auto"/>
        </w:rPr>
        <w:t>Title to Intellectual Property; Privacy and Data Protection</w:t>
      </w:r>
      <w:r>
        <w:rPr>
          <w:rFonts w:ascii="Times New Roman" w:cs="Times New Roman" w:eastAsia="Times New Roman" w:hAnsi="Times New Roman"/>
          <w:sz w:val="21"/>
          <w:szCs w:val="21"/>
          <w:color w:val="auto"/>
        </w:rPr>
        <w:t>. Except as disclosed in the Registration Statement or the Prospectus and except as would not individually or in the aggregate reasonably be expected to have a Material Adverse Effect,</w:t>
      </w:r>
    </w:p>
    <w:p>
      <w:pPr>
        <w:spacing w:after="0" w:line="1" w:lineRule="exact"/>
        <w:rPr>
          <w:sz w:val="20"/>
          <w:szCs w:val="20"/>
          <w:color w:val="auto"/>
        </w:rPr>
      </w:pPr>
    </w:p>
    <w:p>
      <w:pPr>
        <w:jc w:val="both"/>
        <w:ind w:left="4" w:hanging="4"/>
        <w:spacing w:after="0" w:line="231" w:lineRule="auto"/>
        <w:tabs>
          <w:tab w:leader="none" w:pos="27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Subsidiaries solely owns or otherwise possesses the valid right to use all (A) patents, patent applications, trademarks, trademark registrations, service marks, service mark registrations, Internet domain name registrations, copyrights, copyright registrations, licenses and trade secret rights and (B) inventions, software, works of authorships, trademarks, service marks, trade names, databases, formulae, know how, Internet domain names and all other intellectual property (including trade secrets and other unpatented and/or unpatentable proprietary confidential information, systems, or procedures) and all rights associated with any of the foregoing in any jurisdiction ((A) and (B) collectively, “</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that are necessary to conduct their respective businesses as currently conducted, or otherwise used or held for use in, their respective businesses as currently conducted, and as proposed to be conducted as described in the Registration Statement or the Prospectus, (ii) to the Company’s knowledge, the Company’s and its respective Subsidiaries’ businesses as now conducted and as proposed to be conducted as described in the Registration Statement or the Prospectus do not and will not give rise to any infringement of, any misappropriation of, or other violation of, any valid and enforceable Intellectual Property Rights of any other Person, and neither the Company nor any of its respective Subsidiaries has in the past 3 years infringed, misappropriated, or otherwise violated, any Intellectual Property Rights of any other Person, and the Intellectual Property of the Company has not been adjudged by a court of competent jurisdiction to be invalid or unenforceable, in whole or in part, and the Company is unaware of any facts which would form a reasonable basis for any such adjudication by a court of competent jurisdiction that any Intellectual Property Rights of the Company in the United States are invalid or unenforceable or in the case of any Intellectual Property Rights in territories outside the United States would be wholly invalid or unenforceable, (iii) there are no third parties who have any rights to the Intellectual Property Rights described in the Registration Statement or the Prospectus as being owned by or exclusively licensed to the Company or any of its Subsidiaries (collectively, and together with all other Intellectual Property Rights owned by the Company or exclusively licensed to the Company or any of its Subsidiaries, the “</w:t>
      </w:r>
      <w:r>
        <w:rPr>
          <w:rFonts w:ascii="Times New Roman" w:cs="Times New Roman" w:eastAsia="Times New Roman" w:hAnsi="Times New Roman"/>
          <w:sz w:val="22"/>
          <w:szCs w:val="22"/>
          <w:b w:val="1"/>
          <w:bCs w:val="1"/>
          <w:color w:val="auto"/>
        </w:rPr>
        <w:t>Company Intellectual Property Rights</w:t>
      </w:r>
      <w:r>
        <w:rPr>
          <w:rFonts w:ascii="Times New Roman" w:cs="Times New Roman" w:eastAsia="Times New Roman" w:hAnsi="Times New Roman"/>
          <w:sz w:val="22"/>
          <w:szCs w:val="22"/>
          <w:color w:val="auto"/>
        </w:rPr>
        <w:t>”), including no liens, security interests, or other encumbrances, except for customary reversionary rights of third-party licensors with respect to Intellectual Property Rights that are disclosed as licensed to the Company or one or more of its Subsidiaries and non-exclusive licenses of Intellectual Property Rights granted by the Company or its Subsidiaries in the ordinary course of business, (iv) to the Company’s knowledge, there is no infringement, misappropriation or other violation by third parties of any Company Owned IP (as defined below), (v) there is no pending,</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24"/>
          </w:cols>
          <w:pgMar w:left="436" w:top="261" w:right="439" w:bottom="1440" w:gutter="0" w:footer="0" w:header="0"/>
        </w:sectPr>
      </w:pPr>
    </w:p>
    <w:bookmarkStart w:id="89" w:name="page90"/>
    <w:bookmarkEnd w:id="89"/>
    <w:p>
      <w:pPr>
        <w:jc w:val="both"/>
        <w:spacing w:after="0" w:line="242"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neither the Company nor or any of its Subsidiaries has received written notice of any threatened, action, suit, proceeding, or claim against the Company or any of its Subsidiaries (A) alleging the infringement, misappropriation or other violation, or the infringement, misappropriation or other violation upon commercialization of any product or service described in the Registration Statement or the Prospectus as under development, by the Company or any of its Subsidiaries of any Intellectual Property Right of any Person; or (B) challenging the ownership, validity, enforceability, patentability or scope of any Company Intellectual Property Rights or other Intellectual Property Rights owned by, or to the Company’s knowledge, exclusively licensed to, the Company or any of its Subsidiaries (collectively, “</w:t>
      </w:r>
      <w:r>
        <w:rPr>
          <w:rFonts w:ascii="Times New Roman" w:cs="Times New Roman" w:eastAsia="Times New Roman" w:hAnsi="Times New Roman"/>
          <w:sz w:val="21"/>
          <w:szCs w:val="21"/>
          <w:b w:val="1"/>
          <w:bCs w:val="1"/>
          <w:color w:val="auto"/>
        </w:rPr>
        <w:t>Company Owned IP</w:t>
      </w:r>
      <w:r>
        <w:rPr>
          <w:rFonts w:ascii="Times New Roman" w:cs="Times New Roman" w:eastAsia="Times New Roman" w:hAnsi="Times New Roman"/>
          <w:sz w:val="21"/>
          <w:szCs w:val="21"/>
          <w:color w:val="auto"/>
        </w:rPr>
        <w:t>”), or to the Company’s knowledge, exclusively licensed to, the Company or any of its Subsidiaries, including no interferences, oppositions, reexaminations, or government proceedings, and the Company is unaware of any facts which would form a reasonable basis for any such action, suit, proceeding, or claim, (vi) the Company and its Subsidiaries maintain commercially reasonable policies and procedures designed to protect the security, integrity and privacy of personally identifiable information (“</w:t>
      </w:r>
      <w:r>
        <w:rPr>
          <w:rFonts w:ascii="Times New Roman" w:cs="Times New Roman" w:eastAsia="Times New Roman" w:hAnsi="Times New Roman"/>
          <w:sz w:val="21"/>
          <w:szCs w:val="21"/>
          <w:b w:val="1"/>
          <w:bCs w:val="1"/>
          <w:color w:val="auto"/>
        </w:rPr>
        <w:t>Protected Information</w:t>
      </w:r>
      <w:r>
        <w:rPr>
          <w:rFonts w:ascii="Times New Roman" w:cs="Times New Roman" w:eastAsia="Times New Roman" w:hAnsi="Times New Roman"/>
          <w:sz w:val="21"/>
          <w:szCs w:val="21"/>
          <w:color w:val="auto"/>
        </w:rPr>
        <w:t>”), as defined under any applicable law and have taken all reasonable steps to protect, maintain and safeguard the confidentiality of any confidential Company Owned IP, including the execution of appropriate nondisclosure, confidentiality agreements and invention assignments with their employees, (vii) the Company and its Subsidiaries are presently and were in the past 3 years at all times in compliance in all material respects with all applicable U.S. and/or non-U.S. laws relating to privacy, data protection, data security, or the collection and use of personal information collected, used, or held for use by the Company or any of its Subsidiaries, or on behalf of the Company or any of its subsidiaries, in the conduct of their respective businesses there has been no unauthorized access to, or any unauthorized use, disclosure, losses or theft of, or security breaches relating to, any Protected Information received, or transmitted, by, on behalf of, or in the possession, custody or control of the Company or any of its Subsidiaries, (viii) no claims have been asserted or threatened in writing against the Company or any of its Subsidiaries alleging a violation of any person’s privacy or personal information or data rights, (ix) the Company and each of its Subsidiaries solely owns all right, title and interest in and to all Intellectual Property Rights created or otherwise developed by any present or former employee, consultant or contractor of the Company or any of its Subsidiaries in the course of his, her, or its employment or other relationship with the Company or such Subsidiaries, free of any restrictions on the use or ownership of such Intellectual Property Rights, (x) the Company Owned IP is subsisting, in full force and effect, is being duly maintained, and, to the Company’s knowledge, if issued or registered, is valid and enforceable or contains valid and enforceable claims, (xi)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and (xii)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020"/>
          </w:cols>
          <w:pgMar w:left="440" w:top="261" w:right="439" w:bottom="1440" w:gutter="0" w:footer="0" w:header="0"/>
        </w:sectPr>
      </w:pPr>
    </w:p>
    <w:bookmarkStart w:id="90" w:name="page91"/>
    <w:bookmarkEnd w:id="90"/>
    <w:p>
      <w:pPr>
        <w:jc w:val="both"/>
        <w:ind w:left="4"/>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(ee)  </w:t>
      </w:r>
      <w:r>
        <w:rPr>
          <w:rFonts w:ascii="Times New Roman" w:cs="Times New Roman" w:eastAsia="Times New Roman" w:hAnsi="Times New Roman"/>
          <w:sz w:val="22"/>
          <w:szCs w:val="22"/>
          <w:u w:val="single" w:color="auto"/>
          <w:color w:val="auto"/>
        </w:rPr>
        <w:t>Patents and Patent Applications</w:t>
      </w:r>
      <w:r>
        <w:rPr>
          <w:rFonts w:ascii="Times New Roman" w:cs="Times New Roman" w:eastAsia="Times New Roman" w:hAnsi="Times New Roman"/>
          <w:sz w:val="22"/>
          <w:szCs w:val="22"/>
          <w:color w:val="auto"/>
        </w:rPr>
        <w:t>. All patents and patent applications owned by or licensed to the Company or under which the Company has rights have, to the knowledge of the Company, been duly and properly filed and maintained; to the knowledge of the Company, the parties prosecuting such patent applications have complied or will comply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issued with respect to such applications. To the Company’s knowledge, all patents and patent applications owned by the Company and filed with the USPTO or any foreign or international patent authority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Patent Rights</w:t>
      </w:r>
      <w:r>
        <w:rPr>
          <w:rFonts w:ascii="Times New Roman" w:cs="Times New Roman" w:eastAsia="Times New Roman" w:hAnsi="Times New Roman"/>
          <w:sz w:val="22"/>
          <w:szCs w:val="22"/>
          <w:color w:val="auto"/>
        </w:rPr>
        <w:t>”) and all patents and patent applications in-licensed by the Company and filed with the USPTO or any foreign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international patent authority (the “</w:t>
      </w:r>
      <w:r>
        <w:rPr>
          <w:rFonts w:ascii="Times New Roman" w:cs="Times New Roman" w:eastAsia="Times New Roman" w:hAnsi="Times New Roman"/>
          <w:sz w:val="22"/>
          <w:szCs w:val="22"/>
          <w:b w:val="1"/>
          <w:bCs w:val="1"/>
          <w:color w:val="auto"/>
        </w:rPr>
        <w:t>In-licensed Patent Rights</w:t>
      </w:r>
      <w:r>
        <w:rPr>
          <w:rFonts w:ascii="Times New Roman" w:cs="Times New Roman" w:eastAsia="Times New Roman" w:hAnsi="Times New Roman"/>
          <w:sz w:val="22"/>
          <w:szCs w:val="22"/>
          <w:color w:val="auto"/>
        </w:rPr>
        <w:t>”) have been duly and properly filed; the Company believes it has complied or will comply with its duty of candor and disclosure to the USPTO for the Company Patent Rights and, to the Company’s knowledge, the licensors of the In-licensed Patent Rights have complied with their duty of candor and disclosure to the USPTO for the In-licensed Patent Rights.</w:t>
      </w:r>
    </w:p>
    <w:p>
      <w:pPr>
        <w:spacing w:after="0" w:line="182" w:lineRule="exact"/>
        <w:rPr>
          <w:sz w:val="20"/>
          <w:szCs w:val="20"/>
          <w:color w:val="auto"/>
        </w:rPr>
      </w:pPr>
    </w:p>
    <w:p>
      <w:pPr>
        <w:jc w:val="both"/>
        <w:ind w:left="4"/>
        <w:spacing w:after="0" w:line="233" w:lineRule="auto"/>
        <w:rPr>
          <w:sz w:val="20"/>
          <w:szCs w:val="20"/>
          <w:color w:val="auto"/>
        </w:rPr>
      </w:pPr>
      <w:r>
        <w:rPr>
          <w:rFonts w:ascii="Times New Roman" w:cs="Times New Roman" w:eastAsia="Times New Roman" w:hAnsi="Times New Roman"/>
          <w:sz w:val="22"/>
          <w:szCs w:val="22"/>
          <w:color w:val="auto"/>
        </w:rPr>
        <w:t xml:space="preserve">(ff)  </w:t>
      </w:r>
      <w:r>
        <w:rPr>
          <w:rFonts w:ascii="Times New Roman" w:cs="Times New Roman" w:eastAsia="Times New Roman" w:hAnsi="Times New Roman"/>
          <w:sz w:val="22"/>
          <w:szCs w:val="22"/>
          <w:u w:val="single" w:color="auto"/>
          <w:color w:val="auto"/>
        </w:rPr>
        <w:t>FDA Compliance</w:t>
      </w:r>
      <w:r>
        <w:rPr>
          <w:rFonts w:ascii="Times New Roman" w:cs="Times New Roman" w:eastAsia="Times New Roman" w:hAnsi="Times New Roman"/>
          <w:sz w:val="22"/>
          <w:szCs w:val="22"/>
          <w:color w:val="auto"/>
        </w:rPr>
        <w:t>. Except as described in the Registration Statement and the Prospectus, the Company: (A) is and at all times has been in material compliance with all statutes, rules or regulations of the FDA and other comparable Governmental Entities applicable to the ownership, testing, development, manufacture, packaging, processing, use, distribution, marketing, labeling, promotion, sale, offer for sale, storage, import, export or disposal of any product under development, manufactured or distributed by the Company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(B) has not received any FDA Form 483, notice of adverse finding, warning letter, untitled letter or other correspondence or notice from the FDA or any Governmental Entity alleging or asserting material noncompliance with any Applicable Laws or any licenses, certificates, approvals, clearances, exemptions, authorizations, permits and supplements or amendments thereto required by any such Applicable Laws (“</w:t>
      </w:r>
      <w:r>
        <w:rPr>
          <w:rFonts w:ascii="Times New Roman" w:cs="Times New Roman" w:eastAsia="Times New Roman" w:hAnsi="Times New Roman"/>
          <w:sz w:val="22"/>
          <w:szCs w:val="22"/>
          <w:b w:val="1"/>
          <w:bCs w:val="1"/>
          <w:color w:val="auto"/>
        </w:rPr>
        <w:t>Authorizations</w:t>
      </w:r>
      <w:r>
        <w:rPr>
          <w:rFonts w:ascii="Times New Roman" w:cs="Times New Roman" w:eastAsia="Times New Roman" w:hAnsi="Times New Roman"/>
          <w:sz w:val="22"/>
          <w:szCs w:val="22"/>
          <w:color w:val="auto"/>
        </w:rPr>
        <w:t>”);</w:t>
      </w:r>
    </w:p>
    <w:p>
      <w:pPr>
        <w:spacing w:after="0" w:line="3" w:lineRule="exact"/>
        <w:rPr>
          <w:sz w:val="20"/>
          <w:szCs w:val="20"/>
          <w:color w:val="auto"/>
        </w:rPr>
      </w:pPr>
    </w:p>
    <w:p>
      <w:pPr>
        <w:jc w:val="both"/>
        <w:ind w:left="4" w:hanging="4"/>
        <w:spacing w:after="0" w:line="231" w:lineRule="auto"/>
        <w:tabs>
          <w:tab w:leader="none" w:pos="34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possesses all material Authorizations and such Authorizations are valid and in full force and effect and the Company is not in material violation of any term of any such Authorizations; (D) has not received notice of any claim, action, suit, proceeding, hearing, enforcement, investigation, arbitration or other action from the FDA or any Governmental Entity or third party alleging that any product operation or activity is in material violation of any Applicable Laws or Authorizations and has no knowledge that the FDA or any Governmental Entity or third party is considering any such claim, litigation, arbitration, action, suit, investigation or proceeding; (E) has not received notice that the FDA or any Governmental Entity has taken, is taking or intends to take action to limit, suspend, modify or revoke any material Authorizations and has no knowledge that the FDA or any Governmental Entity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materially complete and correct on the date filed (or were corrected or supplemented by a subsequent submission).</w:t>
      </w:r>
    </w:p>
    <w:p>
      <w:pPr>
        <w:spacing w:after="0" w:line="186" w:lineRule="exact"/>
        <w:rPr>
          <w:sz w:val="20"/>
          <w:szCs w:val="20"/>
          <w:color w:val="auto"/>
        </w:rPr>
      </w:pPr>
    </w:p>
    <w:p>
      <w:pPr>
        <w:jc w:val="both"/>
        <w:ind w:left="4"/>
        <w:spacing w:after="0" w:line="239" w:lineRule="auto"/>
        <w:rPr>
          <w:sz w:val="20"/>
          <w:szCs w:val="20"/>
          <w:color w:val="auto"/>
        </w:rPr>
      </w:pPr>
      <w:r>
        <w:rPr>
          <w:rFonts w:ascii="Times New Roman" w:cs="Times New Roman" w:eastAsia="Times New Roman" w:hAnsi="Times New Roman"/>
          <w:sz w:val="22"/>
          <w:szCs w:val="22"/>
          <w:color w:val="auto"/>
        </w:rPr>
        <w:t xml:space="preserve">(gg)  </w:t>
      </w:r>
      <w:r>
        <w:rPr>
          <w:rFonts w:ascii="Times New Roman" w:cs="Times New Roman" w:eastAsia="Times New Roman" w:hAnsi="Times New Roman"/>
          <w:sz w:val="22"/>
          <w:szCs w:val="22"/>
          <w:u w:val="single" w:color="auto"/>
          <w:color w:val="auto"/>
        </w:rPr>
        <w:t>Compliance with Health Care Laws</w:t>
      </w:r>
      <w:r>
        <w:rPr>
          <w:rFonts w:ascii="Times New Roman" w:cs="Times New Roman" w:eastAsia="Times New Roman" w:hAnsi="Times New Roman"/>
          <w:sz w:val="22"/>
          <w:szCs w:val="22"/>
          <w:color w:val="auto"/>
        </w:rPr>
        <w:t>. The Company has operated and currently is in material compliance with all applicable health care laws, rules and regulations, including, without limitation, (i) the Federal, Food, Drug and Cosmetic Act (21 U.S.C. §§ 301 et seq.) and Public Health Service Act (42 U.S.C. §§ 262 et seq.); (ii) all applicable federal, state, local and foreign healthcare related fraud and abuse laws, including, without limitation, the federal Anti-kickback</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024"/>
          </w:cols>
          <w:pgMar w:left="436" w:top="261" w:right="439" w:bottom="1440" w:gutter="0" w:footer="0" w:header="0"/>
        </w:sectPr>
      </w:pPr>
    </w:p>
    <w:bookmarkStart w:id="91" w:name="page92"/>
    <w:bookmarkEnd w:id="91"/>
    <w:p>
      <w:pPr>
        <w:jc w:val="both"/>
        <w:spacing w:after="0" w:line="243"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Statute (42 U.S.C. § 1320a-7b(b)), the U.S. Physician Payments Sunshine Act (42 U.S.C. § 1320a-7h), the civil False Claims Act (31 U.S.C. §§ 3729 et seq.), the criminal False Claims Law (42 U.S.C. § 1320a-7b(a)), all criminal laws relating to healthcare fraud and abuse, including but not limited to 18 U.S.C. Sections 286 and 287, the healthcare fraud criminal provisions under the U.S. Health Insurance Portability and Accountability Act of 1996 (“</w:t>
      </w:r>
      <w:r>
        <w:rPr>
          <w:rFonts w:ascii="Times New Roman" w:cs="Times New Roman" w:eastAsia="Times New Roman" w:hAnsi="Times New Roman"/>
          <w:sz w:val="21"/>
          <w:szCs w:val="21"/>
          <w:b w:val="1"/>
          <w:bCs w:val="1"/>
          <w:color w:val="auto"/>
        </w:rPr>
        <w:t>HIPAA</w:t>
      </w:r>
      <w:r>
        <w:rPr>
          <w:rFonts w:ascii="Times New Roman" w:cs="Times New Roman" w:eastAsia="Times New Roman" w:hAnsi="Times New Roman"/>
          <w:sz w:val="21"/>
          <w:szCs w:val="21"/>
          <w:color w:val="auto"/>
        </w:rPr>
        <w:t>”) (42 U.S.C. Section 1320d et seq.), the exclusions law (42 U.S.C. § 1320a-7), and the civil monetary penalties law (42 U.S.C. § 1320a-7a); (iii) HIPAA, as amended by the Health Information Technology for Economic Clinical Health Act (42 U.S.C. Section 17921 et seq.); (iv) Medicare (Title XVIII of the Social Security Act); (v) Medicaid (Title XIX of the Social Security Act); (vi) the Patient Protection and Affordable Care Act (Pub. Law 111-148), as amended by the Health Care and Education Affordability Reconciliation Act of 2010 (Pub. Law 111-152); (vii) the regulations promulgated pursuant to such laws; and (viii) any other local, state, federal, or foreign health care laws applicable to the Company, including those relating to the ownership, testing, development, manufacture, packaging, processing, use, distribution, marketing, advertising, labeling, promotion, sale, offer for sale, storage, import, export or disposal of any product manufactured or distributed by or for the Company (collectively, the “</w:t>
      </w:r>
      <w:r>
        <w:rPr>
          <w:rFonts w:ascii="Times New Roman" w:cs="Times New Roman" w:eastAsia="Times New Roman" w:hAnsi="Times New Roman"/>
          <w:sz w:val="21"/>
          <w:szCs w:val="21"/>
          <w:b w:val="1"/>
          <w:bCs w:val="1"/>
          <w:color w:val="auto"/>
        </w:rPr>
        <w:t>Health Care Laws</w:t>
      </w:r>
      <w:r>
        <w:rPr>
          <w:rFonts w:ascii="Times New Roman" w:cs="Times New Roman" w:eastAsia="Times New Roman" w:hAnsi="Times New Roman"/>
          <w:sz w:val="21"/>
          <w:szCs w:val="21"/>
          <w:color w:val="auto"/>
        </w:rPr>
        <w:t>”). Neither the Company, nor to the Company’s knowledge, any of its officers, directors, employees or agents have engaged in activities which are, as applicable, cause for false claims liability, civil penalties, or mandatory or permissive exclusion from Medicare, Medicaid, or any other state or federal healthcare program. The Company has not received written notice or other correspondence of any claim, action, suit, audit, survey, proceeding, hearing, enforcement, investigation, arbitration or other action from any court or arbitrator or governmental or regulatory authority or third party alleging that any product operation or activity is in violation of any Health Care Laws, and, to the Company’s knowledge, no such claim, action, suit, proceeding, hearing, enforcement, investigation, arbitration or other action is threatened. The Company is not a party to and does not have any ongoing reporting obligations pursuant to any corporate integrity agreement, deferred prosecution agreement, monitoring agreement, consent decree, settlement order, plan of correction or similar agreement imposed by any governmental or regulatory authority. Additionally, neither the Company nor any of its employees, officers, directors or, to the Company’s knowledge, its agents, has been excluded, suspended or debarred from participation in any U.S. state or federal health care program or human clinical research or is subject to a governmental inquiry, investigation, proceeding, or other similar action that could reasonably be expected to result in debarment, suspension, or exclusion.</w:t>
      </w:r>
    </w:p>
    <w:p>
      <w:pPr>
        <w:spacing w:after="0" w:line="1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(hh)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Except as described in the Registration Statement and the Prospectus or would not, singly or in the aggregate, reasonably be expected to result in a Material Adverse Effect, (A) neither the Company nor any Subsidiary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or to the manufacture, processing, distribution, use, treatment, storage, disposal, transport or handling of Hazardous Materials (collectively,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(B) the Company and its Subsidiaries have all permits, authorizations and approvals required 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020"/>
          </w:cols>
          <w:pgMar w:left="440" w:top="261" w:right="439" w:bottom="1440" w:gutter="0" w:footer="0" w:header="0"/>
        </w:sectPr>
      </w:pPr>
    </w:p>
    <w:bookmarkStart w:id="92" w:name="page93"/>
    <w:bookmarkEnd w:id="92"/>
    <w:p>
      <w:pPr>
        <w:jc w:val="both"/>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Subsidiary and (D) there are no events or circumstances that would reasonably be expected to form the basis of an order for clean-up or remediation, or an action, suit or proceeding by any private party or Governmental Entity, against or affecting the Company or any Subsidiary relating to Hazardous Materials or any Environmental Laws.</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(ii)  </w:t>
      </w:r>
      <w:r>
        <w:rPr>
          <w:rFonts w:ascii="Times New Roman" w:cs="Times New Roman" w:eastAsia="Times New Roman" w:hAnsi="Times New Roman"/>
          <w:sz w:val="22"/>
          <w:szCs w:val="22"/>
          <w:u w:val="single" w:color="auto"/>
          <w:color w:val="auto"/>
        </w:rPr>
        <w:t>Accounting Controls and Disclosure Controls</w:t>
      </w:r>
      <w:r>
        <w:rPr>
          <w:rFonts w:ascii="Times New Roman" w:cs="Times New Roman" w:eastAsia="Times New Roman" w:hAnsi="Times New Roman"/>
          <w:sz w:val="22"/>
          <w:szCs w:val="22"/>
          <w:color w:val="auto"/>
        </w:rPr>
        <w:t>. The Company and its Subsidiaries make and keep accurate books and records and maintain effective internal control over financial reporting (as defined under Rule 13a-15 and 15d-15 under the Exchange Act)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and the Prospectus fairly presents the information called for in all material respects and is prepared in accordance with the Commission’s rules and guidelines applicable thereto.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adversely affected, or is reasonably likely to materially adversely affect, the Company’s internal control over financial reporting. The Company maintains disclosure controls and procedures (as defined in Rule 13a-15 and Rule 15d-15 under the Exchange Act) that are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(jj)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All tax returns of the Company and its Subsidiaries required by law to be filed have been timely filed (taking into account any properly requested extensions which have been obtained) pursuant to applicable U.S. or non-U.S. (including United Kingdom), state, local or other law (and were when filed, and remain, complete and correct), except insofar as the failure to file such tax returns or request such extensions would not, individually or in the aggregate, reasonably be expected to result in a Material Adverse Effect. The Company and its Subsidiaries have timely paid all taxes required to be paid by any of them and, if due and payable, any related or similar assessment, fine or penalty levied against any of them, except (i) as are being contested in good faith and as to which adequate reserves have been established by the Company or its Subsidiary (as applicable) in conformity with GAAP or (ii) insofar as the failure to pay would not, individually or in the aggregate, reasonably be expected to result in a Material Adverse Effect. The Company and its Subsidiaries do not have any tax deficiencies or claims outstanding or assessed or, to the Company’s knowledge, proposed against them except as would not, individually or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020"/>
          </w:cols>
          <w:pgMar w:left="440" w:top="261" w:right="439" w:bottom="1440" w:gutter="0" w:footer="0" w:header="0"/>
        </w:sectPr>
      </w:pPr>
    </w:p>
    <w:bookmarkStart w:id="93" w:name="page94"/>
    <w:bookmarkEnd w:id="93"/>
    <w:p>
      <w:pPr>
        <w:jc w:val="both"/>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reasonably be expected to result in a Material Adverse Effect. The charges, accruals and reserves on the books of the Company in respect of any tax liability for any years not finally determined are, in conformity with GAAP, adequate to meet any assessments or re-assessments for additional tax for any years not finally determined, except to the extent of any inadequacy that would not, individually or in the aggregate, reasonably be expected to result in a Material Adverse Effect.</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(kk)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Except as disclosed in the Registration Statement or the Prospectus, the Company and its Subsidiaries carry or are entitled to the benefits of insurance, with financially sound and reputable insurers, in such amounts and covering such risks as is generally maintained by companies of established repute and similar size engaged in the same or similar business, and all such insurance is in full force and effect. The Company has no reason to believe that it or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the Company nor any of its Subsidiaries has been denied any insurance coverage which it has sought or for which it has applied.</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(ll)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is not required, and upon the allotment and issuance of the Underlying Shares and the deposit with the Custodian or its nominee of the Underlying Shares as herein contemplated and the application of the net proceeds therefrom as described in the Registration Statement and the Prospectus will not be required, to register as an “investment company” under the Investment Company Act of 1940, as amended (the “</w:t>
      </w: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(mm)  </w:t>
      </w:r>
      <w:r>
        <w:rPr>
          <w:rFonts w:ascii="Times New Roman" w:cs="Times New Roman" w:eastAsia="Times New Roman" w:hAnsi="Times New Roman"/>
          <w:sz w:val="22"/>
          <w:szCs w:val="22"/>
          <w:u w:val="single" w:color="auto"/>
          <w:color w:val="auto"/>
        </w:rPr>
        <w:t>Absence of Manipulation</w:t>
      </w:r>
      <w:r>
        <w:rPr>
          <w:rFonts w:ascii="Times New Roman" w:cs="Times New Roman" w:eastAsia="Times New Roman" w:hAnsi="Times New Roman"/>
          <w:sz w:val="22"/>
          <w:szCs w:val="22"/>
          <w:color w:val="auto"/>
        </w:rPr>
        <w:t>. Neither the Company nor, to the Company’s knowledge,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Shares or to result in a violation of Regulation M under the Exchange Act (“</w:t>
      </w:r>
      <w:r>
        <w:rPr>
          <w:rFonts w:ascii="Times New Roman" w:cs="Times New Roman" w:eastAsia="Times New Roman" w:hAnsi="Times New Roman"/>
          <w:sz w:val="22"/>
          <w:szCs w:val="22"/>
          <w:b w:val="1"/>
          <w:bCs w:val="1"/>
          <w:color w:val="auto"/>
        </w:rPr>
        <w:t>Regulation M</w:t>
      </w:r>
      <w:r>
        <w:rPr>
          <w:rFonts w:ascii="Times New Roman" w:cs="Times New Roman" w:eastAsia="Times New Roman" w:hAnsi="Times New Roman"/>
          <w:sz w:val="22"/>
          <w:szCs w:val="22"/>
          <w:color w:val="auto"/>
        </w:rPr>
        <w:t>”). Neither the Company, nor any of its Subsidiaries, nor any person acting on its or their behalf (save for the Agent, in respect of whom no representation is provided) will take, directly or indirectly, any action designed to cause or to result in, or that has constituted or that might reasonably be expected to cause or result in, the stabilization of the Shares in violation of applicable European Union or English laws or manipulation of the price of any security of the Company to facilitate the sale or resale of the Shares.</w:t>
      </w:r>
    </w:p>
    <w:p>
      <w:pPr>
        <w:spacing w:after="0" w:line="18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 xml:space="preserve">(nn)  </w:t>
      </w:r>
      <w:r>
        <w:rPr>
          <w:rFonts w:ascii="Times New Roman" w:cs="Times New Roman" w:eastAsia="Times New Roman" w:hAnsi="Times New Roman"/>
          <w:sz w:val="22"/>
          <w:szCs w:val="22"/>
          <w:u w:val="single" w:color="auto"/>
          <w:color w:val="auto"/>
        </w:rPr>
        <w:t>No Public Offering in European Economic Area or the United Kingdom</w:t>
      </w:r>
      <w:r>
        <w:rPr>
          <w:rFonts w:ascii="Times New Roman" w:cs="Times New Roman" w:eastAsia="Times New Roman" w:hAnsi="Times New Roman"/>
          <w:sz w:val="22"/>
          <w:szCs w:val="22"/>
          <w:color w:val="auto"/>
        </w:rPr>
        <w:t>. The Company has not made and will not make an offer to the public of the Shares under applicable securities laws in any member state of the European Economic Area or the United Kingdom other than in reliance of an exemption to the requirements to prepare a prospectus as set out in in article 1 of Regulation (EU) 2017/1129 of 14 June 2017 (the “Prospectus Regulation”) and/or section 85 of the Financial Services and Markets Act 2000 (the “FSMA”).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020"/>
          </w:cols>
          <w:pgMar w:left="440" w:top="261" w:right="439" w:bottom="1440" w:gutter="0" w:footer="0" w:header="0"/>
        </w:sectPr>
      </w:pPr>
    </w:p>
    <w:bookmarkStart w:id="94" w:name="page95"/>
    <w:bookmarkEnd w:id="94"/>
    <w:p>
      <w:pPr>
        <w:jc w:val="both"/>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(oo)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None of the Company, its Subsidiaries or to the knowledge of the Company, any director, officer, agent, employee, Affiliate or other person acting on behalf of the Company or its Subsidiaries (i) has used any corporate funds for any unlawful contribution, gift, entertainment, or other unlawful expense relating to political activity; (ii) is aware of or has taken any action, directly or indirectly, in furtherance of an offer, payment, promise to pay or authorization of the payment of any money, or other property, gift, promise to give, or authorization of the giving of anything of value to any foreign or domestic government official or employee, including of any government-owned or controlled entity or public international organization, or any political party or official thereof, or any candidate for political office; (iii) has violated or is in violation of the U.S. Foreign Corrupt Practices Act of 1977, as amended, and the rules and regulations thereunder (the “</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the UK Bribery Act 2010, or any other applicable anti-bribery or anti-corruption law; and (iv) made, offered, authorized, requested, or taken an act in furtherance of any unlawful bribe, rebate, payoff, influence payment, kickback or other unlawful payment or benefit. The Company and its subsidiaries have conducted their business in compliance with applicable anti-corruption laws and have instituted and maintain policies and procedures designed to ensure, and which are reasonably expected to continue to ensure, continued compliance therewith.</w:t>
      </w:r>
    </w:p>
    <w:p>
      <w:pPr>
        <w:spacing w:after="0" w:line="182"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 xml:space="preserve">(pp)  </w:t>
      </w:r>
      <w:r>
        <w:rPr>
          <w:rFonts w:ascii="Times New Roman" w:cs="Times New Roman" w:eastAsia="Times New Roman" w:hAnsi="Times New Roman"/>
          <w:sz w:val="22"/>
          <w:szCs w:val="22"/>
          <w:u w:val="single" w:color="auto"/>
          <w:color w:val="auto"/>
        </w:rPr>
        <w:t>Money Laundering Laws</w:t>
      </w:r>
      <w:r>
        <w:rPr>
          <w:rFonts w:ascii="Times New Roman" w:cs="Times New Roman" w:eastAsia="Times New Roman" w:hAnsi="Times New Roman"/>
          <w:sz w:val="22"/>
          <w:szCs w:val="22"/>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22"/>
          <w:szCs w:val="22"/>
          <w:b w:val="1"/>
          <w:bCs w:val="1"/>
          <w:color w:val="auto"/>
        </w:rPr>
        <w:t>Money Laundering Laws</w:t>
      </w:r>
      <w:r>
        <w:rPr>
          <w:rFonts w:ascii="Times New Roman" w:cs="Times New Roman" w:eastAsia="Times New Roman" w:hAnsi="Times New Roman"/>
          <w:sz w:val="22"/>
          <w:szCs w:val="22"/>
          <w:color w:val="auto"/>
        </w:rPr>
        <w:t>”); and no action, suit or proceeding by or before any Governmental Entity involving the Company or its Subsidiaries with respect to the Money Laundering Laws is pending or, to the knowledge of the Company, threatened.</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(qq)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None of the Company, its Subsidiaries or to the knowledge of the Company, any director, officer, agent, employee, Affiliate or representative is a Person that is currently the subject or target of any sanctions administered or enforced by the United States Government (including, without limitation, the U.S. Department of the Treasury’s Office of Foreign Assets Control, or the U.S. Department of State), the United Nations Security Council, the European Union, His Majesty’s Treasury, or other relevant sanctions authority (collectively, “Sanctions”), nor is the Company or any of its Subsidiaries located, organized or resident in a country or territory that is the subject or target of Sanctions including, without limitation, the Crimea Region of Ukraine, the so-called Donetsk People’s Republic, the so-called Luhansk People’s Republic, Cuba, Iran, North Korea, and Syria; and the Company will not directly or indirectly use the proceeds of the sale of the Securities, or lend, contribute or otherwise make available such proceeds to any Subsidiary, joint venture partners or other Person, to fund any activities of or business with any Person, or in any country or territory, that, at the time of such funding, is the subject or target of Sanctions or in any other manner that will result in a violation by any Person (including any Person participating in the transaction, whether as agent, advisor, investor or otherwise) of Sanctions. For the past five years, the Company and its subsidiaries have not knowingly engaged in and are not now knowingly engaged in any dealings or transactions with any Person, or with any country or territory, that at the time of the dealing or transaction is or was the subject or target of Sanctions.</w:t>
      </w:r>
    </w:p>
    <w:p>
      <w:pPr>
        <w:spacing w:after="0" w:line="1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 xml:space="preserve">(rr)  </w:t>
      </w:r>
      <w:r>
        <w:rPr>
          <w:rFonts w:ascii="Times New Roman" w:cs="Times New Roman" w:eastAsia="Times New Roman" w:hAnsi="Times New Roman"/>
          <w:sz w:val="21"/>
          <w:szCs w:val="21"/>
          <w:u w:val="single" w:color="auto"/>
          <w:color w:val="auto"/>
        </w:rPr>
        <w:t>Lending Relationship</w:t>
      </w:r>
      <w:r>
        <w:rPr>
          <w:rFonts w:ascii="Times New Roman" w:cs="Times New Roman" w:eastAsia="Times New Roman" w:hAnsi="Times New Roman"/>
          <w:sz w:val="21"/>
          <w:szCs w:val="21"/>
          <w:color w:val="auto"/>
        </w:rPr>
        <w:t>. Except as disclosed in the Registration Statement and the Prospectus, the Company (i) does not have any material lending or other material relationship with any banking or lending Affiliate of the Agent and (ii) does not intend to use any of the proceeds from the sale of the Shares to repay any outstanding debt owed to any Affiliate of any Agent.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020"/>
          </w:cols>
          <w:pgMar w:left="440" w:top="261" w:right="439" w:bottom="1440" w:gutter="0" w:footer="0" w:header="0"/>
        </w:sectPr>
      </w:pPr>
    </w:p>
    <w:bookmarkStart w:id="95" w:name="page96"/>
    <w:bookmarkEnd w:id="95"/>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(ss)  </w:t>
      </w:r>
      <w:r>
        <w:rPr>
          <w:rFonts w:ascii="Times New Roman" w:cs="Times New Roman" w:eastAsia="Times New Roman" w:hAnsi="Times New Roman"/>
          <w:sz w:val="22"/>
          <w:szCs w:val="22"/>
          <w:u w:val="single" w:color="auto"/>
          <w:color w:val="auto"/>
        </w:rPr>
        <w:t>Statistical and Market-Related Data</w:t>
      </w:r>
      <w:r>
        <w:rPr>
          <w:rFonts w:ascii="Times New Roman" w:cs="Times New Roman" w:eastAsia="Times New Roman" w:hAnsi="Times New Roman"/>
          <w:sz w:val="22"/>
          <w:szCs w:val="22"/>
          <w:color w:val="auto"/>
        </w:rPr>
        <w:t>. 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8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(tt)  </w:t>
      </w:r>
      <w:r>
        <w:rPr>
          <w:rFonts w:ascii="Times New Roman" w:cs="Times New Roman" w:eastAsia="Times New Roman" w:hAnsi="Times New Roman"/>
          <w:sz w:val="22"/>
          <w:szCs w:val="22"/>
          <w:u w:val="single" w:color="auto"/>
          <w:color w:val="auto"/>
        </w:rPr>
        <w:t>No Rated Securities</w:t>
      </w:r>
      <w:r>
        <w:rPr>
          <w:rFonts w:ascii="Times New Roman" w:cs="Times New Roman" w:eastAsia="Times New Roman" w:hAnsi="Times New Roman"/>
          <w:sz w:val="22"/>
          <w:szCs w:val="22"/>
          <w:color w:val="auto"/>
        </w:rPr>
        <w:t>. The Company has no debt securities or preferred stock that is rated by any “nationally recognized statistical rating organization” (as that term is defined by the Commission for purposes of Rule 436(g)(2) under the Securities Act).</w:t>
      </w:r>
    </w:p>
    <w:p>
      <w:pPr>
        <w:spacing w:after="0" w:line="17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(uu)  </w:t>
      </w:r>
      <w:r>
        <w:rPr>
          <w:rFonts w:ascii="Times New Roman" w:cs="Times New Roman" w:eastAsia="Times New Roman" w:hAnsi="Times New Roman"/>
          <w:sz w:val="22"/>
          <w:szCs w:val="22"/>
          <w:u w:val="single" w:color="auto"/>
          <w:color w:val="auto"/>
        </w:rPr>
        <w:t>Privacy and Data Protection</w:t>
      </w:r>
      <w:r>
        <w:rPr>
          <w:rFonts w:ascii="Times New Roman" w:cs="Times New Roman" w:eastAsia="Times New Roman" w:hAnsi="Times New Roman"/>
          <w:sz w:val="22"/>
          <w:szCs w:val="22"/>
          <w:color w:val="auto"/>
        </w:rPr>
        <w:t>. The Company and its Subsidiaries have operated their business in a manner compliant in all material respects with all Privacy Laws, and the Company and its subsidiaries have taken commercially reasonable actions to prepare to comply with, and since May 25, 2018, have been and currently are compliant in all material aspects with, the European Union General Data Protection Regulation (“</w:t>
      </w:r>
      <w:r>
        <w:rPr>
          <w:rFonts w:ascii="Times New Roman" w:cs="Times New Roman" w:eastAsia="Times New Roman" w:hAnsi="Times New Roman"/>
          <w:sz w:val="22"/>
          <w:szCs w:val="22"/>
          <w:b w:val="1"/>
          <w:bCs w:val="1"/>
          <w:color w:val="auto"/>
        </w:rPr>
        <w:t>GDPR</w:t>
      </w:r>
      <w:r>
        <w:rPr>
          <w:rFonts w:ascii="Times New Roman" w:cs="Times New Roman" w:eastAsia="Times New Roman" w:hAnsi="Times New Roman"/>
          <w:sz w:val="22"/>
          <w:szCs w:val="22"/>
          <w:color w:val="auto"/>
        </w:rPr>
        <w:t>”) (EU 2016/679) including the GDPR as it forms part of United Kingdom law by virtue of section 3 of the European Union (Withdrawal) Act 2018. The Company and its Subsidiaries have been and are in compliance in all material respects with internal policies and procedures designed to ensure the integrity, availability and security of the data collected, handled, stored or otherwise processed in connection with its business and with all external privacy policies and notices, and all such notices have been legally adequate and accurate; the Company and its Subsidiaries have been and are in compliance in all material respects with internal policies and procedures designed to ensure compliance with the Privacy Laws and Health Care Laws that govern privacy and data security and take, and have taken, commercially reasonable steps designed to assure compliance with such policies and procedures. The Company, its Subsidiaries, and, to the their knowledge, any third parties processing information on behalf of the Company have taken commercially reasonable steps to maintain the confidentiality of its Personal Information, protected health information, consumer information and other confidential information of the Company, its Subsidiaries and any third parties in its possession or control (collectively, “</w:t>
      </w:r>
      <w:r>
        <w:rPr>
          <w:rFonts w:ascii="Times New Roman" w:cs="Times New Roman" w:eastAsia="Times New Roman" w:hAnsi="Times New Roman"/>
          <w:sz w:val="22"/>
          <w:szCs w:val="22"/>
          <w:b w:val="1"/>
          <w:bCs w:val="1"/>
          <w:color w:val="auto"/>
        </w:rPr>
        <w:t>Sensitive Company Data</w:t>
      </w:r>
      <w:r>
        <w:rPr>
          <w:rFonts w:ascii="Times New Roman" w:cs="Times New Roman" w:eastAsia="Times New Roman" w:hAnsi="Times New Roman"/>
          <w:sz w:val="22"/>
          <w:szCs w:val="22"/>
          <w:color w:val="auto"/>
        </w:rPr>
        <w:t>”). The Company and its Subsidiaries have contractually obligated all third parties that process Sensitive Company Data on their behalf to data protection obligations that comply with applicable Privacy Laws, including (i) to comply with applicable Privacy Laws, (ii) to take reasonable steps to protect and security Sensitive Company Data, and (iii) to act only in accordance with the instructions of the Company. The tangible or digital information technology systems (including computers, screens, servers, workstations, routers, hubs, switches, networks, data communications lines, technical data and hardware), software and telecommunications systems used or held for use by the Company and its Subsidiaries (the “</w:t>
      </w:r>
      <w:r>
        <w:rPr>
          <w:rFonts w:ascii="Times New Roman" w:cs="Times New Roman" w:eastAsia="Times New Roman" w:hAnsi="Times New Roman"/>
          <w:sz w:val="22"/>
          <w:szCs w:val="22"/>
          <w:b w:val="1"/>
          <w:bCs w:val="1"/>
          <w:color w:val="auto"/>
        </w:rPr>
        <w:t>Company IT Assets</w:t>
      </w:r>
      <w:r>
        <w:rPr>
          <w:rFonts w:ascii="Times New Roman" w:cs="Times New Roman" w:eastAsia="Times New Roman" w:hAnsi="Times New Roman"/>
          <w:sz w:val="22"/>
          <w:szCs w:val="22"/>
          <w:color w:val="auto"/>
        </w:rPr>
        <w:t>”) are adequate and operational for, in accordance with their documentation and functional specifications, the business of the Company and its Subsidiaries as now operated and as currently proposed to be conducted as described in the Registration Statement and the Prospectus. The Company, its Subsidiaries, and, to the their knowledge, any third-parties processing information on behalf of the Company have used commercially reasonable efforts to establish, and have established, commercially reasonable disaster recovery and security plans, procedures and facilities for the business consistent with industry standards and practices in all material respects, including, without limitation, for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020"/>
          </w:cols>
          <w:pgMar w:left="440" w:top="261" w:right="439" w:bottom="1440" w:gutter="0" w:footer="0" w:header="0"/>
        </w:sectPr>
      </w:pPr>
    </w:p>
    <w:bookmarkStart w:id="96" w:name="page97"/>
    <w:bookmarkEnd w:id="96"/>
    <w:p>
      <w:pPr>
        <w:jc w:val="both"/>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IT Assets and data held or used by or for the Company and its Subsidiaries. The Company and its Subsidiaries have not suffered or incurred any security breaches, compromises or incidents with respect to any Company IT Asset, except where such breaches, compromises or incidents would not reasonably be expected to, singly or in the aggregate, result in a Material Adverse Effect; and, there has been no unauthorized or illegal use of or access to any Company IT Asset by any unauthorized third party. The Company and its Subsidiaries have not been required to notify any individual, regulator or other third party of any information security breach, compromise or incident involving Sensitive Company Data.</w:t>
      </w:r>
    </w:p>
    <w:p>
      <w:pPr>
        <w:spacing w:after="0" w:line="18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(vv)  </w:t>
      </w:r>
      <w:r>
        <w:rPr>
          <w:rFonts w:ascii="Times New Roman" w:cs="Times New Roman" w:eastAsia="Times New Roman" w:hAnsi="Times New Roman"/>
          <w:sz w:val="22"/>
          <w:szCs w:val="22"/>
          <w:u w:val="single" w:color="auto"/>
          <w:color w:val="auto"/>
        </w:rPr>
        <w:t>No Broker Fees</w:t>
      </w:r>
      <w:r>
        <w:rPr>
          <w:rFonts w:ascii="Times New Roman" w:cs="Times New Roman" w:eastAsia="Times New Roman" w:hAnsi="Times New Roman"/>
          <w:sz w:val="22"/>
          <w:szCs w:val="22"/>
          <w:color w:val="auto"/>
        </w:rPr>
        <w:t>. Except as disclosed in the Prospectus, there are no contracts, agreements or understandings between the Company and any Person that would give rise to a valid claim against the Company or the Agent for a brokerage commission, finder’s fee or other like payment in connection with the offering of the Securities contemplated hereby.</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(ww)  </w:t>
      </w:r>
      <w:r>
        <w:rPr>
          <w:rFonts w:ascii="Times New Roman" w:cs="Times New Roman" w:eastAsia="Times New Roman" w:hAnsi="Times New Roman"/>
          <w:sz w:val="22"/>
          <w:szCs w:val="22"/>
          <w:u w:val="single" w:color="auto"/>
          <w:color w:val="auto"/>
        </w:rPr>
        <w:t>Valid Choice of Laws</w:t>
      </w:r>
      <w:r>
        <w:rPr>
          <w:rFonts w:ascii="Times New Roman" w:cs="Times New Roman" w:eastAsia="Times New Roman" w:hAnsi="Times New Roman"/>
          <w:sz w:val="22"/>
          <w:szCs w:val="22"/>
          <w:color w:val="auto"/>
        </w:rPr>
        <w:t xml:space="preserve">. The choice of the laws of the State of New York as the governing law of this Agreement is a valid choice of law under the laws of England and Wales and will be recognized by courts in England and Wales except as may be limited by general principles of equity and except where to do so would be inconsistent with or overridden by the Regulation (EC) No 593/2008 on the Law Applicable to Contractual Obligations (Rome I) (as it forms part of English domestic law pursuant to European Union (Withdrawal) Act 2018). The Company has the corporate power to submit, and pursuant to </w:t>
      </w:r>
      <w:r>
        <w:rPr>
          <w:rFonts w:ascii="Times New Roman" w:cs="Times New Roman" w:eastAsia="Times New Roman" w:hAnsi="Times New Roman"/>
          <w:sz w:val="22"/>
          <w:szCs w:val="22"/>
          <w:u w:val="single" w:color="auto"/>
          <w:color w:val="auto"/>
        </w:rPr>
        <w:t>Section 8(g)</w:t>
      </w:r>
      <w:r>
        <w:rPr>
          <w:rFonts w:ascii="Times New Roman" w:cs="Times New Roman" w:eastAsia="Times New Roman" w:hAnsi="Times New Roman"/>
          <w:sz w:val="22"/>
          <w:szCs w:val="22"/>
          <w:color w:val="auto"/>
        </w:rPr>
        <w:t xml:space="preserve"> of this Agreement, has legally, validly, effectively and irrevocably submitted, to the personal jurisdiction of each New York State and United States federal court sitting in The City of New York, New York (each, a “</w:t>
      </w:r>
      <w:r>
        <w:rPr>
          <w:rFonts w:ascii="Times New Roman" w:cs="Times New Roman" w:eastAsia="Times New Roman" w:hAnsi="Times New Roman"/>
          <w:sz w:val="22"/>
          <w:szCs w:val="22"/>
          <w:b w:val="1"/>
          <w:bCs w:val="1"/>
          <w:color w:val="auto"/>
        </w:rPr>
        <w:t>New York Court</w:t>
      </w:r>
      <w:r>
        <w:rPr>
          <w:rFonts w:ascii="Times New Roman" w:cs="Times New Roman" w:eastAsia="Times New Roman" w:hAnsi="Times New Roman"/>
          <w:sz w:val="22"/>
          <w:szCs w:val="22"/>
          <w:color w:val="auto"/>
        </w:rPr>
        <w:t>”) and has validly and irrevocably waived any objection to the laying of venue of any suit, action or proceeding brought in any such court; and the Company has the power to designate, appoint and empower an authorized agent for service of process in any action arising out of or relating to this Agreement, the Registration Statement, the Prospectus or the offering of the Shares in any New York Court and service of process effected on such authorized agent will be effective to notify the Company of any action under this Agreement.</w:t>
      </w:r>
    </w:p>
    <w:p>
      <w:pPr>
        <w:spacing w:after="0" w:line="18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(xx)  </w:t>
      </w:r>
      <w:r>
        <w:rPr>
          <w:rFonts w:ascii="Times New Roman" w:cs="Times New Roman" w:eastAsia="Times New Roman" w:hAnsi="Times New Roman"/>
          <w:sz w:val="22"/>
          <w:szCs w:val="22"/>
          <w:u w:val="single" w:color="auto"/>
          <w:color w:val="auto"/>
        </w:rPr>
        <w:t>No Sovereign Immunity</w:t>
      </w:r>
      <w:r>
        <w:rPr>
          <w:rFonts w:ascii="Times New Roman" w:cs="Times New Roman" w:eastAsia="Times New Roman" w:hAnsi="Times New Roman"/>
          <w:sz w:val="22"/>
          <w:szCs w:val="22"/>
          <w:color w:val="auto"/>
        </w:rPr>
        <w:t>. Neither the Company nor any of its Subsidiaries nor any of their respective properties, assets or revenues enjoy any rights of immunity from legal proceedings or the execution of judgement or other attachment in England and Wales, pursuant to the State Immunity Act 1978, or the United States, pursuant to the Foreign Sovereign Immunities Act 1976, with respect to this Agreement, the Deposit Agreement or the Shares.</w:t>
      </w:r>
    </w:p>
    <w:p>
      <w:pPr>
        <w:spacing w:after="0" w:line="18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 xml:space="preserve">(yy)  </w:t>
      </w:r>
      <w:r>
        <w:rPr>
          <w:rFonts w:ascii="Times New Roman" w:cs="Times New Roman" w:eastAsia="Times New Roman" w:hAnsi="Times New Roman"/>
          <w:sz w:val="22"/>
          <w:szCs w:val="22"/>
          <w:u w:val="single" w:color="auto"/>
          <w:color w:val="auto"/>
        </w:rPr>
        <w:t>Proper Form</w:t>
      </w:r>
      <w:r>
        <w:rPr>
          <w:rFonts w:ascii="Times New Roman" w:cs="Times New Roman" w:eastAsia="Times New Roman" w:hAnsi="Times New Roman"/>
          <w:sz w:val="22"/>
          <w:szCs w:val="22"/>
          <w:color w:val="auto"/>
        </w:rPr>
        <w:t>. This Agreement and the Deposit Agreement are each in proper form to be enforceable in England and Wales in accordance with its terms; to ensure the legality, validity, enforceability or admissibility into evidence in England and Wales of this Agreement or the Deposit Agreement it is not necessary that this Agreement or the Deposit Agreement, respectively, be filed or recorded with any court or other authority in England and Wales (other than court filings in the ordinary course of proceedings).</w:t>
      </w:r>
    </w:p>
    <w:p>
      <w:pPr>
        <w:spacing w:after="0" w:line="17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 xml:space="preserve">(zz)  </w:t>
      </w:r>
      <w:r>
        <w:rPr>
          <w:rFonts w:ascii="Times New Roman" w:cs="Times New Roman" w:eastAsia="Times New Roman" w:hAnsi="Times New Roman"/>
          <w:sz w:val="21"/>
          <w:szCs w:val="21"/>
          <w:u w:val="single" w:color="auto"/>
          <w:color w:val="auto"/>
        </w:rPr>
        <w:t>Enforceability of Judgment</w:t>
      </w:r>
      <w:r>
        <w:rPr>
          <w:rFonts w:ascii="Times New Roman" w:cs="Times New Roman" w:eastAsia="Times New Roman" w:hAnsi="Times New Roman"/>
          <w:sz w:val="21"/>
          <w:szCs w:val="21"/>
          <w:color w:val="auto"/>
        </w:rPr>
        <w:t>. Any final judgment for a fixed or readily calculable sum of money rendered by a New York Court having jurisdiction under its own domestic laws and recognized by the English courts as having jurisdiction (according to English conflicts of laws principles and rules of English private international law at the time when proceedings were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020"/>
          </w:cols>
          <w:pgMar w:left="440" w:top="261" w:right="439" w:bottom="1440" w:gutter="0" w:footer="0" w:header="0"/>
        </w:sectPr>
      </w:pPr>
    </w:p>
    <w:bookmarkStart w:id="97" w:name="page98"/>
    <w:bookmarkEnd w:id="97"/>
    <w:p>
      <w:pPr>
        <w:jc w:val="both"/>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initiated) to give such final judgment in respect of any suit, action or proceeding against the Company based upon this Agreement or the Deposit Agreement and any instruments or agreements entered into for the consummation of the transactions contemplated herein and therein would generally be enforceable against the Company, without re-examination or review of the merits of the cause of action in respect of which the original judgment was given or re-litigation of the matters adjudicated upon, by the courts of England and Wales; provided, however, that the Company may have defenses open to it and enforcement may not be permitted if, among other things, (a) the judgment was obtained by fraud, or in proceedings contrary to natural or substantial justice, or contravenes public policy in England or the Human Rights Act 1998 (or any subordinate legislation made thereunder, to the extent applicable); (b) the judgment is for a sum payable in respect of taxes, or other charges of a like nature or is in respect of a fine or other penalty or otherwise based on a foreign law that an English court considers to relate to a penal, revenue or other public law; (c) the judgment amounts to judgment on a matter previously determined by an English court or conflicts with a judgment on the same matter given by a court other than a New York Court or was obtained in breach of a jurisdiction or arbitration clause except with the agreement of the defendant or the defendant’s subsequent submission to the jurisdiction of the court; (d) the judgment is given in proceedings brought in breach of an agreement for the settlement of disputes; (e) the judgment has been arrived at by doubling, trebling or otherwise multiplying a sum assessed as compensation for the loss or damage sustained, or is a judgment that is otherwise specified in section 5 of the Protection of Trading Interests Act 1980, or is a judgment based on measures designated by the Secretary of State under section 1 of that Act; and (f) enforcement proceedings are not commenced within six years of the date of such judgment.</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(aaa)  </w:t>
      </w:r>
      <w:r>
        <w:rPr>
          <w:rFonts w:ascii="Times New Roman" w:cs="Times New Roman" w:eastAsia="Times New Roman" w:hAnsi="Times New Roman"/>
          <w:sz w:val="21"/>
          <w:szCs w:val="21"/>
          <w:u w:val="single" w:color="auto"/>
          <w:color w:val="auto"/>
        </w:rPr>
        <w:t>No Immunity from Suit</w:t>
      </w:r>
      <w:r>
        <w:rPr>
          <w:rFonts w:ascii="Times New Roman" w:cs="Times New Roman" w:eastAsia="Times New Roman" w:hAnsi="Times New Roman"/>
          <w:sz w:val="21"/>
          <w:szCs w:val="21"/>
          <w:color w:val="auto"/>
        </w:rPr>
        <w:t xml:space="preserve">. Except as provided by laws or statutes generally applicable to transactions of the type described in this Agreement, neither the Company nor any of its respective properties, assets or revenues has any right of immunity under United Kingdom, New York or United States law, from any legal action, suit or proceeding, from the giving of any relief in any such legal action, suit or proceeding, from set-off or counterclaim, from the jurisdiction of any law of the United Kingdom,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w:t>
      </w:r>
      <w:r>
        <w:rPr>
          <w:rFonts w:ascii="Times New Roman" w:cs="Times New Roman" w:eastAsia="Times New Roman" w:hAnsi="Times New Roman"/>
          <w:sz w:val="21"/>
          <w:szCs w:val="21"/>
          <w:u w:val="single" w:color="auto"/>
          <w:color w:val="auto"/>
        </w:rPr>
        <w:t>Section 8(g)</w:t>
      </w:r>
      <w:r>
        <w:rPr>
          <w:rFonts w:ascii="Times New Roman" w:cs="Times New Roman" w:eastAsia="Times New Roman" w:hAnsi="Times New Roman"/>
          <w:sz w:val="21"/>
          <w:szCs w:val="21"/>
          <w:color w:val="auto"/>
        </w:rPr>
        <w:t xml:space="preserve"> of this Agreement.</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(bbb)  </w:t>
      </w:r>
      <w:r>
        <w:rPr>
          <w:rFonts w:ascii="Times New Roman" w:cs="Times New Roman" w:eastAsia="Times New Roman" w:hAnsi="Times New Roman"/>
          <w:sz w:val="22"/>
          <w:szCs w:val="22"/>
          <w:u w:val="single" w:color="auto"/>
          <w:color w:val="auto"/>
        </w:rPr>
        <w:t>Other Underwriting Agreements</w:t>
      </w:r>
      <w:r>
        <w:rPr>
          <w:rFonts w:ascii="Times New Roman" w:cs="Times New Roman" w:eastAsia="Times New Roman" w:hAnsi="Times New Roman"/>
          <w:sz w:val="22"/>
          <w:szCs w:val="22"/>
          <w:color w:val="auto"/>
        </w:rPr>
        <w:t>. The Company is not a party to any agreement with an agent or underwriter for any other “at the market” or continuous equity transaction.</w:t>
      </w:r>
    </w:p>
    <w:p>
      <w:pPr>
        <w:spacing w:after="0" w:line="15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(ccc)  </w:t>
      </w:r>
      <w:r>
        <w:rPr>
          <w:rFonts w:ascii="Times New Roman" w:cs="Times New Roman" w:eastAsia="Times New Roman" w:hAnsi="Times New Roman"/>
          <w:sz w:val="22"/>
          <w:szCs w:val="22"/>
          <w:u w:val="single" w:color="auto"/>
          <w:color w:val="auto"/>
        </w:rPr>
        <w:t>PFIC Status</w:t>
      </w:r>
      <w:r>
        <w:rPr>
          <w:rFonts w:ascii="Times New Roman" w:cs="Times New Roman" w:eastAsia="Times New Roman" w:hAnsi="Times New Roman"/>
          <w:sz w:val="22"/>
          <w:szCs w:val="22"/>
          <w:color w:val="auto"/>
        </w:rPr>
        <w:t>. The Company does not believe it was a “passive foreign investment company,” or PFIC, for U.S. federal income tax purposes, as defined in Section 1297 of the U.S. Internal Revenue Code of 1986, as amended, for the Company’s taxable year ended December 31, 2023. For the avoidance of doubt, the Company makes no representation with respect to its PFIC status for the Company’s current taxable year or any particular taxable year in the future.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020"/>
          </w:cols>
          <w:pgMar w:left="440" w:top="261" w:right="439" w:bottom="1440" w:gutter="0" w:footer="0" w:header="0"/>
        </w:sectPr>
      </w:pPr>
    </w:p>
    <w:bookmarkStart w:id="98" w:name="page99"/>
    <w:bookmarkEnd w:id="98"/>
    <w:p>
      <w:pPr>
        <w:jc w:val="both"/>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(ddd)  </w:t>
      </w:r>
      <w:r>
        <w:rPr>
          <w:rFonts w:ascii="Times New Roman" w:cs="Times New Roman" w:eastAsia="Times New Roman" w:hAnsi="Times New Roman"/>
          <w:sz w:val="22"/>
          <w:szCs w:val="22"/>
          <w:u w:val="single" w:color="auto"/>
          <w:color w:val="auto"/>
        </w:rPr>
        <w:t>FINRA Matters</w:t>
      </w:r>
      <w:r>
        <w:rPr>
          <w:rFonts w:ascii="Times New Roman" w:cs="Times New Roman" w:eastAsia="Times New Roman" w:hAnsi="Times New Roman"/>
          <w:sz w:val="22"/>
          <w:szCs w:val="22"/>
          <w:color w:val="auto"/>
        </w:rPr>
        <w:t>. All of the information provided to the Agent or to counsel for the Agent by the Company and, to the Company’s knowledge, its counsel, its officers and directors and the holders of any securities (debt or equity) or options to acquire any securities of the Company in connection with the offering of the Shares is true, complete, correct and compliant in all material respects with FINRA rules and any letters, filings or other supplemental information provided to FINRA pursuant to FINRA Rules or NASD Conduct Rules is true, complete and correct in all material respects. As of the date of this Agreement, the Company meets the definition of the term “experienced issuer” specified in FINRA Rule 5110(j)(6).</w:t>
      </w:r>
    </w:p>
    <w:p>
      <w:pPr>
        <w:spacing w:after="0" w:line="18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 xml:space="preserve">(eee)  </w:t>
      </w:r>
      <w:r>
        <w:rPr>
          <w:rFonts w:ascii="Times New Roman" w:cs="Times New Roman" w:eastAsia="Times New Roman" w:hAnsi="Times New Roman"/>
          <w:sz w:val="22"/>
          <w:szCs w:val="22"/>
          <w:u w:val="single" w:color="auto"/>
          <w:color w:val="auto"/>
        </w:rPr>
        <w:t>Forward-Looking Statements</w:t>
      </w:r>
      <w:r>
        <w:rPr>
          <w:rFonts w:ascii="Times New Roman" w:cs="Times New Roman" w:eastAsia="Times New Roman" w:hAnsi="Times New Roman"/>
          <w:sz w:val="22"/>
          <w:szCs w:val="22"/>
          <w:color w:val="auto"/>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83"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Any certificate signed by any officer or representative of the Company or any Subsidiary and delivered to the Agent or counsel for the Agent in connection with an issuance of Shares shall be deemed a representation and warranty by the Company to the Agent as to the matters covered thereby on the date of such certificate.</w:t>
      </w:r>
    </w:p>
    <w:p>
      <w:pPr>
        <w:spacing w:after="0" w:line="173"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 xml:space="preserve">The Company acknowledges that the Agent and, for purposes of the opinions to be delivered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hereof, counsel to the Company and counsel to the Agent, will rely upon the accuracy and truthfulness of the foregoing representations and hereby consents to such reliance.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ISSUANCE AND SALE OF SHARES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Sale of Securities</w:t>
      </w:r>
      <w:r>
        <w:rPr>
          <w:rFonts w:ascii="Times New Roman" w:cs="Times New Roman" w:eastAsia="Times New Roman" w:hAnsi="Times New Roman"/>
          <w:sz w:val="22"/>
          <w:szCs w:val="22"/>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Mechanics of Issuances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Issuance Notice</w:t>
      </w:r>
      <w:r>
        <w:rPr>
          <w:rFonts w:ascii="Times New Roman" w:cs="Times New Roman" w:eastAsia="Times New Roman" w:hAnsi="Times New Roman"/>
          <w:sz w:val="22"/>
          <w:szCs w:val="22"/>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shall have been satisfied, the Company may exercise its right to request an issuance of Shares by delivering to the Agent an Issuance Notice; provided, however,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020"/>
          </w:cols>
          <w:pgMar w:left="440" w:top="261" w:right="439" w:bottom="1440" w:gutter="0" w:footer="0" w:header="0"/>
        </w:sectPr>
      </w:pPr>
    </w:p>
    <w:bookmarkStart w:id="99" w:name="page100"/>
    <w:bookmarkEnd w:id="99"/>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77"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(ii)    </w:t>
      </w:r>
      <w:r>
        <w:rPr>
          <w:rFonts w:ascii="Times New Roman" w:cs="Times New Roman" w:eastAsia="Times New Roman" w:hAnsi="Times New Roman"/>
          <w:sz w:val="22"/>
          <w:szCs w:val="22"/>
          <w:u w:val="single" w:color="auto"/>
          <w:color w:val="auto"/>
        </w:rPr>
        <w:t>Agent Efforts</w:t>
      </w:r>
      <w:r>
        <w:rPr>
          <w:rFonts w:ascii="Times New Roman" w:cs="Times New Roman" w:eastAsia="Times New Roman" w:hAnsi="Times New Roman"/>
          <w:sz w:val="22"/>
          <w:szCs w:val="22"/>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(iii)    </w:t>
      </w:r>
      <w:r>
        <w:rPr>
          <w:rFonts w:ascii="Times New Roman" w:cs="Times New Roman" w:eastAsia="Times New Roman" w:hAnsi="Times New Roman"/>
          <w:sz w:val="22"/>
          <w:szCs w:val="22"/>
          <w:u w:val="single" w:color="auto"/>
          <w:color w:val="auto"/>
        </w:rPr>
        <w:t>Method of Offer and Sale</w:t>
      </w:r>
      <w:r>
        <w:rPr>
          <w:rFonts w:ascii="Times New Roman" w:cs="Times New Roman" w:eastAsia="Times New Roman" w:hAnsi="Times New Roman"/>
          <w:sz w:val="22"/>
          <w:szCs w:val="22"/>
          <w:color w:val="auto"/>
        </w:rPr>
        <w:t>. The Shares may be offered and sold (A) in negotiated transactions with the consent of the Company or (B) by any other method permitted by law deemed to be an “at the market offering” as defined in Rule 415(a)(4) under the Securities Act, including block transactions, sales made directly on the Principal Market or sales made into any other existing trading market of the ADSs.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8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22"/>
          <w:szCs w:val="22"/>
          <w:u w:val="single" w:color="auto"/>
          <w:color w:val="auto"/>
        </w:rPr>
        <w:t>Confirmation to the Company</w:t>
      </w:r>
      <w:r>
        <w:rPr>
          <w:rFonts w:ascii="Times New Roman" w:cs="Times New Roman" w:eastAsia="Times New Roman" w:hAnsi="Times New Roman"/>
          <w:sz w:val="22"/>
          <w:szCs w:val="22"/>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(v)    </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on or before each Settlement Date, the Company will issue the applicable number of Underlying Shares (against the Agent’s undertaking to make payment pursuant to this Section 3(b)(v)) and will, or will cause its transfer agent to, electronically transfer the Shares being sold against the prior deposit with the Custodian of the corresponding number of Underlying Shares necessary for the issuance of the Shares following payment by the Agent of the purchase price therefor by wire transfer of immediately available funds delivered to an account designated by the Company, by crediting the Agent or its designee’s account at The Depository Trust Company through its Deposit/Withdrawal At Custodian (DWAC) System, or by such other means of delivery as may be mutually agreed upon by the parties hereto. Such Shares shall be freely tradable, transferable and registered shares. The Company may sell Shares to the Agent as principal at a price agreed upon at each relevant time Shares are sold pursuant to this Agreement (each, a “</w:t>
      </w:r>
      <w:r>
        <w:rPr>
          <w:rFonts w:ascii="Times New Roman" w:cs="Times New Roman" w:eastAsia="Times New Roman" w:hAnsi="Times New Roman"/>
          <w:sz w:val="22"/>
          <w:szCs w:val="22"/>
          <w:b w:val="1"/>
          <w:bCs w:val="1"/>
          <w:color w:val="auto"/>
        </w:rPr>
        <w:t>Time of Sale</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020"/>
          </w:cols>
          <w:pgMar w:left="440" w:top="261" w:right="439" w:bottom="1440" w:gutter="0" w:footer="0" w:header="0"/>
        </w:sectPr>
      </w:pPr>
    </w:p>
    <w:bookmarkStart w:id="100" w:name="page101"/>
    <w:bookmarkEnd w:id="100"/>
    <w:p>
      <w:pPr>
        <w:jc w:val="both"/>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(vi)    </w:t>
      </w:r>
      <w:r>
        <w:rPr>
          <w:rFonts w:ascii="Times New Roman" w:cs="Times New Roman" w:eastAsia="Times New Roman" w:hAnsi="Times New Roman"/>
          <w:sz w:val="22"/>
          <w:szCs w:val="22"/>
          <w:u w:val="single" w:color="auto"/>
          <w:color w:val="auto"/>
        </w:rPr>
        <w:t>Suspension or Termination of Sales</w:t>
      </w:r>
      <w:r>
        <w:rPr>
          <w:rFonts w:ascii="Times New Roman" w:cs="Times New Roman" w:eastAsia="Times New Roman" w:hAnsi="Times New Roman"/>
          <w:sz w:val="22"/>
          <w:szCs w:val="22"/>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22"/>
          <w:szCs w:val="22"/>
          <w:u w:val="single" w:color="auto"/>
          <w:color w:val="auto"/>
        </w:rPr>
        <w:t>Section 3(b)(v)</w:t>
      </w:r>
      <w:r>
        <w:rPr>
          <w:rFonts w:ascii="Times New Roman" w:cs="Times New Roman" w:eastAsia="Times New Roman" w:hAnsi="Times New Roman"/>
          <w:sz w:val="22"/>
          <w:szCs w:val="22"/>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ADSs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22"/>
          <w:szCs w:val="22"/>
          <w:u w:val="single" w:color="auto"/>
          <w:color w:val="auto"/>
        </w:rPr>
        <w:t>Section 3(b)(i)</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(vii)  </w:t>
      </w:r>
      <w:r>
        <w:rPr>
          <w:rFonts w:ascii="Times New Roman" w:cs="Times New Roman" w:eastAsia="Times New Roman" w:hAnsi="Times New Roman"/>
          <w:sz w:val="22"/>
          <w:szCs w:val="22"/>
          <w:u w:val="single" w:color="auto"/>
          <w:color w:val="auto"/>
        </w:rPr>
        <w:t>No Guarantee of Placement, Etc</w:t>
      </w:r>
      <w:r>
        <w:rPr>
          <w:rFonts w:ascii="Times New Roman" w:cs="Times New Roman" w:eastAsia="Times New Roman" w:hAnsi="Times New Roman"/>
          <w:sz w:val="22"/>
          <w:szCs w:val="22"/>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(viii)  </w:t>
      </w: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22"/>
          <w:szCs w:val="22"/>
          <w:u w:val="single" w:color="auto"/>
          <w:color w:val="auto"/>
        </w:rPr>
        <w:t>Section 3(b)(vi)</w:t>
      </w:r>
      <w:r>
        <w:rPr>
          <w:rFonts w:ascii="Times New Roman" w:cs="Times New Roman" w:eastAsia="Times New Roman" w:hAnsi="Times New Roman"/>
          <w:sz w:val="22"/>
          <w:szCs w:val="22"/>
          <w:color w:val="auto"/>
        </w:rPr>
        <w:t xml:space="preserve"> by the Agent deducting the Selling Commission from the applicable Issuance Amount.</w:t>
      </w:r>
    </w:p>
    <w:p>
      <w:pPr>
        <w:spacing w:after="0" w:line="173"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The Company shall pay, and shall indemnify and hold the Agent harmless against, any Transfer Taxes, and any interest and penalties, which are payable in connection with: (i) the allotment, creation, issuance and/or delivery of the Underlying Shares and/or the Shares (or ADRs representing the Shares) in accordance with the terms of the Deposit Agreement; (ii) the sale (including the agreement for sale) of the Shares (or ADRs representing the Shares) to or for the account of the Agent in the manner contemplated by this Agreement and the Deposit Agreement; (iii) the sale (including the agreement for sale) or delivery by the Agent of the Shares (or ADRs representing the Shares) to or for the account of the initial purchasers thereof in the manner contemplated by this Agreement and the Deposit Agreement; or (iv) the execution and delivery of this Agreement or the Deposit Agreement.</w:t>
      </w:r>
    </w:p>
    <w:p>
      <w:pPr>
        <w:spacing w:after="0" w:line="17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020"/>
          </w:cols>
          <w:pgMar w:left="440" w:top="261" w:right="439" w:bottom="1440" w:gutter="0" w:footer="0" w:header="0"/>
        </w:sectPr>
      </w:pPr>
    </w:p>
    <w:bookmarkStart w:id="101" w:name="page102"/>
    <w:bookmarkEnd w:id="101"/>
    <w:p>
      <w:pPr>
        <w:jc w:val="both"/>
        <w:ind w:left="4"/>
        <w:spacing w:after="0" w:line="242"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registrar and transfer agent of the Shares; (iii) all fees and expenses of the Company’s counsel, independent public or certified public accountants and other advisors; (iv)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21"/>
          <w:szCs w:val="21"/>
          <w:b w:val="1"/>
          <w:bCs w:val="1"/>
          <w:color w:val="auto"/>
        </w:rPr>
        <w:t>Blue Sky Survey</w:t>
      </w:r>
      <w:r>
        <w:rPr>
          <w:rFonts w:ascii="Times New Roman" w:cs="Times New Roman" w:eastAsia="Times New Roman" w:hAnsi="Times New Roman"/>
          <w:sz w:val="21"/>
          <w:szCs w:val="21"/>
          <w:color w:val="auto"/>
        </w:rPr>
        <w:t>” or memorandum and a “Canadian wrapper”, and any supplements thereto, advising the Agent of such qualifications, registrations, determinations and exemptions; (vi) the reasonable fees and disbursements of the Agent’s counsel, including the reasonable fees and expenses of counsel for the Agent in connection with, FINRA review, if any, and approval of the Agent’s participation in the offering and distribution of the Shares; (vii) the filing fees incident to FINRA review, if any;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(ix) the fees and expenses associated with listing the Shares on the Principal Market. The fees and disbursements of Agent’s counsel pursuant to subsections (vi) and</w:t>
      </w:r>
    </w:p>
    <w:p>
      <w:pPr>
        <w:spacing w:after="0" w:line="15" w:lineRule="exact"/>
        <w:rPr>
          <w:sz w:val="20"/>
          <w:szCs w:val="20"/>
          <w:color w:val="auto"/>
        </w:rPr>
      </w:pPr>
    </w:p>
    <w:p>
      <w:pPr>
        <w:jc w:val="both"/>
        <w:ind w:left="4" w:right="20" w:hanging="4"/>
        <w:spacing w:after="0" w:line="232" w:lineRule="auto"/>
        <w:tabs>
          <w:tab w:leader="none" w:pos="45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shall not exceed (A) $125,000 in connection with execution of this Agreement, (B) $25,000 in connection with each Triggering Event Date (as defined below) involving the filing of a Form 10-K on which the Company is required to provide a certificate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and (B) $15,000 in connection with each other Triggering Event Date (as defined below) on which the Company is required to provide a certificate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In respect of any sale of Shares to the Agent as principal, expenses shall be paid in accordance with the terms of this Agreement and any applicable terms that may be agreed between the Company and the Agent, in each case to the extent not unlawful under applicable law (including the laws of England and Wales).</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Section 4.    ADDITIONAL COVENANTS</w:t>
      </w:r>
    </w:p>
    <w:p>
      <w:pPr>
        <w:spacing w:after="0" w:line="210"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The Company covenants and agrees with the Agent as follows, in addition to any other covenants and agreements made elsewhere in this Agreement:</w:t>
      </w:r>
    </w:p>
    <w:p>
      <w:pPr>
        <w:spacing w:after="0" w:line="158" w:lineRule="exact"/>
        <w:rPr>
          <w:sz w:val="20"/>
          <w:szCs w:val="20"/>
          <w:color w:val="auto"/>
        </w:rPr>
      </w:pPr>
    </w:p>
    <w:p>
      <w:pPr>
        <w:jc w:val="both"/>
        <w:ind w:left="4" w:right="20"/>
        <w:spacing w:after="0" w:line="234"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Exchange Act Compliance</w:t>
      </w:r>
      <w:r>
        <w:rPr>
          <w:rFonts w:ascii="Times New Roman" w:cs="Times New Roman" w:eastAsia="Times New Roman" w:hAnsi="Times New Roman"/>
          <w:sz w:val="22"/>
          <w:szCs w:val="22"/>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22"/>
          <w:szCs w:val="22"/>
          <w:b w:val="1"/>
          <w:bCs w:val="1"/>
          <w:color w:val="auto"/>
        </w:rPr>
        <w:t>Interim Prospectus Supplement</w:t>
      </w:r>
      <w:r>
        <w:rPr>
          <w:rFonts w:ascii="Times New Roman" w:cs="Times New Roman" w:eastAsia="Times New Roman" w:hAnsi="Times New Roman"/>
          <w:sz w:val="22"/>
          <w:szCs w:val="22"/>
          <w:color w:val="auto"/>
        </w:rPr>
        <w:t xml:space="preserve">”), such summary information and, at least once a quarter and subject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file such Interim Prospectus Supplement pursuant to Rule 424(b) under the Securities Act (and within the time periods required by Rule 424(b) and Rule 430B under the Securities Act)).</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024"/>
          </w:cols>
          <w:pgMar w:left="436" w:top="261" w:right="439" w:bottom="1440" w:gutter="0" w:footer="0" w:header="0"/>
        </w:sectPr>
      </w:pPr>
    </w:p>
    <w:bookmarkStart w:id="102" w:name="page103"/>
    <w:bookmarkEnd w:id="102"/>
    <w:p>
      <w:pPr>
        <w:ind w:left="4"/>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22"/>
          <w:szCs w:val="22"/>
          <w:u w:val="single" w:color="auto"/>
          <w:color w:val="auto"/>
        </w:rPr>
        <w:t>Securities Act Compliance</w:t>
      </w:r>
      <w:r>
        <w:rPr>
          <w:rFonts w:ascii="Times New Roman" w:cs="Times New Roman" w:eastAsia="Times New Roman" w:hAnsi="Times New Roman"/>
          <w:sz w:val="22"/>
          <w:szCs w:val="22"/>
          <w:color w:val="auto"/>
        </w:rPr>
        <w:t>. After the date of this Agreement, the Company shall promptly advise the Agent in writing</w:t>
      </w:r>
    </w:p>
    <w:p>
      <w:pPr>
        <w:spacing w:after="0" w:line="14" w:lineRule="exact"/>
        <w:rPr>
          <w:sz w:val="20"/>
          <w:szCs w:val="20"/>
          <w:color w:val="auto"/>
        </w:rPr>
      </w:pPr>
    </w:p>
    <w:p>
      <w:pPr>
        <w:jc w:val="both"/>
        <w:ind w:left="4" w:hanging="4"/>
        <w:spacing w:after="0" w:line="241" w:lineRule="auto"/>
        <w:tabs>
          <w:tab w:leader="none" w:pos="26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receipt of any comments of, or requests for additional or supplemental information from, the Commission; (ii) of the time and date of any filing of any post-effective amendment to the Registration Statement, the ADS Registration Statement, any Rule 462(b) Registration Statement or any amendment or supplement to the Prospectus, any Free Writing Prospectus;</w:t>
      </w:r>
    </w:p>
    <w:p>
      <w:pPr>
        <w:spacing w:after="0" w:line="1" w:lineRule="exact"/>
        <w:rPr>
          <w:rFonts w:ascii="Times New Roman" w:cs="Times New Roman" w:eastAsia="Times New Roman" w:hAnsi="Times New Roman"/>
          <w:sz w:val="21"/>
          <w:szCs w:val="21"/>
          <w:color w:val="auto"/>
        </w:rPr>
      </w:pPr>
    </w:p>
    <w:p>
      <w:pPr>
        <w:jc w:val="both"/>
        <w:ind w:left="4" w:hanging="4"/>
        <w:spacing w:after="0" w:line="231" w:lineRule="auto"/>
        <w:tabs>
          <w:tab w:leader="none" w:pos="39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time and date that any post-effective amendment to the Registration Statement, the ADS Registration Statement or any Rule 462(b) Registration Statement becomes effective; and (iv) of the issuance by the Commission of any stop order suspending the effectiveness of the Registration Statement, the ADS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ADSs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7" w:lineRule="exact"/>
        <w:rPr>
          <w:sz w:val="20"/>
          <w:szCs w:val="20"/>
          <w:color w:val="auto"/>
        </w:rPr>
      </w:pPr>
    </w:p>
    <w:p>
      <w:pPr>
        <w:jc w:val="both"/>
        <w:ind w:left="4"/>
        <w:spacing w:after="0" w:line="233"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Amendments and Supplements to the Prospectus and Other Securities Act Matters</w:t>
      </w:r>
      <w:r>
        <w:rPr>
          <w:rFonts w:ascii="Times New Roman" w:cs="Times New Roman" w:eastAsia="Times New Roman" w:hAnsi="Times New Roman"/>
          <w:sz w:val="22"/>
          <w:szCs w:val="22"/>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4(f)</w:t>
      </w:r>
      <w:r>
        <w:rPr>
          <w:rFonts w:ascii="Times New Roman" w:cs="Times New Roman" w:eastAsia="Times New Roman" w:hAnsi="Times New Roman"/>
          <w:sz w:val="22"/>
          <w:szCs w:val="22"/>
          <w:color w:val="auto"/>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4(f)</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4"/>
        <w:spacing w:after="0" w:line="239"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Agent’s Review of Proposed Amendments and Supplements</w:t>
      </w:r>
      <w:r>
        <w:rPr>
          <w:rFonts w:ascii="Times New Roman" w:cs="Times New Roman" w:eastAsia="Times New Roman" w:hAnsi="Times New Roman"/>
          <w:sz w:val="22"/>
          <w:szCs w:val="22"/>
          <w:color w:val="auto"/>
        </w:rPr>
        <w:t>. Prior to amending or supplementing the Registration Statement (including any registration statement filed under Rule 462(b) under the Securities Act, but excluding any amendment or supplement relating solely to an offering of securities other than the ADSs), the ADS Registration Statement or the Prospectus (excluding any amendment or supplement through incorporation of any report filed under the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024"/>
          </w:cols>
          <w:pgMar w:left="436" w:top="261" w:right="439" w:bottom="1440" w:gutter="0" w:footer="0" w:header="0"/>
        </w:sectPr>
      </w:pPr>
    </w:p>
    <w:bookmarkStart w:id="103" w:name="page104"/>
    <w:bookmarkEnd w:id="103"/>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Use of Free Writing Prospectus</w:t>
      </w:r>
      <w:r>
        <w:rPr>
          <w:rFonts w:ascii="Times New Roman" w:cs="Times New Roman" w:eastAsia="Times New Roman" w:hAnsi="Times New Roman"/>
          <w:sz w:val="22"/>
          <w:szCs w:val="22"/>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22"/>
          <w:szCs w:val="22"/>
          <w:b w:val="1"/>
          <w:bCs w:val="1"/>
          <w:color w:val="auto"/>
        </w:rPr>
        <w:t>Free Writing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(f)    </w:t>
      </w:r>
      <w:r>
        <w:rPr>
          <w:rFonts w:ascii="Times New Roman" w:cs="Times New Roman" w:eastAsia="Times New Roman" w:hAnsi="Times New Roman"/>
          <w:sz w:val="21"/>
          <w:szCs w:val="21"/>
          <w:u w:val="single" w:color="auto"/>
          <w:color w:val="auto"/>
        </w:rPr>
        <w:t>Free Writing Prospectuses</w:t>
      </w:r>
      <w:r>
        <w:rPr>
          <w:rFonts w:ascii="Times New Roman" w:cs="Times New Roman" w:eastAsia="Times New Roman" w:hAnsi="Times New Roman"/>
          <w:sz w:val="21"/>
          <w:szCs w:val="21"/>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the ADS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8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Filing of Agent Free Writing Prospectuses</w:t>
      </w:r>
      <w:r>
        <w:rPr>
          <w:rFonts w:ascii="Times New Roman" w:cs="Times New Roman" w:eastAsia="Times New Roman" w:hAnsi="Times New Roman"/>
          <w:sz w:val="22"/>
          <w:szCs w:val="22"/>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020"/>
          </w:cols>
          <w:pgMar w:left="440" w:top="261" w:right="439" w:bottom="1440" w:gutter="0" w:footer="0" w:header="0"/>
        </w:sectPr>
      </w:pPr>
    </w:p>
    <w:bookmarkStart w:id="104" w:name="page105"/>
    <w:bookmarkEnd w:id="104"/>
    <w:p>
      <w:pPr>
        <w:jc w:val="both"/>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    </w:t>
      </w:r>
      <w:r>
        <w:rPr>
          <w:rFonts w:ascii="Times New Roman" w:cs="Times New Roman" w:eastAsia="Times New Roman" w:hAnsi="Times New Roman"/>
          <w:sz w:val="22"/>
          <w:szCs w:val="22"/>
          <w:u w:val="single" w:color="auto"/>
          <w:color w:val="auto"/>
        </w:rPr>
        <w:t>Copies of Registration Statement and Prospectus</w:t>
      </w:r>
      <w:r>
        <w:rPr>
          <w:rFonts w:ascii="Times New Roman" w:cs="Times New Roman" w:eastAsia="Times New Roman" w:hAnsi="Times New Roman"/>
          <w:sz w:val="22"/>
          <w:szCs w:val="22"/>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the ADS Registration Statement or the Prospectus as then amended or supplemented, to advise the Agent promptly by telephone (with confirmation in writing) and to prepare and cause to be filed promptly with the Commission an amendment or supplement to the Registration Statement, the ADS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Blue Sky Compliance</w:t>
      </w:r>
      <w:r>
        <w:rPr>
          <w:rFonts w:ascii="Times New Roman" w:cs="Times New Roman" w:eastAsia="Times New Roman" w:hAnsi="Times New Roman"/>
          <w:sz w:val="22"/>
          <w:szCs w:val="22"/>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(j)    </w:t>
      </w: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020"/>
          </w:cols>
          <w:pgMar w:left="440" w:top="261" w:right="439" w:bottom="1440" w:gutter="0" w:footer="0" w:header="0"/>
        </w:sectPr>
      </w:pPr>
    </w:p>
    <w:bookmarkStart w:id="105" w:name="page106"/>
    <w:bookmarkEnd w:id="105"/>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    </w:t>
      </w:r>
      <w:r>
        <w:rPr>
          <w:rFonts w:ascii="Times New Roman" w:cs="Times New Roman" w:eastAsia="Times New Roman" w:hAnsi="Times New Roman"/>
          <w:sz w:val="21"/>
          <w:szCs w:val="21"/>
          <w:u w:val="single" w:color="auto"/>
          <w:color w:val="auto"/>
        </w:rPr>
        <w:t>Listing; Reservation of Ordinary Shares</w:t>
      </w:r>
      <w:r>
        <w:rPr>
          <w:rFonts w:ascii="Times New Roman" w:cs="Times New Roman" w:eastAsia="Times New Roman" w:hAnsi="Times New Roman"/>
          <w:sz w:val="21"/>
          <w:szCs w:val="21"/>
          <w:color w:val="auto"/>
        </w:rPr>
        <w:t>. The Company will (a) maintain the listing of the Shares on the Principal Market; (b) reserve and keep available at all times, free of preemptive rights, a sufficient number of Ordinary Shares for the purpose of enabling the Company to satisfy its obligations under this Agreement; and (c) keep registered with the Commission a sufficient number of Shares for the purpose of enabling the Company to satisfy its obligations under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(l)     </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The Company shall engage and maintain, at its expense, a registrar and transfer agent for the Shares.</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(m)    </w:t>
      </w: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(n)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22"/>
          <w:szCs w:val="22"/>
          <w:u w:val="single" w:color="auto"/>
          <w:color w:val="auto"/>
        </w:rPr>
        <w:t>Deliverables at Triggering Event Dates; Certificates</w:t>
      </w:r>
      <w:r>
        <w:rPr>
          <w:rFonts w:ascii="Times New Roman" w:cs="Times New Roman" w:eastAsia="Times New Roman" w:hAnsi="Times New Roman"/>
          <w:sz w:val="22"/>
          <w:szCs w:val="22"/>
          <w:color w:val="auto"/>
        </w:rPr>
        <w:t>. The Company agrees that on or prior to the date of the first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Notice and, during the term of this Agreement after the date of the first Issuance Notice, upon:</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    the filing of the Prospectus or the amendment or supplement of any Registration Statement or Prospectus (other than a prospectus supplement relating solely to an offering of securities other than the Shares or a prospectus filed pursuant to </w:t>
      </w:r>
      <w:r>
        <w:rPr>
          <w:rFonts w:ascii="Times New Roman" w:cs="Times New Roman" w:eastAsia="Times New Roman" w:hAnsi="Times New Roman"/>
          <w:sz w:val="22"/>
          <w:szCs w:val="22"/>
          <w:u w:val="single" w:color="auto"/>
          <w:color w:val="auto"/>
        </w:rPr>
        <w:t>Section 4(a)(ii)(B)</w:t>
      </w:r>
      <w:r>
        <w:rPr>
          <w:rFonts w:ascii="Times New Roman" w:cs="Times New Roman" w:eastAsia="Times New Roman" w:hAnsi="Times New Roman"/>
          <w:sz w:val="22"/>
          <w:szCs w:val="22"/>
          <w:color w:val="auto"/>
        </w:rPr>
        <w:t>), by means of a post-effective amendment, sticker or supplement, but not by means of incorporation of documents by reference into the Registration Statement or Prospectus;</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(B)    the filing with the Commission of an annual report on Form 10-K of the Company (including any Form 10-K/A containing amended financial information or a material amendment to the previously filed annual report on Form 10-K);</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    the filing with the Commission of a quarterly report on Form 10-Q (including any Form 10-Q/A containing amended financial information or a material amendment to the previously filed quarterly report on Form 10-Q); or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020"/>
          </w:cols>
          <w:pgMar w:left="440" w:top="261" w:right="439" w:bottom="1440" w:gutter="0" w:footer="0" w:header="0"/>
        </w:sectPr>
      </w:pPr>
    </w:p>
    <w:bookmarkStart w:id="106" w:name="page107"/>
    <w:bookmarkEnd w:id="106"/>
    <w:p>
      <w:pPr>
        <w:jc w:val="both"/>
        <w:ind w:left="4" w:right="20"/>
        <w:spacing w:after="0" w:line="25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the Shares in the Agent’s reasonable discretion;</w:t>
      </w:r>
    </w:p>
    <w:p>
      <w:pPr>
        <w:spacing w:after="0" w:line="158"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1"/>
          <w:szCs w:val="21"/>
          <w:color w:val="auto"/>
        </w:rPr>
        <w:t>(any such event, a “</w:t>
      </w:r>
      <w:r>
        <w:rPr>
          <w:rFonts w:ascii="Times New Roman" w:cs="Times New Roman" w:eastAsia="Times New Roman" w:hAnsi="Times New Roman"/>
          <w:sz w:val="21"/>
          <w:szCs w:val="21"/>
          <w:b w:val="1"/>
          <w:bCs w:val="1"/>
          <w:color w:val="auto"/>
        </w:rPr>
        <w:t>Triggering Event Date</w:t>
      </w:r>
      <w:r>
        <w:rPr>
          <w:rFonts w:ascii="Times New Roman" w:cs="Times New Roman" w:eastAsia="Times New Roman" w:hAnsi="Times New Roman"/>
          <w:sz w:val="21"/>
          <w:szCs w:val="21"/>
          <w:color w:val="auto"/>
        </w:rPr>
        <w:t xml:space="preserve">”), the Company shall furnish the Agent (but in the case of clause (D)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21"/>
          <w:szCs w:val="21"/>
          <w:u w:val="single" w:color="auto"/>
          <w:color w:val="auto"/>
        </w:rPr>
        <w:t>Section 5(a)</w:t>
      </w:r>
    </w:p>
    <w:p>
      <w:pPr>
        <w:spacing w:after="0" w:line="3" w:lineRule="exact"/>
        <w:rPr>
          <w:sz w:val="20"/>
          <w:szCs w:val="20"/>
          <w:color w:val="auto"/>
        </w:rPr>
      </w:pPr>
    </w:p>
    <w:p>
      <w:pPr>
        <w:jc w:val="both"/>
        <w:ind w:left="4" w:right="20" w:hanging="4"/>
        <w:spacing w:after="0" w:line="232" w:lineRule="auto"/>
        <w:tabs>
          <w:tab w:leader="none" w:pos="401" w:val="left"/>
        </w:tabs>
        <w:numPr>
          <w:ilvl w:val="0"/>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hereof, and (C) containing any other certification that the Agent shall reasonably request. The requirement to provide a certificate under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dated as of the date that the instructions for the sale of Shares are issued.</w:t>
      </w:r>
    </w:p>
    <w:p>
      <w:pPr>
        <w:spacing w:after="0" w:line="178" w:lineRule="exact"/>
        <w:rPr>
          <w:sz w:val="20"/>
          <w:szCs w:val="20"/>
          <w:color w:val="auto"/>
        </w:rPr>
      </w:pPr>
    </w:p>
    <w:p>
      <w:pPr>
        <w:jc w:val="both"/>
        <w:ind w:left="4"/>
        <w:spacing w:after="0" w:line="244" w:lineRule="auto"/>
        <w:rPr>
          <w:sz w:val="20"/>
          <w:szCs w:val="20"/>
          <w:color w:val="auto"/>
        </w:rPr>
      </w:pPr>
      <w:r>
        <w:rPr>
          <w:rFonts w:ascii="Times New Roman" w:cs="Times New Roman" w:eastAsia="Times New Roman" w:hAnsi="Times New Roman"/>
          <w:sz w:val="22"/>
          <w:szCs w:val="22"/>
          <w:color w:val="auto"/>
        </w:rPr>
        <w:t xml:space="preserve">(p)    </w:t>
      </w: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for which no waiver is applicable and excluding the date of this Agreement,</w:t>
      </w:r>
    </w:p>
    <w:p>
      <w:pPr>
        <w:spacing w:after="0" w:line="173" w:lineRule="exact"/>
        <w:rPr>
          <w:sz w:val="20"/>
          <w:szCs w:val="20"/>
          <w:color w:val="auto"/>
        </w:rPr>
      </w:pPr>
    </w:p>
    <w:p>
      <w:pPr>
        <w:jc w:val="both"/>
        <w:ind w:left="4" w:right="20"/>
        <w:spacing w:after="0" w:line="238" w:lineRule="auto"/>
        <w:rPr>
          <w:sz w:val="20"/>
          <w:szCs w:val="20"/>
          <w:color w:val="auto"/>
        </w:rPr>
      </w:pPr>
      <w:r>
        <w:rPr>
          <w:rFonts w:ascii="Times New Roman" w:cs="Times New Roman" w:eastAsia="Times New Roman" w:hAnsi="Times New Roman"/>
          <w:sz w:val="22"/>
          <w:szCs w:val="22"/>
          <w:color w:val="auto"/>
        </w:rPr>
        <w:t>(A)    a negative assurance letter and the written legal opinion of Mayer Brown LLP, U.S. counsel to the Company, and a written legal opinion of Latham &amp; Watkins (London) LLP, English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and</w:t>
      </w:r>
    </w:p>
    <w:p>
      <w:pPr>
        <w:spacing w:after="0" w:line="177" w:lineRule="exact"/>
        <w:rPr>
          <w:sz w:val="20"/>
          <w:szCs w:val="20"/>
          <w:color w:val="auto"/>
        </w:rPr>
      </w:pPr>
    </w:p>
    <w:p>
      <w:pPr>
        <w:jc w:val="both"/>
        <w:ind w:left="4" w:right="20"/>
        <w:spacing w:after="0" w:line="239" w:lineRule="auto"/>
        <w:rPr>
          <w:sz w:val="20"/>
          <w:szCs w:val="20"/>
          <w:color w:val="auto"/>
        </w:rPr>
      </w:pPr>
      <w:r>
        <w:rPr>
          <w:rFonts w:ascii="Times New Roman" w:cs="Times New Roman" w:eastAsia="Times New Roman" w:hAnsi="Times New Roman"/>
          <w:sz w:val="22"/>
          <w:szCs w:val="22"/>
          <w:color w:val="auto"/>
        </w:rPr>
        <w:t>(B)    the written legal opinions of each of Carpmaels &amp; Ransford (Specialities) LLP, Gill Jennings &amp; Every LLP and Wolff IP, P.C.,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024"/>
          </w:cols>
          <w:pgMar w:left="436" w:top="261" w:right="439" w:bottom="1440" w:gutter="0" w:footer="0" w:header="0"/>
        </w:sectPr>
      </w:pPr>
    </w:p>
    <w:bookmarkStart w:id="107" w:name="page108"/>
    <w:bookmarkEnd w:id="107"/>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(q)    </w:t>
      </w: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for which no waiver is applicable and excluding the date of this Agreement, the Company shall cause PricewaterhouseCoopers LLP (United Kingdom), the independent registered public accounting firm who has audited the financial statements included or incorporated by reference in the Registration Statement or assisted in the review of the Registration Statement, as the case may be,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180"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 xml:space="preserve">(r)    </w:t>
      </w: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7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u w:val="single" w:color="auto"/>
          <w:color w:val="auto"/>
        </w:rPr>
        <w:t>Agent’s Own Account; Clients’ Account</w:t>
      </w:r>
      <w:r>
        <w:rPr>
          <w:rFonts w:ascii="Times New Roman" w:cs="Times New Roman" w:eastAsia="Times New Roman" w:hAnsi="Times New Roman"/>
          <w:sz w:val="22"/>
          <w:szCs w:val="22"/>
          <w:color w:val="auto"/>
        </w:rPr>
        <w:t>. The Company consents to the Agent trading, in compliance with applicable law, in the ADSs for the Agent’s own account and for the account of its clients at the same time as sales of the Shares occur pursuant to this Agreement.</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(t)    </w:t>
      </w:r>
      <w:r>
        <w:rPr>
          <w:rFonts w:ascii="Times New Roman" w:cs="Times New Roman" w:eastAsia="Times New Roman" w:hAnsi="Times New Roman"/>
          <w:sz w:val="22"/>
          <w:szCs w:val="22"/>
          <w:u w:val="single" w:color="auto"/>
          <w:color w:val="auto"/>
        </w:rPr>
        <w:t>Investment Limitation</w:t>
      </w:r>
      <w:r>
        <w:rPr>
          <w:rFonts w:ascii="Times New Roman" w:cs="Times New Roman" w:eastAsia="Times New Roman" w:hAnsi="Times New Roman"/>
          <w:sz w:val="22"/>
          <w:szCs w:val="22"/>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020"/>
          </w:cols>
          <w:pgMar w:left="440" w:top="261" w:right="439" w:bottom="1440" w:gutter="0" w:footer="0" w:header="0"/>
        </w:sectPr>
      </w:pPr>
    </w:p>
    <w:bookmarkStart w:id="108" w:name="page109"/>
    <w:bookmarkEnd w:id="108"/>
    <w:p>
      <w:pPr>
        <w:jc w:val="both"/>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    </w:t>
      </w: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22"/>
          <w:szCs w:val="22"/>
          <w:b w:val="1"/>
          <w:bCs w:val="1"/>
          <w:color w:val="auto"/>
        </w:rPr>
        <w:t>Rule 102</w:t>
      </w:r>
      <w:r>
        <w:rPr>
          <w:rFonts w:ascii="Times New Roman" w:cs="Times New Roman" w:eastAsia="Times New Roman" w:hAnsi="Times New Roman"/>
          <w:sz w:val="22"/>
          <w:szCs w:val="22"/>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(v)    </w:t>
      </w:r>
      <w:r>
        <w:rPr>
          <w:rFonts w:ascii="Times New Roman" w:cs="Times New Roman" w:eastAsia="Times New Roman" w:hAnsi="Times New Roman"/>
          <w:sz w:val="22"/>
          <w:szCs w:val="22"/>
          <w:u w:val="single" w:color="auto"/>
          <w:color w:val="auto"/>
        </w:rPr>
        <w:t>Notice of Other Sale</w:t>
      </w:r>
      <w:r>
        <w:rPr>
          <w:rFonts w:ascii="Times New Roman" w:cs="Times New Roman" w:eastAsia="Times New Roman" w:hAnsi="Times New Roman"/>
          <w:sz w:val="22"/>
          <w:szCs w:val="22"/>
          <w:color w:val="auto"/>
        </w:rPr>
        <w:t>. Without the written consent of the Agent, the Company will not, directly or indirectly, offer to sell, sell, contract to sell, grant any option to sell or otherwise dispose of any Ordinary Shares, ADSs or securities convertible into or exchangeable for Ordinary Shares or ADSs (other than Shares hereunder), warrants or any rights to purchase or acquire Ordinary Shares or ADSs, or effect a reverse share split, recapitalization, share consolidation, reclassification or similar transaction affecting the outstanding Ordinary Shares or ADSs,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Ordinary Shares or ADSs (other than the Shares offered pursuant to this Agreement) or securities convertible into or exchangeable for Ordinary Shares or ADSs, warrants or any rights to purchase or acquire, Ordinary Shares or ADSs prior to the termination of this Agreement; provided, however, that such restrictions will not be required in connection with the Company’s (i) issuance or sale of Ordinary Shares or ADSs, options to purchase Ordinary Shares or ADSs or Ordinary Shares or ADSs issuable upon the exercise of options or other equity awards pursuant to any employee or director share option, incentive or benefit plan, share purchase or ownership plan, long-term incentive plan, dividend reinvestment plan, inducement award under rules of the Principal Market or other compensation plan of the Company or its subsidiaries, as in effect on the date of this Agreement, (ii) issuance or sale of Ordinary Shares or ADSs issuable upon exchange, conversion or redemption of securities or the exercise or vesting of warrants, options or other equity awards outstanding at the date of this Agreement, and (iii) modification of any outstanding options, warrants of any rights to purchase or acquire Ordinary Shares or ADSs.</w:t>
      </w:r>
    </w:p>
    <w:p>
      <w:pPr>
        <w:spacing w:after="0" w:line="18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(w)    </w:t>
      </w:r>
      <w:r>
        <w:rPr>
          <w:rFonts w:ascii="Times New Roman" w:cs="Times New Roman" w:eastAsia="Times New Roman" w:hAnsi="Times New Roman"/>
          <w:sz w:val="22"/>
          <w:szCs w:val="22"/>
          <w:u w:val="single" w:color="auto"/>
          <w:color w:val="auto"/>
        </w:rPr>
        <w:t>Emerging Growth Company Status</w:t>
      </w:r>
      <w:r>
        <w:rPr>
          <w:rFonts w:ascii="Times New Roman" w:cs="Times New Roman" w:eastAsia="Times New Roman" w:hAnsi="Times New Roman"/>
          <w:sz w:val="22"/>
          <w:szCs w:val="22"/>
          <w:color w:val="auto"/>
        </w:rPr>
        <w:t>. During the Agency Period, the Company agrees to notify the Agent by any means of communication in accordance with Section 8(d) as soon as practicable upon the Company ceasing to be an Emerging Growth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CONDITIONS TO DELIVERY OF ISSUANCE NOTICES AND TO SETTLEMENT</w:t>
      </w:r>
    </w:p>
    <w:p>
      <w:pPr>
        <w:spacing w:after="0" w:line="21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Conditions Precedent to the Right of the Company to Deliver an Issuance Notice and the Obligation of the Agent to Sell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020"/>
          </w:cols>
          <w:pgMar w:left="440" w:top="261" w:right="439" w:bottom="1440" w:gutter="0" w:footer="0" w:header="0"/>
        </w:sectPr>
      </w:pPr>
    </w:p>
    <w:bookmarkStart w:id="109" w:name="page110"/>
    <w:bookmarkEnd w:id="109"/>
    <w:p>
      <w:pPr>
        <w:jc w:val="both"/>
        <w:ind w:right="20"/>
        <w:spacing w:after="0" w:line="251"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w:t>
      </w:r>
      <w:r>
        <w:rPr>
          <w:rFonts w:ascii="Times New Roman" w:cs="Times New Roman" w:eastAsia="Times New Roman" w:hAnsi="Times New Roman"/>
          <w:sz w:val="21"/>
          <w:szCs w:val="21"/>
          <w:u w:val="single" w:color="auto"/>
          <w:color w:val="auto"/>
        </w:rPr>
        <w:t>Accuracy of the Company’s Representations and Warranties; Performance by the Company</w:t>
      </w:r>
      <w:r>
        <w:rPr>
          <w:rFonts w:ascii="Times New Roman" w:cs="Times New Roman" w:eastAsia="Times New Roman" w:hAnsi="Times New Roman"/>
          <w:sz w:val="21"/>
          <w:szCs w:val="21"/>
          <w:color w:val="auto"/>
        </w:rPr>
        <w:t xml:space="preserve">. The Company shall have delivered the certificate required to be delivered pursuant to </w:t>
      </w:r>
      <w:r>
        <w:rPr>
          <w:rFonts w:ascii="Times New Roman" w:cs="Times New Roman" w:eastAsia="Times New Roman" w:hAnsi="Times New Roman"/>
          <w:sz w:val="21"/>
          <w:szCs w:val="21"/>
          <w:u w:val="single" w:color="auto"/>
          <w:color w:val="auto"/>
        </w:rPr>
        <w:t>Section 4(o)</w:t>
      </w:r>
      <w:r>
        <w:rPr>
          <w:rFonts w:ascii="Times New Roman" w:cs="Times New Roman" w:eastAsia="Times New Roman" w:hAnsi="Times New Roman"/>
          <w:sz w:val="21"/>
          <w:szCs w:val="21"/>
          <w:color w:val="auto"/>
        </w:rPr>
        <w:t xml:space="preserve"> on or before the date on which delivery of such certificate is required pursuant to </w:t>
      </w:r>
      <w:r>
        <w:rPr>
          <w:rFonts w:ascii="Times New Roman" w:cs="Times New Roman" w:eastAsia="Times New Roman" w:hAnsi="Times New Roman"/>
          <w:sz w:val="21"/>
          <w:szCs w:val="21"/>
          <w:u w:val="single" w:color="auto"/>
          <w:color w:val="auto"/>
        </w:rPr>
        <w:t>Section 4(o)</w:t>
      </w:r>
      <w:r>
        <w:rPr>
          <w:rFonts w:ascii="Times New Roman" w:cs="Times New Roman" w:eastAsia="Times New Roman" w:hAnsi="Times New Roman"/>
          <w:sz w:val="21"/>
          <w:szCs w:val="21"/>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21"/>
          <w:szCs w:val="21"/>
          <w:u w:val="single" w:color="auto"/>
          <w:color w:val="auto"/>
        </w:rPr>
        <w:t>Section 4(p)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4(q)</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4(r)</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 xml:space="preserve">(ii)    </w:t>
      </w: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(iii)    </w:t>
      </w:r>
      <w:r>
        <w:rPr>
          <w:rFonts w:ascii="Times New Roman" w:cs="Times New Roman" w:eastAsia="Times New Roman" w:hAnsi="Times New Roman"/>
          <w:sz w:val="22"/>
          <w:szCs w:val="22"/>
          <w:u w:val="single" w:color="auto"/>
          <w:color w:val="auto"/>
        </w:rPr>
        <w:t>Material Adverse Effects</w:t>
      </w:r>
      <w:r>
        <w:rPr>
          <w:rFonts w:ascii="Times New Roman" w:cs="Times New Roman" w:eastAsia="Times New Roman" w:hAnsi="Times New Roman"/>
          <w:sz w:val="22"/>
          <w:szCs w:val="22"/>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22"/>
          <w:szCs w:val="22"/>
          <w:u w:val="single" w:color="auto"/>
          <w:color w:val="auto"/>
        </w:rPr>
        <w:t>No Suspension of Trading in or Delisting of ADSs; Other Events</w:t>
      </w:r>
      <w:r>
        <w:rPr>
          <w:rFonts w:ascii="Times New Roman" w:cs="Times New Roman" w:eastAsia="Times New Roman" w:hAnsi="Times New Roman"/>
          <w:sz w:val="22"/>
          <w:szCs w:val="22"/>
          <w:color w:val="auto"/>
        </w:rPr>
        <w:t>. The trading of the ADSs (including without limitation the Shares) shall not have been suspended by the Commission, the Principal Market or FINRA and the ADSs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020"/>
          </w:cols>
          <w:pgMar w:left="440" w:top="261" w:right="439" w:bottom="1440" w:gutter="0" w:footer="0" w:header="0"/>
        </w:sectPr>
      </w:pPr>
    </w:p>
    <w:bookmarkStart w:id="110" w:name="page111"/>
    <w:bookmarkEnd w:id="110"/>
    <w:p>
      <w:pPr>
        <w:jc w:val="both"/>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22"/>
          <w:szCs w:val="22"/>
          <w:u w:val="single" w:color="auto"/>
          <w:color w:val="auto"/>
        </w:rPr>
        <w:t>Documents Required to be Delivered on each Issuance Notice Date</w:t>
      </w:r>
      <w:r>
        <w:rPr>
          <w:rFonts w:ascii="Times New Roman" w:cs="Times New Roman" w:eastAsia="Times New Roman" w:hAnsi="Times New Roman"/>
          <w:sz w:val="22"/>
          <w:szCs w:val="22"/>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Agent Counsel Legal Opinion</w:t>
      </w:r>
      <w:r>
        <w:rPr>
          <w:rFonts w:ascii="Times New Roman" w:cs="Times New Roman" w:eastAsia="Times New Roman" w:hAnsi="Times New Roman"/>
          <w:sz w:val="22"/>
          <w:szCs w:val="22"/>
          <w:color w:val="auto"/>
        </w:rPr>
        <w:t xml:space="preserve">. Agent shall have received from Cooley LLP, counsel for Agent, such opinion or opinions, on or before the date on which the delivery of the Company counsel legal opinion is required pursuant to </w:t>
      </w:r>
      <w:r>
        <w:rPr>
          <w:rFonts w:ascii="Times New Roman" w:cs="Times New Roman" w:eastAsia="Times New Roman" w:hAnsi="Times New Roman"/>
          <w:sz w:val="22"/>
          <w:szCs w:val="22"/>
          <w:u w:val="single" w:color="auto"/>
          <w:color w:val="auto"/>
        </w:rPr>
        <w:t>Section 4(p)</w:t>
      </w:r>
      <w:r>
        <w:rPr>
          <w:rFonts w:ascii="Times New Roman" w:cs="Times New Roman" w:eastAsia="Times New Roman" w:hAnsi="Times New Roman"/>
          <w:sz w:val="22"/>
          <w:szCs w:val="22"/>
          <w:color w:val="auto"/>
        </w:rPr>
        <w:t>, with respect to such matters as Agent may reasonably require, and the Company shall have furnished to such counsel such documents as they request for enabling them to pass upon such matters</w:t>
      </w:r>
    </w:p>
    <w:p>
      <w:pPr>
        <w:spacing w:after="0" w:line="18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Agent Depositary’s Counsel Legal Opinion</w:t>
      </w:r>
      <w:r>
        <w:rPr>
          <w:rFonts w:ascii="Times New Roman" w:cs="Times New Roman" w:eastAsia="Times New Roman" w:hAnsi="Times New Roman"/>
          <w:sz w:val="22"/>
          <w:szCs w:val="22"/>
          <w:color w:val="auto"/>
        </w:rPr>
        <w:t>. Agent shall have received from Patterson Belknap Webb &amp; Tyler LLP, counsel for the Depositary, an opinion, on or prior to the first Settlement Date, dated as of such date, in form and substance satisfactory to the Agent and its counsel.</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Company Counsel Legal Opinion.</w:t>
      </w:r>
      <w:r>
        <w:rPr>
          <w:rFonts w:ascii="Times New Roman" w:cs="Times New Roman" w:eastAsia="Times New Roman" w:hAnsi="Times New Roman"/>
          <w:sz w:val="22"/>
          <w:szCs w:val="22"/>
          <w:color w:val="auto"/>
        </w:rPr>
        <w:t xml:space="preserve"> On each Issuance Notice Date, the Company shall cause to be furnished to the Agent a written opinion of Latham &amp; Watkins (London) LLP, English counsel to the Company or other counsel satisfactory to the Agent, in form and substance reasonably satisfactory to the Agent and its counsel, dated as of such Issuance Notice Date, stating that, subject to customary and appropriate assumptions and qualifications, (i) the directors of the Company have been duly and validly authorized to allot the Underlying Shares to be issued pursuant to each sale contemplated under such Issuance Notice and empowered pursuant to s570(1) of the UK Companies Act 2006 to allot those Underlying Shares as if s561(1) of that Act did not apply to that allotment and (ii) upon receipt by the Company of the issue and sale proceeds of those Shares to be issued under the Issuance Notice and the names of the holder(s) of the relevant Ordinary Shares being entered in the register of members of the Company in respect of those Ordinary Shares, those Ordinary Shares (A) will be validly allotted, issued and fully paid such that the member(s) will have paid all amounts on account of the nominal value and share premium in respect of such shares, (B) will conform to the description of the Ordinary Shares under the heading “Description of Share Capital — Shares and Rights Attaching to Them” in the Prospectus and (C) will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then existing ordinary shares of the Company.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020"/>
          </w:cols>
          <w:pgMar w:left="440" w:top="261"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INDEMNIFICATION AND CONTRIBUTION</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Indemnification of the Agent</w:t>
      </w:r>
      <w:r>
        <w:rPr>
          <w:rFonts w:ascii="Times New Roman" w:cs="Times New Roman" w:eastAsia="Times New Roman" w:hAnsi="Times New Roman"/>
          <w:sz w:val="22"/>
          <w:szCs w:val="22"/>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shall be in addition to any liabilities that the Company may otherwise have.</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u w:val="single" w:color="auto"/>
          <w:color w:val="auto"/>
        </w:rPr>
        <w:t>Indemnification of the Company, its Directors and Officers</w:t>
      </w:r>
      <w:r>
        <w:rPr>
          <w:rFonts w:ascii="Times New Roman" w:cs="Times New Roman" w:eastAsia="Times New Roman" w:hAnsi="Times New Roman"/>
          <w:sz w:val="21"/>
          <w:szCs w:val="21"/>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020"/>
          </w:cols>
          <w:pgMar w:left="440" w:top="257" w:right="439" w:bottom="1440" w:gutter="0" w:footer="0" w:header="0"/>
        </w:sectPr>
      </w:pPr>
    </w:p>
    <w:bookmarkStart w:id="112" w:name="page113"/>
    <w:bookmarkEnd w:id="112"/>
    <w:p>
      <w:pPr>
        <w:jc w:val="both"/>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in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shall be in addition to any liabilities that the Agent or the Company may otherwise have.</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Notifications and Other Indemnification Procedures</w:t>
      </w:r>
      <w:r>
        <w:rPr>
          <w:rFonts w:ascii="Times New Roman" w:cs="Times New Roman" w:eastAsia="Times New Roman" w:hAnsi="Times New Roman"/>
          <w:sz w:val="22"/>
          <w:szCs w:val="22"/>
          <w:color w:val="auto"/>
        </w:rPr>
        <w:t xml:space="preserve">. Promptly after receipt by an indemnified party under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020"/>
          </w:cols>
          <w:pgMar w:left="440" w:top="261" w:right="439" w:bottom="1440" w:gutter="0" w:footer="0" w:header="0"/>
        </w:sectPr>
      </w:pPr>
    </w:p>
    <w:bookmarkStart w:id="113" w:name="page114"/>
    <w:bookmarkEnd w:id="113"/>
    <w:p>
      <w:pPr>
        <w:jc w:val="both"/>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w:t>
      </w:r>
      <w:r>
        <w:rPr>
          <w:rFonts w:ascii="Times New Roman" w:cs="Times New Roman" w:eastAsia="Times New Roman" w:hAnsi="Times New Roman"/>
          <w:sz w:val="21"/>
          <w:szCs w:val="21"/>
          <w:u w:val="single" w:color="auto"/>
          <w:color w:val="auto"/>
        </w:rPr>
        <w:t>Settlements</w:t>
      </w:r>
      <w:r>
        <w:rPr>
          <w:rFonts w:ascii="Times New Roman" w:cs="Times New Roman" w:eastAsia="Times New Roman" w:hAnsi="Times New Roman"/>
          <w:sz w:val="21"/>
          <w:szCs w:val="21"/>
          <w:color w:val="auto"/>
        </w:rPr>
        <w:t xml:space="preserve">. The indemnifying party under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21"/>
          <w:szCs w:val="21"/>
          <w:u w:val="single" w:color="auto"/>
          <w:color w:val="auto"/>
        </w:rPr>
        <w:t>Section 6(c)</w:t>
      </w:r>
      <w:r>
        <w:rPr>
          <w:rFonts w:ascii="Times New Roman" w:cs="Times New Roman" w:eastAsia="Times New Roman" w:hAnsi="Times New Roman"/>
          <w:sz w:val="21"/>
          <w:szCs w:val="21"/>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xml:space="preserve">. If the indemnification provided for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020"/>
          </w:cols>
          <w:pgMar w:left="440" w:top="261" w:right="439" w:bottom="1440" w:gutter="0" w:footer="0" w:header="0"/>
        </w:sectPr>
      </w:pPr>
    </w:p>
    <w:bookmarkStart w:id="114" w:name="page115"/>
    <w:bookmarkEnd w:id="114"/>
    <w:p>
      <w:pPr>
        <w:jc w:val="both"/>
        <w:ind w:firstLine="551"/>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any legal or other fees or expenses reasonably incurred by such party in connection with investigating or defending any action or claim. The provisions set forth in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with respect to notice of commencement of any action shall apply if a claim for contribution is to be made under this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 xml:space="preserve">; provided, however, that no additional notice shall be required with respect to any action for which notice has been given under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 xml:space="preserve"> for purposes of indemnification.</w:t>
      </w:r>
    </w:p>
    <w:p>
      <w:pPr>
        <w:spacing w:after="0" w:line="181"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 xml:space="preserve">The Company and the Agent agree that it would not be just and equitable if contribution pursuant to this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provisions of this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TERMINATION &amp; SURVIVAL</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Subject to the provisions of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Termination; Survival Following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    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cs="Times New Roman" w:eastAsia="Times New Roman" w:hAnsi="Times New Roman"/>
          <w:sz w:val="22"/>
          <w:szCs w:val="22"/>
          <w:u w:val="single" w:color="auto"/>
          <w:color w:val="auto"/>
        </w:rPr>
        <w:t>Section 3(b)(v)</w:t>
      </w:r>
      <w:r>
        <w:rPr>
          <w:rFonts w:ascii="Times New Roman" w:cs="Times New Roman" w:eastAsia="Times New Roman" w:hAnsi="Times New Roman"/>
          <w:sz w:val="22"/>
          <w:szCs w:val="22"/>
          <w:color w:val="auto"/>
        </w:rPr>
        <w:t xml:space="preserve"> with respect to such Shares and (B)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(ii)    In addition to the survival provision of </w:t>
      </w:r>
      <w:r>
        <w:rPr>
          <w:rFonts w:ascii="Times New Roman" w:cs="Times New Roman" w:eastAsia="Times New Roman" w:hAnsi="Times New Roman"/>
          <w:sz w:val="22"/>
          <w:szCs w:val="22"/>
          <w:u w:val="single" w:color="auto"/>
          <w:color w:val="auto"/>
        </w:rPr>
        <w:t>Section 7(b)(i)</w:t>
      </w:r>
      <w:r>
        <w:rPr>
          <w:rFonts w:ascii="Times New Roman" w:cs="Times New Roman" w:eastAsia="Times New Roman" w:hAnsi="Times New Roman"/>
          <w:sz w:val="22"/>
          <w:szCs w:val="22"/>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020"/>
          </w:cols>
          <w:pgMar w:left="440" w:top="261"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8.     MISCELLANEOUS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Press Releases and Disclosure</w:t>
      </w:r>
      <w:r>
        <w:rPr>
          <w:rFonts w:ascii="Times New Roman" w:cs="Times New Roman" w:eastAsia="Times New Roman" w:hAnsi="Times New Roman"/>
          <w:sz w:val="22"/>
          <w:szCs w:val="22"/>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82"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No Advisory or Fiduciary Relationship</w:t>
      </w:r>
      <w:r>
        <w:rPr>
          <w:rFonts w:ascii="Times New Roman" w:cs="Times New Roman" w:eastAsia="Times New Roman" w:hAnsi="Times New Roman"/>
          <w:sz w:val="22"/>
          <w:szCs w:val="22"/>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shareholders,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87"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Research Analyst Independence</w:t>
      </w:r>
      <w:r>
        <w:rPr>
          <w:rFonts w:ascii="Times New Roman" w:cs="Times New Roman" w:eastAsia="Times New Roman" w:hAnsi="Times New Roman"/>
          <w:sz w:val="22"/>
          <w:szCs w:val="22"/>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020"/>
          </w:cols>
          <w:pgMar w:left="440" w:top="257" w:right="439" w:bottom="1440" w:gutter="0" w:footer="0" w:header="0"/>
        </w:sectPr>
      </w:pPr>
    </w:p>
    <w:bookmarkStart w:id="116" w:name="page117"/>
    <w:bookmarkEnd w:id="116"/>
    <w:p>
      <w:pPr>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communications hereunder shall be in writing and shall be mailed, hand delivered, sent via electronic mail (if applicable) or telecopied and confirmed to the parties hereto as follows: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If to the Agent:</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520 Madison Avenue</w:t>
      </w:r>
    </w:p>
    <w:p>
      <w:pPr>
        <w:ind w:left="120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120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1200"/>
        <w:spacing w:after="0"/>
        <w:rPr>
          <w:sz w:val="20"/>
          <w:szCs w:val="20"/>
          <w:color w:val="auto"/>
        </w:rPr>
      </w:pPr>
      <w:r>
        <w:rPr>
          <w:rFonts w:ascii="Times New Roman" w:cs="Times New Roman" w:eastAsia="Times New Roman" w:hAnsi="Times New Roman"/>
          <w:sz w:val="22"/>
          <w:szCs w:val="22"/>
          <w:color w:val="auto"/>
        </w:rPr>
        <w:t>Facsimile: (646) 786-5719</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55 Hudson Yards</w:t>
      </w:r>
    </w:p>
    <w:p>
      <w:pPr>
        <w:ind w:left="1200"/>
        <w:spacing w:after="0" w:line="230" w:lineRule="auto"/>
        <w:rPr>
          <w:sz w:val="20"/>
          <w:szCs w:val="20"/>
          <w:color w:val="auto"/>
        </w:rPr>
      </w:pPr>
      <w:r>
        <w:rPr>
          <w:rFonts w:ascii="Times New Roman" w:cs="Times New Roman" w:eastAsia="Times New Roman" w:hAnsi="Times New Roman"/>
          <w:sz w:val="22"/>
          <w:szCs w:val="22"/>
          <w:color w:val="auto"/>
        </w:rPr>
        <w:t>New York, NY 10001</w:t>
      </w:r>
    </w:p>
    <w:p>
      <w:pPr>
        <w:ind w:left="1200"/>
        <w:spacing w:after="0" w:line="231" w:lineRule="auto"/>
        <w:rPr>
          <w:sz w:val="20"/>
          <w:szCs w:val="20"/>
          <w:color w:val="auto"/>
        </w:rPr>
      </w:pPr>
      <w:r>
        <w:rPr>
          <w:rFonts w:ascii="Times New Roman" w:cs="Times New Roman" w:eastAsia="Times New Roman" w:hAnsi="Times New Roman"/>
          <w:sz w:val="22"/>
          <w:szCs w:val="22"/>
          <w:color w:val="auto"/>
        </w:rPr>
        <w:t>Attention: Daniel I. Goldberg, Esq.</w:t>
      </w:r>
    </w:p>
    <w:p>
      <w:pPr>
        <w:ind w:left="1200"/>
        <w:spacing w:after="0"/>
        <w:rPr>
          <w:sz w:val="20"/>
          <w:szCs w:val="20"/>
          <w:color w:val="auto"/>
        </w:rPr>
      </w:pPr>
      <w:r>
        <w:rPr>
          <w:rFonts w:ascii="Times New Roman" w:cs="Times New Roman" w:eastAsia="Times New Roman" w:hAnsi="Times New Roman"/>
          <w:sz w:val="22"/>
          <w:szCs w:val="22"/>
          <w:color w:val="auto"/>
        </w:rPr>
        <w:t>Email: dgoldberg@cooley.com</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One Cavendish Place, 4th Floor</w:t>
      </w:r>
    </w:p>
    <w:p>
      <w:pPr>
        <w:ind w:left="1200"/>
        <w:spacing w:after="0" w:line="230" w:lineRule="auto"/>
        <w:rPr>
          <w:sz w:val="20"/>
          <w:szCs w:val="20"/>
          <w:color w:val="auto"/>
        </w:rPr>
      </w:pPr>
      <w:r>
        <w:rPr>
          <w:rFonts w:ascii="Times New Roman" w:cs="Times New Roman" w:eastAsia="Times New Roman" w:hAnsi="Times New Roman"/>
          <w:sz w:val="22"/>
          <w:szCs w:val="22"/>
          <w:color w:val="auto"/>
        </w:rPr>
        <w:t>London W1G 0QF United Kingdom</w:t>
      </w:r>
    </w:p>
    <w:p>
      <w:pPr>
        <w:ind w:left="1200"/>
        <w:spacing w:after="0" w:line="231" w:lineRule="auto"/>
        <w:rPr>
          <w:sz w:val="20"/>
          <w:szCs w:val="20"/>
          <w:color w:val="auto"/>
        </w:rPr>
      </w:pPr>
      <w:r>
        <w:rPr>
          <w:rFonts w:ascii="Times New Roman" w:cs="Times New Roman" w:eastAsia="Times New Roman" w:hAnsi="Times New Roman"/>
          <w:sz w:val="22"/>
          <w:szCs w:val="22"/>
          <w:color w:val="auto"/>
        </w:rPr>
        <w:t>Attention: Charles Sermon</w:t>
      </w:r>
    </w:p>
    <w:p>
      <w:pPr>
        <w:ind w:left="1200"/>
        <w:spacing w:after="0"/>
        <w:rPr>
          <w:sz w:val="20"/>
          <w:szCs w:val="20"/>
          <w:color w:val="auto"/>
        </w:rPr>
      </w:pPr>
      <w:r>
        <w:rPr>
          <w:rFonts w:ascii="Times New Roman" w:cs="Times New Roman" w:eastAsia="Times New Roman" w:hAnsi="Times New Roman"/>
          <w:sz w:val="22"/>
          <w:szCs w:val="22"/>
          <w:color w:val="auto"/>
        </w:rPr>
        <w:t>E-mail: cs@mereobiopharma.com</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Mayer Brown LLP</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1221 Avenue of the Americas</w:t>
      </w:r>
    </w:p>
    <w:p>
      <w:pPr>
        <w:ind w:left="1200"/>
        <w:spacing w:after="0" w:line="230" w:lineRule="auto"/>
        <w:rPr>
          <w:sz w:val="20"/>
          <w:szCs w:val="20"/>
          <w:color w:val="auto"/>
        </w:rPr>
      </w:pPr>
      <w:r>
        <w:rPr>
          <w:rFonts w:ascii="Times New Roman" w:cs="Times New Roman" w:eastAsia="Times New Roman" w:hAnsi="Times New Roman"/>
          <w:sz w:val="22"/>
          <w:szCs w:val="22"/>
          <w:color w:val="auto"/>
        </w:rPr>
        <w:t>New York, NY 10020</w:t>
      </w:r>
    </w:p>
    <w:p>
      <w:pPr>
        <w:ind w:left="1200"/>
        <w:spacing w:after="0" w:line="231" w:lineRule="auto"/>
        <w:rPr>
          <w:sz w:val="20"/>
          <w:szCs w:val="20"/>
          <w:color w:val="auto"/>
        </w:rPr>
      </w:pPr>
      <w:r>
        <w:rPr>
          <w:rFonts w:ascii="Times New Roman" w:cs="Times New Roman" w:eastAsia="Times New Roman" w:hAnsi="Times New Roman"/>
          <w:sz w:val="22"/>
          <w:szCs w:val="22"/>
          <w:color w:val="auto"/>
        </w:rPr>
        <w:t>Attention: David Bakst</w:t>
      </w:r>
    </w:p>
    <w:p>
      <w:pPr>
        <w:ind w:left="1200"/>
        <w:spacing w:after="0"/>
        <w:rPr>
          <w:sz w:val="20"/>
          <w:szCs w:val="20"/>
          <w:color w:val="auto"/>
        </w:rPr>
      </w:pPr>
      <w:r>
        <w:rPr>
          <w:rFonts w:ascii="Times New Roman" w:cs="Times New Roman" w:eastAsia="Times New Roman" w:hAnsi="Times New Roman"/>
          <w:sz w:val="22"/>
          <w:szCs w:val="22"/>
          <w:color w:val="auto"/>
        </w:rPr>
        <w:t>E-mail: dbakst@mayerbrown.com</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8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Partial Unenforceability</w:t>
      </w:r>
      <w:r>
        <w:rPr>
          <w:rFonts w:ascii="Times New Roman" w:cs="Times New Roman" w:eastAsia="Times New Roman" w:hAnsi="Times New Roman"/>
          <w:sz w:val="22"/>
          <w:szCs w:val="22"/>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020"/>
          </w:cols>
          <w:pgMar w:left="440" w:top="261" w:right="439" w:bottom="1440" w:gutter="0" w:footer="0" w:header="0"/>
        </w:sectPr>
      </w:pPr>
    </w:p>
    <w:bookmarkStart w:id="117" w:name="page118"/>
    <w:bookmarkEnd w:id="117"/>
    <w:p>
      <w:pPr>
        <w:jc w:val="both"/>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    </w:t>
      </w:r>
      <w:r>
        <w:rPr>
          <w:rFonts w:ascii="Times New Roman" w:cs="Times New Roman" w:eastAsia="Times New Roman" w:hAnsi="Times New Roman"/>
          <w:sz w:val="22"/>
          <w:szCs w:val="22"/>
          <w:u w:val="single" w:color="auto"/>
          <w:color w:val="auto"/>
        </w:rPr>
        <w:t>Governing Law Provisions</w:t>
      </w:r>
      <w:r>
        <w:rPr>
          <w:rFonts w:ascii="Times New Roman" w:cs="Times New Roman" w:eastAsia="Times New Roman" w:hAnsi="Times New Roman"/>
          <w:sz w:val="22"/>
          <w:szCs w:val="22"/>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22"/>
          <w:szCs w:val="22"/>
          <w:b w:val="1"/>
          <w:bCs w:val="1"/>
          <w:color w:val="auto"/>
        </w:rPr>
        <w:t>Related Proceedings</w:t>
      </w:r>
      <w:r>
        <w:rPr>
          <w:rFonts w:ascii="Times New Roman" w:cs="Times New Roman" w:eastAsia="Times New Roman" w:hAnsi="Times New Roman"/>
          <w:sz w:val="22"/>
          <w:szCs w:val="22"/>
          <w:color w:val="auto"/>
        </w:rPr>
        <w:t>”) may be instituted in the federal courts of the United States of America located in the City of New York,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22"/>
          <w:szCs w:val="22"/>
          <w:b w:val="1"/>
          <w:bCs w:val="1"/>
          <w:color w:val="auto"/>
        </w:rPr>
        <w:t>Related Judgment</w:t>
      </w:r>
      <w:r>
        <w:rPr>
          <w:rFonts w:ascii="Times New Roman" w:cs="Times New Roman" w:eastAsia="Times New Roman" w:hAnsi="Times New Roman"/>
          <w:sz w:val="22"/>
          <w:szCs w:val="22"/>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New York Courts and irrevocably and unconditionally waive and agree not to plead or claim in any such court that any such suit, action or other proceeding brought in any such court has been brought in an inconvenient forum. The Company irrevocably appoints Corporation Service Company, which currently maintains a New York City office at 19 West 44th Street, Suite 200, New York, NY 10036, United States of America, as its agent to receive service of process or other legal summons for purposes of any such suit, action or proceeding that may be instituted in any New York Court.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New York Courts, and with respect to any Related Judgment, each party waives any such immunity in the New York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(h)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The obligations of the Company pursuant to this Agreement in respect of any sum due to the Agent shall, notwithstanding any judgment in a currency other than U.S. dollars, not be discharged until the first business day following receipt by the Agent of any sum adjudged to be so due in such other currency on which (and only to the extent that) the Agent may in accordance with normal banking procedures purchase U.S. dollars with such other currency. If the U.S. dollars so purchased are less than the sum originally due to the Agent hereunder, the Company agrees, as a separate obligation and notwithstanding any such judgment, to indemnify the Agent against such loss. If the U.S. dollars so purchased are greater than the sum originally due to the Agent hereunder, the Agent agrees to pay to the Company an amount equal to the excess of the dollars so purchased over the sum originally due to the Agent hereunder.</w:t>
      </w:r>
    </w:p>
    <w:p>
      <w:pPr>
        <w:spacing w:after="0" w:line="17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All payments made by the Company under this Agreement will be made without withholding or deduction for or on account of any present or future taxes, duties, levies, imposts, fees, assessments or governmental charges of whatever nature (other than taxes on net income) unless the Company is or becomes required by law to withhold or deduct such taxes, duties, levies, imposts, fees, assessments or other governmental charges. In such event, the Company will pay such additional amounts as will result, after such withholding or deduction, in the receipt by the Agent of the amounts that would otherwise have been receivable in respect thereof, except to the extent of withholding or deduction for (i) any income, capital gains or franchise taxes that would not have been imposed but for a present or former connection between the Agent and the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020"/>
          </w:cols>
          <w:pgMar w:left="440" w:top="261" w:right="439" w:bottom="1440" w:gutter="0" w:footer="0" w:header="0"/>
        </w:sectPr>
      </w:pPr>
    </w:p>
    <w:bookmarkStart w:id="118" w:name="page119"/>
    <w:bookmarkEnd w:id="118"/>
    <w:p>
      <w:pPr>
        <w:jc w:val="both"/>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 imposing such taxes or duties, other than as a result of this Agreement and the transactions contemplated hereunder, or (ii) taxes that would not have been imposed but for a failure to comply with a reasonable request in writing for identification, documentation or certification required in order to reduce or eliminate such withholding or deduction, other than as a result of any binding confidentially or other legal obligations of the Agent.</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(j)    </w:t>
      </w:r>
      <w:r>
        <w:rPr>
          <w:rFonts w:ascii="Times New Roman" w:cs="Times New Roman" w:eastAsia="Times New Roman" w:hAnsi="Times New Roman"/>
          <w:sz w:val="22"/>
          <w:szCs w:val="22"/>
          <w:u w:val="single" w:color="auto"/>
          <w:color w:val="auto"/>
        </w:rPr>
        <w:t>VAT</w:t>
      </w:r>
      <w:r>
        <w:rPr>
          <w:rFonts w:ascii="Times New Roman" w:cs="Times New Roman" w:eastAsia="Times New Roman" w:hAnsi="Times New Roman"/>
          <w:sz w:val="22"/>
          <w:szCs w:val="22"/>
          <w:color w:val="auto"/>
        </w:rPr>
        <w:t>. If the performance by the Agent of any of its obligations under this Agreement shall represent for VAT purposes under any applicable law the making by the Agent of any supply of goods or services to the Company (to the extent applicable), the Company shall pay to the Agent, in addition to the amounts otherwise payable by the Company pursuant to this Agreement, an amount equal to the VAT chargeable on any such supply of goods and services provided that the Agent has issued the Company with an appropriate VAT invoice in respect of the supply to which the payment relates. Where a sum (a “</w:t>
      </w:r>
      <w:r>
        <w:rPr>
          <w:rFonts w:ascii="Times New Roman" w:cs="Times New Roman" w:eastAsia="Times New Roman" w:hAnsi="Times New Roman"/>
          <w:sz w:val="22"/>
          <w:szCs w:val="22"/>
          <w:b w:val="1"/>
          <w:bCs w:val="1"/>
          <w:color w:val="auto"/>
        </w:rPr>
        <w:t>Relevant Sum</w:t>
      </w:r>
      <w:r>
        <w:rPr>
          <w:rFonts w:ascii="Times New Roman" w:cs="Times New Roman" w:eastAsia="Times New Roman" w:hAnsi="Times New Roman"/>
          <w:sz w:val="22"/>
          <w:szCs w:val="22"/>
          <w:color w:val="auto"/>
        </w:rPr>
        <w:t>”) is paid or reimbursed to the Agent pursuant to this Agreement in respect of any cost, expense or other amount and that cost, expense or other amount includes an amount in respect of irrecoverable VAT (the “</w:t>
      </w:r>
      <w:r>
        <w:rPr>
          <w:rFonts w:ascii="Times New Roman" w:cs="Times New Roman" w:eastAsia="Times New Roman" w:hAnsi="Times New Roman"/>
          <w:sz w:val="22"/>
          <w:szCs w:val="22"/>
          <w:b w:val="1"/>
          <w:bCs w:val="1"/>
          <w:color w:val="auto"/>
        </w:rPr>
        <w:t>VAT Element</w:t>
      </w:r>
      <w:r>
        <w:rPr>
          <w:rFonts w:ascii="Times New Roman" w:cs="Times New Roman" w:eastAsia="Times New Roman" w:hAnsi="Times New Roman"/>
          <w:sz w:val="22"/>
          <w:szCs w:val="22"/>
          <w:color w:val="auto"/>
        </w:rPr>
        <w:t>”), then the Company, to the extent applicable, shall, in addition, pay an amount equal to the VAT Element to the Agent. For the purposes of this Agreement, “</w:t>
      </w:r>
      <w:r>
        <w:rPr>
          <w:rFonts w:ascii="Times New Roman" w:cs="Times New Roman" w:eastAsia="Times New Roman" w:hAnsi="Times New Roman"/>
          <w:sz w:val="22"/>
          <w:szCs w:val="22"/>
          <w:b w:val="1"/>
          <w:bCs w:val="1"/>
          <w:color w:val="auto"/>
        </w:rPr>
        <w:t>VAT</w:t>
      </w:r>
      <w:r>
        <w:rPr>
          <w:rFonts w:ascii="Times New Roman" w:cs="Times New Roman" w:eastAsia="Times New Roman" w:hAnsi="Times New Roman"/>
          <w:sz w:val="22"/>
          <w:szCs w:val="22"/>
          <w:color w:val="auto"/>
        </w:rPr>
        <w:t>” means value added tax as provided for in the Value Added Tax Act 1994 (“</w:t>
      </w:r>
      <w:r>
        <w:rPr>
          <w:rFonts w:ascii="Times New Roman" w:cs="Times New Roman" w:eastAsia="Times New Roman" w:hAnsi="Times New Roman"/>
          <w:sz w:val="22"/>
          <w:szCs w:val="22"/>
          <w:b w:val="1"/>
          <w:bCs w:val="1"/>
          <w:color w:val="auto"/>
        </w:rPr>
        <w:t>VATA</w:t>
      </w:r>
      <w:r>
        <w:rPr>
          <w:rFonts w:ascii="Times New Roman" w:cs="Times New Roman" w:eastAsia="Times New Roman" w:hAnsi="Times New Roman"/>
          <w:sz w:val="22"/>
          <w:szCs w:val="22"/>
          <w:color w:val="auto"/>
        </w:rPr>
        <w:t>”) and subordinate legislation made under VATA as amended, modified or re-enacted (whether before or after the date of this Agreement) and any similar value added, sales, goods and services, consumption, use or turnover tax whether within the United Kingdom or elsewhere in the world</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(k)    </w:t>
      </w: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This Agreement constitutes the entire agreement of the parties to this Agreement and supersedes all prior written or oral and all contemporaneous oral agreements, understandings and negotiations with respect to the subject matter hereof. The relevant parties hereto agree that the Open Market Sale Agreement, dated August 5, 2021, by and between the parties thereto is hereby terminated.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Immediately Follows</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020"/>
          </w:cols>
          <w:pgMar w:left="440" w:top="261" w:right="439" w:bottom="1440" w:gutter="0" w:footer="0" w:header="0"/>
        </w:sectPr>
      </w:pPr>
    </w:p>
    <w:bookmarkStart w:id="119" w:name="page120"/>
    <w:bookmarkEnd w:id="119"/>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6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b w:val="1"/>
          <w:bCs w:val="1"/>
          <w:color w:val="auto"/>
        </w:rPr>
        <w:t>MEREO BIOPHARMA GROUP PLC</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 xml:space="preserve">By: /s/ Denise Scots-Knight 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-13970</wp:posOffset>
            </wp:positionV>
            <wp:extent cx="1714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7020"/>
        <w:spacing w:after="0"/>
        <w:rPr>
          <w:sz w:val="20"/>
          <w:szCs w:val="20"/>
          <w:color w:val="auto"/>
        </w:rPr>
      </w:pPr>
      <w:r>
        <w:rPr>
          <w:rFonts w:ascii="Times New Roman" w:cs="Times New Roman" w:eastAsia="Times New Roman" w:hAnsi="Times New Roman"/>
          <w:sz w:val="22"/>
          <w:szCs w:val="22"/>
          <w:color w:val="auto"/>
        </w:rPr>
        <w:t>Name: Denise Scots-Knight</w:t>
      </w:r>
    </w:p>
    <w:p>
      <w:pPr>
        <w:ind w:left="70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82"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22"/>
          <w:szCs w:val="22"/>
          <w:color w:val="auto"/>
        </w:rPr>
        <w:t>The foregoing Agreement is hereby confirmed and accepted by the Agent in New York, New York as of the date first above written.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JEFFERIES LLC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Magarro</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Name: Michael Magarro</w:t>
      </w:r>
    </w:p>
    <w:p>
      <w:pPr>
        <w:ind w:left="4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 Open Market Sale Agreement]</w:t>
      </w:r>
    </w:p>
    <w:p>
      <w:pPr>
        <w:sectPr>
          <w:pgSz w:w="11900" w:h="16838" w:orient="portrait"/>
          <w:cols w:equalWidth="0" w:num="1">
            <w:col w:w="11000"/>
          </w:cols>
          <w:pgMar w:left="440" w:top="261" w:right="45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ISSUANCE NOTICE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Madison Avenue</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[__________]</w:t>
      </w:r>
    </w:p>
    <w:p>
      <w:pPr>
        <w:spacing w:after="0" w:line="20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Reference is made to the Open Market Sale Agreement</w:t>
      </w:r>
      <w:r>
        <w:rPr>
          <w:rFonts w:ascii="Times New Roman" w:cs="Times New Roman" w:eastAsia="Times New Roman" w:hAnsi="Times New Roman"/>
          <w:sz w:val="16"/>
          <w:szCs w:val="16"/>
          <w:color w:val="auto"/>
        </w:rPr>
        <w:t>SM</w:t>
      </w:r>
      <w:r>
        <w:rPr>
          <w:rFonts w:ascii="Times New Roman" w:cs="Times New Roman" w:eastAsia="Times New Roman" w:hAnsi="Times New Roman"/>
          <w:sz w:val="22"/>
          <w:szCs w:val="22"/>
          <w:color w:val="auto"/>
        </w:rPr>
        <w:t xml:space="preserve"> between Mereo BioPharma Group plc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Jefferies LLC (the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dated as of May 15, 2024. The Company confirms that all conditions to the delivery of this Issuance Notice are satisfied as of the date hereof.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of Delivery of Issuance Notice (determined pursuant to </w:t>
      </w:r>
      <w:r>
        <w:rPr>
          <w:rFonts w:ascii="Times New Roman" w:cs="Times New Roman" w:eastAsia="Times New Roman" w:hAnsi="Times New Roman"/>
          <w:sz w:val="22"/>
          <w:szCs w:val="22"/>
          <w:u w:val="single" w:color="auto"/>
          <w:color w:val="auto"/>
        </w:rPr>
        <w:t>Section 3(b)(i)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18173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Amount (equal to the total Sales Price for such Shares):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40" w:type="dxa"/>
            <w:vAlign w:val="bottom"/>
            <w:gridSpan w:val="22"/>
          </w:tcPr>
          <w:p>
            <w:pPr>
              <w:jc w:val="right"/>
              <w:ind w:right="160"/>
              <w:spacing w:after="0"/>
              <w:rPr>
                <w:sz w:val="20"/>
                <w:szCs w:val="20"/>
                <w:color w:val="auto"/>
              </w:rPr>
            </w:pPr>
            <w:r>
              <w:rPr>
                <w:rFonts w:ascii="Times New Roman" w:cs="Times New Roman" w:eastAsia="Times New Roman" w:hAnsi="Times New Roman"/>
                <w:sz w:val="22"/>
                <w:szCs w:val="22"/>
                <w:color w:val="auto"/>
              </w:rPr>
              <w:t xml:space="preserve">$                                                          </w:t>
            </w:r>
          </w:p>
        </w:tc>
      </w:tr>
      <w:tr>
        <w:trPr>
          <w:trHeight w:val="20"/>
        </w:trPr>
        <w:tc>
          <w:tcPr>
            <w:tcW w:w="10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439"/>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Number of days in selling period:</w:t>
            </w:r>
          </w:p>
        </w:tc>
        <w:tc>
          <w:tcPr>
            <w:tcW w:w="13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 xml:space="preserve">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9"/>
                <w:szCs w:val="19"/>
                <w:color w:val="auto"/>
                <w:w w:val="73"/>
              </w:rPr>
              <w:t> </w:t>
            </w:r>
          </w:p>
        </w:tc>
      </w:tr>
      <w:tr>
        <w:trPr>
          <w:trHeight w:val="439"/>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First date of selling period:</w:t>
            </w:r>
          </w:p>
        </w:tc>
        <w:tc>
          <w:tcPr>
            <w:tcW w:w="13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 xml:space="preserve">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9"/>
                <w:szCs w:val="19"/>
                <w:color w:val="auto"/>
                <w:w w:val="73"/>
              </w:rPr>
              <w:t> </w:t>
            </w:r>
          </w:p>
        </w:tc>
      </w:tr>
      <w:tr>
        <w:trPr>
          <w:trHeight w:val="439"/>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Last date of selling period:</w:t>
            </w:r>
          </w:p>
        </w:tc>
        <w:tc>
          <w:tcPr>
            <w:tcW w:w="13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 xml:space="preserve">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9"/>
                <w:szCs w:val="19"/>
                <w:color w:val="auto"/>
                <w:w w:val="73"/>
              </w:rPr>
              <w:t> </w:t>
            </w:r>
          </w:p>
        </w:tc>
      </w:tr>
      <w:tr>
        <w:trPr>
          <w:trHeight w:val="491"/>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Settlement Date(s) if other than standard Settlement Date:</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7"/>
        </w:trPr>
        <w:tc>
          <w:tcPr>
            <w:tcW w:w="1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 xml:space="preserve">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 xml:space="preserve">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 xml:space="preserve">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 xml:space="preserve">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7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22"/>
                <w:szCs w:val="22"/>
                <w:color w:val="auto"/>
              </w:rPr>
              <w:t xml:space="preserve">       </w:t>
            </w:r>
          </w:p>
        </w:tc>
      </w:tr>
      <w:tr>
        <w:trPr>
          <w:trHeight w:val="452"/>
        </w:trPr>
        <w:tc>
          <w:tcPr>
            <w:tcW w:w="10480" w:type="dxa"/>
            <w:vAlign w:val="bottom"/>
            <w:gridSpan w:val="22"/>
          </w:tcPr>
          <w:p>
            <w:pPr>
              <w:spacing w:after="0"/>
              <w:rPr>
                <w:sz w:val="20"/>
                <w:szCs w:val="20"/>
                <w:color w:val="auto"/>
              </w:rPr>
            </w:pPr>
            <w:r>
              <w:rPr>
                <w:rFonts w:ascii="Times New Roman" w:cs="Times New Roman" w:eastAsia="Times New Roman" w:hAnsi="Times New Roman"/>
                <w:sz w:val="22"/>
                <w:szCs w:val="22"/>
                <w:color w:val="auto"/>
                <w:w w:val="98"/>
              </w:rPr>
              <w:t>Floor Price Limitation (in no event less than $1.00 without the prior written consent of the Agent, which consent may be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withheld in the Agent’s sole discretion): $ ____ per share</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7"/>
        </w:trPr>
        <w:tc>
          <w:tcPr>
            <w:tcW w:w="5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xml:space="preserve">Comments:                                                           </w:t>
            </w: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 xml:space="preserve">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 </w:t>
            </w:r>
          </w:p>
        </w:tc>
      </w:tr>
      <w:tr>
        <w:trPr>
          <w:trHeight w:val="20"/>
        </w:trPr>
        <w:tc>
          <w:tcPr>
            <w:tcW w:w="104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317500</wp:posOffset>
            </wp:positionV>
            <wp:extent cx="2854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10795</wp:posOffset>
            </wp:positionV>
            <wp:extent cx="2854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Name:</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Title: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[Exhibit A to Open Market Sales Agreement]</w:t>
      </w:r>
    </w:p>
    <w:p>
      <w:pPr>
        <w:sectPr>
          <w:pgSz w:w="11900" w:h="16838" w:orient="portrait"/>
          <w:cols w:equalWidth="0" w:num="1">
            <w:col w:w="11020"/>
          </w:cols>
          <w:pgMar w:left="440" w:top="257" w:right="439" w:bottom="1440" w:gutter="0" w:footer="0" w:header="0"/>
        </w:sectPr>
      </w:pPr>
    </w:p>
    <w:bookmarkStart w:id="121" w:name="page122"/>
    <w:bookmarkEnd w:id="121"/>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0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Notice Parties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Christine Fox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Charles Sermon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Magarro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Donald Lynaugh</w:t>
      </w:r>
    </w:p>
    <w:p>
      <w:pPr>
        <w:spacing w:after="0" w:line="183"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20"/>
          <w:szCs w:val="20"/>
          <w:i w:val="1"/>
          <w:iCs w:val="1"/>
          <w:color w:val="auto"/>
        </w:rPr>
        <w:t>[Schedule A to Open Market Sales Agreement]</w:t>
      </w:r>
    </w:p>
    <w:p>
      <w:pPr>
        <w:sectPr>
          <w:pgSz w:w="11900" w:h="16838" w:orient="portrait"/>
          <w:cols w:equalWidth="0" w:num="1">
            <w:col w:w="10019"/>
          </w:cols>
          <w:pgMar w:left="440" w:top="257"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8"/>
          <w:szCs w:val="18"/>
          <w:color w:val="auto"/>
        </w:rPr>
        <w:t>  99 Bishopsgate</w:t>
      </w:r>
    </w:p>
    <w:p>
      <w:pPr>
        <w:spacing w:after="0" w:line="27"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8"/>
          <w:szCs w:val="18"/>
          <w:color w:val="auto"/>
        </w:rPr>
        <w:t>  London EC2M 3XF</w:t>
      </w:r>
    </w:p>
    <w:p>
      <w:pPr>
        <w:spacing w:after="0" w:line="9"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8"/>
          <w:szCs w:val="18"/>
          <w:color w:val="auto"/>
        </w:rPr>
        <w:t>  United Kingdom</w:t>
      </w:r>
    </w:p>
    <w:p>
      <w:pPr>
        <w:spacing w:after="0" w:line="9"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7"/>
          <w:szCs w:val="17"/>
          <w:color w:val="auto"/>
        </w:rPr>
        <w:t>  Tel: +44(0)20.7710.1000 Fax: +44(0)20.7374.4460</w:t>
      </w:r>
    </w:p>
    <w:p>
      <w:pPr>
        <w:spacing w:after="0" w:line="21"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8"/>
          <w:szCs w:val="18"/>
          <w:color w:val="auto"/>
        </w:rPr>
        <w:t>  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2211705" cy="2317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2211705" cy="231775"/>
                    </a:xfrm>
                    <a:prstGeom prst="rect">
                      <a:avLst/>
                    </a:prstGeom>
                    <a:noFill/>
                  </pic:spPr>
                </pic:pic>
              </a:graphicData>
            </a:graphic>
          </wp:anchor>
        </w:drawing>
      </w:r>
    </w:p>
    <w:p>
      <w:pPr>
        <w:spacing w:after="0" w:line="92"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8"/>
          <w:szCs w:val="18"/>
          <w:color w:val="auto"/>
        </w:rPr>
        <w:t>  FIRM / AFFILIATE OFFICES</w:t>
      </w:r>
    </w:p>
    <w:p>
      <w:pPr>
        <w:spacing w:after="0" w:line="7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Austin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Beijing</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Boston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Brussels</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15 May 2024</w:t>
            </w: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Century City</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Chicago</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Dubai</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Düsseldorf</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Frankfurt</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Hamburg</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Hong Kong</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Houston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London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4800" w:type="dxa"/>
            <w:vAlign w:val="bottom"/>
          </w:tcPr>
          <w:p>
            <w:pPr>
              <w:spacing w:after="0"/>
              <w:rPr>
                <w:sz w:val="18"/>
                <w:szCs w:val="18"/>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Los Angeles</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Washington, D.C.</w:t>
            </w:r>
          </w:p>
        </w:tc>
      </w:tr>
      <w:tr>
        <w:trPr>
          <w:trHeight w:val="234"/>
        </w:trPr>
        <w:tc>
          <w:tcPr>
            <w:tcW w:w="4800" w:type="dxa"/>
            <w:vAlign w:val="bottom"/>
          </w:tcPr>
          <w:p>
            <w:pPr>
              <w:spacing w:after="0"/>
              <w:rPr>
                <w:sz w:val="20"/>
                <w:szCs w:val="20"/>
                <w:color w:val="auto"/>
              </w:rPr>
            </w:pPr>
          </w:p>
        </w:tc>
        <w:tc>
          <w:tcPr>
            <w:tcW w:w="37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Madrid</w:t>
            </w:r>
          </w:p>
        </w:tc>
        <w:tc>
          <w:tcPr>
            <w:tcW w:w="1500" w:type="dxa"/>
            <w:vAlign w:val="bottom"/>
          </w:tcPr>
          <w:p>
            <w:pPr>
              <w:spacing w:after="0"/>
              <w:rPr>
                <w:sz w:val="20"/>
                <w:szCs w:val="20"/>
                <w:color w:val="auto"/>
              </w:rPr>
            </w:pPr>
          </w:p>
        </w:tc>
      </w:tr>
      <w:tr>
        <w:trPr>
          <w:trHeight w:val="414"/>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tc>
        <w:tc>
          <w:tcPr>
            <w:tcW w:w="3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tc>
        <w:tc>
          <w:tcPr>
            <w:tcW w:w="37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One Cavendish Place</w:t>
            </w:r>
          </w:p>
        </w:tc>
        <w:tc>
          <w:tcPr>
            <w:tcW w:w="37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London W1G 0QF</w:t>
            </w:r>
          </w:p>
        </w:tc>
        <w:tc>
          <w:tcPr>
            <w:tcW w:w="37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7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2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Mereo BioPharma Group plc (the “Company”) – Registration Statement on Form S-3 Exhibit 5.1</w:t>
      </w:r>
    </w:p>
    <w:p>
      <w:pPr>
        <w:spacing w:after="0" w:line="229" w:lineRule="exact"/>
        <w:rPr>
          <w:sz w:val="20"/>
          <w:szCs w:val="20"/>
          <w:color w:val="auto"/>
        </w:rPr>
      </w:pPr>
    </w:p>
    <w:p>
      <w:pPr>
        <w:ind w:left="4" w:right="580"/>
        <w:spacing w:after="0" w:line="281" w:lineRule="auto"/>
        <w:rPr>
          <w:sz w:val="20"/>
          <w:szCs w:val="20"/>
          <w:color w:val="auto"/>
        </w:rPr>
      </w:pPr>
      <w:r>
        <w:rPr>
          <w:rFonts w:ascii="Times New Roman" w:cs="Times New Roman" w:eastAsia="Times New Roman" w:hAnsi="Times New Roman"/>
          <w:sz w:val="17"/>
          <w:szCs w:val="17"/>
          <w:color w:val="auto"/>
        </w:rPr>
        <w:t>We have acted as English legal advisers to the Company, a public limited company incorporated in England and Wales in connection with the preparation and filing of a registration statement on Form S-3 to which this opinion letter is attached as an exhibit (such registration statement, as amended, including the documents incorporated by reference therein,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filed with the United States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pursuant to the United States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on 15 May 2024.</w:t>
      </w:r>
    </w:p>
    <w:p>
      <w:pPr>
        <w:spacing w:after="0" w:line="164"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The Registration Statement has been filed in connection with the registration for issuance, offering, sale and delivery from time to time of ordinary shares in the capital of the Company with a nominal value of £0.003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including Ordinary Shares in the form of American Depositary Shares each representing five (5) Ordinary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xml:space="preserve">) up to a total dollar amount of $175,000,000 (the </w:t>
      </w:r>
      <w:r>
        <w:rPr>
          <w:rFonts w:ascii="Times New Roman" w:cs="Times New Roman" w:eastAsia="Times New Roman" w:hAnsi="Times New Roman"/>
          <w:sz w:val="18"/>
          <w:szCs w:val="18"/>
          <w:b w:val="1"/>
          <w:bCs w:val="1"/>
          <w:color w:val="auto"/>
        </w:rPr>
        <w:t>“New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which a total dollar amount of $50,000,000 of New Ordinary Shares, in the form of ADSs, may be issued and sold under a sales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Jefferies LLC dated 15 May 2024 (the </w:t>
      </w:r>
      <w:r>
        <w:rPr>
          <w:rFonts w:ascii="Times New Roman" w:cs="Times New Roman" w:eastAsia="Times New Roman" w:hAnsi="Times New Roman"/>
          <w:sz w:val="18"/>
          <w:szCs w:val="18"/>
          <w:b w:val="1"/>
          <w:bCs w:val="1"/>
          <w:color w:val="auto"/>
        </w:rPr>
        <w:t>“Sales Ordinary Shares”</w:t>
      </w:r>
      <w:r>
        <w:rPr>
          <w:rFonts w:ascii="Times New Roman" w:cs="Times New Roman" w:eastAsia="Times New Roman" w:hAnsi="Times New Roman"/>
          <w:sz w:val="18"/>
          <w:szCs w:val="18"/>
          <w:color w:val="auto"/>
        </w:rPr>
        <w:t xml:space="preserve"> and, together with the New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444" w:right="500"/>
        <w:spacing w:after="0" w:line="282" w:lineRule="auto"/>
        <w:rPr>
          <w:sz w:val="20"/>
          <w:szCs w:val="20"/>
          <w:color w:val="auto"/>
        </w:rPr>
      </w:pPr>
      <w:r>
        <w:rPr>
          <w:rFonts w:ascii="Times New Roman" w:cs="Times New Roman" w:eastAsia="Times New Roman" w:hAnsi="Times New Roman"/>
          <w:sz w:val="18"/>
          <w:szCs w:val="18"/>
          <w:color w:val="auto"/>
        </w:rPr>
        <w:t>In connection with the Registration Statement we have been asked to provide an opinion on certain matters, as set out below. We have taken instructions in this regard solely from the Company.</w:t>
      </w:r>
    </w:p>
    <w:p>
      <w:pPr>
        <w:spacing w:after="0" w:line="6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color w:val="auto"/>
        </w:rPr>
        <w:t>Defined terms and headings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letter:</w:t>
      </w:r>
    </w:p>
    <w:p>
      <w:pPr>
        <w:spacing w:after="0" w:line="131" w:lineRule="exact"/>
        <w:rPr>
          <w:sz w:val="20"/>
          <w:szCs w:val="20"/>
          <w:color w:val="auto"/>
        </w:rPr>
      </w:pPr>
    </w:p>
    <w:p>
      <w:pPr>
        <w:ind w:left="964" w:right="500" w:hanging="532"/>
        <w:spacing w:after="0" w:line="282" w:lineRule="auto"/>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 unless a contrary indication appears;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 and shall not affect interpretation.</w:t>
      </w:r>
    </w:p>
    <w:p>
      <w:pPr>
        <w:spacing w:after="0" w:line="396" w:lineRule="exact"/>
        <w:rPr>
          <w:sz w:val="20"/>
          <w:szCs w:val="20"/>
          <w:color w:val="auto"/>
        </w:rPr>
      </w:pPr>
    </w:p>
    <w:p>
      <w:pPr>
        <w:ind w:left="4" w:right="100"/>
        <w:spacing w:after="0" w:line="233" w:lineRule="auto"/>
        <w:rPr>
          <w:sz w:val="20"/>
          <w:szCs w:val="20"/>
          <w:color w:val="auto"/>
        </w:rPr>
      </w:pPr>
      <w:r>
        <w:rPr>
          <w:rFonts w:ascii="Times New Roman" w:cs="Times New Roman" w:eastAsia="Times New Roman" w:hAnsi="Times New Roman"/>
          <w:sz w:val="14"/>
          <w:szCs w:val="14"/>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w:t>
      </w:r>
    </w:p>
    <w:p>
      <w:pPr>
        <w:ind w:left="4" w:right="100"/>
        <w:spacing w:after="0" w:line="239" w:lineRule="auto"/>
        <w:rPr>
          <w:sz w:val="20"/>
          <w:szCs w:val="20"/>
          <w:color w:val="auto"/>
        </w:rPr>
      </w:pPr>
      <w:r>
        <w:rPr>
          <w:rFonts w:ascii="Times New Roman" w:cs="Times New Roman" w:eastAsia="Times New Roman" w:hAnsi="Times New Roman"/>
          <w:sz w:val="14"/>
          <w:szCs w:val="14"/>
          <w:color w:val="auto"/>
        </w:rPr>
        <w:t>99 Bishopsgate, London EC2M 3XF, and such persons are either solicitors, registered foreign lawyers, or managers authorised by the SRA. We are affiliated with the firm Latham &amp; Watkins LLP, a limited liability partnership organised under the laws of Delaware.</w:t>
      </w:r>
    </w:p>
    <w:p>
      <w:pPr>
        <w:sectPr>
          <w:pgSz w:w="11900" w:h="16838" w:orient="portrait"/>
          <w:cols w:equalWidth="0" w:num="1">
            <w:col w:w="11024"/>
          </w:cols>
          <w:pgMar w:left="436" w:top="117"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May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152590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1525905" cy="18859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Legal review</w:t>
      </w:r>
    </w:p>
    <w:p>
      <w:pPr>
        <w:spacing w:after="0" w:line="121" w:lineRule="exact"/>
        <w:rPr>
          <w:sz w:val="20"/>
          <w:szCs w:val="20"/>
          <w:color w:val="auto"/>
        </w:rPr>
      </w:pPr>
    </w:p>
    <w:p>
      <w:pPr>
        <w:ind w:left="440" w:right="260"/>
        <w:spacing w:after="0" w:line="282" w:lineRule="auto"/>
        <w:rPr>
          <w:sz w:val="20"/>
          <w:szCs w:val="20"/>
          <w:color w:val="auto"/>
        </w:rPr>
      </w:pPr>
      <w:r>
        <w:rPr>
          <w:rFonts w:ascii="Times New Roman" w:cs="Times New Roman" w:eastAsia="Times New Roman" w:hAnsi="Times New Roman"/>
          <w:sz w:val="18"/>
          <w:szCs w:val="18"/>
          <w:color w:val="auto"/>
        </w:rPr>
        <w:t>For the purpose of issuing this letter, we have examined such matters of fact and questions of law as we have considered appropriate. We have reviewed only the following documents and conducted only the following enquiries and searches:</w:t>
      </w:r>
    </w:p>
    <w:p>
      <w:pPr>
        <w:spacing w:after="0" w:line="67" w:lineRule="exact"/>
        <w:rPr>
          <w:sz w:val="20"/>
          <w:szCs w:val="20"/>
          <w:color w:val="auto"/>
        </w:rPr>
      </w:pPr>
    </w:p>
    <w:p>
      <w:pPr>
        <w:ind w:left="960" w:hanging="53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search at the UK Companies House in respect of the Company conducted on 15 May 2024;</w:t>
      </w:r>
    </w:p>
    <w:p>
      <w:pPr>
        <w:spacing w:after="0" w:line="130"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enquiry at the Central Registry of Winding Up Petitions, London on 15 May 2024 at 10:21 a.m. (London time) with respect to the Company ((a) and (b)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minutes of a meeting of the board of directors of the Company dated 3 December 2020 approving the establishment of a financing and share allotment committee of the board of directors of the Company (the “</w:t>
      </w:r>
      <w:r>
        <w:rPr>
          <w:rFonts w:ascii="Times New Roman" w:cs="Times New Roman" w:eastAsia="Times New Roman" w:hAnsi="Times New Roman"/>
          <w:sz w:val="18"/>
          <w:szCs w:val="18"/>
          <w:b w:val="1"/>
          <w:bCs w:val="1"/>
          <w:color w:val="auto"/>
        </w:rPr>
        <w:t>Financing Committee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written resolutions of the board of directors of the Company dated: (i) 2 August 2021 approving the terms of reference of the Financing Committee; and (ii) 2 June 2023 adopting revised terms of reference of the Financing Committee, together with such terms of reference;</w:t>
      </w:r>
    </w:p>
    <w:p>
      <w:pPr>
        <w:spacing w:after="0" w:line="81"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written resolutions of the board of directors of the Company dated 14 May 2024, authorising, among other things, the preparation and filing of the Registration Statement and the execution of the Sales Agreement;</w:t>
      </w:r>
    </w:p>
    <w:p>
      <w:pPr>
        <w:spacing w:after="0" w:line="63" w:lineRule="exact"/>
        <w:rPr>
          <w:rFonts w:ascii="Times New Roman" w:cs="Times New Roman" w:eastAsia="Times New Roman" w:hAnsi="Times New Roman"/>
          <w:sz w:val="18"/>
          <w:szCs w:val="18"/>
          <w:color w:val="auto"/>
        </w:rPr>
      </w:pPr>
    </w:p>
    <w:p>
      <w:pPr>
        <w:ind w:left="960" w:right="180" w:hanging="532"/>
        <w:spacing w:after="0" w:line="286"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executed copy of the minutes of the annual general meeting of shareholders of the Company held on 22 May 2023 (the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Minutes</w:t>
      </w:r>
      <w:r>
        <w:rPr>
          <w:rFonts w:ascii="Times New Roman" w:cs="Times New Roman" w:eastAsia="Times New Roman" w:hAnsi="Times New Roman"/>
          <w:sz w:val="18"/>
          <w:szCs w:val="18"/>
          <w:color w:val="auto"/>
        </w:rPr>
        <w:t>”) which included resolutions, amongst others:</w:t>
      </w:r>
    </w:p>
    <w:p>
      <w:pPr>
        <w:spacing w:after="0" w:line="60" w:lineRule="exact"/>
        <w:rPr>
          <w:rFonts w:ascii="Times New Roman" w:cs="Times New Roman" w:eastAsia="Times New Roman" w:hAnsi="Times New Roman"/>
          <w:sz w:val="18"/>
          <w:szCs w:val="18"/>
          <w:color w:val="auto"/>
        </w:rPr>
      </w:pPr>
    </w:p>
    <w:p>
      <w:pPr>
        <w:jc w:val="both"/>
        <w:ind w:left="1420" w:right="280" w:hanging="439"/>
        <w:spacing w:after="0" w:line="268" w:lineRule="auto"/>
        <w:tabs>
          <w:tab w:leader="none" w:pos="1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the board of directors of the Company, for the purposes of section 551 of the Companies Act 2006 (the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to allot shares in the Company, and to grant rights to subscribe for or convert any security into shares in the capital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up to a maximum aggregate nominal amount of £2,494,456.76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and</w:t>
      </w:r>
    </w:p>
    <w:p>
      <w:pPr>
        <w:spacing w:after="0" w:line="80"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disapplying section 561 of the Companies Act in respect of the allotment of Equity Securities or the sale of treasury shares up to an aggregate nominal amount of £2,494,456.76,</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b w:val="1"/>
          <w:bCs w:val="1"/>
          <w:color w:val="auto"/>
        </w:rPr>
        <w:t>2023 Resolutions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New York law governed Sales Agreement</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certificate of incorporation of the Company dated 10 March 2015 and certificate of incorporation on re-registration of the Company dated 23 June 2016;</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articles of association of the Company which were adopted by special resolution passed on 16 May 2022 and amended by a special resolution passed on 18 December 2023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draft Registration Statement as at 15 May 2024 and to be filed with the SEC on 15 May 2024.</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124" w:name="page125"/>
    <w:bookmarkEnd w:id="12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May 2024</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1525905"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1525905" cy="18859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b w:val="1"/>
          <w:bCs w:val="1"/>
          <w:color w:val="auto"/>
        </w:rPr>
        <w:t>Applicable law</w:t>
      </w:r>
    </w:p>
    <w:p>
      <w:pPr>
        <w:spacing w:after="0" w:line="121" w:lineRule="exact"/>
        <w:rPr>
          <w:sz w:val="20"/>
          <w:szCs w:val="20"/>
          <w:color w:val="auto"/>
        </w:rPr>
      </w:pPr>
    </w:p>
    <w:p>
      <w:pPr>
        <w:ind w:left="444"/>
        <w:spacing w:after="0" w:line="266" w:lineRule="auto"/>
        <w:rPr>
          <w:sz w:val="20"/>
          <w:szCs w:val="20"/>
          <w:color w:val="auto"/>
        </w:rPr>
      </w:pPr>
      <w:r>
        <w:rPr>
          <w:rFonts w:ascii="Times New Roman" w:cs="Times New Roman" w:eastAsia="Times New Roman" w:hAnsi="Times New Roman"/>
          <w:sz w:val="18"/>
          <w:szCs w:val="18"/>
          <w:color w:val="auto"/>
        </w:rPr>
        <w:t>This letter, the opinion given in it, and any non-contractual obligations arising out of or in connection with this letter and/or the opinion given in it, are governed by, and shall be construed in accordance with, English law, and relate only to English law as applied by the English courts as at today’s date. In particular:</w:t>
      </w:r>
    </w:p>
    <w:p>
      <w:pPr>
        <w:spacing w:after="0" w:line="81" w:lineRule="exact"/>
        <w:rPr>
          <w:sz w:val="20"/>
          <w:szCs w:val="20"/>
          <w:color w:val="auto"/>
        </w:rPr>
      </w:pPr>
    </w:p>
    <w:p>
      <w:pPr>
        <w:ind w:left="964" w:right="200" w:hanging="532"/>
        <w:spacing w:after="0" w:line="282" w:lineRule="auto"/>
        <w:tabs>
          <w:tab w:leader="none" w:pos="9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assume that no foreign law, (including, for the avoidance of doubt, European Union law on and after 1 January 2021), affects the opinion stated below;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this letter on the laws of any jurisdiction other than England.</w:t>
      </w:r>
    </w:p>
    <w:p>
      <w:pPr>
        <w:spacing w:after="0" w:line="1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Assumptions and reservations</w:t>
      </w:r>
    </w:p>
    <w:p>
      <w:pPr>
        <w:spacing w:after="0" w:line="119" w:lineRule="exact"/>
        <w:rPr>
          <w:sz w:val="20"/>
          <w:szCs w:val="20"/>
          <w:color w:val="auto"/>
        </w:rPr>
      </w:pPr>
    </w:p>
    <w:p>
      <w:pPr>
        <w:ind w:left="444"/>
        <w:spacing w:after="0" w:line="267" w:lineRule="auto"/>
        <w:rPr>
          <w:sz w:val="20"/>
          <w:szCs w:val="20"/>
          <w:color w:val="auto"/>
        </w:rPr>
      </w:pPr>
      <w:r>
        <w:rPr>
          <w:rFonts w:ascii="Times New Roman" w:cs="Times New Roman" w:eastAsia="Times New Roman" w:hAnsi="Times New Roman"/>
          <w:sz w:val="18"/>
          <w:szCs w:val="18"/>
          <w:color w:val="auto"/>
        </w:rPr>
        <w:t>The opinion given in this letter is given on the basis of each of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is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 letter. The opinion given in this letter is strictly limited to the matters stated in paragraph 2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below and does not extend, and should not be read as extending, by implication or otherwise, to any other matters.</w:t>
      </w:r>
    </w:p>
    <w:p>
      <w:pPr>
        <w:spacing w:after="0" w:line="77"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1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the other matters set out in this letter and its Schedules, and subject further to the following:</w:t>
      </w:r>
    </w:p>
    <w:p>
      <w:pPr>
        <w:spacing w:after="0" w:line="132" w:lineRule="exact"/>
        <w:rPr>
          <w:rFonts w:ascii="Times New Roman" w:cs="Times New Roman" w:eastAsia="Times New Roman" w:hAnsi="Times New Roman"/>
          <w:sz w:val="18"/>
          <w:szCs w:val="18"/>
          <w:b w:val="1"/>
          <w:bCs w:val="1"/>
          <w:color w:val="auto"/>
        </w:rPr>
      </w:pPr>
    </w:p>
    <w:p>
      <w:pPr>
        <w:ind w:left="964" w:right="180" w:hanging="532"/>
        <w:spacing w:after="0" w:line="282" w:lineRule="auto"/>
        <w:tabs>
          <w:tab w:leader="none" w:pos="9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finally amended and supplemented, having become effective under the Securities Act and continuing to be so effective;</w:t>
      </w:r>
    </w:p>
    <w:p>
      <w:pPr>
        <w:spacing w:after="0" w:line="67"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time of any allotment and issue of Shares being duly authorised pursuant to the articles of association of the Company in force at the time of such allotment and issue, the Companies Act and any relevant authority given by the members of the Company to allot such Shares and any rights of pre-emption under such articles of association or the Companies Act in respect of such allotment having been validly disapplied;</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a duly authorised committee thereof) having validly resolved to allot the Shares;</w:t>
      </w:r>
    </w:p>
    <w:p>
      <w:pPr>
        <w:spacing w:after="0" w:line="130"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in full of payment for the Shares in an amount of “cash consideration” (as defined in section 583(3) of the Companies Act) of not less than the aggregate nominal value for such Shares;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Sales Ordinary Shares only, the Sales Agreement having become unconditional in all respects;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Shares in the books and registers of the Company,</w:t>
      </w:r>
    </w:p>
    <w:p>
      <w:pPr>
        <w:spacing w:after="0" w:line="117" w:lineRule="exact"/>
        <w:rPr>
          <w:sz w:val="20"/>
          <w:szCs w:val="20"/>
          <w:color w:val="auto"/>
        </w:rPr>
      </w:pPr>
    </w:p>
    <w:p>
      <w:pPr>
        <w:ind w:left="444" w:right="380"/>
        <w:spacing w:after="0" w:line="261" w:lineRule="auto"/>
        <w:rPr>
          <w:sz w:val="20"/>
          <w:szCs w:val="20"/>
          <w:color w:val="auto"/>
        </w:rPr>
      </w:pPr>
      <w:r>
        <w:rPr>
          <w:rFonts w:ascii="Times New Roman" w:cs="Times New Roman" w:eastAsia="Times New Roman" w:hAnsi="Times New Roman"/>
          <w:sz w:val="18"/>
          <w:szCs w:val="18"/>
          <w:color w:val="auto"/>
        </w:rPr>
        <w:t>it is our opinion that, as at today’s date, the Shares, if and when allotted and issued, registered in the name of the recipient in the register of members of the Company and delivered in accordance with the terms of the Registration Statement and as described therein, will be duly and validly authorised and issued, fully paid or credited as fully paid (subject to the receipt of valid consideration by the Company for the issue thereof) and will not be subject to any call for payment of further capital.</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125" w:name="page126"/>
    <w:bookmarkEnd w:id="12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May 2024</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25905"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1525905" cy="18859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OPINION</w:t>
      </w:r>
    </w:p>
    <w:p>
      <w:pPr>
        <w:spacing w:after="0" w:line="121" w:lineRule="exact"/>
        <w:rPr>
          <w:rFonts w:ascii="Times New Roman" w:cs="Times New Roman" w:eastAsia="Times New Roman" w:hAnsi="Times New Roman"/>
          <w:sz w:val="18"/>
          <w:szCs w:val="18"/>
          <w:b w:val="1"/>
          <w:bCs w:val="1"/>
          <w:color w:val="auto"/>
        </w:rPr>
      </w:pPr>
    </w:p>
    <w:p>
      <w:pPr>
        <w:ind w:left="4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as to any agreement, instrument or other document other than as specified in this letter or as to any liability to tax which may arise or be suffered as a result of or in connection with the transactions contemplated by the Registration Statement.</w:t>
      </w:r>
    </w:p>
    <w:p>
      <w:pPr>
        <w:spacing w:after="0" w:line="53" w:lineRule="exact"/>
        <w:rPr>
          <w:rFonts w:ascii="Times New Roman" w:cs="Times New Roman" w:eastAsia="Times New Roman" w:hAnsi="Times New Roman"/>
          <w:sz w:val="18"/>
          <w:szCs w:val="18"/>
          <w:b w:val="1"/>
          <w:bCs w:val="1"/>
          <w:color w:val="auto"/>
        </w:rPr>
      </w:pPr>
    </w:p>
    <w:p>
      <w:pPr>
        <w:jc w:val="both"/>
        <w:ind w:left="444"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5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 AND DISCLOSURE</w:t>
      </w:r>
    </w:p>
    <w:p>
      <w:pPr>
        <w:spacing w:after="0" w:line="121" w:lineRule="exact"/>
        <w:rPr>
          <w:rFonts w:ascii="Times New Roman" w:cs="Times New Roman" w:eastAsia="Times New Roman" w:hAnsi="Times New Roman"/>
          <w:sz w:val="18"/>
          <w:szCs w:val="18"/>
          <w:b w:val="1"/>
          <w:bCs w:val="1"/>
          <w:color w:val="auto"/>
        </w:rPr>
      </w:pPr>
    </w:p>
    <w:p>
      <w:pPr>
        <w:ind w:left="444"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67"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may not be relied upon by you for any other purpose, and, other than as set out in this paragraph 4, may not be furnished to, or assigned to or relied upon by, any other person, firm or entity for any purpose (including, without limitation, by any person, firm or other entity that acquires Shares from the Company), without our prior written consent, which may be granted or withheld in our discretion.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LATHAM &amp; WATKINS</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has been given on the basis of the following assumptions:</w:t>
      </w:r>
    </w:p>
    <w:p>
      <w:pPr>
        <w:spacing w:after="0" w:line="131" w:lineRule="exact"/>
        <w:rPr>
          <w:sz w:val="20"/>
          <w:szCs w:val="20"/>
          <w:color w:val="auto"/>
        </w:rPr>
      </w:pPr>
    </w:p>
    <w:p>
      <w:pPr>
        <w:ind w:left="960" w:right="20" w:hanging="532"/>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document signed electronically, the person signing it intended to sign and be bound by the document;</w:t>
      </w:r>
    </w:p>
    <w:p>
      <w:pPr>
        <w:spacing w:after="0" w:line="130"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filing of the Registration Statement with the SEC has been authorised by all necessary actions under all applicable laws other than English law;</w:t>
      </w:r>
    </w:p>
    <w:p>
      <w:pPr>
        <w:spacing w:after="0" w:line="67"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Articles of Association remain in full force and effect, and no alteration has been made or will be made to the Articles of Association, in each case prior to any date on which Shares are allotted or issued (each such date being an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complete prospectus supplement will have been prepared and filed with the SEC describing the Shares offered before each Allotment Date;</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the UK Companies House in respect of the Company have been so delivered, that the results of the Searches are complete and accurate, and that the position has not changed since the times at which the Searches were made and that the results of the Searches will remain complete and accurate as at each Allotment Date;</w:t>
      </w:r>
    </w:p>
    <w:p>
      <w:pPr>
        <w:spacing w:after="0" w:line="81" w:lineRule="exact"/>
        <w:rPr>
          <w:rFonts w:ascii="Times New Roman" w:cs="Times New Roman" w:eastAsia="Times New Roman" w:hAnsi="Times New Roman"/>
          <w:sz w:val="18"/>
          <w:szCs w:val="18"/>
          <w:color w:val="auto"/>
        </w:rPr>
      </w:pPr>
    </w:p>
    <w:p>
      <w:pPr>
        <w:ind w:left="960" w:right="700" w:hanging="532"/>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Sales Agreement (and the other documents referred to therein) remains accurate and complete and has not been amended, terminated or otherwise discharged as at the date of this letter;</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persons executing the Sales Agreement on behalf of the relevant parties thereto executed an identical final version of such document, in each case in the form reviewed by us;</w:t>
      </w:r>
    </w:p>
    <w:p>
      <w:pPr>
        <w:spacing w:after="0" w:line="67" w:lineRule="exact"/>
        <w:rPr>
          <w:rFonts w:ascii="Times New Roman" w:cs="Times New Roman" w:eastAsia="Times New Roman" w:hAnsi="Times New Roman"/>
          <w:sz w:val="18"/>
          <w:szCs w:val="18"/>
          <w:color w:val="auto"/>
        </w:rPr>
      </w:pPr>
    </w:p>
    <w:p>
      <w:pPr>
        <w:jc w:val="both"/>
        <w:ind w:left="960" w:right="100" w:hanging="532"/>
        <w:spacing w:after="0" w:line="26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fraud or mutual mistake of fact or law or any other arrangements, agreements, understandings or course of conduct or prior or subsequent dealings, amending, rescinding or modifying or suspending any of the terms of the Sales Agreement or which would result in the inclusion of additional terms therein, and that the parties have acted in accordance with the terms of the Sales Agreement;</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requirements and conditions precedent for the Sales Agreement to be entered into have been satisfied;</w:t>
      </w:r>
    </w:p>
    <w:p>
      <w:pPr>
        <w:spacing w:after="0" w:line="130" w:lineRule="exact"/>
        <w:rPr>
          <w:rFonts w:ascii="Times New Roman" w:cs="Times New Roman" w:eastAsia="Times New Roman" w:hAnsi="Times New Roman"/>
          <w:sz w:val="18"/>
          <w:szCs w:val="18"/>
          <w:color w:val="auto"/>
        </w:rPr>
      </w:pPr>
    </w:p>
    <w:p>
      <w:pPr>
        <w:ind w:left="960" w:right="40" w:hanging="532"/>
        <w:spacing w:after="0" w:line="253"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the proceedings and resolutions described in the minutes of the meetings of the board of directors of the Company and of the Financing Committee were duly conducted as so described, and that the meetings referred to therein were duly constituted and convened and all constitutional, statutory and other formalities were duly observed (including, if applicable, those relating to the declaration of directors’ interests or the power of interested directors to vote), a quorum was present throughout, the requisite majority of directors voted in favour of approving the resolutions and such resolutions were duly adopted, and have not been and will not be revoked or varied and remain in full force and effect and will remain so as at each Allotment Date, and (ii) the resolutions described in the written resolutions of the board of directors of the Company were duly passed as written resolutions of the board of directors of the Company and all constitutional, statutory and other formalities were duly observed (including, if applicable, those relating to the declaration of directors’ interests or the power of interested directors to vote) and such resolutions were duly adopted, and have not been and will not be revoked or varied and remain in full force and effect and will remain so as at each Allotment Date;</w:t>
      </w:r>
    </w:p>
    <w:p>
      <w:pPr>
        <w:spacing w:after="0" w:line="99"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proceedings and resolutions (including, for the avoidance of doubt, the 2023 Resolutions) described in the General Meeting Minutes provided to us were duly conducted as so described and that the meeting referred to therein was duly constituted and convened and all constitutional, statutory and other formalities were duly observed, a quorum was present throughout, the requisite majority of shareholders voted in favour of approving the resolutions and the resolutions passed thereat were duly adopted, have not been and will not be revoked or varied and remain in full force and effect and will remain so as at each Allotment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27" w:name="page128"/>
    <w:bookmarkEnd w:id="127"/>
    <w:p>
      <w:pPr>
        <w:ind w:left="540" w:right="120" w:hanging="532"/>
        <w:spacing w:after="0" w:line="255"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as at each Allotment Date, the authority granted pursuant to the 2023 Resolutions will remain unutilised to the extent necessary to permit such allotment and issue of Shares, or if at any Allotment Date, the 2023 Resolutions have expired, the Company in general meeting duly and validly having resolved (i) as an ordinary resolution to authorise the board of directors of the Company pursuant to section 551 of the Companies Act to allot such Shares, and (ii) as may be required, as a special resolution to empower the directors of the Company pursuant to section 570 or section 571 (as applicable) of the Companies Act to allot such Shares, free of the restrictions in section 561 of the Companies Act, and such resolutions and authorities remaining in full force and effect and not having expired, been rescinded or amended;</w:t>
      </w:r>
    </w:p>
    <w:p>
      <w:pPr>
        <w:spacing w:after="0" w:line="94" w:lineRule="exact"/>
        <w:rPr>
          <w:rFonts w:ascii="Times New Roman" w:cs="Times New Roman" w:eastAsia="Times New Roman" w:hAnsi="Times New Roman"/>
          <w:sz w:val="18"/>
          <w:szCs w:val="18"/>
          <w:color w:val="auto"/>
        </w:rPr>
      </w:pPr>
    </w:p>
    <w:p>
      <w:pPr>
        <w:ind w:left="540" w:right="60" w:hanging="532"/>
        <w:spacing w:after="0" w:line="261"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subsequent general meeting referred to in (j) above will be validly constituted, convened and conducted in accordance with the Articles of Association, that all constitutional, statutory and other formalities will be observed at the general meeting in connection with the passing of the resolutions and no such resolution will have been revoked or varied prior to each Allotment Date and will remain in full force and effect at each Allotment Date;</w:t>
      </w:r>
    </w:p>
    <w:p>
      <w:pPr>
        <w:spacing w:after="0" w:line="85"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Shares, the Company shall have received “cash consideration” (as such term is defined in section 583(3) of the Companies Act) in full,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85" w:lineRule="exact"/>
        <w:rPr>
          <w:rFonts w:ascii="Times New Roman" w:cs="Times New Roman" w:eastAsia="Times New Roman" w:hAnsi="Times New Roman"/>
          <w:sz w:val="18"/>
          <w:szCs w:val="18"/>
          <w:color w:val="auto"/>
        </w:rPr>
      </w:pPr>
    </w:p>
    <w:p>
      <w:pPr>
        <w:ind w:left="540" w:right="160" w:hanging="532"/>
        <w:spacing w:after="0" w:line="258"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each Allotment Date, the directors of the Company had or shall have sufficient authority and powers conferred upon them to allot and issue such Shares under section 551 of the Companies Act and under section 570 or section 571 (as applicable) of the Companies Act as if section 561 of the Companies Act did not apply to such allotment and issue, and the directors of the Company shall not allot or issue (or purport to allot or issue) Shares in excess of such powers or in breach of any other limitation on their power to allot and issue Shares;</w:t>
      </w:r>
    </w:p>
    <w:p>
      <w:pPr>
        <w:spacing w:after="0" w:line="88" w:lineRule="exact"/>
        <w:rPr>
          <w:rFonts w:ascii="Times New Roman" w:cs="Times New Roman" w:eastAsia="Times New Roman" w:hAnsi="Times New Roman"/>
          <w:sz w:val="18"/>
          <w:szCs w:val="18"/>
          <w:color w:val="auto"/>
        </w:rPr>
      </w:pPr>
    </w:p>
    <w:p>
      <w:pPr>
        <w:ind w:left="540" w:right="20" w:hanging="532"/>
        <w:spacing w:after="0" w:line="282"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shall be allotted or issued, or are or shall be committed to be allotted or issued, at a discount to their nominal value (whether in pounds sterling or equivalent in any other currency);</w:t>
      </w:r>
    </w:p>
    <w:p>
      <w:pPr>
        <w:spacing w:after="0" w:line="67" w:lineRule="exact"/>
        <w:rPr>
          <w:rFonts w:ascii="Times New Roman" w:cs="Times New Roman" w:eastAsia="Times New Roman" w:hAnsi="Times New Roman"/>
          <w:sz w:val="18"/>
          <w:szCs w:val="18"/>
          <w:color w:val="auto"/>
        </w:rPr>
      </w:pPr>
    </w:p>
    <w:p>
      <w:pPr>
        <w:ind w:left="540" w:right="100" w:hanging="532"/>
        <w:spacing w:after="0" w:line="266"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allotment and issue of Shares will be duly made in accordance with both the Articles of Association (as may be amended), the Companies Act and the applicable law, rules and regulations in force at the time of such allotment and issue, including without limitation, the rules of any stock exchange on which the Company’s securities may be traded;</w:t>
      </w:r>
    </w:p>
    <w:p>
      <w:pPr>
        <w:spacing w:after="0" w:line="81" w:lineRule="exact"/>
        <w:rPr>
          <w:rFonts w:ascii="Times New Roman" w:cs="Times New Roman" w:eastAsia="Times New Roman" w:hAnsi="Times New Roman"/>
          <w:sz w:val="18"/>
          <w:szCs w:val="18"/>
          <w:color w:val="auto"/>
        </w:rPr>
      </w:pPr>
    </w:p>
    <w:p>
      <w:pPr>
        <w:ind w:left="540" w:right="160" w:hanging="532"/>
        <w:spacing w:after="0" w:line="282"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is, at each Allotment Date, no matter affecting the authority of the directors to issue and allot the Shares which would have any adverse implications in relation to the opinion given above;</w:t>
      </w:r>
    </w:p>
    <w:p>
      <w:pPr>
        <w:spacing w:after="0" w:line="67" w:lineRule="exact"/>
        <w:rPr>
          <w:rFonts w:ascii="Times New Roman" w:cs="Times New Roman" w:eastAsia="Times New Roman" w:hAnsi="Times New Roman"/>
          <w:sz w:val="18"/>
          <w:szCs w:val="18"/>
          <w:color w:val="auto"/>
        </w:rPr>
      </w:pPr>
    </w:p>
    <w:p>
      <w:pPr>
        <w:ind w:left="540" w:right="40" w:hanging="532"/>
        <w:spacing w:after="0" w:line="261"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Sales Agreement and all obligations thereunder have been entered into and the Shares will be allotted and issued in good faith and on bona fide commercial terms and on arms’ length terms and for the purpose of carrying on the business of the Company and that there will be reasonable grounds for believing that the entry into the Sales Agreement and the allotment and issue of the Shares will promote the success of the Company for the benefit of its members as a whole;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60" w:top="270" w:right="479" w:bottom="1440" w:gutter="0" w:footer="0" w:header="0"/>
        </w:sectPr>
      </w:pPr>
    </w:p>
    <w:bookmarkStart w:id="128" w:name="page129"/>
    <w:bookmarkEnd w:id="128"/>
    <w:p>
      <w:pPr>
        <w:ind w:left="540" w:hanging="532"/>
        <w:spacing w:after="0" w:line="26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in relation to the allotment and issue of the Shares, the directors of the Company have acted and will act in the manner required by section 172 of the Companies Act (Duty to promote the success of the Company), and there has not and will not be any bad faith, breach of duty, breach of trust, fraud, coercion, duress or undue influence on the part of any of the directors of the Company in relation to any allotment and issue of Shares;</w:t>
      </w:r>
    </w:p>
    <w:p>
      <w:pPr>
        <w:spacing w:after="0" w:line="85"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or rights to subscribe for Shares have been or shall be offered to the public in the United Kingdom in breach of the Financial Services and Markets Act 2000, as amended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or shall be made in relation to the Shares in breach of section 21 of FSMA or any other United Kingdom laws or regulations relating to offers or invitations to subscribe for, or to acquire rights to subscribe for or otherwise acquire, Shares or other securities;</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issuing and allotting Shares, the Company is not carrying on a regulated activity for the purposes of section 19 of FSMA;</w:t>
      </w:r>
    </w:p>
    <w:p>
      <w:pPr>
        <w:spacing w:after="0" w:line="130" w:lineRule="exact"/>
        <w:rPr>
          <w:rFonts w:ascii="Times New Roman" w:cs="Times New Roman" w:eastAsia="Times New Roman" w:hAnsi="Times New Roman"/>
          <w:sz w:val="18"/>
          <w:szCs w:val="18"/>
          <w:color w:val="auto"/>
        </w:rPr>
      </w:pPr>
    </w:p>
    <w:p>
      <w:pPr>
        <w:ind w:left="540" w:right="360" w:hanging="532"/>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and will comply with all applicable anti-terrorism, anti-money laundering, sanctions and human rights laws and regulations and that each allotment and issue of Shares will be consistent with all such laws and regulations;</w:t>
      </w:r>
    </w:p>
    <w:p>
      <w:pPr>
        <w:spacing w:after="0" w:line="67" w:lineRule="exact"/>
        <w:rPr>
          <w:rFonts w:ascii="Times New Roman" w:cs="Times New Roman" w:eastAsia="Times New Roman" w:hAnsi="Times New Roman"/>
          <w:sz w:val="18"/>
          <w:szCs w:val="18"/>
          <w:color w:val="auto"/>
        </w:rPr>
      </w:pPr>
    </w:p>
    <w:p>
      <w:pPr>
        <w:ind w:left="540" w:right="260" w:hanging="532"/>
        <w:spacing w:after="0" w:line="26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except to the extent expressly set out in the opinion given in this letter no consents, approvals, authorisations, orders, licences, registrations, filings or similar formalities are required from any governmental or regulatory authority in connection with the execution, delivery and performance of the Registration Statement by the Company or if such consents, approvals, authorisations, orders, licences, registrations, filings or similar formalities are required, these have been made or will be made within the prescribed time limits; and</w:t>
      </w:r>
    </w:p>
    <w:p>
      <w:pPr>
        <w:spacing w:after="0" w:line="85" w:lineRule="exact"/>
        <w:rPr>
          <w:sz w:val="20"/>
          <w:szCs w:val="20"/>
          <w:color w:val="auto"/>
        </w:rPr>
      </w:pPr>
    </w:p>
    <w:p>
      <w:pPr>
        <w:ind w:left="540" w:right="200" w:hanging="532"/>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w:t>
      </w:r>
    </w:p>
    <w:p>
      <w:pPr>
        <w:spacing w:after="0" w:line="67" w:lineRule="exact"/>
        <w:rPr>
          <w:rFonts w:ascii="Times New Roman" w:cs="Times New Roman" w:eastAsia="Times New Roman" w:hAnsi="Times New Roman"/>
          <w:sz w:val="18"/>
          <w:szCs w:val="18"/>
          <w:color w:val="auto"/>
        </w:rPr>
      </w:pPr>
    </w:p>
    <w:p>
      <w:pPr>
        <w:ind w:left="1000" w:right="620" w:hanging="439"/>
        <w:spacing w:after="0" w:line="282" w:lineRule="auto"/>
        <w:tabs>
          <w:tab w:leader="none" w:pos="10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administration, winding up, dissolution, reorganisation, or bankruptcy or similar procedures in other relevant jurisdictions, of; or</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moratorium in respect of; or</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trustee, administrator, administrative receiver, monitor or similar officer of,</w:t>
      </w:r>
    </w:p>
    <w:p>
      <w:pPr>
        <w:spacing w:after="0" w:line="117"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will not have been taken as at any Allotment Date.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60" w:top="270" w:right="45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is subject to the following reservations:</w:t>
      </w:r>
    </w:p>
    <w:p>
      <w:pPr>
        <w:spacing w:after="0" w:line="131" w:lineRule="exact"/>
        <w:rPr>
          <w:sz w:val="20"/>
          <w:szCs w:val="20"/>
          <w:color w:val="auto"/>
        </w:rPr>
      </w:pPr>
    </w:p>
    <w:p>
      <w:pPr>
        <w:ind w:left="960" w:right="60" w:hanging="532"/>
        <w:spacing w:after="0" w:line="266"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w:t>
      </w:r>
    </w:p>
    <w:p>
      <w:pPr>
        <w:spacing w:after="0" w:line="131" w:lineRule="exact"/>
        <w:rPr>
          <w:sz w:val="20"/>
          <w:szCs w:val="20"/>
          <w:color w:val="auto"/>
        </w:rPr>
      </w:pPr>
    </w:p>
    <w:p>
      <w:pPr>
        <w:ind w:left="1420" w:hanging="439"/>
        <w:spacing w:after="0" w:line="282" w:lineRule="auto"/>
        <w:tabs>
          <w:tab w:leader="none" w:pos="14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arising from applicable laws relating to insolvency, bankruptcy, administration, reorganisation, liquidation, moratoria, schemes, restructuring plans or analogous circumstances; and</w:t>
      </w:r>
    </w:p>
    <w:p>
      <w:pPr>
        <w:spacing w:after="0" w:line="65" w:lineRule="exact"/>
        <w:rPr>
          <w:rFonts w:ascii="Times New Roman" w:cs="Times New Roman" w:eastAsia="Times New Roman" w:hAnsi="Times New Roman"/>
          <w:sz w:val="18"/>
          <w:szCs w:val="18"/>
          <w:color w:val="auto"/>
        </w:rPr>
      </w:pPr>
    </w:p>
    <w:p>
      <w:pPr>
        <w:ind w:left="1420" w:right="80" w:hanging="439"/>
        <w:spacing w:after="0" w:line="267" w:lineRule="auto"/>
        <w:tabs>
          <w:tab w:leader="none" w:pos="14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English court exercising its discretion under section 426 of the Insolvency Act 1986 (</w:t>
      </w:r>
      <w:r>
        <w:rPr>
          <w:rFonts w:ascii="Times New Roman" w:cs="Times New Roman" w:eastAsia="Times New Roman" w:hAnsi="Times New Roman"/>
          <w:sz w:val="18"/>
          <w:szCs w:val="18"/>
          <w:i w:val="1"/>
          <w:iCs w:val="1"/>
          <w:color w:val="auto"/>
        </w:rPr>
        <w:t>co-operation between courts exercising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 in relation to insolvency</w:t>
      </w:r>
      <w:r>
        <w:rPr>
          <w:rFonts w:ascii="Times New Roman" w:cs="Times New Roman" w:eastAsia="Times New Roman" w:hAnsi="Times New Roman"/>
          <w:sz w:val="18"/>
          <w:szCs w:val="18"/>
          <w:color w:val="auto"/>
        </w:rPr>
        <w:t>) to assist the courts having the corresponding jurisdiction in any part of the United Kingdom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relevant country or territory;</w:t>
      </w:r>
    </w:p>
    <w:p>
      <w:pPr>
        <w:spacing w:after="0" w:line="8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 and</w:t>
      </w:r>
    </w:p>
    <w:p>
      <w:pPr>
        <w:spacing w:after="0" w:line="77" w:lineRule="exact"/>
        <w:rPr>
          <w:rFonts w:ascii="Times New Roman" w:cs="Times New Roman" w:eastAsia="Times New Roman" w:hAnsi="Times New Roman"/>
          <w:sz w:val="18"/>
          <w:szCs w:val="18"/>
          <w:color w:val="auto"/>
        </w:rPr>
      </w:pPr>
    </w:p>
    <w:p>
      <w:pPr>
        <w:jc w:val="both"/>
        <w:ind w:left="960" w:right="220" w:hanging="532"/>
        <w:spacing w:after="0" w:line="268"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undertaken any consideration, analysis or assessment of whether the National Security &amp; Investment Act 2021 (“</w:t>
      </w:r>
      <w:r>
        <w:rPr>
          <w:rFonts w:ascii="Times New Roman" w:cs="Times New Roman" w:eastAsia="Times New Roman" w:hAnsi="Times New Roman"/>
          <w:sz w:val="18"/>
          <w:szCs w:val="18"/>
          <w:b w:val="1"/>
          <w:bCs w:val="1"/>
          <w:color w:val="auto"/>
        </w:rPr>
        <w:t>NS&amp;IA</w:t>
      </w:r>
      <w:r>
        <w:rPr>
          <w:rFonts w:ascii="Times New Roman" w:cs="Times New Roman" w:eastAsia="Times New Roman" w:hAnsi="Times New Roman"/>
          <w:sz w:val="18"/>
          <w:szCs w:val="18"/>
          <w:color w:val="auto"/>
        </w:rPr>
        <w:t>”) may or will apply to any of the transactions contemplated herein for the purposes of the opinions in this letter. We express no opinion on the application or potential application of the NS&amp;IA in relation to the Company or any transaction contemplated herein.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Mereo BioPharma Group plc of our report dated March 27, 2024 relating to the financial statements, which appears in Mereo BioPharma Group plc’s Annual Report on Form 10-K for the year ended December 31, 2023.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 S-3</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92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5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6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12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6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26"/>
        </w:trPr>
        <w:tc>
          <w:tcPr>
            <w:tcW w:w="3920" w:type="dxa"/>
            <w:vAlign w:val="bottom"/>
            <w:tcBorders>
              <w:left w:val="single" w:sz="8" w:color="auto"/>
              <w:right w:val="single" w:sz="8" w:color="auto"/>
            </w:tcBorders>
          </w:tcPr>
          <w:p>
            <w:pPr>
              <w:spacing w:after="0"/>
              <w:rPr>
                <w:sz w:val="10"/>
                <w:szCs w:val="10"/>
                <w:color w:val="auto"/>
              </w:rPr>
            </w:pPr>
          </w:p>
        </w:tc>
        <w:tc>
          <w:tcPr>
            <w:tcW w:w="6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Security</w:t>
            </w:r>
          </w:p>
        </w:tc>
        <w:tc>
          <w:tcPr>
            <w:tcW w:w="156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Forward</w:t>
            </w:r>
          </w:p>
        </w:tc>
        <w:tc>
          <w:tcPr>
            <w:tcW w:w="6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3"/>
              </w:rPr>
              <w:t>Amount</w:t>
            </w:r>
          </w:p>
        </w:tc>
        <w:tc>
          <w:tcPr>
            <w:tcW w:w="6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2"/>
              </w:rPr>
              <w:t>Price Per</w:t>
            </w:r>
          </w:p>
        </w:tc>
        <w:tc>
          <w:tcPr>
            <w:tcW w:w="11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Aggregate</w:t>
            </w:r>
          </w:p>
        </w:tc>
        <w:tc>
          <w:tcPr>
            <w:tcW w:w="8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392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Offering Price</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Fee 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35"/>
        </w:trPr>
        <w:tc>
          <w:tcPr>
            <w:tcW w:w="3920" w:type="dxa"/>
            <w:vAlign w:val="bottom"/>
            <w:tcBorders>
              <w:left w:val="single" w:sz="8" w:color="auto"/>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center"/>
              <w:ind w:left="219"/>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6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9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w:t>
            </w:r>
          </w:p>
        </w:tc>
        <w:tc>
          <w:tcPr>
            <w:tcW w:w="7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nominal value</w:t>
            </w:r>
          </w:p>
        </w:tc>
        <w:tc>
          <w:tcPr>
            <w:tcW w:w="7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2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£0.003 per share (1)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620" w:type="dxa"/>
            <w:vAlign w:val="bottom"/>
            <w:tcBorders>
              <w:bottom w:val="single" w:sz="8" w:color="auto"/>
              <w:right w:val="single" w:sz="8" w:color="auto"/>
            </w:tcBorders>
          </w:tcPr>
          <w:p>
            <w:pPr>
              <w:jc w:val="right"/>
              <w:ind w:right="109"/>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.00014760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$25,830</w:t>
            </w:r>
          </w:p>
        </w:tc>
        <w:tc>
          <w:tcPr>
            <w:tcW w:w="0" w:type="dxa"/>
            <w:vAlign w:val="bottom"/>
          </w:tcPr>
          <w:p>
            <w:pPr>
              <w:spacing w:after="0"/>
              <w:rPr>
                <w:sz w:val="1"/>
                <w:szCs w:val="1"/>
                <w:color w:val="auto"/>
              </w:rPr>
            </w:pPr>
          </w:p>
        </w:tc>
      </w:tr>
      <w:tr>
        <w:trPr>
          <w:trHeight w:val="211"/>
        </w:trPr>
        <w:tc>
          <w:tcPr>
            <w:tcW w:w="39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w:t>
            </w:r>
          </w:p>
        </w:tc>
        <w:tc>
          <w:tcPr>
            <w:tcW w:w="6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Previously</w:t>
            </w:r>
          </w:p>
        </w:tc>
        <w:tc>
          <w:tcPr>
            <w:tcW w:w="6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9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41"/>
        </w:trPr>
        <w:tc>
          <w:tcPr>
            <w:tcW w:w="392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227"/>
              <w:spacing w:after="0"/>
              <w:rPr>
                <w:sz w:val="20"/>
                <w:szCs w:val="20"/>
                <w:color w:val="auto"/>
              </w:rPr>
            </w:pPr>
            <w:r>
              <w:rPr>
                <w:rFonts w:ascii="Times New Roman" w:cs="Times New Roman" w:eastAsia="Times New Roman" w:hAnsi="Times New Roman"/>
                <w:sz w:val="18"/>
                <w:szCs w:val="18"/>
                <w:b w:val="1"/>
                <w:bCs w:val="1"/>
                <w:color w:val="auto"/>
                <w:w w:val="99"/>
              </w:rPr>
              <w:t>Carry Forward Securities</w:t>
            </w:r>
          </w:p>
        </w:tc>
        <w:tc>
          <w:tcPr>
            <w:tcW w:w="6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9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Carry</w:t>
            </w:r>
          </w:p>
        </w:tc>
        <w:tc>
          <w:tcPr>
            <w:tcW w:w="6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Forward</w:t>
            </w:r>
          </w:p>
        </w:tc>
        <w:tc>
          <w:tcPr>
            <w:tcW w:w="6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92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Securities</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392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6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$175,000,000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.00014760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$25,830</w:t>
            </w:r>
          </w:p>
        </w:tc>
        <w:tc>
          <w:tcPr>
            <w:tcW w:w="0" w:type="dxa"/>
            <w:vAlign w:val="bottom"/>
          </w:tcPr>
          <w:p>
            <w:pPr>
              <w:spacing w:after="0"/>
              <w:rPr>
                <w:sz w:val="1"/>
                <w:szCs w:val="1"/>
                <w:color w:val="auto"/>
              </w:rPr>
            </w:pPr>
          </w:p>
        </w:tc>
      </w:tr>
      <w:tr>
        <w:trPr>
          <w:trHeight w:val="236"/>
        </w:trPr>
        <w:tc>
          <w:tcPr>
            <w:tcW w:w="392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6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2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6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$25,830(4)</w:t>
            </w:r>
          </w:p>
        </w:tc>
        <w:tc>
          <w:tcPr>
            <w:tcW w:w="0" w:type="dxa"/>
            <w:vAlign w:val="bottom"/>
          </w:tcPr>
          <w:p>
            <w:pPr>
              <w:spacing w:after="0"/>
              <w:rPr>
                <w:sz w:val="1"/>
                <w:szCs w:val="1"/>
                <w:color w:val="auto"/>
              </w:rPr>
            </w:pPr>
          </w:p>
        </w:tc>
      </w:tr>
      <w:tr>
        <w:trPr>
          <w:trHeight w:val="237"/>
        </w:trPr>
        <w:tc>
          <w:tcPr>
            <w:tcW w:w="392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9"/>
              </w:rPr>
              <w:t>Net Fees Due</w:t>
            </w:r>
          </w:p>
        </w:tc>
        <w:tc>
          <w:tcPr>
            <w:tcW w:w="6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bl>
    <w:p>
      <w:pPr>
        <w:sectPr>
          <w:pgSz w:w="11900" w:h="16838" w:orient="portrait"/>
          <w:cols w:equalWidth="0" w:num="1">
            <w:col w:w="10960"/>
          </w:cols>
          <w:pgMar w:left="500" w:top="117" w:right="439" w:bottom="1440" w:gutter="0" w:footer="0" w:header="0"/>
        </w:sectPr>
      </w:pPr>
    </w:p>
    <w:bookmarkStart w:id="132" w:name="page133"/>
    <w:bookmarkEnd w:id="132"/>
    <w:p>
      <w:pPr>
        <w:ind w:left="424" w:right="160" w:hanging="424"/>
        <w:spacing w:after="0" w:line="257"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ordinary shares registered hereby will be represented by the registrants American Depositary Shares (“ADSs”), with each ADS representing five (5) of our ordinary shares. ADSs issuable upon deposit of the ordinary shares registered hereby will have been registered under separate registration statements on Form F-6 (File No. 333-223890, File No. 333-249338 and File No. 333-258824).</w:t>
      </w:r>
    </w:p>
    <w:p>
      <w:pPr>
        <w:spacing w:after="0" w:line="1" w:lineRule="exact"/>
        <w:rPr>
          <w:rFonts w:ascii="Times New Roman" w:cs="Times New Roman" w:eastAsia="Times New Roman" w:hAnsi="Times New Roman"/>
          <w:sz w:val="18"/>
          <w:szCs w:val="18"/>
          <w:color w:val="auto"/>
        </w:rPr>
      </w:pPr>
    </w:p>
    <w:p>
      <w:pPr>
        <w:ind w:left="424" w:right="300" w:hanging="424"/>
        <w:spacing w:after="0" w:line="250"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unspecified number of ordinary shares is being registered as may from time to time be offered at unspecified prices. Pursuant to Rule 416 under the Securities Act of 1933, as amended (the “Securities Act”), the ordinary shares being registered hereunder include such indeterminate number of ordinary shares as may be issuable with respect to the ordinary shares being registered hereunder as a result of share splits, share dividends or similar transactions.</w:t>
      </w:r>
    </w:p>
    <w:p>
      <w:pPr>
        <w:spacing w:after="0" w:line="1" w:lineRule="exact"/>
        <w:rPr>
          <w:rFonts w:ascii="Times New Roman" w:cs="Times New Roman" w:eastAsia="Times New Roman" w:hAnsi="Times New Roman"/>
          <w:sz w:val="18"/>
          <w:szCs w:val="18"/>
          <w:color w:val="auto"/>
        </w:rPr>
      </w:pPr>
    </w:p>
    <w:p>
      <w:pPr>
        <w:ind w:left="424" w:right="700" w:hanging="424"/>
        <w:spacing w:after="0" w:line="250"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per share of the registrant’s ordinary shares will be determined from time to time by the registrant in connection with the issuance by the registrant of the ordinary shares registered hereunder.</w:t>
      </w:r>
    </w:p>
    <w:p>
      <w:pPr>
        <w:ind w:left="424" w:right="40" w:hanging="424"/>
        <w:spacing w:after="0" w:line="252"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2020, the registrant filed a Registration Statement on Form F-3 with the Securities and Exchange Commission (the “SEC”), declared effective on October 21, 2020 (File No. 333-249341) (the “2020 Registration Statement”), registering the issuance of up to $200,000,000 of ordinary shares represented by the ADSs (the “2020 Securities”) and paid a filing fee of $21,820 at the initial filing of the 2020 Registration Statement. The Registrant sold $115,507,500 of the 2020 Securities which equates to an associated registration fee of $12,602, and $84,492,500 remained unsold. Accordingly, the remaining filing fee previously paid under the 2020 Registration Statement, as calculated pursuant to Rule 457(o) and Rule 457(p) under the Securities Act, of $9,218 was carried forward and used to offset the registration fees due for the 2021 Securities (as defined below).</w:t>
      </w:r>
    </w:p>
    <w:p>
      <w:pPr>
        <w:spacing w:after="0" w:line="80"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2021, the registrant filed a registration statement on Form F-3 with the SEC, declared effective on September 30, 2021 (File</w:t>
      </w:r>
    </w:p>
    <w:p>
      <w:pPr>
        <w:spacing w:after="0" w:line="27" w:lineRule="exact"/>
        <w:rPr>
          <w:rFonts w:ascii="Times New Roman" w:cs="Times New Roman" w:eastAsia="Times New Roman" w:hAnsi="Times New Roman"/>
          <w:sz w:val="18"/>
          <w:szCs w:val="18"/>
          <w:color w:val="auto"/>
        </w:rPr>
      </w:pPr>
    </w:p>
    <w:p>
      <w:pPr>
        <w:ind w:left="44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333-258495) (the “2021 Registration Statement”), registering the issuance of up to $250,000,000 of ordinary shares represented by the ADSs (the “2021 Securities”). A filing fee of $27,275.00 with respect to the 2021 Securities was paid in connection with the 2021 Registration Statement, which included (i) a fee payment of $18,057 at the initial filing of the 2021 Registration Statement on August 5, 2021, and (ii) an offset of $9,218 of the registration fee required to be paid thereunder based on unsold securities from the 2020 Registration Statement. Concurrently with the filing of the 2021 Registration Statement, any offering of the unsold 2020 Securities pursuant to the 2020 Registration Statement was terminated.</w:t>
      </w:r>
    </w:p>
    <w:p>
      <w:pPr>
        <w:spacing w:after="0" w:line="81" w:lineRule="exact"/>
        <w:rPr>
          <w:rFonts w:ascii="Times New Roman" w:cs="Times New Roman" w:eastAsia="Times New Roman" w:hAnsi="Times New Roman"/>
          <w:sz w:val="18"/>
          <w:szCs w:val="18"/>
          <w:color w:val="auto"/>
        </w:rPr>
      </w:pPr>
    </w:p>
    <w:p>
      <w:pPr>
        <w:ind w:left="4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sold $11,995,039.56 of the 2021 Securities under the 2021 Registration Statement, which equates to an associated registration fee of $1,308.66. Accordingly, the unused registration fee paid in connection with the 2021 Registration Statement and the 2021 Securities is $25,966.34.</w:t>
      </w:r>
    </w:p>
    <w:p>
      <w:pPr>
        <w:spacing w:after="0" w:line="67" w:lineRule="exact"/>
        <w:rPr>
          <w:rFonts w:ascii="Times New Roman" w:cs="Times New Roman" w:eastAsia="Times New Roman" w:hAnsi="Times New Roman"/>
          <w:sz w:val="18"/>
          <w:szCs w:val="18"/>
          <w:color w:val="auto"/>
        </w:rPr>
      </w:pPr>
    </w:p>
    <w:p>
      <w:pPr>
        <w:jc w:val="both"/>
        <w:ind w:left="444"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457(p) under the Securities Act, the registration fee applicable to the $175,000,000 of ordinary shares represented by the ADSs, being registered hereby, in the amount of $25,830.00 is offset by $25,966 in registration fees previously paid by the registrant with respect to the 2021 Securities, that were registered but not issued pursuant to the 2021 Registration Statement. Accordingly, no registration fee is being paid at this time. Concurrently with the filing of this registration statement, any offering of the unsold 2021 Securities pursuant to the 2021 Registration Statement is hereby terminated.</w:t>
      </w:r>
    </w:p>
    <w:p>
      <w:pPr>
        <w:sectPr>
          <w:pgSz w:w="11900" w:h="16838" w:orient="portrait"/>
          <w:cols w:equalWidth="0" w:num="1">
            <w:col w:w="11004"/>
          </w:cols>
          <w:pgMar w:left="436" w:top="270" w:right="459" w:bottom="1440" w:gutter="0" w:footer="0" w:header="0"/>
        </w:sectPr>
      </w:pPr>
    </w:p>
    <w:bookmarkStart w:id="133" w:name="page134"/>
    <w:bookmarkEnd w:id="133"/>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2: Fee Offset Claims and Sources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4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rPr>
              <w:t>Unsold</w:t>
            </w:r>
          </w:p>
        </w:tc>
        <w:tc>
          <w:tcPr>
            <w:tcW w:w="900" w:type="dxa"/>
            <w:vAlign w:val="bottom"/>
            <w:tcBorders>
              <w:top w:val="single" w:sz="8" w:color="auto"/>
              <w:right w:val="single" w:sz="8" w:color="auto"/>
            </w:tcBorders>
          </w:tcPr>
          <w:p>
            <w:pPr>
              <w:spacing w:after="0"/>
              <w:rPr>
                <w:sz w:val="12"/>
                <w:szCs w:val="12"/>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900" w:type="dxa"/>
            <w:vAlign w:val="bottom"/>
            <w:tcBorders>
              <w:right w:val="single" w:sz="8" w:color="auto"/>
            </w:tcBorders>
          </w:tcPr>
          <w:p>
            <w:pPr>
              <w:spacing w:after="0"/>
              <w:rPr>
                <w:sz w:val="11"/>
                <w:szCs w:val="11"/>
                <w:color w:val="auto"/>
              </w:rPr>
            </w:pPr>
          </w:p>
        </w:tc>
      </w:tr>
      <w:tr>
        <w:trPr>
          <w:trHeight w:val="140"/>
        </w:trPr>
        <w:tc>
          <w:tcPr>
            <w:tcW w:w="88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13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6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Unsold</w:t>
            </w:r>
          </w:p>
        </w:tc>
        <w:tc>
          <w:tcPr>
            <w:tcW w:w="15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Offering</w:t>
            </w:r>
          </w:p>
        </w:tc>
        <w:tc>
          <w:tcPr>
            <w:tcW w:w="900" w:type="dxa"/>
            <w:vAlign w:val="bottom"/>
            <w:tcBorders>
              <w:right w:val="single" w:sz="8" w:color="auto"/>
            </w:tcBorders>
          </w:tcPr>
          <w:p>
            <w:pPr>
              <w:spacing w:after="0"/>
              <w:rPr>
                <w:sz w:val="12"/>
                <w:szCs w:val="12"/>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Type</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89"/>
              </w:rPr>
              <w:t>Title</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1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90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Associated</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1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Associated</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Fee Paid</w:t>
            </w: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Registrant</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or</w:t>
            </w: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or Filer</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File</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1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r>
      <w:tr>
        <w:trPr>
          <w:trHeight w:val="174"/>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Name</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Claimed</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Source</w:t>
            </w:r>
          </w:p>
        </w:tc>
      </w:tr>
      <w:tr>
        <w:trPr>
          <w:trHeight w:val="233"/>
        </w:trPr>
        <w:tc>
          <w:tcPr>
            <w:tcW w:w="88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Rule 457(p)</w:t>
            </w:r>
          </w:p>
        </w:tc>
        <w:tc>
          <w:tcPr>
            <w:tcW w:w="1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r>
      <w:tr>
        <w:trPr>
          <w:trHeight w:val="209"/>
        </w:trPr>
        <w:tc>
          <w:tcPr>
            <w:tcW w:w="8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Mereo</w:t>
            </w:r>
          </w:p>
        </w:tc>
        <w:tc>
          <w:tcPr>
            <w:tcW w:w="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w:t>
            </w:r>
          </w:p>
        </w:tc>
        <w:tc>
          <w:tcPr>
            <w:tcW w:w="6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Offset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BioPharma</w:t>
            </w:r>
          </w:p>
        </w:tc>
        <w:tc>
          <w:tcPr>
            <w:tcW w:w="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5,</w:t>
            </w: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nominal value</w:t>
            </w:r>
          </w:p>
        </w:tc>
        <w:tc>
          <w:tcPr>
            <w:tcW w:w="6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41"/>
        </w:trPr>
        <w:tc>
          <w:tcPr>
            <w:tcW w:w="8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Claims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Group plc</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333-258495</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$25,830(1)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£0.003 per share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$238,004,960.44(1)</w:t>
            </w:r>
          </w:p>
        </w:tc>
        <w:tc>
          <w:tcPr>
            <w:tcW w:w="900" w:type="dxa"/>
            <w:vAlign w:val="bottom"/>
            <w:tcBorders>
              <w:bottom w:val="single" w:sz="8" w:color="auto"/>
              <w:right w:val="single" w:sz="8" w:color="auto"/>
            </w:tcBorders>
          </w:tcPr>
          <w:p>
            <w:pPr>
              <w:spacing w:after="0"/>
              <w:rPr>
                <w:sz w:val="20"/>
                <w:szCs w:val="20"/>
                <w:color w:val="auto"/>
              </w:rPr>
            </w:pPr>
          </w:p>
        </w:tc>
      </w:tr>
      <w:tr>
        <w:trPr>
          <w:trHeight w:val="211"/>
        </w:trPr>
        <w:tc>
          <w:tcPr>
            <w:tcW w:w="8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Mereo</w:t>
            </w:r>
          </w:p>
        </w:tc>
        <w:tc>
          <w:tcPr>
            <w:tcW w:w="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Offset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BioPharma</w:t>
            </w:r>
          </w:p>
        </w:tc>
        <w:tc>
          <w:tcPr>
            <w:tcW w:w="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5,</w:t>
            </w: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41"/>
        </w:trPr>
        <w:tc>
          <w:tcPr>
            <w:tcW w:w="8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Sources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Group plc</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333-258495</w:t>
            </w: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$18,507(1)</w:t>
            </w:r>
          </w:p>
        </w:tc>
      </w:tr>
      <w:tr>
        <w:trPr>
          <w:trHeight w:val="211"/>
        </w:trPr>
        <w:tc>
          <w:tcPr>
            <w:tcW w:w="8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Mereo</w:t>
            </w:r>
          </w:p>
        </w:tc>
        <w:tc>
          <w:tcPr>
            <w:tcW w:w="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Offset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BioPharma</w:t>
            </w:r>
          </w:p>
        </w:tc>
        <w:tc>
          <w:tcPr>
            <w:tcW w:w="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6,</w:t>
            </w: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41"/>
        </w:trPr>
        <w:tc>
          <w:tcPr>
            <w:tcW w:w="8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Sources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Group plc</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333-249341</w:t>
            </w: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8"/>
                <w:szCs w:val="18"/>
                <w:color w:val="auto"/>
              </w:rPr>
              <w:t>$7,773(1)</w:t>
            </w:r>
          </w:p>
        </w:tc>
      </w:tr>
    </w:tbl>
    <w:p>
      <w:pPr>
        <w:spacing w:after="0" w:line="225"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(4) under Table 1 above.</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lowerLetter"/>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1)"/>
      <w:numFmt w:val="lowerRoman"/>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07"/>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8">
    <w:nsid w:val="12E685FB"/>
    <w:multiLevelType w:val="hybridMultilevel"/>
    <w:lvl w:ilvl="0">
      <w:lvlJc w:val="left"/>
      <w:lvlText w:val="(%1)"/>
      <w:numFmt w:val="decimal"/>
      <w:start w:val="2"/>
    </w:lvl>
    <w:lvl w:ilvl="1">
      <w:lvlJc w:val="left"/>
      <w:lvlText w:val="(%2)"/>
      <w:numFmt w:val="upperLetter"/>
      <w:start w:val="1"/>
    </w:lvl>
  </w:abstractNum>
  <w:abstractNum w:abstractNumId="39">
    <w:nsid w:val="70C6A529"/>
    <w:multiLevelType w:val="hybridMultilevel"/>
    <w:lvl w:ilvl="0">
      <w:lvlJc w:val="left"/>
      <w:lvlText w:val="(%1)"/>
      <w:numFmt w:val="lowerRoman"/>
      <w:start w:val="1"/>
    </w:lvl>
  </w:abstractNum>
  <w:abstractNum w:abstractNumId="40">
    <w:nsid w:val="520EEDD1"/>
    <w:multiLevelType w:val="hybridMultilevel"/>
    <w:lvl w:ilvl="0">
      <w:lvlJc w:val="left"/>
      <w:lvlText w:val="%1"/>
      <w:numFmt w:val="lowerLetter"/>
      <w:start w:val="1"/>
    </w:lvl>
    <w:lvl w:ilvl="1">
      <w:lvlJc w:val="left"/>
      <w:lvlText w:val="(%2)"/>
      <w:numFmt w:val="lowerRoman"/>
      <w:start w:val="3"/>
    </w:lvl>
  </w:abstractNum>
  <w:abstractNum w:abstractNumId="41">
    <w:nsid w:val="374A3FE6"/>
    <w:multiLevelType w:val="hybridMultilevel"/>
    <w:lvl w:ilvl="0">
      <w:lvlJc w:val="left"/>
      <w:lvlText w:val="(%1)"/>
      <w:numFmt w:val="lowerLetter"/>
      <w:start w:val="2"/>
    </w:lvl>
    <w:lvl w:ilvl="1">
      <w:lvlJc w:val="left"/>
      <w:lvlText w:val="%2"/>
      <w:numFmt w:val="lowerRoman"/>
      <w:start w:val="1"/>
    </w:lvl>
  </w:abstractNum>
  <w:abstractNum w:abstractNumId="42">
    <w:nsid w:val="4F4EF005"/>
    <w:multiLevelType w:val="hybridMultilevel"/>
    <w:lvl w:ilvl="0">
      <w:lvlJc w:val="left"/>
      <w:lvlText w:val="(%1)"/>
      <w:numFmt w:val="lowerRoman"/>
      <w:start w:val="10"/>
    </w:lvl>
  </w:abstractNum>
  <w:abstractNum w:abstractNumId="43">
    <w:nsid w:val="23F9C13C"/>
    <w:multiLevelType w:val="hybridMultilevel"/>
    <w:lvl w:ilvl="0">
      <w:lvlJc w:val="left"/>
      <w:lvlText w:val="(%1)"/>
      <w:numFmt w:val="upperLetter"/>
      <w:start w:val="4"/>
    </w:lvl>
  </w:abstractNum>
  <w:abstractNum w:abstractNumId="44">
    <w:nsid w:val="649BB77C"/>
    <w:multiLevelType w:val="hybridMultilevel"/>
    <w:lvl w:ilvl="0">
      <w:lvlJc w:val="left"/>
      <w:lvlText w:val="(%1)"/>
      <w:numFmt w:val="lowerRoman"/>
      <w:start w:val="1"/>
    </w:lvl>
  </w:abstractNum>
  <w:abstractNum w:abstractNumId="45">
    <w:nsid w:val="275AC794"/>
    <w:multiLevelType w:val="hybridMultilevel"/>
    <w:lvl w:ilvl="0">
      <w:lvlJc w:val="left"/>
      <w:lvlText w:val="(%1)"/>
      <w:numFmt w:val="upperLetter"/>
      <w:start w:val="3"/>
    </w:lvl>
  </w:abstractNum>
  <w:abstractNum w:abstractNumId="46">
    <w:nsid w:val="39386575"/>
    <w:multiLevelType w:val="hybridMultilevel"/>
    <w:lvl w:ilvl="0">
      <w:lvlJc w:val="left"/>
      <w:lvlText w:val="(%1)"/>
      <w:numFmt w:val="lowerRoman"/>
      <w:start w:val="7"/>
    </w:lvl>
  </w:abstractNum>
  <w:abstractNum w:abstractNumId="47">
    <w:nsid w:val="1CF10FD8"/>
    <w:multiLevelType w:val="hybridMultilevel"/>
    <w:lvl w:ilvl="0">
      <w:lvlJc w:val="left"/>
      <w:lvlText w:val="(%1)"/>
      <w:numFmt w:val="lowerRoman"/>
      <w:start w:val="1"/>
    </w:lvl>
  </w:abstractNum>
  <w:abstractNum w:abstractNumId="48">
    <w:nsid w:val="180115BE"/>
    <w:multiLevelType w:val="hybridMultilevel"/>
    <w:lvl w:ilvl="0">
      <w:lvlJc w:val="left"/>
      <w:lvlText w:val="(%1)"/>
      <w:numFmt w:val="lowerRoman"/>
      <w:start w:val="3"/>
    </w:lvl>
  </w:abstractNum>
  <w:abstractNum w:abstractNumId="49">
    <w:nsid w:val="235BA861"/>
    <w:multiLevelType w:val="hybridMultilevel"/>
    <w:lvl w:ilvl="0">
      <w:lvlJc w:val="left"/>
      <w:lvlText w:val="(%1)"/>
      <w:numFmt w:val="lowerRoman"/>
      <w:start w:val="3"/>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1"/>
    </w:lvl>
    <w:lvl w:ilvl="1">
      <w:lvlJc w:val="left"/>
      <w:lvlText w:val="(%2)"/>
      <w:numFmt w:val="lowerRoman"/>
      <w:start w:val="1"/>
    </w:lvl>
  </w:abstractNum>
  <w:abstractNum w:abstractNumId="53">
    <w:nsid w:val="741226BB"/>
    <w:multiLevelType w:val="hybridMultilevel"/>
    <w:lvl w:ilvl="0">
      <w:lvlJc w:val="left"/>
      <w:lvlText w:val="(%1)"/>
      <w:numFmt w:val="lowerLetter"/>
      <w:start w:val="7"/>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decimal"/>
      <w:start w:val="2"/>
    </w:lvl>
    <w:lvl w:ilvl="1">
      <w:lvlJc w:val="left"/>
      <w:lvlText w:val="(%2)"/>
      <w:numFmt w:val="lowerLetter"/>
      <w:start w:val="1"/>
    </w:lvl>
  </w:abstractNum>
  <w:abstractNum w:abstractNumId="56">
    <w:nsid w:val="3F6AB60F"/>
    <w:multiLevelType w:val="hybridMultilevel"/>
    <w:lvl w:ilvl="0">
      <w:lvlJc w:val="left"/>
      <w:lvlText w:val="%1."/>
      <w:numFmt w:val="decimal"/>
      <w:start w:val="3"/>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Letter"/>
      <w:start w:val="14"/>
    </w:lvl>
  </w:abstractNum>
  <w:abstractNum w:abstractNumId="59">
    <w:nsid w:val="77AE35EB"/>
    <w:multiLevelType w:val="hybridMultilevel"/>
    <w:lvl w:ilvl="0">
      <w:lvlJc w:val="left"/>
      <w:lvlText w:val="(%1)"/>
      <w:numFmt w:val="lowerLetter"/>
      <w:start w:val="22"/>
    </w:lvl>
  </w:abstractNum>
  <w:abstractNum w:abstractNumId="60">
    <w:nsid w:val="579BE4F1"/>
    <w:multiLevelType w:val="hybridMultilevel"/>
    <w:lvl w:ilvl="0">
      <w:lvlJc w:val="left"/>
      <w:lvlText w:val="(%1)"/>
      <w:numFmt w:val="lowerLetter"/>
      <w:start w:val="27"/>
    </w:lvl>
    <w:lvl w:ilvl="1">
      <w:lvlJc w:val="left"/>
      <w:lvlText w:val="(%2)"/>
      <w:numFmt w:val="lowerRoman"/>
      <w:start w:val="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lowerLetter"/>
      <w:start w:val="1"/>
    </w:lvl>
    <w:lvl w:ilvl="1">
      <w:lvlJc w:val="left"/>
      <w:lvlText w:val="(%2)"/>
      <w:numFmt w:val="lowerRoman"/>
      <w:start w:val="1"/>
    </w:lvl>
  </w:abstractNum>
  <w:abstractNum w:abstractNumId="63">
    <w:nsid w:val="2F305DEF"/>
    <w:multiLevelType w:val="hybridMultilevel"/>
    <w:lvl w:ilvl="0">
      <w:lvlJc w:val="left"/>
      <w:lvlText w:val="(%1)"/>
      <w:numFmt w:val="lowerLetter"/>
      <w:start w:val="3"/>
    </w:lvl>
    <w:lvl w:ilvl="1">
      <w:lvlJc w:val="left"/>
      <w:lvlText w:val="%2"/>
      <w:numFmt w:val="lowerRoman"/>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jpe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jpe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jpeg"/><Relationship Id="rId186" Type="http://schemas.openxmlformats.org/officeDocument/2006/relationships/image" Target="media/image172.png"/><Relationship Id="rId187" Type="http://schemas.openxmlformats.org/officeDocument/2006/relationships/image" Target="media/image173.jpeg"/><Relationship Id="rId188" Type="http://schemas.openxmlformats.org/officeDocument/2006/relationships/image" Target="media/image174.png"/><Relationship Id="rId189" Type="http://schemas.openxmlformats.org/officeDocument/2006/relationships/image" Target="media/image175.jpeg"/><Relationship Id="rId190" Type="http://schemas.openxmlformats.org/officeDocument/2006/relationships/image" Target="media/image176.png"/><Relationship Id="rId191" Type="http://schemas.openxmlformats.org/officeDocument/2006/relationships/image" Target="media/image177.jpe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28" Type="http://schemas.openxmlformats.org/officeDocument/2006/relationships/hyperlink" Target="http://www.sec.gov/ix?doc=/Archives/edgar/data/0001719714/000095017024037348/mreo-20231231.htm" TargetMode="External"/><Relationship Id="rId29" Type="http://schemas.openxmlformats.org/officeDocument/2006/relationships/hyperlink" Target="http://www.sec.gov/ix?doc=/Archives/edgar/data/1719714/000095017024060497/mreo-20240331.htm" TargetMode="External"/><Relationship Id="rId30" Type="http://schemas.openxmlformats.org/officeDocument/2006/relationships/hyperlink" Target="http://www.sec.gov/ix?doc=/Archives/edgar/data/0001719714/000119312524095508/d818381d8k.htm" TargetMode="External"/><Relationship Id="rId31" Type="http://schemas.openxmlformats.org/officeDocument/2006/relationships/hyperlink" Target="http://www.sec.gov/Archives/edgar/data/1719714/000119312523297640/d671792d8a12ba.htm" TargetMode="External"/><Relationship Id="rId32" Type="http://schemas.openxmlformats.org/officeDocument/2006/relationships/hyperlink" Target="http://www.sec.gov/Archives/edgar/data/1719714/000095017024037348/mreo-ex4_2.htm" TargetMode="External"/><Relationship Id="rId125" Type="http://schemas.openxmlformats.org/officeDocument/2006/relationships/hyperlink" Target="http://www.sec.gov/Archives/edgar/data/1719714/000119312523297624/d677335dex31.htm" TargetMode="External"/><Relationship Id="rId126" Type="http://schemas.openxmlformats.org/officeDocument/2006/relationships/hyperlink" Target="http://www.sec.gov/Archives/edgar/data/1719714/000119312519016112/d68087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2024-05-15T16:08:40Z</dcterms:created>
  <dcterms:modified xsi:type="dcterms:W3CDTF">2024-05-15T16:08:40Z</dcterms:modified>
</cp:coreProperties>
</file>