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nominal value £0.003 per share</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6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7"/>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Citadel Advisors LLC</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8"/>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2060" w:type="dxa"/>
            <w:vAlign w:val="bottom"/>
            <w:gridSpan w:val="5"/>
          </w:tcPr>
          <w:p>
            <w:pPr>
              <w:ind w:left="12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8"/>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Delaware</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NUMBER OF</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OWNED BY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EACH</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w w:val="99"/>
              </w:rPr>
              <w:t>31,126,931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REPORTING</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PERSON</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WITH</w:t>
            </w:r>
          </w:p>
        </w:tc>
        <w:tc>
          <w:tcPr>
            <w:tcW w:w="140" w:type="dxa"/>
            <w:vAlign w:val="bottom"/>
          </w:tcPr>
          <w:p>
            <w:pPr>
              <w:spacing w:after="0"/>
              <w:rPr>
                <w:sz w:val="20"/>
                <w:szCs w:val="20"/>
                <w:color w:val="auto"/>
              </w:rPr>
            </w:pPr>
          </w:p>
        </w:tc>
        <w:tc>
          <w:tcPr>
            <w:tcW w:w="5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Arial" w:cs="Arial" w:eastAsia="Arial" w:hAnsi="Arial"/>
                <w:sz w:val="18"/>
                <w:szCs w:val="18"/>
                <w:color w:val="auto"/>
              </w:rPr>
              <w:t>CERTAIN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SHARES</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7"/>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gridSpan w:val="2"/>
          </w:tcPr>
          <w:p>
            <w:pPr>
              <w:spacing w:after="0"/>
              <w:rPr>
                <w:sz w:val="24"/>
                <w:szCs w:val="24"/>
                <w:color w:val="auto"/>
              </w:rPr>
            </w:pPr>
          </w:p>
        </w:tc>
        <w:tc>
          <w:tcPr>
            <w:tcW w:w="116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2"/>
              </w:rPr>
              <w:t>8.9%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4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2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4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5"/>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IA; OO; HC</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jc w:val="both"/>
        <w:ind w:left="660" w:hanging="652"/>
        <w:spacing w:after="0" w:line="223" w:lineRule="auto"/>
        <w:tabs>
          <w:tab w:leader="none" w:pos="660" w:val="left"/>
        </w:tabs>
        <w:numPr>
          <w:ilvl w:val="0"/>
          <w:numId w:val="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 are based upon approximately 349,067,071 ordinary shares outstanding (comprised of (a) 338,713,962 ordinary shares outstanding as of June 30, 2020 (according to the Issuer’s Form 6-K filed with the Securities and Exchange Commission on June 30, 2020), plus (b) approximately 10,353,109 ordinary shares issuable upon the exercise of warrants issued to an affiliate of the Reporting Person). Except as described in the preceding sentence, all share numbers for the holdings of the reporting persons reported in this Schedule 13G are as of the opening of the market on July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Citadel Advisors Holdings LP</w:t>
            </w: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Delaware</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SHARES</w:t>
            </w: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OWNED BY</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w w:val="99"/>
              </w:rPr>
              <w:t>31,126,931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w:t>
            </w: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CERTAIN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gridSpan w:val="2"/>
          </w:tcPr>
          <w:p>
            <w:pPr>
              <w:spacing w:after="0"/>
              <w:rPr>
                <w:sz w:val="24"/>
                <w:szCs w:val="24"/>
                <w:color w:val="auto"/>
              </w:rPr>
            </w:pPr>
          </w:p>
        </w:tc>
        <w:tc>
          <w:tcPr>
            <w:tcW w:w="1680" w:type="dxa"/>
            <w:vAlign w:val="bottom"/>
          </w:tcPr>
          <w:p>
            <w:pPr>
              <w:ind w:left="760"/>
              <w:spacing w:after="0"/>
              <w:rPr>
                <w:sz w:val="20"/>
                <w:szCs w:val="20"/>
                <w:color w:val="auto"/>
              </w:rPr>
            </w:pPr>
            <w:r>
              <w:rPr>
                <w:rFonts w:ascii="Arial" w:cs="Arial" w:eastAsia="Arial" w:hAnsi="Arial"/>
                <w:sz w:val="18"/>
                <w:szCs w:val="18"/>
                <w:b w:val="1"/>
                <w:bCs w:val="1"/>
                <w:color w:val="auto"/>
              </w:rPr>
              <w:t>8.9%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4"/>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PN; HC</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Citadel GP LLC</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Delaware</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SHARES</w:t>
            </w: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OWNED BY</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w w:val="99"/>
              </w:rPr>
              <w:t>31,126,931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w:t>
            </w: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CERTAIN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gridSpan w:val="2"/>
          </w:tcPr>
          <w:p>
            <w:pPr>
              <w:spacing w:after="0"/>
              <w:rPr>
                <w:sz w:val="24"/>
                <w:szCs w:val="24"/>
                <w:color w:val="auto"/>
              </w:rPr>
            </w:pPr>
          </w:p>
        </w:tc>
        <w:tc>
          <w:tcPr>
            <w:tcW w:w="1680" w:type="dxa"/>
            <w:vAlign w:val="bottom"/>
          </w:tcPr>
          <w:p>
            <w:pPr>
              <w:ind w:left="760"/>
              <w:spacing w:after="0"/>
              <w:rPr>
                <w:sz w:val="20"/>
                <w:szCs w:val="20"/>
                <w:color w:val="auto"/>
              </w:rPr>
            </w:pPr>
            <w:r>
              <w:rPr>
                <w:rFonts w:ascii="Arial" w:cs="Arial" w:eastAsia="Arial" w:hAnsi="Arial"/>
                <w:sz w:val="18"/>
                <w:szCs w:val="18"/>
                <w:b w:val="1"/>
                <w:bCs w:val="1"/>
                <w:color w:val="auto"/>
              </w:rPr>
              <w:t>8.9%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4"/>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OO; HC</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2"/>
              </w:rPr>
              <w:t>Citadel Securities LLC</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Delaware</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SHARES</w:t>
            </w: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OWNED BY</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rPr>
              <w:t>6,060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w:t>
            </w: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CERTAIN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460" w:type="dxa"/>
            <w:vAlign w:val="bottom"/>
            <w:gridSpan w:val="3"/>
          </w:tcPr>
          <w:p>
            <w:pPr>
              <w:ind w:left="760"/>
              <w:spacing w:after="0"/>
              <w:rPr>
                <w:sz w:val="20"/>
                <w:szCs w:val="20"/>
                <w:color w:val="auto"/>
              </w:rPr>
            </w:pPr>
            <w:r>
              <w:rPr>
                <w:rFonts w:ascii="Arial" w:cs="Arial" w:eastAsia="Arial" w:hAnsi="Arial"/>
                <w:sz w:val="18"/>
                <w:szCs w:val="18"/>
                <w:b w:val="1"/>
                <w:bCs w:val="1"/>
                <w:color w:val="auto"/>
              </w:rPr>
              <w:t>Less than 0.1%</w:t>
            </w: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4"/>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BD, OO</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5" w:name="page6"/>
    <w:bookmarkEnd w:id="5"/>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570"/>
              <w:spacing w:after="0"/>
              <w:rPr>
                <w:sz w:val="20"/>
                <w:szCs w:val="20"/>
                <w:color w:val="auto"/>
              </w:rPr>
            </w:pPr>
            <w:r>
              <w:rPr>
                <w:rFonts w:ascii="Arial" w:cs="Arial" w:eastAsia="Arial" w:hAnsi="Arial"/>
                <w:sz w:val="18"/>
                <w:szCs w:val="18"/>
                <w:b w:val="1"/>
                <w:bCs w:val="1"/>
                <w:color w:val="auto"/>
              </w:rPr>
              <w:t>CALC IV LP</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Delaware</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2"/>
          </w:tcPr>
          <w:p>
            <w:pPr>
              <w:jc w:val="center"/>
              <w:ind w:right="610"/>
              <w:spacing w:after="0"/>
              <w:rPr>
                <w:sz w:val="20"/>
                <w:szCs w:val="20"/>
                <w:color w:val="auto"/>
              </w:rPr>
            </w:pPr>
            <w:r>
              <w:rPr>
                <w:rFonts w:ascii="Arial" w:cs="Arial" w:eastAsia="Arial" w:hAnsi="Arial"/>
                <w:sz w:val="18"/>
                <w:szCs w:val="18"/>
                <w:color w:val="auto"/>
                <w:w w:val="98"/>
              </w:rPr>
              <w:t>NUMBER OF</w:t>
            </w: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3"/>
          </w:tcPr>
          <w:p>
            <w:pPr>
              <w:jc w:val="center"/>
              <w:ind w:right="53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jc w:val="center"/>
              <w:ind w:right="610"/>
              <w:spacing w:after="0"/>
              <w:rPr>
                <w:sz w:val="20"/>
                <w:szCs w:val="20"/>
                <w:color w:val="auto"/>
              </w:rPr>
            </w:pPr>
            <w:r>
              <w:rPr>
                <w:rFonts w:ascii="Arial" w:cs="Arial" w:eastAsia="Arial" w:hAnsi="Arial"/>
                <w:sz w:val="18"/>
                <w:szCs w:val="18"/>
                <w:color w:val="auto"/>
                <w:w w:val="99"/>
              </w:rPr>
              <w:t>OWNED BY</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rPr>
              <w:t>6,060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2"/>
              </w:rPr>
              <w:t>PERSON</w:t>
            </w: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CERTAIN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460" w:type="dxa"/>
            <w:vAlign w:val="bottom"/>
            <w:gridSpan w:val="3"/>
          </w:tcPr>
          <w:p>
            <w:pPr>
              <w:ind w:left="760"/>
              <w:spacing w:after="0"/>
              <w:rPr>
                <w:sz w:val="20"/>
                <w:szCs w:val="20"/>
                <w:color w:val="auto"/>
              </w:rPr>
            </w:pPr>
            <w:r>
              <w:rPr>
                <w:rFonts w:ascii="Arial" w:cs="Arial" w:eastAsia="Arial" w:hAnsi="Arial"/>
                <w:sz w:val="18"/>
                <w:szCs w:val="18"/>
                <w:b w:val="1"/>
                <w:bCs w:val="1"/>
                <w:color w:val="auto"/>
              </w:rPr>
              <w:t>Less than 0.1%</w:t>
            </w: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4"/>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PN; HC</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Citadel Securities GP LLC</w:t>
            </w: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Delaware</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SHARES</w:t>
            </w: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OWNED BY</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rPr>
              <w:t>6,060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w:t>
            </w: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CERTAIN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460" w:type="dxa"/>
            <w:vAlign w:val="bottom"/>
            <w:gridSpan w:val="3"/>
          </w:tcPr>
          <w:p>
            <w:pPr>
              <w:ind w:left="760"/>
              <w:spacing w:after="0"/>
              <w:rPr>
                <w:sz w:val="20"/>
                <w:szCs w:val="20"/>
                <w:color w:val="auto"/>
              </w:rPr>
            </w:pPr>
            <w:r>
              <w:rPr>
                <w:rFonts w:ascii="Arial" w:cs="Arial" w:eastAsia="Arial" w:hAnsi="Arial"/>
                <w:sz w:val="18"/>
                <w:szCs w:val="18"/>
                <w:b w:val="1"/>
                <w:bCs w:val="1"/>
                <w:color w:val="auto"/>
              </w:rPr>
              <w:t>Less than 0.1%</w:t>
            </w: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4"/>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OO; HC</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620" w:type="dxa"/>
            <w:vAlign w:val="bottom"/>
            <w:tcBorders>
              <w:top w:val="single" w:sz="8" w:color="auto"/>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3"/>
              </w:rPr>
              <w:t>NAME OF REPORTING PERSON</w:t>
            </w:r>
          </w:p>
        </w:tc>
        <w:tc>
          <w:tcPr>
            <w:tcW w:w="2960" w:type="dxa"/>
            <w:vAlign w:val="bottom"/>
            <w:tcBorders>
              <w:top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Kenneth Griffin</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880" w:type="dxa"/>
            <w:vAlign w:val="bottom"/>
            <w:tcBorders>
              <w:right w:val="single" w:sz="8" w:color="auto"/>
            </w:tcBorders>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ind w:left="2600"/>
              <w:spacing w:after="0" w:line="183" w:lineRule="exact"/>
              <w:rPr>
                <w:sz w:val="20"/>
                <w:szCs w:val="20"/>
                <w:color w:val="auto"/>
              </w:rPr>
            </w:pPr>
            <w:r>
              <w:rPr>
                <w:rFonts w:ascii="Arial" w:cs="Arial" w:eastAsia="Arial" w:hAnsi="Arial"/>
                <w:sz w:val="18"/>
                <w:szCs w:val="18"/>
                <w:color w:val="auto"/>
              </w:rPr>
              <w:t>(a)</w:t>
            </w:r>
          </w:p>
        </w:tc>
        <w:tc>
          <w:tcPr>
            <w:tcW w:w="4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(b)</w:t>
            </w:r>
          </w:p>
        </w:tc>
        <w:tc>
          <w:tcPr>
            <w:tcW w:w="4880" w:type="dxa"/>
            <w:vAlign w:val="bottom"/>
            <w:tcBorders>
              <w:bottom w:val="single" w:sz="8" w:color="auto"/>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24"/>
                <w:szCs w:val="24"/>
                <w:color w:val="auto"/>
              </w:rPr>
            </w:pPr>
          </w:p>
        </w:tc>
        <w:tc>
          <w:tcPr>
            <w:tcW w:w="566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U.S. Citizen</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VOTING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SHARES</w:t>
            </w: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VOTING POWER</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OWNED BY</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Arial" w:cs="Arial" w:eastAsia="Arial" w:hAnsi="Arial"/>
                <w:sz w:val="18"/>
                <w:szCs w:val="18"/>
                <w:b w:val="1"/>
                <w:bCs w:val="1"/>
                <w:color w:val="auto"/>
                <w:w w:val="99"/>
              </w:rPr>
              <w:t>31,132,991 ordinary shares</w:t>
            </w: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w:t>
            </w: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4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See Row 6 above</w:t>
            </w: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2"/>
              </w:rPr>
              <w:t>9.</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See Row 6 above</w:t>
            </w: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CERTAIN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80" w:type="dxa"/>
            <w:vAlign w:val="bottom"/>
            <w:tcBorders>
              <w:right w:val="single" w:sz="8" w:color="auto"/>
            </w:tcBorders>
            <w:vMerge w:val="restart"/>
          </w:tcPr>
          <w:p>
            <w:pPr>
              <w:ind w:left="3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gridSpan w:val="2"/>
          </w:tcPr>
          <w:p>
            <w:pPr>
              <w:spacing w:after="0"/>
              <w:rPr>
                <w:sz w:val="24"/>
                <w:szCs w:val="24"/>
                <w:color w:val="auto"/>
              </w:rPr>
            </w:pPr>
          </w:p>
        </w:tc>
        <w:tc>
          <w:tcPr>
            <w:tcW w:w="1680" w:type="dxa"/>
            <w:vAlign w:val="bottom"/>
          </w:tcPr>
          <w:p>
            <w:pPr>
              <w:ind w:left="760"/>
              <w:spacing w:after="0"/>
              <w:rPr>
                <w:sz w:val="20"/>
                <w:szCs w:val="20"/>
                <w:color w:val="auto"/>
              </w:rPr>
            </w:pPr>
            <w:r>
              <w:rPr>
                <w:rFonts w:ascii="Arial" w:cs="Arial" w:eastAsia="Arial" w:hAnsi="Arial"/>
                <w:sz w:val="18"/>
                <w:szCs w:val="18"/>
                <w:b w:val="1"/>
                <w:bCs w:val="1"/>
                <w:color w:val="auto"/>
              </w:rPr>
              <w:t>8.9%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4"/>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4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4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IN; HC</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8" w:name="page9"/>
    <w:bookmarkEnd w:id="8"/>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wp:posOffset>
            </wp:positionV>
            <wp:extent cx="155130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80" w:space="720"/>
            <w:col w:w="3040"/>
          </w:cols>
          <w:pgMar w:left="320" w:top="1120" w:right="33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Mereo BioPharma Group plc</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4th Floor, One Cavendish Place, London, W1G 0QF, United Kingdom</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This Schedule 13G is being jointly filed by Citadel Advisors LLC (“Citadel Advisors”), Citadel Advisors Holdings LP (“CAH”), Citadel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7"/>
              </w:rPr>
              <w:t>GP LLC (“CGP”), Citadel Securities LLC (“Citadel Securities”), CALC IV LP (“CALC4”), Citadel Securities GP LLC (“CSGP”) and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Mr. Kenneth Griffin (collectively with Citadel Advisors, CAH, CGP, Citadel Securities, CALC4 and CSGP, the “Reporting Persons”)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with respect to ordinary shares (and warrants to purchase ordinary shares) of the above-named issuer owned by Citadel Multi-Strategy</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Equities Master Fund Ltd., a Cayman Islands limited company (“CM”), and Citadel Securities.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Citadel Advisors is the portfolio manager for CM. CAH is the sole member of Citadel Advisors. CGP is the general partner of CAH.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CALC4 is the non-member manager of Citadel Securities. CSGP is the general partner of CALC4. Mr. Griffin is the President and Chief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Executive Officer of CGP, and owns a controlling interest in CGP and CSGP.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The filing of this statement shall not be construed as an admission that any of the Reporting Persons is the beneficial owner of any</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address of the principal business office of each of the Reporting Persons is 131 S. Dearborn Street, 32nd Floor, Chicago, Illinois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60603.</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Delaware. Each of CALC4 and CAH is organized as a limited partnership under the laws of the State of Delaware. Mr. Griffin is a U.S.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nominal value £0.003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589492107</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type w:val="continuous"/>
        </w:sectPr>
      </w:pPr>
    </w:p>
    <w:bookmarkStart w:id="9" w:name="page10"/>
    <w:bookmarkEnd w:id="9"/>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-108585</wp:posOffset>
            </wp:positionV>
            <wp:extent cx="155130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40" w:space="720"/>
            <w:col w:w="3080"/>
          </w:cols>
          <w:pgMar w:left="320" w:top="904" w:right="339" w:bottom="1440" w:gutter="0" w:footer="0" w:header="0"/>
        </w:sectPr>
      </w:pP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29" w:lineRule="exact"/>
        <w:rPr>
          <w:sz w:val="20"/>
          <w:szCs w:val="20"/>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Exchange Act;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Bank as defined in Section 3(a)(6) of the Exchange Act;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Exchange Act;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An investment adviser in accordance with Rule 13d-1(b)(1)(ii)(E);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Rule 13d-1(b)(1)(ii)(F);</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Rule 13d-1(b)(1)(ii)(G);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A savings association as defined in Section 3(b) of the Federal Deposit Insurance Act;</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A non-U.S. institution in accordance with Rule 13d-1(b)(1)(ii)(J);</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[__]  Group, in accordance with Rule 13d-1(b)(1)(ii)(K).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-108585</wp:posOffset>
            </wp:positionV>
            <wp:extent cx="155130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40" w:space="720"/>
            <w:col w:w="3040"/>
          </w:cols>
          <w:pgMar w:left="320" w:top="904" w:right="379" w:bottom="1440" w:gutter="0" w:footer="0" w:header="0"/>
        </w:sectPr>
      </w:pP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31,126,931 ordinary shares.</w:t>
      </w:r>
    </w:p>
    <w:p>
      <w:pPr>
        <w:spacing w:after="0" w:line="170" w:lineRule="exact"/>
        <w:rPr>
          <w:rFonts w:ascii="Arial" w:cs="Arial" w:eastAsia="Arial" w:hAnsi="Arial"/>
          <w:sz w:val="18"/>
          <w:szCs w:val="18"/>
          <w:color w:val="auto"/>
        </w:rPr>
      </w:pPr>
    </w:p>
    <w:p>
      <w:pPr>
        <w:ind w:left="2600" w:right="460" w:hanging="648"/>
        <w:spacing w:after="0" w:line="308" w:lineRule="auto"/>
        <w:tabs>
          <w:tab w:leader="none" w:pos="2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number of shares each of Citadel Advisors LLC, Citadel Advisors Holdings LP and Citadel GP LLC may be deemed to beneficially own constitutes approximately 8.9% of the ordinary shares outstanding.</w:t>
      </w:r>
    </w:p>
    <w:p>
      <w:pPr>
        <w:spacing w:after="0" w:line="146" w:lineRule="exact"/>
        <w:rPr>
          <w:rFonts w:ascii="Arial" w:cs="Arial" w:eastAsia="Arial" w:hAnsi="Arial"/>
          <w:sz w:val="17"/>
          <w:szCs w:val="17"/>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31,126,931</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31,126,931</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Securities LLC, CALC IV LP and Citadel Securities GP LLC</w:t>
      </w:r>
    </w:p>
    <w:p>
      <w:pPr>
        <w:spacing w:after="0" w:line="225" w:lineRule="exact"/>
        <w:rPr>
          <w:rFonts w:ascii="Arial" w:cs="Arial" w:eastAsia="Arial" w:hAnsi="Arial"/>
          <w:sz w:val="18"/>
          <w:szCs w:val="18"/>
          <w:color w:val="auto"/>
        </w:rPr>
      </w:pPr>
    </w:p>
    <w:p>
      <w:pPr>
        <w:ind w:left="2600" w:right="400" w:hanging="648"/>
        <w:spacing w:after="0" w:line="277"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Citadel Securities LLC, CALC IV LP and Citadel Securities GP LLC may be deemed to beneficially own 6,060 ordinary shares.</w:t>
      </w:r>
    </w:p>
    <w:p>
      <w:pPr>
        <w:spacing w:after="0" w:line="170" w:lineRule="exact"/>
        <w:rPr>
          <w:rFonts w:ascii="Arial" w:cs="Arial" w:eastAsia="Arial" w:hAnsi="Arial"/>
          <w:sz w:val="18"/>
          <w:szCs w:val="18"/>
          <w:color w:val="auto"/>
        </w:rPr>
      </w:pPr>
    </w:p>
    <w:p>
      <w:pPr>
        <w:ind w:left="2600" w:right="540" w:hanging="648"/>
        <w:spacing w:after="0" w:line="308" w:lineRule="auto"/>
        <w:tabs>
          <w:tab w:leader="none" w:pos="2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number of shares that each of Citadel Securities LLC, CALC IV LP and Citadel Securities GP LLC may be deemed to beneficially own constitutes less than 0.1% of the ordinary shares outstanding.</w:t>
      </w:r>
    </w:p>
    <w:p>
      <w:pPr>
        <w:spacing w:after="0" w:line="146" w:lineRule="exact"/>
        <w:rPr>
          <w:rFonts w:ascii="Arial" w:cs="Arial" w:eastAsia="Arial" w:hAnsi="Arial"/>
          <w:sz w:val="17"/>
          <w:szCs w:val="17"/>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6,060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1" w:name="page12"/>
    <w:bookmarkEnd w:id="11"/>
    <w:tbl>
      <w:tblPr>
        <w:tblLayout w:type="fixed"/>
        <w:tblInd w:w="10" w:type="dxa"/>
        <w:tblCellMar>
          <w:top w:w="0" w:type="dxa"/>
          <w:left w:w="0" w:type="dxa"/>
          <w:bottom w:w="0" w:type="dxa"/>
          <w:right w:w="0" w:type="dxa"/>
        </w:tblCellMar>
      </w:tblPr>
      <w:tr>
        <w:trPr>
          <w:trHeight w:val="229"/>
        </w:trPr>
        <w:tc>
          <w:tcPr>
            <w:tcW w:w="264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2680" w:type="dxa"/>
            <w:vAlign w:val="bottom"/>
          </w:tcPr>
          <w:p>
            <w:pPr>
              <w:ind w:left="2360"/>
              <w:spacing w:after="0"/>
              <w:rPr>
                <w:sz w:val="20"/>
                <w:szCs w:val="20"/>
                <w:color w:val="auto"/>
              </w:rPr>
            </w:pPr>
            <w:r>
              <w:rPr>
                <w:rFonts w:ascii="Arial" w:cs="Arial" w:eastAsia="Arial" w:hAnsi="Arial"/>
                <w:sz w:val="18"/>
                <w:szCs w:val="18"/>
                <w:b w:val="1"/>
                <w:bCs w:val="1"/>
                <w:color w:val="auto"/>
                <w:w w:val="88"/>
              </w:rPr>
              <w:t>13G</w:t>
            </w:r>
          </w:p>
        </w:tc>
      </w:tr>
    </w:tbl>
    <w:p>
      <w:pPr>
        <w:spacing w:after="0" w:line="202"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-108585</wp:posOffset>
            </wp:positionV>
            <wp:extent cx="155130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7440" w:space="720"/>
            <w:col w:w="2540"/>
          </w:cols>
          <w:pgMar w:left="320" w:top="903" w:right="879" w:bottom="1440" w:gutter="0" w:footer="0" w:header="0"/>
        </w:sectPr>
      </w:pPr>
    </w:p>
    <w:p>
      <w:pPr>
        <w:spacing w:after="0" w:line="25" w:lineRule="exact"/>
        <w:rPr>
          <w:sz w:val="20"/>
          <w:szCs w:val="20"/>
          <w:color w:val="auto"/>
        </w:rPr>
      </w:pPr>
    </w:p>
    <w:p>
      <w:pPr>
        <w:ind w:left="2600" w:hanging="64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Griffin may be deemed to beneficially own 31,132,991 ordinary shares.</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that Mr. Griffin may be deemed to beneficially own constitutes approximately 8.9% of the ordinary shares outstanding.</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31,132,991</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31,132,991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320" w:top="903" w:right="879" w:bottom="1440" w:gutter="0" w:footer="0" w:header="0"/>
          <w:type w:val="continuous"/>
        </w:sectPr>
      </w:pPr>
    </w:p>
    <w:bookmarkStart w:id="12" w:name="page13"/>
    <w:bookmarkEnd w:id="12"/>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-108585</wp:posOffset>
            </wp:positionV>
            <wp:extent cx="15513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40" w:space="720"/>
            <w:col w:w="3080"/>
          </w:cols>
          <w:pgMar w:left="320" w:top="904" w:right="33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940" w:type="dxa"/>
            <w:vAlign w:val="bottom"/>
          </w:tcPr>
          <w:p>
            <w:pPr>
              <w:spacing w:after="0"/>
              <w:rPr>
                <w:sz w:val="15"/>
                <w:szCs w:val="15"/>
                <w:color w:val="auto"/>
              </w:rPr>
            </w:pPr>
          </w:p>
        </w:tc>
        <w:tc>
          <w:tcPr>
            <w:tcW w:w="10300" w:type="dxa"/>
            <w:vAlign w:val="bottom"/>
          </w:tcPr>
          <w:p>
            <w:pPr>
              <w:ind w:left="36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40" w:type="dxa"/>
            <w:vAlign w:val="bottom"/>
          </w:tcPr>
          <w:p>
            <w:pPr>
              <w:spacing w:after="0"/>
              <w:rPr>
                <w:sz w:val="24"/>
                <w:szCs w:val="24"/>
                <w:color w:val="auto"/>
              </w:rPr>
            </w:pPr>
          </w:p>
        </w:tc>
        <w:tc>
          <w:tcPr>
            <w:tcW w:w="1030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98"/>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4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See Item 2 above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3" w:name="page14"/>
    <w:bookmarkEnd w:id="13"/>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71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71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-108585</wp:posOffset>
            </wp:positionV>
            <wp:extent cx="15513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5130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80" w:space="720"/>
            <w:col w:w="2440" w:space="720"/>
            <w:col w:w="3080"/>
          </w:cols>
          <w:pgMar w:left="320" w:top="904" w:right="339" w:bottom="1440" w:gutter="0" w:footer="0" w:header="0"/>
        </w:sectPr>
      </w:pP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Noah Goldberg</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Noah Goldberg,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HOLDINGS LP</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Noah Goldberg</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Noah Goldberg,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GP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Noah Goldberg</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Noah Goldberg, Authorized Signatory</w:t>
            </w:r>
          </w:p>
        </w:tc>
      </w:tr>
      <w:tr>
        <w:trPr>
          <w:trHeight w:val="418"/>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KENNETH GRIFFIN</w:t>
            </w:r>
          </w:p>
        </w:tc>
      </w:tr>
      <w:tr>
        <w:trPr>
          <w:trHeight w:val="432"/>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Noah Goldberg</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Noah Goldberg, 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4" w:lineRule="exact"/>
        <w:rPr>
          <w:sz w:val="20"/>
          <w:szCs w:val="20"/>
          <w:color w:val="auto"/>
        </w:rPr>
      </w:pPr>
    </w:p>
    <w:p>
      <w:pPr>
        <w:jc w:val="both"/>
        <w:ind w:left="660" w:hanging="652"/>
        <w:spacing w:after="0" w:line="209" w:lineRule="auto"/>
        <w:tabs>
          <w:tab w:leader="none" w:pos="660"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Noah Goldberg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Zentalis Pharmaceuticals Inc. on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ordinary shares of Mereo BioPharma Group plc, an England and Wales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400" w:type="dxa"/>
            <w:vAlign w:val="bottom"/>
            <w:gridSpan w:val="2"/>
          </w:tcPr>
          <w:p>
            <w:pPr>
              <w:spacing w:after="0"/>
              <w:rPr>
                <w:sz w:val="20"/>
                <w:szCs w:val="20"/>
                <w:color w:val="auto"/>
              </w:rPr>
            </w:pPr>
            <w:r>
              <w:rPr>
                <w:rFonts w:ascii="Arial" w:cs="Arial" w:eastAsia="Arial" w:hAnsi="Arial"/>
                <w:sz w:val="18"/>
                <w:szCs w:val="18"/>
                <w:color w:val="auto"/>
              </w:rPr>
              <w:t>Dated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2020.</w:t>
            </w: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CITADEL SECURITIES LLC</w:t>
            </w:r>
          </w:p>
        </w:tc>
        <w:tc>
          <w:tcPr>
            <w:tcW w:w="544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By: /s/ Guy Miller</w:t>
            </w:r>
          </w:p>
        </w:tc>
        <w:tc>
          <w:tcPr>
            <w:tcW w:w="5440" w:type="dxa"/>
            <w:vAlign w:val="bottom"/>
            <w:gridSpan w:val="4"/>
          </w:tcPr>
          <w:p>
            <w:pPr>
              <w:ind w:left="220"/>
              <w:spacing w:after="0"/>
              <w:rPr>
                <w:sz w:val="20"/>
                <w:szCs w:val="20"/>
                <w:color w:val="auto"/>
              </w:rPr>
            </w:pPr>
            <w:r>
              <w:rPr>
                <w:rFonts w:ascii="Arial" w:cs="Arial" w:eastAsia="Arial" w:hAnsi="Arial"/>
                <w:sz w:val="18"/>
                <w:szCs w:val="18"/>
                <w:color w:val="auto"/>
              </w:rPr>
              <w:t>By: /s/ Noah Goldberg</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40" w:type="dxa"/>
            <w:vAlign w:val="bottom"/>
          </w:tcPr>
          <w:p>
            <w:pPr>
              <w:spacing w:after="0"/>
              <w:rPr>
                <w:sz w:val="19"/>
                <w:szCs w:val="19"/>
                <w:color w:val="auto"/>
              </w:rPr>
            </w:pPr>
          </w:p>
        </w:tc>
        <w:tc>
          <w:tcPr>
            <w:tcW w:w="4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Noah Goldberg, Authorized Signatory</w:t>
            </w:r>
          </w:p>
        </w:tc>
        <w:tc>
          <w:tcPr>
            <w:tcW w:w="0" w:type="dxa"/>
            <w:vAlign w:val="bottom"/>
          </w:tcPr>
          <w:p>
            <w:pPr>
              <w:spacing w:after="0"/>
              <w:rPr>
                <w:sz w:val="1"/>
                <w:szCs w:val="1"/>
                <w:color w:val="auto"/>
              </w:rPr>
            </w:pPr>
          </w:p>
        </w:tc>
      </w:tr>
      <w:tr>
        <w:trPr>
          <w:trHeight w:val="418"/>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CALC IV LP</w:t>
            </w:r>
          </w:p>
        </w:tc>
        <w:tc>
          <w:tcPr>
            <w:tcW w:w="544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By: /s/ Guy Miller</w:t>
            </w:r>
          </w:p>
        </w:tc>
        <w:tc>
          <w:tcPr>
            <w:tcW w:w="5440" w:type="dxa"/>
            <w:vAlign w:val="bottom"/>
            <w:gridSpan w:val="4"/>
          </w:tcPr>
          <w:p>
            <w:pPr>
              <w:ind w:left="220"/>
              <w:spacing w:after="0"/>
              <w:rPr>
                <w:sz w:val="20"/>
                <w:szCs w:val="20"/>
                <w:color w:val="auto"/>
              </w:rPr>
            </w:pPr>
            <w:r>
              <w:rPr>
                <w:rFonts w:ascii="Arial" w:cs="Arial" w:eastAsia="Arial" w:hAnsi="Arial"/>
                <w:sz w:val="18"/>
                <w:szCs w:val="18"/>
                <w:color w:val="auto"/>
              </w:rPr>
              <w:t>By: /s/ Noah Goldberg</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40" w:type="dxa"/>
            <w:vAlign w:val="bottom"/>
          </w:tcPr>
          <w:p>
            <w:pPr>
              <w:spacing w:after="0"/>
              <w:rPr>
                <w:sz w:val="19"/>
                <w:szCs w:val="19"/>
                <w:color w:val="auto"/>
              </w:rPr>
            </w:pPr>
          </w:p>
        </w:tc>
        <w:tc>
          <w:tcPr>
            <w:tcW w:w="4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Noah Goldberg, Authorized Signatory</w:t>
            </w:r>
          </w:p>
        </w:tc>
        <w:tc>
          <w:tcPr>
            <w:tcW w:w="0" w:type="dxa"/>
            <w:vAlign w:val="bottom"/>
          </w:tcPr>
          <w:p>
            <w:pPr>
              <w:spacing w:after="0"/>
              <w:rPr>
                <w:sz w:val="1"/>
                <w:szCs w:val="1"/>
                <w:color w:val="auto"/>
              </w:rPr>
            </w:pPr>
          </w:p>
        </w:tc>
      </w:tr>
      <w:tr>
        <w:trPr>
          <w:trHeight w:val="418"/>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CITADEL SECURITIES GP LLC</w:t>
            </w:r>
          </w:p>
        </w:tc>
        <w:tc>
          <w:tcPr>
            <w:tcW w:w="5440" w:type="dxa"/>
            <w:vAlign w:val="bottom"/>
            <w:gridSpan w:val="4"/>
          </w:tcPr>
          <w:p>
            <w:pPr>
              <w:ind w:left="220"/>
              <w:spacing w:after="0"/>
              <w:rPr>
                <w:sz w:val="20"/>
                <w:szCs w:val="20"/>
                <w:color w:val="auto"/>
              </w:rPr>
            </w:pPr>
            <w:r>
              <w:rPr>
                <w:rFonts w:ascii="Arial" w:cs="Arial" w:eastAsia="Arial" w:hAnsi="Arial"/>
                <w:sz w:val="18"/>
                <w:szCs w:val="18"/>
                <w:b w:val="1"/>
                <w:bCs w:val="1"/>
                <w:color w:val="auto"/>
              </w:rPr>
              <w:t>CITADEL GP LLC</w:t>
            </w:r>
          </w:p>
        </w:tc>
        <w:tc>
          <w:tcPr>
            <w:tcW w:w="0" w:type="dxa"/>
            <w:vAlign w:val="bottom"/>
          </w:tcPr>
          <w:p>
            <w:pPr>
              <w:spacing w:after="0"/>
              <w:rPr>
                <w:sz w:val="1"/>
                <w:szCs w:val="1"/>
                <w:color w:val="auto"/>
              </w:rPr>
            </w:pPr>
          </w:p>
        </w:tc>
      </w:tr>
      <w:tr>
        <w:trPr>
          <w:trHeight w:val="432"/>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By: /s/ Guy Miller</w:t>
            </w:r>
          </w:p>
        </w:tc>
        <w:tc>
          <w:tcPr>
            <w:tcW w:w="5440" w:type="dxa"/>
            <w:vAlign w:val="bottom"/>
            <w:gridSpan w:val="4"/>
          </w:tcPr>
          <w:p>
            <w:pPr>
              <w:ind w:left="220"/>
              <w:spacing w:after="0"/>
              <w:rPr>
                <w:sz w:val="20"/>
                <w:szCs w:val="20"/>
                <w:color w:val="auto"/>
              </w:rPr>
            </w:pPr>
            <w:r>
              <w:rPr>
                <w:rFonts w:ascii="Arial" w:cs="Arial" w:eastAsia="Arial" w:hAnsi="Arial"/>
                <w:sz w:val="18"/>
                <w:szCs w:val="18"/>
                <w:color w:val="auto"/>
              </w:rPr>
              <w:t>By: /s/ Noah Goldberg</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40" w:type="dxa"/>
            <w:vAlign w:val="bottom"/>
          </w:tcPr>
          <w:p>
            <w:pPr>
              <w:spacing w:after="0"/>
              <w:rPr>
                <w:sz w:val="19"/>
                <w:szCs w:val="19"/>
                <w:color w:val="auto"/>
              </w:rPr>
            </w:pPr>
          </w:p>
        </w:tc>
        <w:tc>
          <w:tcPr>
            <w:tcW w:w="4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Noah Goldberg, Authorized Signatory</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440" w:type="dxa"/>
            <w:vAlign w:val="bottom"/>
            <w:gridSpan w:val="4"/>
          </w:tcPr>
          <w:p>
            <w:pPr>
              <w:ind w:left="22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440" w:type="dxa"/>
            <w:vAlign w:val="bottom"/>
            <w:gridSpan w:val="4"/>
          </w:tcPr>
          <w:p>
            <w:pPr>
              <w:ind w:left="220"/>
              <w:spacing w:after="0"/>
              <w:rPr>
                <w:sz w:val="20"/>
                <w:szCs w:val="20"/>
                <w:color w:val="auto"/>
              </w:rPr>
            </w:pPr>
            <w:r>
              <w:rPr>
                <w:rFonts w:ascii="Arial" w:cs="Arial" w:eastAsia="Arial" w:hAnsi="Arial"/>
                <w:sz w:val="18"/>
                <w:szCs w:val="18"/>
                <w:color w:val="auto"/>
              </w:rPr>
              <w:t>By: /s/ Noah Goldberg</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w w:val="91"/>
              </w:rPr>
              <w:t>Noah Goldberg, attorney-in-fact</w:t>
            </w:r>
          </w:p>
        </w:tc>
        <w:tc>
          <w:tcPr>
            <w:tcW w:w="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2"/>
              </w:rPr>
              <w:t>*</w:t>
            </w:r>
          </w:p>
        </w:tc>
        <w:tc>
          <w:tcPr>
            <w:tcW w:w="2520" w:type="dxa"/>
            <w:vAlign w:val="bottom"/>
            <w:tcBorders>
              <w:top w:val="single" w:sz="8" w:color="auto"/>
              <w:bottom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00" w:type="dxa"/>
            <w:vAlign w:val="bottom"/>
          </w:tcPr>
          <w:p>
            <w:pPr>
              <w:spacing w:after="0"/>
              <w:rPr>
                <w:sz w:val="7"/>
                <w:szCs w:val="7"/>
                <w:color w:val="auto"/>
              </w:rPr>
            </w:pPr>
          </w:p>
        </w:tc>
        <w:tc>
          <w:tcPr>
            <w:tcW w:w="4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100" w:hanging="652"/>
        <w:spacing w:after="0" w:line="209" w:lineRule="auto"/>
        <w:tabs>
          <w:tab w:leader="none" w:pos="660" w:val="left"/>
        </w:tabs>
        <w:numPr>
          <w:ilvl w:val="0"/>
          <w:numId w:val="8"/>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Noah Goldberg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Zentalis Pharmaceuticals Inc. on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2EB141F2"/>
    <w:multiLevelType w:val="hybridMultilevel"/>
    <w:lvl w:ilvl="0">
      <w:lvlJc w:val="left"/>
      <w:lvlText w:val="%1."/>
      <w:numFmt w:val="upperLetter"/>
      <w:start w:val="3"/>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2020-07-10T15:04:01Z</dcterms:created>
  <dcterms:modified xsi:type="dcterms:W3CDTF">2020-07-10T15:04:01Z</dcterms:modified>
</cp:coreProperties>
</file>