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July,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Mereo BioPharma Group plc</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(“Mereo” or the “Company” or the “Group”)</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Mereo BioPharma Appoints Richard Francis as Head of Pharmaceutical Development</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London and Redwood City, Calif., July 15, 2019 </w:t>
      </w:r>
      <w:r>
        <w:rPr>
          <w:rFonts w:ascii="Arial" w:cs="Arial" w:eastAsia="Arial" w:hAnsi="Arial"/>
          <w:sz w:val="16"/>
          <w:szCs w:val="16"/>
          <w:color w:val="auto"/>
        </w:rPr>
        <w:t>- Mereo BioPharma Group plc (NASDAQ: MREO, AIM: MPH), a clinical 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rare diseases, today announces the appointment of Richard Francis as Head of Pharmaceutical Development, effective August 1, 2019. Mr. Francis brings to Mereo more than 35 years of experience in biopharmaceutical process development and manufacturing operations across a diverse set of product types including antibodies, recombinant DNA proteins, gene therapy constructs and at all stages of their life cycle development.</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Dr. Denise Scots-Knight, Chief Executive Officer of Mereo BioPharma commented, “Richard’s extensive process development and chemistry, manufacturing, and controls (CMC) experience – including leading the CMC efforts for Ablynx’s first nanobody product from early-stage clinical development through approval and commercial launch – will be instrumental to us as we continue to advance our late-stage product portfolio including setrusumab for osteogenesis imperfecta (OI), a rare bone disease with no approved therapies. With a Phase 3 registration study design agreed to by the European Medicines Agency for a pediatric OI population, Richard is a key addition to our existing leadership team as we work to set the stage for our potential commercial operations.”</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Prior to joining Mereo BioPharma, Mr. Francis was the owner and senior director of Francis Biopharma Ltd., where he served as an expert CMC consultant to over 30 biopharmaceutical clients, including Mereo. Before founding Francis Biopharma in 2010, Mr. Francis held a variety of senior management roles in process development, technical support, manufacturing operations and product lifecycle programs at companies such as Celltech, Centocor, GlaxoSmithKline (GSK), Protherics and BTG. Mr. Francis was involved in the development, regulatory approval and commercialization of many biopharmaceutical products including Cablivi</w:t>
      </w:r>
      <w:r>
        <w:rPr>
          <w:rFonts w:ascii="Arial" w:cs="Arial" w:eastAsia="Arial" w:hAnsi="Arial"/>
          <w:sz w:val="13"/>
          <w:szCs w:val="13"/>
          <w:color w:val="auto"/>
        </w:rPr>
        <w:t>®</w:t>
      </w:r>
      <w:r>
        <w:rPr>
          <w:rFonts w:ascii="Arial" w:cs="Arial" w:eastAsia="Arial" w:hAnsi="Arial"/>
          <w:sz w:val="16"/>
          <w:szCs w:val="16"/>
          <w:color w:val="auto"/>
        </w:rPr>
        <w:t>, Orthoclone OKT3</w:t>
      </w:r>
      <w:r>
        <w:rPr>
          <w:rFonts w:ascii="Arial" w:cs="Arial" w:eastAsia="Arial" w:hAnsi="Arial"/>
          <w:sz w:val="13"/>
          <w:szCs w:val="13"/>
          <w:color w:val="auto"/>
        </w:rPr>
        <w:t>®</w:t>
      </w:r>
      <w:r>
        <w:rPr>
          <w:rFonts w:ascii="Arial" w:cs="Arial" w:eastAsia="Arial" w:hAnsi="Arial"/>
          <w:sz w:val="16"/>
          <w:szCs w:val="16"/>
          <w:color w:val="auto"/>
        </w:rPr>
        <w:t>, Remicade</w:t>
      </w:r>
      <w:r>
        <w:rPr>
          <w:rFonts w:ascii="Arial" w:cs="Arial" w:eastAsia="Arial" w:hAnsi="Arial"/>
          <w:sz w:val="13"/>
          <w:szCs w:val="13"/>
          <w:color w:val="auto"/>
        </w:rPr>
        <w:t>®</w:t>
      </w:r>
      <w:r>
        <w:rPr>
          <w:rFonts w:ascii="Arial" w:cs="Arial" w:eastAsia="Arial" w:hAnsi="Arial"/>
          <w:sz w:val="16"/>
          <w:szCs w:val="16"/>
          <w:color w:val="auto"/>
        </w:rPr>
        <w:t>, and ReoPro</w:t>
      </w:r>
      <w:r>
        <w:rPr>
          <w:rFonts w:ascii="Arial" w:cs="Arial" w:eastAsia="Arial" w:hAnsi="Arial"/>
          <w:sz w:val="13"/>
          <w:szCs w:val="13"/>
          <w:color w:val="auto"/>
        </w:rPr>
        <w:t>®</w:t>
      </w:r>
      <w:r>
        <w:rPr>
          <w:rFonts w:ascii="Arial" w:cs="Arial" w:eastAsia="Arial" w:hAnsi="Arial"/>
          <w:sz w:val="16"/>
          <w:szCs w:val="16"/>
          <w:color w:val="auto"/>
        </w:rPr>
        <w:t>. Mr. Francis serves as a visiting honorary lecturer at University College London (UCL) covering subjects of quality by design (QbD) and process validation at the master’s degree level or above and co-leads the UCL MBI</w:t>
      </w:r>
      <w:r>
        <w:rPr>
          <w:rFonts w:ascii="Arial" w:cs="Arial" w:eastAsia="Arial" w:hAnsi="Arial"/>
          <w:sz w:val="13"/>
          <w:szCs w:val="13"/>
          <w:color w:val="auto"/>
        </w:rPr>
        <w:t>®</w:t>
      </w:r>
      <w:r>
        <w:rPr>
          <w:rFonts w:ascii="Arial" w:cs="Arial" w:eastAsia="Arial" w:hAnsi="Arial"/>
          <w:sz w:val="16"/>
          <w:szCs w:val="16"/>
          <w:color w:val="auto"/>
        </w:rPr>
        <w:t xml:space="preserve"> training program for QbD and process qualification. He has authored or co-authored more than 50 publications in various biotechnology focused journals related to process design, process qualification, analytical methods and biopharmaceutical product manufacturing.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“After serving as an industry consultant for the last decade, I am thrilled to join Mereo to lead its pharmaceutical development efforts,” commented</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Francis. “Based on the clinical data generated to date, I believe Mereo’s pipeline holds great potential and I look forward to applying my experience and expertise to help the company make a positive impact on the lives of patients in need of new innovative therapies.”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existing portfolio consists of six clinical stage product candidates.</w:t>
      </w:r>
    </w:p>
    <w:p>
      <w:pPr>
        <w:spacing w:after="0" w:line="92" w:lineRule="exact"/>
        <w:rPr>
          <w:sz w:val="20"/>
          <w:szCs w:val="20"/>
          <w:color w:val="auto"/>
        </w:rPr>
      </w:pPr>
    </w:p>
    <w:p>
      <w:pPr>
        <w:ind w:left="860" w:right="20" w:hanging="316"/>
        <w:spacing w:after="0" w:line="27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Setrusumab for osteogenesis imperfecta (OI). In October 2018, the Company announced completion of enrollment of 112 adult patients in a Phase 2b dose ranging study with initial positive 6-month open label data announced in May 2019 and top-line 12-month blinded dose ranging data expected in Q4 2019. A pediatric Phase 3 study design has also been approved by the EMA. Setrusumab has orphan designation in the U.S. and the EU and has been accepted into the PRIME and Adaptive Pathways in EU;</w:t>
      </w:r>
    </w:p>
    <w:p>
      <w:pPr>
        <w:spacing w:after="0" w:line="76" w:lineRule="exact"/>
        <w:rPr>
          <w:rFonts w:ascii="Arial" w:cs="Arial" w:eastAsia="Arial" w:hAnsi="Arial"/>
          <w:sz w:val="17"/>
          <w:szCs w:val="17"/>
          <w:color w:val="auto"/>
        </w:rPr>
      </w:pPr>
    </w:p>
    <w:p>
      <w:pPr>
        <w:ind w:left="860" w:right="180" w:hanging="316"/>
        <w:spacing w:after="0" w:line="308"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Alvelestat for alpha-1 antitrypsin deficiency (AATD). The Company has initiated a Phase 2 proof-of-concept clinical trial in patients with severe AATD in the United States and the EU and expects to report top-line data from this trial around the end of 2019;</w:t>
      </w:r>
    </w:p>
    <w:p>
      <w:pPr>
        <w:sectPr>
          <w:pgSz w:w="11900" w:h="16838" w:orient="portrait"/>
          <w:cols w:equalWidth="0" w:num="1">
            <w:col w:w="10960"/>
          </w:cols>
          <w:pgMar w:left="440" w:top="270" w:right="499" w:bottom="1440" w:gutter="0" w:footer="0" w:header="0"/>
        </w:sectPr>
      </w:pPr>
    </w:p>
    <w:bookmarkStart w:id="2" w:name="page3"/>
    <w:bookmarkEnd w:id="2"/>
    <w:p>
      <w:pPr>
        <w:ind w:left="860" w:right="16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Acumapimod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86" w:lineRule="exact"/>
        <w:rPr>
          <w:rFonts w:ascii="Arial" w:cs="Arial" w:eastAsia="Arial" w:hAnsi="Arial"/>
          <w:sz w:val="18"/>
          <w:szCs w:val="18"/>
          <w:color w:val="auto"/>
        </w:rPr>
      </w:pPr>
    </w:p>
    <w:p>
      <w:pPr>
        <w:ind w:left="860" w:right="50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in March 2018 and positive results from the Phase 2b safety extension study in December 2018;</w:t>
      </w:r>
    </w:p>
    <w:p>
      <w:pPr>
        <w:spacing w:after="0" w:line="75" w:lineRule="exact"/>
        <w:rPr>
          <w:rFonts w:ascii="Arial" w:cs="Arial" w:eastAsia="Arial" w:hAnsi="Arial"/>
          <w:sz w:val="18"/>
          <w:szCs w:val="18"/>
          <w:color w:val="auto"/>
        </w:rPr>
      </w:pPr>
    </w:p>
    <w:p>
      <w:pPr>
        <w:ind w:left="86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86" w:lineRule="exact"/>
        <w:rPr>
          <w:rFonts w:ascii="Arial" w:cs="Arial" w:eastAsia="Arial" w:hAnsi="Arial"/>
          <w:sz w:val="18"/>
          <w:szCs w:val="18"/>
          <w:color w:val="auto"/>
        </w:rPr>
      </w:pPr>
    </w:p>
    <w:p>
      <w:pPr>
        <w:ind w:left="860" w:right="24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the Phase 1b combination study with nivolumab has fully enrolled and is currently in the safety monitoring phase.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Further Enquiries</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5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(0)333 023 7300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500" w:type="dxa"/>
            <w:vAlign w:val="bottom"/>
          </w:tcPr>
          <w:p>
            <w:pPr>
              <w:spacing w:after="0"/>
              <w:rPr>
                <w:sz w:val="20"/>
                <w:szCs w:val="20"/>
                <w:color w:val="auto"/>
              </w:rPr>
            </w:pPr>
            <w:r>
              <w:rPr>
                <w:rFonts w:ascii="Arial" w:cs="Arial" w:eastAsia="Arial" w:hAnsi="Arial"/>
                <w:sz w:val="18"/>
                <w:szCs w:val="18"/>
                <w:b w:val="1"/>
                <w:bCs w:val="1"/>
                <w:color w:val="auto"/>
                <w:w w:val="97"/>
              </w:rPr>
              <w:t>Cantor Fitzgerald Europe (Nominated Adviser and Joint Broker to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(0)20 7894 7000</w:t>
            </w:r>
          </w:p>
        </w:tc>
        <w:tc>
          <w:tcPr>
            <w:tcW w:w="0" w:type="dxa"/>
            <w:vAlign w:val="bottom"/>
          </w:tcPr>
          <w:p>
            <w:pPr>
              <w:spacing w:after="0"/>
              <w:rPr>
                <w:sz w:val="1"/>
                <w:szCs w:val="1"/>
                <w:color w:val="auto"/>
              </w:rPr>
            </w:pPr>
          </w:p>
        </w:tc>
      </w:tr>
      <w:tr>
        <w:trPr>
          <w:trHeight w:val="220"/>
        </w:trPr>
        <w:tc>
          <w:tcPr>
            <w:tcW w:w="55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Phil Davies</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Will Goode</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2"/>
              </w:rPr>
              <w:t>(0)20 7653 4000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Rupert Walford</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Jamil Miah</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2"/>
              </w:rPr>
              <w:t>(0)20 3727 1000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Simon Conway</w:t>
            </w:r>
          </w:p>
        </w:tc>
        <w:tc>
          <w:tcPr>
            <w:tcW w:w="6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Brett Pollard</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Ciara Martin</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0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88"/>
              </w:rPr>
              <w:t>(0) 212 213 0006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Lisa Burns</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Steve Klass</w:t>
            </w: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2019-12-01T00:14:58Z</dcterms:created>
  <dcterms:modified xsi:type="dcterms:W3CDTF">2019-12-01T00:14:58Z</dcterms:modified>
</cp:coreProperties>
</file>