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3)*</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25" w:lineRule="exact"/>
        <w:rPr>
          <w:sz w:val="24"/>
          <w:szCs w:val="24"/>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ind w:right="420"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**This CUSIP applies to the American Depositary Shares, each representing five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42" w:right="49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84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Baker Bros. Advisors LP</w:t>
            </w:r>
          </w:p>
        </w:tc>
        <w:tc>
          <w:tcPr>
            <w:tcW w:w="4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3"/>
                <w:szCs w:val="13"/>
                <w:color w:val="auto"/>
              </w:rPr>
            </w:pPr>
          </w:p>
        </w:tc>
        <w:tc>
          <w:tcPr>
            <w:tcW w:w="8480" w:type="dxa"/>
            <w:vAlign w:val="bottom"/>
            <w:gridSpan w:val="4"/>
          </w:tcPr>
          <w:p>
            <w:pPr>
              <w:ind w:left="20"/>
              <w:spacing w:after="0" w:line="156"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60" w:type="dxa"/>
            <w:vAlign w:val="bottom"/>
            <w:tcBorders>
              <w:right w:val="single" w:sz="8" w:color="auto"/>
            </w:tcBorders>
          </w:tcPr>
          <w:p>
            <w:pPr>
              <w:ind w:left="1060"/>
              <w:spacing w:after="0" w:line="156"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60" w:type="dxa"/>
            <w:vAlign w:val="bottom"/>
            <w:tcBorders>
              <w:right w:val="single" w:sz="8" w:color="auto"/>
            </w:tcBorders>
            <w:vMerge w:val="restart"/>
          </w:tcPr>
          <w:p>
            <w:pPr>
              <w:ind w:left="10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4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140" w:type="dxa"/>
            <w:vAlign w:val="bottom"/>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4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140" w:type="dxa"/>
            <w:vAlign w:val="bottom"/>
          </w:tcPr>
          <w:p>
            <w:pPr>
              <w:ind w:left="320"/>
              <w:spacing w:after="0"/>
              <w:rPr>
                <w:sz w:val="20"/>
                <w:szCs w:val="20"/>
                <w:color w:val="auto"/>
              </w:rPr>
            </w:pPr>
            <w:r>
              <w:rPr>
                <w:rFonts w:ascii="Arial" w:cs="Arial" w:eastAsia="Arial" w:hAnsi="Arial"/>
                <w:sz w:val="18"/>
                <w:szCs w:val="18"/>
                <w:b w:val="1"/>
                <w:bCs w:val="1"/>
                <w:color w:val="auto"/>
              </w:rPr>
              <w:t>SOLE VOTING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jc w:val="center"/>
              <w:ind w:right="510"/>
              <w:spacing w:after="0" w:line="205" w:lineRule="exact"/>
              <w:rPr>
                <w:sz w:val="20"/>
                <w:szCs w:val="20"/>
                <w:color w:val="auto"/>
              </w:rPr>
            </w:pPr>
            <w:r>
              <w:rPr>
                <w:rFonts w:ascii="Arial" w:cs="Arial" w:eastAsia="Arial" w:hAnsi="Arial"/>
                <w:sz w:val="18"/>
                <w:szCs w:val="18"/>
                <w:b w:val="1"/>
                <w:bCs w:val="1"/>
                <w:color w:val="auto"/>
                <w:w w:val="95"/>
              </w:rPr>
              <w:t>SHARES</w:t>
            </w:r>
          </w:p>
        </w:tc>
        <w:tc>
          <w:tcPr>
            <w:tcW w:w="12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6140" w:type="dxa"/>
            <w:vAlign w:val="bottom"/>
          </w:tcPr>
          <w:p>
            <w:pPr>
              <w:spacing w:after="0" w:line="205" w:lineRule="exact"/>
              <w:rPr>
                <w:sz w:val="20"/>
                <w:szCs w:val="20"/>
                <w:color w:val="auto"/>
              </w:rPr>
            </w:pPr>
            <w:r>
              <w:rPr>
                <w:rFonts w:ascii="Arial" w:cs="Arial" w:eastAsia="Arial" w:hAnsi="Arial"/>
                <w:sz w:val="18"/>
                <w:szCs w:val="18"/>
                <w:b w:val="1"/>
                <w:bCs w:val="1"/>
                <w:color w:val="auto"/>
              </w:rPr>
              <w:t>SHARED VOTING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rPr>
              <w:t>EACH</w:t>
            </w:r>
          </w:p>
        </w:tc>
        <w:tc>
          <w:tcPr>
            <w:tcW w:w="1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140" w:type="dxa"/>
            <w:vAlign w:val="bottom"/>
          </w:tcPr>
          <w:p>
            <w:pPr>
              <w:ind w:left="32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REPORTING</w:t>
            </w:r>
          </w:p>
        </w:tc>
        <w:tc>
          <w:tcPr>
            <w:tcW w:w="120" w:type="dxa"/>
            <w:vAlign w:val="bottom"/>
          </w:tcPr>
          <w:p>
            <w:pPr>
              <w:spacing w:after="0"/>
              <w:rPr>
                <w:sz w:val="18"/>
                <w:szCs w:val="18"/>
                <w:color w:val="auto"/>
              </w:rPr>
            </w:pPr>
          </w:p>
        </w:tc>
        <w:tc>
          <w:tcPr>
            <w:tcW w:w="4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14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7"/>
              </w:rPr>
              <w:t>PERSON</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rPr>
              <w:t>WITH</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3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BENEFICIALLY OWNED BY EACH REPORTING PERSON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14,604,391 (1)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48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60" w:type="dxa"/>
            <w:vAlign w:val="bottom"/>
            <w:tcBorders>
              <w:right w:val="single" w:sz="8" w:color="auto"/>
            </w:tcBorders>
          </w:tcPr>
          <w:p>
            <w:pPr>
              <w:ind w:left="11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10</w:t>
            </w:r>
          </w:p>
        </w:tc>
        <w:tc>
          <w:tcPr>
            <w:tcW w:w="140" w:type="dxa"/>
            <w:vAlign w:val="bottom"/>
            <w:tcBorders>
              <w:right w:val="single" w:sz="8" w:color="auto"/>
            </w:tcBorders>
          </w:tcPr>
          <w:p>
            <w:pPr>
              <w:spacing w:after="0"/>
              <w:rPr>
                <w:sz w:val="20"/>
                <w:szCs w:val="20"/>
                <w:color w:val="auto"/>
              </w:rPr>
            </w:pPr>
          </w:p>
        </w:tc>
        <w:tc>
          <w:tcPr>
            <w:tcW w:w="1920" w:type="dxa"/>
            <w:vAlign w:val="bottom"/>
            <w:gridSpan w:val="2"/>
          </w:tcPr>
          <w:p>
            <w:pPr>
              <w:ind w:left="340"/>
              <w:spacing w:after="0"/>
              <w:rPr>
                <w:sz w:val="20"/>
                <w:szCs w:val="20"/>
                <w:color w:val="auto"/>
              </w:rPr>
            </w:pPr>
            <w:r>
              <w:rPr>
                <w:rFonts w:ascii="Arial" w:cs="Arial" w:eastAsia="Arial" w:hAnsi="Arial"/>
                <w:sz w:val="18"/>
                <w:szCs w:val="18"/>
                <w:b w:val="1"/>
                <w:bCs w:val="1"/>
                <w:color w:val="auto"/>
              </w:rPr>
              <w:t>(See Instructions)</w:t>
            </w:r>
          </w:p>
        </w:tc>
        <w:tc>
          <w:tcPr>
            <w:tcW w:w="4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gridSpan w:val="4"/>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4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2.2% (1)(2)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Borders>
              <w:right w:val="single" w:sz="8" w:color="auto"/>
            </w:tcBorders>
          </w:tcPr>
          <w:p>
            <w:pPr>
              <w:spacing w:after="0"/>
              <w:rPr>
                <w:sz w:val="19"/>
                <w:szCs w:val="19"/>
                <w:color w:val="auto"/>
              </w:rPr>
            </w:pPr>
          </w:p>
        </w:tc>
        <w:tc>
          <w:tcPr>
            <w:tcW w:w="84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rPr>
              <w:t>IA, PN</w:t>
            </w:r>
          </w:p>
        </w:tc>
        <w:tc>
          <w:tcPr>
            <w:tcW w:w="4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020" w:right="80" w:hanging="220"/>
        <w:spacing w:after="0" w:line="28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14,604,391 Ordinary Shares (“Ordinary Shares”) of Mereo BioPharma Group plc (the “Issuer”) represented by 2,920,878 American Depositary Shares (“ADS”) that may be acquired upon conversion of Tranche 1 Notes (as defined in Item 4 and subject to the limitations as described therein), directly held by the Funds (as defined below in Item 4). Each ADS represents 5 Ordinary Shares of the Issuer.</w:t>
      </w:r>
    </w:p>
    <w:p>
      <w:pPr>
        <w:spacing w:after="0" w:line="1" w:lineRule="exact"/>
        <w:rPr>
          <w:rFonts w:ascii="Arial" w:cs="Arial" w:eastAsia="Arial" w:hAnsi="Arial"/>
          <w:sz w:val="16"/>
          <w:szCs w:val="16"/>
          <w:color w:val="auto"/>
        </w:rPr>
      </w:pPr>
    </w:p>
    <w:p>
      <w:pPr>
        <w:ind w:left="1020" w:right="100" w:hanging="220"/>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643,204,794 Ordinary Shares of the Issuer outstanding as of June 9, 2023, as obtained in an email received from the Issuer on July 25, 2023, plus 14,604,391 Ordinary Shares represented by 2,920,878 ADS that may be acquired upon conversion of Tranche 1 Notes (as defined in Item 4 and subject to the limitations as described therein) and 9,645,200 Ordinary Shares represented by 1,929,040 ADS issued in a conversion of Tranche 1 Notes by the Funds on July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84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480" w:type="dxa"/>
            <w:vAlign w:val="bottom"/>
            <w:gridSpan w:val="3"/>
            <w:vMerge w:val="restart"/>
          </w:tcPr>
          <w:p>
            <w:pPr>
              <w:ind w:left="20"/>
              <w:spacing w:after="0"/>
              <w:rPr>
                <w:sz w:val="20"/>
                <w:szCs w:val="20"/>
                <w:color w:val="auto"/>
              </w:rPr>
            </w:pPr>
            <w:r>
              <w:rPr>
                <w:rFonts w:ascii="Arial" w:cs="Arial" w:eastAsia="Arial" w:hAnsi="Arial"/>
                <w:sz w:val="18"/>
                <w:szCs w:val="18"/>
                <w:color w:val="auto"/>
              </w:rPr>
              <w:t>Baker Bros. Advisors (GP) LLC</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gridSpan w:val="3"/>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3"/>
                <w:szCs w:val="13"/>
                <w:color w:val="auto"/>
              </w:rPr>
            </w:pPr>
          </w:p>
        </w:tc>
        <w:tc>
          <w:tcPr>
            <w:tcW w:w="8480" w:type="dxa"/>
            <w:vAlign w:val="bottom"/>
            <w:gridSpan w:val="3"/>
          </w:tcPr>
          <w:p>
            <w:pPr>
              <w:ind w:left="20"/>
              <w:spacing w:after="0" w:line="156"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60" w:type="dxa"/>
            <w:vAlign w:val="bottom"/>
            <w:tcBorders>
              <w:right w:val="single" w:sz="8" w:color="auto"/>
            </w:tcBorders>
          </w:tcPr>
          <w:p>
            <w:pPr>
              <w:ind w:left="1060"/>
              <w:spacing w:after="0" w:line="156"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60" w:type="dxa"/>
            <w:vAlign w:val="bottom"/>
            <w:tcBorders>
              <w:right w:val="single" w:sz="8" w:color="auto"/>
            </w:tcBorders>
            <w:vMerge w:val="restart"/>
          </w:tcPr>
          <w:p>
            <w:pPr>
              <w:ind w:left="10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140" w:type="dxa"/>
            <w:vAlign w:val="bottom"/>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NUMBER OF</w:t>
            </w:r>
          </w:p>
        </w:tc>
        <w:tc>
          <w:tcPr>
            <w:tcW w:w="54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jc w:val="center"/>
              <w:ind w:right="510"/>
              <w:spacing w:after="0" w:line="205" w:lineRule="exact"/>
              <w:rPr>
                <w:sz w:val="20"/>
                <w:szCs w:val="20"/>
                <w:color w:val="auto"/>
              </w:rPr>
            </w:pPr>
            <w:r>
              <w:rPr>
                <w:rFonts w:ascii="Arial" w:cs="Arial" w:eastAsia="Arial" w:hAnsi="Arial"/>
                <w:sz w:val="18"/>
                <w:szCs w:val="18"/>
                <w:b w:val="1"/>
                <w:bCs w:val="1"/>
                <w:color w:val="auto"/>
                <w:w w:val="95"/>
              </w:rPr>
              <w:t>SHARES</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6140" w:type="dxa"/>
            <w:vAlign w:val="bottom"/>
          </w:tcPr>
          <w:p>
            <w:pPr>
              <w:spacing w:after="0" w:line="205" w:lineRule="exact"/>
              <w:rPr>
                <w:sz w:val="20"/>
                <w:szCs w:val="20"/>
                <w:color w:val="auto"/>
              </w:rPr>
            </w:pPr>
            <w:r>
              <w:rPr>
                <w:rFonts w:ascii="Arial" w:cs="Arial" w:eastAsia="Arial" w:hAnsi="Arial"/>
                <w:sz w:val="18"/>
                <w:szCs w:val="18"/>
                <w:b w:val="1"/>
                <w:bCs w:val="1"/>
                <w:color w:val="auto"/>
              </w:rPr>
              <w:t>SHARED VOTING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40" w:type="dxa"/>
            <w:vAlign w:val="bottom"/>
            <w:tcBorders>
              <w:right w:val="single" w:sz="8" w:color="auto"/>
            </w:tcBorders>
            <w:vMerge w:val="continue"/>
          </w:tcPr>
          <w:p>
            <w:pPr>
              <w:spacing w:after="0"/>
              <w:rPr>
                <w:sz w:val="18"/>
                <w:szCs w:val="18"/>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54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rPr>
              <w:t>EACH</w:t>
            </w:r>
          </w:p>
        </w:tc>
        <w:tc>
          <w:tcPr>
            <w:tcW w:w="540" w:type="dxa"/>
            <w:vAlign w:val="bottom"/>
            <w:tcBorders>
              <w:right w:val="single" w:sz="8" w:color="auto"/>
            </w:tcBorders>
          </w:tcPr>
          <w:p>
            <w:pPr>
              <w:spacing w:after="0"/>
              <w:rPr>
                <w:sz w:val="16"/>
                <w:szCs w:val="16"/>
                <w:color w:val="auto"/>
              </w:rPr>
            </w:pPr>
          </w:p>
        </w:tc>
        <w:tc>
          <w:tcPr>
            <w:tcW w:w="6140" w:type="dxa"/>
            <w:vAlign w:val="bottom"/>
          </w:tcPr>
          <w:p>
            <w:pPr>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REPORTING</w:t>
            </w:r>
          </w:p>
        </w:tc>
        <w:tc>
          <w:tcPr>
            <w:tcW w:w="5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14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7"/>
              </w:rPr>
              <w:t>PERSON</w:t>
            </w:r>
          </w:p>
        </w:tc>
        <w:tc>
          <w:tcPr>
            <w:tcW w:w="54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rPr>
              <w:t>WITH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AGGREGATE AMOUNT</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BENEFICIALLY OWNED BY EACH REPORTING PERSON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14,604,391 (1)</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6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gridSpan w:val="3"/>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2.2% (1)(2)</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HC, OO</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right="1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14,604,391 Ordinary Shares of the Issuer represented by 2,920,878 ADS that may be acquired upon conversion of Tranche 1 Notes (as defined in Item 4 and subject to the limitations as described therein), directly held by the Funds (as defined below in Item 4). Each ADS represents 5 Ordinary Shares of the Issuer.</w:t>
      </w:r>
    </w:p>
    <w:p>
      <w:pPr>
        <w:spacing w:after="0" w:line="183"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643,204,794 Ordinary Shares of the Issuer outstanding as of June 9, 2023, as obtained in an email received from the Issuer on July 25, 2023, plus 14,604,391 Ordinary Shares represented by 2,920,878 ADS that may be acquired upon conversion of Tranche 1 Notes (as defined in Item 4 and subject to the limitations as described therein) and 9,645,200 Ordinary Shares represented by 1,929,040 ADS issued in a conversion of Tranche 1 Notes by the Funds on July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84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Felix J. Baker</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3"/>
                <w:szCs w:val="13"/>
                <w:color w:val="auto"/>
              </w:rPr>
            </w:pPr>
          </w:p>
        </w:tc>
        <w:tc>
          <w:tcPr>
            <w:tcW w:w="8480" w:type="dxa"/>
            <w:vAlign w:val="bottom"/>
            <w:gridSpan w:val="3"/>
          </w:tcPr>
          <w:p>
            <w:pPr>
              <w:ind w:left="20"/>
              <w:spacing w:after="0" w:line="156"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60" w:type="dxa"/>
            <w:vAlign w:val="bottom"/>
            <w:tcBorders>
              <w:right w:val="single" w:sz="8" w:color="auto"/>
            </w:tcBorders>
          </w:tcPr>
          <w:p>
            <w:pPr>
              <w:ind w:left="1060"/>
              <w:spacing w:after="0" w:line="156"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60" w:type="dxa"/>
            <w:vAlign w:val="bottom"/>
            <w:tcBorders>
              <w:right w:val="single" w:sz="8" w:color="auto"/>
            </w:tcBorders>
            <w:vMerge w:val="restart"/>
          </w:tcPr>
          <w:p>
            <w:pPr>
              <w:ind w:left="10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140" w:type="dxa"/>
            <w:vAlign w:val="bottom"/>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United States</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NUMBER OF</w:t>
            </w:r>
          </w:p>
        </w:tc>
        <w:tc>
          <w:tcPr>
            <w:tcW w:w="54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jc w:val="center"/>
              <w:ind w:right="510"/>
              <w:spacing w:after="0" w:line="205" w:lineRule="exact"/>
              <w:rPr>
                <w:sz w:val="20"/>
                <w:szCs w:val="20"/>
                <w:color w:val="auto"/>
              </w:rPr>
            </w:pPr>
            <w:r>
              <w:rPr>
                <w:rFonts w:ascii="Arial" w:cs="Arial" w:eastAsia="Arial" w:hAnsi="Arial"/>
                <w:sz w:val="18"/>
                <w:szCs w:val="18"/>
                <w:b w:val="1"/>
                <w:bCs w:val="1"/>
                <w:color w:val="auto"/>
                <w:w w:val="95"/>
              </w:rPr>
              <w:t>SHARES</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6140" w:type="dxa"/>
            <w:vAlign w:val="bottom"/>
          </w:tcPr>
          <w:p>
            <w:pPr>
              <w:spacing w:after="0" w:line="205" w:lineRule="exact"/>
              <w:rPr>
                <w:sz w:val="20"/>
                <w:szCs w:val="20"/>
                <w:color w:val="auto"/>
              </w:rPr>
            </w:pPr>
            <w:r>
              <w:rPr>
                <w:rFonts w:ascii="Arial" w:cs="Arial" w:eastAsia="Arial" w:hAnsi="Arial"/>
                <w:sz w:val="18"/>
                <w:szCs w:val="18"/>
                <w:b w:val="1"/>
                <w:bCs w:val="1"/>
                <w:color w:val="auto"/>
              </w:rPr>
              <w:t>SHARED VOTING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40" w:type="dxa"/>
            <w:vAlign w:val="bottom"/>
            <w:tcBorders>
              <w:right w:val="single" w:sz="8" w:color="auto"/>
            </w:tcBorders>
            <w:vMerge w:val="continue"/>
          </w:tcPr>
          <w:p>
            <w:pPr>
              <w:spacing w:after="0"/>
              <w:rPr>
                <w:sz w:val="18"/>
                <w:szCs w:val="18"/>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54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rPr>
              <w:t>EACH</w:t>
            </w:r>
          </w:p>
        </w:tc>
        <w:tc>
          <w:tcPr>
            <w:tcW w:w="540" w:type="dxa"/>
            <w:vAlign w:val="bottom"/>
            <w:tcBorders>
              <w:right w:val="single" w:sz="8" w:color="auto"/>
            </w:tcBorders>
          </w:tcPr>
          <w:p>
            <w:pPr>
              <w:spacing w:after="0"/>
              <w:rPr>
                <w:sz w:val="16"/>
                <w:szCs w:val="16"/>
                <w:color w:val="auto"/>
              </w:rPr>
            </w:pPr>
          </w:p>
        </w:tc>
        <w:tc>
          <w:tcPr>
            <w:tcW w:w="6140" w:type="dxa"/>
            <w:vAlign w:val="bottom"/>
          </w:tcPr>
          <w:p>
            <w:pPr>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REPORTING</w:t>
            </w:r>
          </w:p>
        </w:tc>
        <w:tc>
          <w:tcPr>
            <w:tcW w:w="5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14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7"/>
              </w:rPr>
              <w:t>PERSON</w:t>
            </w:r>
          </w:p>
        </w:tc>
        <w:tc>
          <w:tcPr>
            <w:tcW w:w="54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rPr>
              <w:t>WITH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AGGREGATE AMOUNT</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BENEFICIALLY OWNED BY EACH REPORTING PERSON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14,604,391 (1)</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6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gridSpan w:val="3"/>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2.2% (1)(2)</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IN, HC</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right="1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14,604,391 Ordinary Shares of the Issuer represented by 2,920,878 ADS that may be acquired upon conversion of Tranche 1 Notes (as defined in Item 4 and subject to the limitations as described therein), directly held by the Funds (as defined below in Item 4). Each ADS represents 5 Ordinary Shares of the Issuer.</w:t>
      </w:r>
    </w:p>
    <w:p>
      <w:pPr>
        <w:spacing w:after="0" w:line="183"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643,204,794 Ordinary Shares of the Issuer outstanding as of June 9, 2023, as obtained in an email received from the Issuer on July 25, 2023, plus 14,604,391 Ordinary Shares represented by 2,920,878 ADS that may be acquired upon conversion of Tranche 1 Notes (as defined in Item 4 and subject to the limitations as described therein) and 9,645,200 Ordinary Shares represented by 1,929,040 ADS issued in a conversion of Tranche 1 Notes by the Funds on July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top w:val="single" w:sz="8" w:color="auto"/>
              <w:right w:val="single" w:sz="8" w:color="auto"/>
            </w:tcBorders>
          </w:tcPr>
          <w:p>
            <w:pPr>
              <w:spacing w:after="0"/>
              <w:rPr>
                <w:sz w:val="21"/>
                <w:szCs w:val="21"/>
                <w:color w:val="auto"/>
              </w:rPr>
            </w:pPr>
          </w:p>
        </w:tc>
        <w:tc>
          <w:tcPr>
            <w:tcW w:w="84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Julian C. Baker</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3"/>
                <w:szCs w:val="13"/>
                <w:color w:val="auto"/>
              </w:rPr>
            </w:pPr>
          </w:p>
        </w:tc>
        <w:tc>
          <w:tcPr>
            <w:tcW w:w="8480" w:type="dxa"/>
            <w:vAlign w:val="bottom"/>
            <w:gridSpan w:val="3"/>
          </w:tcPr>
          <w:p>
            <w:pPr>
              <w:ind w:left="20"/>
              <w:spacing w:after="0" w:line="156"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160" w:type="dxa"/>
            <w:vAlign w:val="bottom"/>
            <w:tcBorders>
              <w:right w:val="single" w:sz="8" w:color="auto"/>
            </w:tcBorders>
          </w:tcPr>
          <w:p>
            <w:pPr>
              <w:ind w:left="1060"/>
              <w:spacing w:after="0" w:line="156"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60" w:type="dxa"/>
            <w:vAlign w:val="bottom"/>
            <w:tcBorders>
              <w:right w:val="single" w:sz="8" w:color="auto"/>
            </w:tcBorders>
            <w:vMerge w:val="restart"/>
          </w:tcPr>
          <w:p>
            <w:pPr>
              <w:ind w:left="106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SEC USE ONLY</w:t>
            </w:r>
          </w:p>
        </w:tc>
        <w:tc>
          <w:tcPr>
            <w:tcW w:w="5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140" w:type="dxa"/>
            <w:vAlign w:val="bottom"/>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United States</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NUMBER OF</w:t>
            </w:r>
          </w:p>
        </w:tc>
        <w:tc>
          <w:tcPr>
            <w:tcW w:w="54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jc w:val="center"/>
              <w:ind w:right="510"/>
              <w:spacing w:after="0" w:line="205" w:lineRule="exact"/>
              <w:rPr>
                <w:sz w:val="20"/>
                <w:szCs w:val="20"/>
                <w:color w:val="auto"/>
              </w:rPr>
            </w:pPr>
            <w:r>
              <w:rPr>
                <w:rFonts w:ascii="Arial" w:cs="Arial" w:eastAsia="Arial" w:hAnsi="Arial"/>
                <w:sz w:val="18"/>
                <w:szCs w:val="18"/>
                <w:b w:val="1"/>
                <w:bCs w:val="1"/>
                <w:color w:val="auto"/>
                <w:w w:val="95"/>
              </w:rPr>
              <w:t>SHARES</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6140" w:type="dxa"/>
            <w:vAlign w:val="bottom"/>
          </w:tcPr>
          <w:p>
            <w:pPr>
              <w:spacing w:after="0" w:line="205" w:lineRule="exact"/>
              <w:rPr>
                <w:sz w:val="20"/>
                <w:szCs w:val="20"/>
                <w:color w:val="auto"/>
              </w:rPr>
            </w:pPr>
            <w:r>
              <w:rPr>
                <w:rFonts w:ascii="Arial" w:cs="Arial" w:eastAsia="Arial" w:hAnsi="Arial"/>
                <w:sz w:val="18"/>
                <w:szCs w:val="18"/>
                <w:b w:val="1"/>
                <w:bCs w:val="1"/>
                <w:color w:val="auto"/>
              </w:rPr>
              <w:t>SHARED VOTING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rPr>
              <w:t>BENEFICIALLY</w:t>
            </w:r>
          </w:p>
        </w:tc>
        <w:tc>
          <w:tcPr>
            <w:tcW w:w="540" w:type="dxa"/>
            <w:vAlign w:val="bottom"/>
            <w:tcBorders>
              <w:right w:val="single" w:sz="8" w:color="auto"/>
            </w:tcBorders>
            <w:vMerge w:val="continue"/>
          </w:tcPr>
          <w:p>
            <w:pPr>
              <w:spacing w:after="0"/>
              <w:rPr>
                <w:sz w:val="18"/>
                <w:szCs w:val="18"/>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OWNED BY</w:t>
            </w:r>
          </w:p>
        </w:tc>
        <w:tc>
          <w:tcPr>
            <w:tcW w:w="54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right w:val="single" w:sz="8" w:color="auto"/>
            </w:tcBorders>
          </w:tcPr>
          <w:p>
            <w:pPr>
              <w:jc w:val="center"/>
              <w:ind w:right="510"/>
              <w:spacing w:after="0" w:line="191" w:lineRule="exact"/>
              <w:rPr>
                <w:sz w:val="20"/>
                <w:szCs w:val="20"/>
                <w:color w:val="auto"/>
              </w:rPr>
            </w:pPr>
            <w:r>
              <w:rPr>
                <w:rFonts w:ascii="Arial" w:cs="Arial" w:eastAsia="Arial" w:hAnsi="Arial"/>
                <w:sz w:val="18"/>
                <w:szCs w:val="18"/>
                <w:b w:val="1"/>
                <w:bCs w:val="1"/>
                <w:color w:val="auto"/>
              </w:rPr>
              <w:t>EACH</w:t>
            </w:r>
          </w:p>
        </w:tc>
        <w:tc>
          <w:tcPr>
            <w:tcW w:w="540" w:type="dxa"/>
            <w:vAlign w:val="bottom"/>
            <w:tcBorders>
              <w:right w:val="single" w:sz="8" w:color="auto"/>
            </w:tcBorders>
          </w:tcPr>
          <w:p>
            <w:pPr>
              <w:spacing w:after="0"/>
              <w:rPr>
                <w:sz w:val="16"/>
                <w:szCs w:val="16"/>
                <w:color w:val="auto"/>
              </w:rPr>
            </w:pPr>
          </w:p>
        </w:tc>
        <w:tc>
          <w:tcPr>
            <w:tcW w:w="6140" w:type="dxa"/>
            <w:vAlign w:val="bottom"/>
          </w:tcPr>
          <w:p>
            <w:pPr>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REPORTING</w:t>
            </w:r>
          </w:p>
        </w:tc>
        <w:tc>
          <w:tcPr>
            <w:tcW w:w="5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614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7"/>
              </w:rPr>
              <w:t>PERSON</w:t>
            </w:r>
          </w:p>
        </w:tc>
        <w:tc>
          <w:tcPr>
            <w:tcW w:w="54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14,604,391 (1)</w:t>
            </w: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rPr>
              <w:t>WITH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1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AGGREGATE AMOUNT</w:t>
            </w:r>
          </w:p>
        </w:tc>
        <w:tc>
          <w:tcPr>
            <w:tcW w:w="6140" w:type="dxa"/>
            <w:vAlign w:val="bottom"/>
          </w:tcPr>
          <w:p>
            <w:pPr>
              <w:spacing w:after="0"/>
              <w:rPr>
                <w:sz w:val="20"/>
                <w:szCs w:val="20"/>
                <w:color w:val="auto"/>
              </w:rPr>
            </w:pPr>
            <w:r>
              <w:rPr>
                <w:rFonts w:ascii="Arial" w:cs="Arial" w:eastAsia="Arial" w:hAnsi="Arial"/>
                <w:sz w:val="18"/>
                <w:szCs w:val="18"/>
                <w:b w:val="1"/>
                <w:bCs w:val="1"/>
                <w:color w:val="auto"/>
              </w:rPr>
              <w:t>BENEFICIALLY OWNED BY EACH REPORTING PERSON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14,604,391 (1)</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160" w:type="dxa"/>
            <w:vAlign w:val="bottom"/>
            <w:tcBorders>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10</w:t>
            </w:r>
          </w:p>
        </w:tc>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(See Instructions)</w:t>
            </w:r>
          </w:p>
        </w:tc>
        <w:tc>
          <w:tcPr>
            <w:tcW w:w="5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gridSpan w:val="3"/>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2.2% (1)(2)</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Borders>
              <w:right w:val="single" w:sz="8" w:color="auto"/>
            </w:tcBorders>
          </w:tcPr>
          <w:p>
            <w:pPr>
              <w:spacing w:after="0"/>
              <w:rPr>
                <w:sz w:val="19"/>
                <w:szCs w:val="19"/>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IN, HC</w:t>
            </w:r>
          </w:p>
        </w:tc>
        <w:tc>
          <w:tcPr>
            <w:tcW w:w="5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right="1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14,604,391 Ordinary Shares of the Issuer represented by 2,920,878 ADS that may be acquired upon conversion of Tranche 1 Notes (as defined in Item 4 and subject to the limitations as described therein), directly held by the Funds (as defined below in Item 4). Each ADS represents 5 Ordinary Shares of the Issuer.</w:t>
      </w:r>
    </w:p>
    <w:p>
      <w:pPr>
        <w:spacing w:after="0" w:line="183"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643,204,794 Ordinary Shares of the Issuer outstanding as of June 9, 2023, as obtained in an email received from the Issuer on July 25, 2023, plus 14,604,391 Ordinary Shares represented by 2,920,878 ADS that may be acquired upon conversion of Tranche 1 Notes (as defined in Item 4 and subject to the limitations as described therein) and 9,645,200 Ordinary Shares represented by 1,929,040 ADS issued in a conversion of Tranche 1 Notes by the Funds on July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3 to Schedule 13G</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This Amendment No. 3 to Schedule 13G amends and restates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Mereo BioPharma Group plc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One Cavendish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London, W1G 0QF United Kingdom</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This Amendment No. 3 is being filed jointly by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323"/>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nominal value £0.003 per share (“Ordinary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589492107</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84" w:lineRule="exact"/>
        <w:rPr>
          <w:sz w:val="20"/>
          <w:szCs w:val="20"/>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920" w:right="80" w:hanging="677"/>
        <w:spacing w:after="0" w:line="245" w:lineRule="exact"/>
        <w:tabs>
          <w:tab w:leader="none" w:pos="1628"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158" w:lineRule="exact"/>
        <w:rPr>
          <w:rFonts w:ascii="Arial" w:cs="Arial" w:eastAsia="Arial" w:hAnsi="Arial"/>
          <w:sz w:val="18"/>
          <w:szCs w:val="18"/>
          <w:color w:val="auto"/>
        </w:rPr>
      </w:pPr>
    </w:p>
    <w:p>
      <w:pPr>
        <w:ind w:left="1620" w:hanging="377"/>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 through 9 and 11 of each of the cover pages to this Amendment No. 3 are incorporated herein by reference.</w:t>
      </w:r>
    </w:p>
    <w:p>
      <w:pPr>
        <w:spacing w:after="0" w:line="225"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Set forth below is the aggregate number of Ordinary Shares represented by American Depositary Shares (“ADS”) which may be deemed to be indirectly beneficially owned by the Reporting Persons, that may be acquired upon conversion of Ordinary Shares represented by ADS that may be acquired upon conversion of 6% convertible notes with a conversion price of 17.4 pence per Ordinary Share due August 3, 2023 (“Tranche 1 Notes”), subject to the limitations on conversion described below. Each ADS represents 5 Ordinary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ind w:left="180" w:right="200"/>
        <w:spacing w:after="0" w:line="275" w:lineRule="auto"/>
        <w:rPr>
          <w:sz w:val="20"/>
          <w:szCs w:val="20"/>
          <w:color w:val="auto"/>
        </w:rPr>
      </w:pPr>
      <w:r>
        <w:rPr>
          <w:rFonts w:ascii="Arial" w:cs="Arial" w:eastAsia="Arial" w:hAnsi="Arial"/>
          <w:sz w:val="17"/>
          <w:szCs w:val="17"/>
          <w:color w:val="auto"/>
        </w:rPr>
        <w:t>The information set forth below is based on 643,204,794 Ordinary Shares outstanding as of June 9, 2023, as obtained in an email received from the Issuer on July 25, 2023, plus 14,604,391 Ordinary Shares represented by 2,920,878 ADS that may be acquired upon conversion of Tranche 1 Notes, subject to the limitations on conversion described below and 9,645,200 Ordinary Shares represented by 1,929,040 ADS issued in a conversion of Tranche 1 Notes by the Funds on July 21, 2023. Such percentage figures are calculated in accordance with Rule 13d-3 under the Securities Exchange Act of 1934, as amended.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Number of Ordinary Shares</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color w:val="auto"/>
                <w:w w:val="87"/>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we own or have the right to</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color w:val="auto"/>
                <w:w w:val="88"/>
              </w:rPr>
              <w:t>Class</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acquire within 60 days</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667, L.P.</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1,060,040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Baker Brothers Life Sciences, L.P.</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13,544,351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14,604,391</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right="140"/>
        <w:spacing w:after="0" w:line="253" w:lineRule="auto"/>
        <w:rPr>
          <w:sz w:val="20"/>
          <w:szCs w:val="20"/>
          <w:color w:val="auto"/>
        </w:rPr>
      </w:pPr>
      <w:r>
        <w:rPr>
          <w:rFonts w:ascii="Arial" w:cs="Arial" w:eastAsia="Arial" w:hAnsi="Arial"/>
          <w:sz w:val="18"/>
          <w:szCs w:val="18"/>
          <w:color w:val="auto"/>
        </w:rPr>
        <w:t>The Tranche 1 Notes are only convertible to the extent that upon giving effect or immediately prior to such conversion the holders thereof, their affiliates and any persons who are members of a Section 13(d) group with the holders or its affiliates would beneficially own in the aggregate, for purposes of Section 13(d) of the Exchange Act, no more than 9.99% of the outstanding Ordinary Shares after conversion (“Notes Beneficial Ownership Limitation”, and together with the Warrants Beneficial Ownership Limitation, the “Beneficial Ownership Limitations”). By written notice to the Issuer, the Funds may from time to time increase or decrease the Notes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Tranche 1 Notes by the above holders may change depending upon changes in the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Pursuant to the management agreements, as amended, among the Adviser, the Funds and their respective general partners, the Funds’</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respective general partners relinquished to the Adviser all discretion and authority with respect to the investment and voting power of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7"/>
              </w:rPr>
              <w:t>securities held by the Funds and thus the Adviser has complete and unlimited discretion and authority with respect to the Funds’</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investments and voting power over investments.</w:t>
            </w:r>
          </w:p>
        </w:tc>
      </w:tr>
      <w:tr>
        <w:trPr>
          <w:trHeight w:val="41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The Adviser GP, Felix J. Baker and Julian C. Baker as managing members of the Adviser GP, and the Adviser may be deemed to be</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beneficial owners of securities of the Issuer directly held by the Funds.</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7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303"/>
        </w:trPr>
        <w:tc>
          <w:tcPr>
            <w:tcW w:w="940" w:type="dxa"/>
            <w:vAlign w:val="bottom"/>
          </w:tcPr>
          <w:p>
            <w:pPr>
              <w:spacing w:after="0"/>
              <w:rPr>
                <w:sz w:val="24"/>
                <w:szCs w:val="24"/>
                <w:color w:val="auto"/>
              </w:rPr>
            </w:pPr>
          </w:p>
        </w:tc>
        <w:tc>
          <w:tcPr>
            <w:tcW w:w="1030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99"/>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The information in Item 4 is incorporated herein by reference.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acquired and are held in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ordinary course of business and were not acquired and are not held for the purpose of or with the effect of changing or influencing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control of the issuer of the securities and were not acquired and are not held in connection with or as a participant in any transaction</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having that purpose or effect.</w:t>
            </w:r>
          </w:p>
        </w:tc>
      </w:tr>
      <w:tr>
        <w:trPr>
          <w:trHeight w:val="43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August 10, 2023</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Baker Bros. Advisors (GP) LLC, its general partner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55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2023-08-10T15:44:31Z</dcterms:created>
  <dcterms:modified xsi:type="dcterms:W3CDTF">2023-08-10T15:44:31Z</dcterms:modified>
</cp:coreProperties>
</file>