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53"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2024</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48" w:lineRule="exact"/>
        <w:rPr>
          <w:sz w:val="24"/>
          <w:szCs w:val="24"/>
          <w:color w:val="auto"/>
        </w:rPr>
      </w:pPr>
    </w:p>
    <w:p>
      <w:pPr>
        <w:ind w:left="360" w:hanging="339"/>
        <w:spacing w:after="0"/>
        <w:tabs>
          <w:tab w:leader="none" w:pos="36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945" w:right="339" w:bottom="1440" w:gutter="0" w:footer="0" w:header="0"/>
        </w:sectPr>
      </w:pPr>
    </w:p>
    <w:p>
      <w:pPr>
        <w:spacing w:after="0" w:line="7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p>
      <w:pPr>
        <w:spacing w:after="0" w:line="29"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Commission File Number 001-38452</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w:t>
      </w:r>
    </w:p>
    <w:p>
      <w:pPr>
        <w:spacing w:after="0" w:line="246" w:lineRule="exact"/>
        <w:rPr>
          <w:sz w:val="24"/>
          <w:szCs w:val="24"/>
          <w:color w:val="auto"/>
        </w:rPr>
      </w:pPr>
    </w:p>
    <w:p>
      <w:pPr>
        <w:sectPr>
          <w:pgSz w:w="11900" w:h="16838" w:orient="portrait"/>
          <w:cols w:equalWidth="0" w:num="2">
            <w:col w:w="6960" w:space="180"/>
            <w:col w:w="4100"/>
          </w:cols>
          <w:pgMar w:left="320" w:top="945"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5"/>
          <w:szCs w:val="25"/>
          <w:b w:val="1"/>
          <w:bCs w:val="1"/>
          <w:color w:val="auto"/>
        </w:rPr>
        <w:t>MEREO BIOPHARMA GROUP PLC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England and Wales</w:t>
            </w:r>
          </w:p>
        </w:tc>
        <w:tc>
          <w:tcPr>
            <w:tcW w:w="22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r>
      <w:tr>
        <w:trPr>
          <w:trHeight w:val="228"/>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tc>
        <w:tc>
          <w:tcPr>
            <w:tcW w:w="220" w:type="dxa"/>
            <w:vAlign w:val="bottom"/>
          </w:tcPr>
          <w:p>
            <w:pPr>
              <w:spacing w:after="0"/>
              <w:rPr>
                <w:sz w:val="19"/>
                <w:szCs w:val="19"/>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(I.R.S. Employer Identification No.)</w:t>
            </w:r>
          </w:p>
        </w:tc>
      </w:tr>
      <w:tr>
        <w:trPr>
          <w:trHeight w:val="289"/>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One Cavendish Place, 4</w:t>
            </w:r>
            <w:r>
              <w:rPr>
                <w:rFonts w:ascii="Times New Roman" w:cs="Times New Roman" w:eastAsia="Times New Roman" w:hAnsi="Times New Roman"/>
                <w:sz w:val="21"/>
                <w:szCs w:val="21"/>
                <w:b w:val="1"/>
                <w:bCs w:val="1"/>
                <w:color w:val="auto"/>
                <w:w w:val="99"/>
                <w:vertAlign w:val="superscript"/>
              </w:rPr>
              <w:t>th</w:t>
            </w:r>
            <w:r>
              <w:rPr>
                <w:rFonts w:ascii="Times New Roman" w:cs="Times New Roman" w:eastAsia="Times New Roman" w:hAnsi="Times New Roman"/>
                <w:sz w:val="16"/>
                <w:szCs w:val="16"/>
                <w:b w:val="1"/>
                <w:bCs w:val="1"/>
                <w:color w:val="auto"/>
                <w:w w:val="99"/>
              </w:rPr>
              <w:t xml:space="preserve"> Floor</w:t>
            </w: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2"/>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London, W1G 0QF</w:t>
            </w: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29"/>
        </w:trPr>
        <w:tc>
          <w:tcPr>
            <w:tcW w:w="5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United Kingdom</w:t>
            </w:r>
          </w:p>
        </w:tc>
        <w:tc>
          <w:tcPr>
            <w:tcW w:w="5720" w:type="dxa"/>
            <w:vAlign w:val="bottom"/>
            <w:gridSpan w:val="2"/>
          </w:tcPr>
          <w:p>
            <w:pPr>
              <w:jc w:val="right"/>
              <w:ind w:right="2085"/>
              <w:spacing w:after="0"/>
              <w:rPr>
                <w:sz w:val="20"/>
                <w:szCs w:val="20"/>
                <w:color w:val="auto"/>
              </w:rPr>
            </w:pPr>
            <w:r>
              <w:rPr>
                <w:rFonts w:ascii="Times New Roman" w:cs="Times New Roman" w:eastAsia="Times New Roman" w:hAnsi="Times New Roman"/>
                <w:sz w:val="16"/>
                <w:szCs w:val="16"/>
                <w:b w:val="1"/>
                <w:bCs w:val="1"/>
                <w:color w:val="auto"/>
              </w:rPr>
              <w:t>+44-333-023-7300</w:t>
            </w:r>
          </w:p>
        </w:tc>
      </w:tr>
      <w:tr>
        <w:trPr>
          <w:trHeight w:val="254"/>
        </w:trPr>
        <w:tc>
          <w:tcPr>
            <w:tcW w:w="55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w:t>
            </w:r>
          </w:p>
        </w:tc>
        <w:tc>
          <w:tcPr>
            <w:tcW w:w="220" w:type="dxa"/>
            <w:vAlign w:val="bottom"/>
          </w:tcPr>
          <w:p>
            <w:pPr>
              <w:spacing w:after="0"/>
              <w:rPr>
                <w:sz w:val="22"/>
                <w:szCs w:val="22"/>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r>
    </w:tbl>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4" w:lineRule="exact"/>
        <w:rPr>
          <w:sz w:val="24"/>
          <w:szCs w:val="24"/>
          <w:color w:val="auto"/>
        </w:rPr>
      </w:pPr>
    </w:p>
    <w:tbl>
      <w:tblPr>
        <w:tblLayout w:type="fixed"/>
        <w:tblInd w:w="220" w:type="dxa"/>
        <w:tblCellMar>
          <w:top w:w="0" w:type="dxa"/>
          <w:left w:w="0" w:type="dxa"/>
          <w:bottom w:w="0" w:type="dxa"/>
          <w:right w:w="0" w:type="dxa"/>
        </w:tblCellMar>
      </w:tblPr>
      <w:tr>
        <w:trPr>
          <w:trHeight w:val="186"/>
        </w:trPr>
        <w:tc>
          <w:tcPr>
            <w:tcW w:w="4440" w:type="dxa"/>
            <w:vAlign w:val="bottom"/>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34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420" w:type="dxa"/>
            <w:vAlign w:val="bottom"/>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4440" w:type="dxa"/>
            <w:vAlign w:val="bottom"/>
          </w:tcPr>
          <w:p>
            <w:pPr>
              <w:jc w:val="center"/>
              <w:ind w:right="401"/>
              <w:spacing w:after="0"/>
              <w:rPr>
                <w:sz w:val="20"/>
                <w:szCs w:val="20"/>
                <w:color w:val="auto"/>
              </w:rPr>
            </w:pPr>
            <w:r>
              <w:rPr>
                <w:rFonts w:ascii="Times New Roman" w:cs="Times New Roman" w:eastAsia="Times New Roman" w:hAnsi="Times New Roman"/>
                <w:sz w:val="16"/>
                <w:szCs w:val="16"/>
                <w:color w:val="auto"/>
              </w:rPr>
              <w:t>American Depositary Shares, each representing five ordinary</w:t>
            </w:r>
          </w:p>
        </w:tc>
        <w:tc>
          <w:tcPr>
            <w:tcW w:w="2340" w:type="dxa"/>
            <w:vAlign w:val="bottom"/>
          </w:tcPr>
          <w:p>
            <w:pPr>
              <w:jc w:val="center"/>
              <w:ind w:right="204"/>
              <w:spacing w:after="0"/>
              <w:rPr>
                <w:sz w:val="20"/>
                <w:szCs w:val="20"/>
                <w:color w:val="auto"/>
              </w:rPr>
            </w:pPr>
            <w:r>
              <w:rPr>
                <w:rFonts w:ascii="Times New Roman" w:cs="Times New Roman" w:eastAsia="Times New Roman" w:hAnsi="Times New Roman"/>
                <w:sz w:val="16"/>
                <w:szCs w:val="16"/>
                <w:color w:val="auto"/>
                <w:w w:val="99"/>
              </w:rPr>
              <w:t>MREO</w:t>
            </w:r>
          </w:p>
        </w:tc>
        <w:tc>
          <w:tcPr>
            <w:tcW w:w="3420" w:type="dxa"/>
            <w:vAlign w:val="bottom"/>
          </w:tcPr>
          <w:p>
            <w:pPr>
              <w:jc w:val="center"/>
              <w:ind w:left="622"/>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210"/>
        </w:trPr>
        <w:tc>
          <w:tcPr>
            <w:tcW w:w="4440" w:type="dxa"/>
            <w:vAlign w:val="bottom"/>
          </w:tcPr>
          <w:p>
            <w:pPr>
              <w:jc w:val="center"/>
              <w:ind w:right="341"/>
              <w:spacing w:after="0"/>
              <w:rPr>
                <w:sz w:val="20"/>
                <w:szCs w:val="20"/>
                <w:color w:val="auto"/>
              </w:rPr>
            </w:pPr>
            <w:r>
              <w:rPr>
                <w:rFonts w:ascii="Times New Roman" w:cs="Times New Roman" w:eastAsia="Times New Roman" w:hAnsi="Times New Roman"/>
                <w:sz w:val="16"/>
                <w:szCs w:val="16"/>
                <w:color w:val="auto"/>
              </w:rPr>
              <w:t>shares, nominal value of £0.003 per share</w:t>
            </w:r>
          </w:p>
        </w:tc>
        <w:tc>
          <w:tcPr>
            <w:tcW w:w="234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43"/>
        </w:trPr>
        <w:tc>
          <w:tcPr>
            <w:tcW w:w="44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Ordinary Shares, nominal value of £0.003 per share</w:t>
            </w:r>
          </w:p>
        </w:tc>
        <w:tc>
          <w:tcPr>
            <w:tcW w:w="2340" w:type="dxa"/>
            <w:vAlign w:val="bottom"/>
          </w:tcPr>
          <w:p>
            <w:pPr>
              <w:spacing w:after="0"/>
              <w:rPr>
                <w:sz w:val="21"/>
                <w:szCs w:val="21"/>
                <w:color w:val="auto"/>
              </w:rPr>
            </w:pPr>
          </w:p>
        </w:tc>
        <w:tc>
          <w:tcPr>
            <w:tcW w:w="3420" w:type="dxa"/>
            <w:vAlign w:val="bottom"/>
          </w:tcPr>
          <w:p>
            <w:pPr>
              <w:jc w:val="center"/>
              <w:ind w:left="662"/>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38" w:lineRule="exact"/>
        <w:rPr>
          <w:sz w:val="24"/>
          <w:szCs w:val="24"/>
          <w:color w:val="auto"/>
        </w:rPr>
      </w:pPr>
    </w:p>
    <w:p>
      <w:pPr>
        <w:ind w:right="20" w:firstLine="8"/>
        <w:spacing w:after="0" w:line="259" w:lineRule="auto"/>
        <w:tabs>
          <w:tab w:leader="none" w:pos="1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for trading, but only in connection with the registration of American Depositary Shares representing such Ordinary Shares pursuant to the requirements of the U.S. 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None</w:t>
      </w:r>
    </w:p>
    <w:p>
      <w:pPr>
        <w:spacing w:after="0" w:line="30" w:lineRule="exact"/>
        <w:rPr>
          <w:sz w:val="24"/>
          <w:szCs w:val="24"/>
          <w:color w:val="auto"/>
        </w:rPr>
      </w:pPr>
    </w:p>
    <w:p>
      <w:pPr>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226" w:lineRule="exact"/>
        <w:rPr>
          <w:sz w:val="24"/>
          <w:szCs w:val="24"/>
          <w:color w:val="auto"/>
        </w:rPr>
      </w:pPr>
    </w:p>
    <w:p>
      <w:pPr>
        <w:ind w:right="1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197" w:lineRule="exact"/>
        <w:rPr>
          <w:sz w:val="24"/>
          <w:szCs w:val="24"/>
          <w:color w:val="auto"/>
        </w:rPr>
      </w:pPr>
    </w:p>
    <w:p>
      <w:pPr>
        <w:ind w:right="14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w:t>
            </w:r>
          </w:p>
        </w:tc>
        <w:tc>
          <w:tcPr>
            <w:tcW w:w="2880" w:type="dxa"/>
            <w:vAlign w:val="bottom"/>
          </w:tcPr>
          <w:p>
            <w:pPr>
              <w:ind w:left="900"/>
              <w:spacing w:after="0"/>
              <w:rPr>
                <w:sz w:val="20"/>
                <w:szCs w:val="20"/>
                <w:color w:val="auto"/>
              </w:rPr>
            </w:pPr>
            <w:r>
              <w:rPr>
                <w:rFonts w:ascii="Times New Roman" w:cs="Times New Roman" w:eastAsia="Times New Roman" w:hAnsi="Times New Roman"/>
                <w:sz w:val="17"/>
                <w:szCs w:val="17"/>
                <w:color w:val="auto"/>
              </w:rPr>
              <w:t xml:space="preserve">Accelerated filer </w:t>
            </w:r>
            <w:r>
              <w:rPr>
                <w:rFonts w:ascii="Wingdings" w:cs="Wingdings" w:eastAsia="Wingdings" w:hAnsi="Wingdings"/>
                <w:sz w:val="17"/>
                <w:szCs w:val="17"/>
                <w:b w:val="1"/>
                <w:bCs w:val="1"/>
                <w:color w:val="auto"/>
              </w:rPr>
              <w:t></w:t>
            </w:r>
          </w:p>
        </w:tc>
        <w:tc>
          <w:tcPr>
            <w:tcW w:w="296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tc>
        <w:tc>
          <w:tcPr>
            <w:tcW w:w="27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w w:val="98"/>
              </w:rPr>
              <w:t xml:space="preserve">Smaller reporting company </w:t>
            </w:r>
            <w:r>
              <w:rPr>
                <w:rFonts w:ascii="MS PGothic" w:cs="MS PGothic" w:eastAsia="MS PGothic" w:hAnsi="MS PGothic"/>
                <w:sz w:val="17"/>
                <w:szCs w:val="17"/>
                <w:color w:val="auto"/>
                <w:w w:val="98"/>
              </w:rPr>
              <w:t>☒</w:t>
            </w:r>
          </w:p>
        </w:tc>
      </w:tr>
      <w:tr>
        <w:trPr>
          <w:trHeight w:val="287"/>
        </w:trPr>
        <w:tc>
          <w:tcPr>
            <w:tcW w:w="26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720" w:type="dxa"/>
            <w:vAlign w:val="bottom"/>
          </w:tcPr>
          <w:p>
            <w:pPr>
              <w:ind w:left="660"/>
              <w:spacing w:after="0" w:line="196" w:lineRule="exact"/>
              <w:rPr>
                <w:sz w:val="20"/>
                <w:szCs w:val="20"/>
                <w:color w:val="auto"/>
              </w:rPr>
            </w:pPr>
            <w:r>
              <w:rPr>
                <w:rFonts w:ascii="Times New Roman" w:cs="Times New Roman" w:eastAsia="Times New Roman" w:hAnsi="Times New Roman"/>
                <w:sz w:val="17"/>
                <w:szCs w:val="17"/>
                <w:color w:val="auto"/>
                <w:w w:val="98"/>
              </w:rPr>
              <w:t xml:space="preserve">Emerging growth company </w:t>
            </w:r>
            <w:r>
              <w:rPr>
                <w:rFonts w:ascii="MS PGothic" w:cs="MS PGothic" w:eastAsia="MS PGothic" w:hAnsi="MS PGothic"/>
                <w:sz w:val="17"/>
                <w:szCs w:val="17"/>
                <w:color w:val="auto"/>
                <w:w w:val="98"/>
              </w:rPr>
              <w:t>☒</w:t>
            </w:r>
          </w:p>
        </w:tc>
      </w:tr>
    </w:tbl>
    <w:p>
      <w:pPr>
        <w:spacing w:after="0" w:line="8"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4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Wingdings" w:cs="Wingdings" w:eastAsia="Wingdings" w:hAnsi="Wingdings"/>
          <w:sz w:val="17"/>
          <w:szCs w:val="17"/>
          <w:b w:val="1"/>
          <w:bCs w:val="1"/>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August 12, 2024 the number of outstanding ordinary shares, par value £0.003 per share, of the registrant was 769,262,609.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826135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44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53"/>
        </w:trPr>
        <w:tc>
          <w:tcPr>
            <w:tcW w:w="120" w:type="dxa"/>
            <w:vAlign w:val="bottom"/>
          </w:tcPr>
          <w:p>
            <w:pPr>
              <w:spacing w:after="0"/>
              <w:rPr>
                <w:sz w:val="22"/>
                <w:szCs w:val="22"/>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440" w:type="dxa"/>
            <w:vAlign w:val="bottom"/>
          </w:tcPr>
          <w:p>
            <w:pPr>
              <w:spacing w:after="0"/>
              <w:rPr>
                <w:sz w:val="22"/>
                <w:szCs w:val="22"/>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PART II</w:t>
            </w:r>
          </w:p>
        </w:tc>
        <w:tc>
          <w:tcPr>
            <w:tcW w:w="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120" w:type="dxa"/>
            <w:vAlign w:val="bottom"/>
            <w:tcBorders>
              <w:right w:val="single" w:sz="8" w:color="0000EE"/>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Item1.</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1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5140" w:type="dxa"/>
            <w:vAlign w:val="bottom"/>
            <w:gridSpan w:val="5"/>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6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466"/>
        </w:trPr>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1229"/>
        </w:trPr>
        <w:tc>
          <w:tcPr>
            <w:tcW w:w="1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88" w:lineRule="exact"/>
        <w:rPr>
          <w:sz w:val="20"/>
          <w:szCs w:val="20"/>
          <w:color w:val="auto"/>
        </w:rPr>
      </w:pPr>
    </w:p>
    <w:p>
      <w:pPr>
        <w:ind w:right="420" w:firstLine="749"/>
        <w:spacing w:after="0" w:line="245" w:lineRule="exact"/>
        <w:rPr>
          <w:sz w:val="20"/>
          <w:szCs w:val="20"/>
          <w:color w:val="auto"/>
        </w:rPr>
      </w:pPr>
      <w:r>
        <w:rPr>
          <w:rFonts w:ascii="Times New Roman" w:cs="Times New Roman" w:eastAsia="Times New Roman" w:hAnsi="Times New Roman"/>
          <w:sz w:val="18"/>
          <w:szCs w:val="18"/>
          <w:color w:val="auto"/>
        </w:rPr>
        <w:t>In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(“Quarterly Report”), “Mereo,” the “Group,” the “Company,” “we,” “us” and “our” refer to Mereo BioPharma Group plc and its consolidated subsidiaries, except where the context otherwise requires.</w:t>
      </w:r>
    </w:p>
    <w:p>
      <w:pPr>
        <w:spacing w:after="0" w:line="1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Quarterly Report are forward-looking statements. In some cases, you can identify forward-looking statements by words such as “believe,” “may,” “will,” “estimate,” “continue,” “anticipate,” “intend,” “expect” or the negative of these words or other comparable terminology.</w:t>
      </w:r>
    </w:p>
    <w:p>
      <w:pPr>
        <w:spacing w:after="0" w:line="187" w:lineRule="exact"/>
        <w:rPr>
          <w:sz w:val="20"/>
          <w:szCs w:val="20"/>
          <w:color w:val="auto"/>
        </w:rPr>
      </w:pPr>
    </w:p>
    <w:p>
      <w:pPr>
        <w:ind w:right="120" w:firstLine="749"/>
        <w:spacing w:after="0" w:line="255" w:lineRule="auto"/>
        <w:rPr>
          <w:sz w:val="20"/>
          <w:szCs w:val="20"/>
          <w:color w:val="auto"/>
        </w:rPr>
      </w:pPr>
      <w:r>
        <w:rPr>
          <w:rFonts w:ascii="Times New Roman" w:cs="Times New Roman" w:eastAsia="Times New Roman" w:hAnsi="Times New Roman"/>
          <w:sz w:val="18"/>
          <w:szCs w:val="18"/>
          <w:color w:val="auto"/>
        </w:rPr>
        <w:t>Any forward-looking statements in this Quarterly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of our Annual Report on Form 10-K for the year ended December 31, 2023.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8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This Quarterly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w:t>
      </w:r>
    </w:p>
    <w:p>
      <w:pPr>
        <w:spacing w:after="0" w:line="18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1"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7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87,431</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5,156</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receivables</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1,183</w:t>
            </w:r>
          </w:p>
        </w:tc>
      </w:tr>
      <w:tr>
        <w:trPr>
          <w:trHeight w:val="23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93,940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63,760</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338</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r>
      <w:tr>
        <w:trPr>
          <w:trHeight w:val="243"/>
        </w:trPr>
        <w:tc>
          <w:tcPr>
            <w:tcW w:w="7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1,089</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96,129</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7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c>
          <w:tcPr>
            <w:tcW w:w="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2,346</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5,467</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Convertible loan notes – current</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4,931</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3,435</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1,021</w:t>
            </w:r>
          </w:p>
        </w:tc>
      </w:tr>
      <w:tr>
        <w:trPr>
          <w:trHeight w:val="236"/>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15,466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9,486</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Convertible loan notes – non-current</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4,394</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 liabilities – non-current</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552</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906</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764</w:t>
            </w:r>
          </w:p>
        </w:tc>
      </w:tr>
      <w:tr>
        <w:trPr>
          <w:trHeight w:val="278"/>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17,479</w:t>
            </w:r>
          </w:p>
        </w:tc>
        <w:tc>
          <w:tcPr>
            <w:tcW w:w="18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15,962</w:t>
            </w:r>
          </w:p>
        </w:tc>
      </w:tr>
      <w:tr>
        <w:trPr>
          <w:trHeight w:val="217"/>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2"/>
        </w:trPr>
        <w:tc>
          <w:tcPr>
            <w:tcW w:w="7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r>
      <w:tr>
        <w:trPr>
          <w:trHeight w:val="21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Ordinary shares, par value £0.003 per share; 768,821,274 shares issued at June 30, 2024 (December 31,</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 701,217,089).</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2,775</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534,732</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486,107</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(440,836 )</w:t>
            </w:r>
          </w:p>
        </w:tc>
        <w:tc>
          <w:tcPr>
            <w:tcW w:w="1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(419,630 )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(18,278 )</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(17,485 )</w:t>
            </w: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0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78,650</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50,537</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96,129</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66,499</w:t>
            </w:r>
          </w:p>
        </w:tc>
      </w:tr>
      <w:tr>
        <w:trPr>
          <w:trHeight w:val="20"/>
        </w:trPr>
        <w:tc>
          <w:tcPr>
            <w:tcW w:w="7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-4739640</wp:posOffset>
            </wp:positionV>
            <wp:extent cx="1111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-4114165</wp:posOffset>
            </wp:positionV>
            <wp:extent cx="111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-2691130</wp:posOffset>
            </wp:positionV>
            <wp:extent cx="111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-1748155</wp:posOffset>
            </wp:positionV>
            <wp:extent cx="1111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-1731010</wp:posOffset>
            </wp:positionV>
            <wp:extent cx="11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111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9,000</w:t>
            </w:r>
          </w:p>
        </w:tc>
        <w:tc>
          <w:tcPr>
            <w:tcW w:w="0" w:type="dxa"/>
            <w:vAlign w:val="bottom"/>
          </w:tcPr>
          <w:p>
            <w:pPr>
              <w:spacing w:after="0"/>
              <w:rPr>
                <w:sz w:val="1"/>
                <w:szCs w:val="1"/>
                <w:color w:val="auto"/>
              </w:rPr>
            </w:pPr>
          </w:p>
        </w:tc>
      </w:tr>
      <w:tr>
        <w:trPr>
          <w:trHeight w:val="24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(3,430 )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(3,083 )</w:t>
            </w:r>
          </w:p>
        </w:tc>
        <w:tc>
          <w:tcPr>
            <w:tcW w:w="0" w:type="dxa"/>
            <w:vAlign w:val="bottom"/>
          </w:tcPr>
          <w:p>
            <w:pPr>
              <w:spacing w:after="0"/>
              <w:rPr>
                <w:sz w:val="1"/>
                <w:szCs w:val="1"/>
                <w:color w:val="auto"/>
              </w:rPr>
            </w:pPr>
          </w:p>
        </w:tc>
      </w:tr>
      <w:tr>
        <w:trPr>
          <w:trHeight w:val="239"/>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(8,939 )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(9,019 )</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(13,777 )</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(9,119 )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(12,814 )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(22,716 )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(12,221 )</w:t>
            </w:r>
          </w:p>
        </w:tc>
        <w:tc>
          <w:tcPr>
            <w:tcW w:w="0" w:type="dxa"/>
            <w:vAlign w:val="bottom"/>
          </w:tcPr>
          <w:p>
            <w:pPr>
              <w:spacing w:after="0"/>
              <w:rPr>
                <w:sz w:val="1"/>
                <w:szCs w:val="1"/>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(1,029 )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(1,829 )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the fair value of financial instruments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18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(2,010 )</w:t>
            </w:r>
          </w:p>
        </w:tc>
        <w:tc>
          <w:tcPr>
            <w:tcW w:w="0" w:type="dxa"/>
            <w:vAlign w:val="bottom"/>
          </w:tcPr>
          <w:p>
            <w:pPr>
              <w:spacing w:after="0"/>
              <w:rPr>
                <w:sz w:val="1"/>
                <w:szCs w:val="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8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847</w:t>
            </w: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(13,827 )</w:t>
            </w:r>
          </w:p>
        </w:tc>
        <w:tc>
          <w:tcPr>
            <w:tcW w:w="0" w:type="dxa"/>
            <w:vAlign w:val="bottom"/>
          </w:tcPr>
          <w:p>
            <w:pPr>
              <w:spacing w:after="0"/>
              <w:rPr>
                <w:sz w:val="1"/>
                <w:szCs w:val="1"/>
                <w:color w:val="auto"/>
              </w:rPr>
            </w:pPr>
          </w:p>
        </w:tc>
      </w:tr>
      <w:tr>
        <w:trPr>
          <w:trHeight w:val="241"/>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8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(12,255 )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36"/>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711,770,804</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628,421,064</w:t>
            </w: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706,407,371</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626,185,695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(12,255 )</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(21,208 )</w:t>
            </w:r>
          </w:p>
        </w:tc>
        <w:tc>
          <w:tcPr>
            <w:tcW w:w="3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(13,827 )</w:t>
            </w:r>
          </w:p>
        </w:tc>
        <w:tc>
          <w:tcPr>
            <w:tcW w:w="0" w:type="dxa"/>
            <w:vAlign w:val="bottom"/>
          </w:tcPr>
          <w:p>
            <w:pPr>
              <w:spacing w:after="0"/>
              <w:rPr>
                <w:sz w:val="1"/>
                <w:szCs w:val="1"/>
                <w:color w:val="auto"/>
              </w:rPr>
            </w:pPr>
          </w:p>
        </w:tc>
      </w:tr>
      <w:tr>
        <w:trPr>
          <w:trHeight w:val="211"/>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w:t>
            </w:r>
          </w:p>
        </w:tc>
        <w:tc>
          <w:tcPr>
            <w:tcW w:w="180" w:type="dxa"/>
            <w:vAlign w:val="bottom"/>
          </w:tcPr>
          <w:p>
            <w:pPr>
              <w:spacing w:after="0"/>
              <w:rPr>
                <w:sz w:val="18"/>
                <w:szCs w:val="18"/>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net of tax</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(12,250 )</w:t>
            </w: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(22,001 )</w:t>
            </w:r>
          </w:p>
        </w:tc>
        <w:tc>
          <w:tcPr>
            <w:tcW w:w="14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-3025140</wp:posOffset>
            </wp:positionV>
            <wp:extent cx="85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-3025140</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-3025140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-1782445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-1782445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-1782445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-1464945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-1464945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-1464945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-967740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-967740</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-967740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857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857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-24765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20" w:type="dxa"/>
            <w:vAlign w:val="bottom"/>
          </w:tcPr>
          <w:p>
            <w:pPr>
              <w:spacing w:after="0"/>
              <w:rPr>
                <w:sz w:val="21"/>
                <w:szCs w:val="21"/>
                <w:color w:val="auto"/>
              </w:rPr>
            </w:pPr>
          </w:p>
        </w:tc>
        <w:tc>
          <w:tcPr>
            <w:tcW w:w="28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700" w:type="dxa"/>
            <w:vAlign w:val="bottom"/>
            <w:tcBorders>
              <w:bottom w:val="single" w:sz="8" w:color="auto"/>
            </w:tcBorders>
          </w:tcPr>
          <w:p>
            <w:pPr>
              <w:spacing w:after="0"/>
              <w:rPr>
                <w:sz w:val="21"/>
                <w:szCs w:val="21"/>
                <w:color w:val="auto"/>
              </w:rPr>
            </w:pPr>
          </w:p>
        </w:tc>
      </w:tr>
      <w:tr>
        <w:trPr>
          <w:trHeight w:val="241"/>
        </w:trPr>
        <w:tc>
          <w:tcPr>
            <w:tcW w:w="77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7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(21,208 )</w:t>
            </w:r>
          </w:p>
        </w:tc>
        <w:tc>
          <w:tcPr>
            <w:tcW w:w="114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(13,827 )</w:t>
            </w: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4,138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2,576</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warrants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941</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interest income</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transaction (gain)/loss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(644 )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2,010</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(6,108 )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Research and development incentives receivable</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(847 )</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(1,924 )</w:t>
            </w:r>
          </w:p>
        </w:tc>
      </w:tr>
      <w:tr>
        <w:trPr>
          <w:trHeight w:val="247"/>
        </w:trPr>
        <w:tc>
          <w:tcPr>
            <w:tcW w:w="77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(1,494 )</w:t>
            </w:r>
          </w:p>
        </w:tc>
      </w:tr>
      <w:tr>
        <w:trPr>
          <w:trHeight w:val="239"/>
        </w:trPr>
        <w:tc>
          <w:tcPr>
            <w:tcW w:w="7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w:t>
            </w:r>
          </w:p>
        </w:tc>
      </w:tr>
      <w:tr>
        <w:trPr>
          <w:trHeight w:val="243"/>
        </w:trPr>
        <w:tc>
          <w:tcPr>
            <w:tcW w:w="77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(280 )</w:t>
            </w: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(15,895 )</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(17,002 )</w:t>
            </w:r>
          </w:p>
        </w:tc>
      </w:tr>
      <w:tr>
        <w:trPr>
          <w:trHeight w:val="248"/>
        </w:trPr>
        <w:tc>
          <w:tcPr>
            <w:tcW w:w="7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(699 )</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(419 )</w:t>
            </w:r>
          </w:p>
        </w:tc>
      </w:tr>
      <w:tr>
        <w:trPr>
          <w:trHeight w:val="47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financing agreement with TAP</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47,000</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 on issuance of ordinary shares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 costs on convertible loan notes</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46,781</w:t>
            </w: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r>
      <w:tr>
        <w:trPr>
          <w:trHeight w:val="47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1000" w:type="dxa"/>
            <w:vAlign w:val="bottom"/>
          </w:tcPr>
          <w:p>
            <w:pPr>
              <w:spacing w:after="0"/>
              <w:rPr>
                <w:sz w:val="24"/>
                <w:szCs w:val="24"/>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30,187</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(17,354 )</w:t>
            </w: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January 1</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57,421</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68,182</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2,139</w:t>
            </w:r>
          </w:p>
        </w:tc>
      </w:tr>
      <w:tr>
        <w:trPr>
          <w:trHeight w:val="27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June 30</w:t>
            </w:r>
          </w:p>
        </w:tc>
        <w:tc>
          <w:tcPr>
            <w:tcW w:w="100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87,431</w:t>
            </w:r>
          </w:p>
        </w:tc>
        <w:tc>
          <w:tcPr>
            <w:tcW w:w="1140" w:type="dxa"/>
            <w:vAlign w:val="bottom"/>
            <w:gridSpan w:val="2"/>
            <w:shd w:val="clear" w:color="auto" w:fill="CFF0FC"/>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52,967</w:t>
            </w:r>
          </w:p>
        </w:tc>
      </w:tr>
      <w:tr>
        <w:trPr>
          <w:trHeight w:val="462"/>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w:t>
            </w:r>
          </w:p>
        </w:tc>
        <w:tc>
          <w:tcPr>
            <w:tcW w:w="10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863</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the amounts included in the measurement of operating lease liabilities</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finance activities</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ordinary shares - transaction costs not yet paid</w:t>
            </w:r>
          </w:p>
        </w:tc>
        <w:tc>
          <w:tcPr>
            <w:tcW w:w="100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-3762375</wp:posOffset>
            </wp:positionV>
            <wp:extent cx="111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-1104900</wp:posOffset>
            </wp:positionV>
            <wp:extent cx="1111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-1087755</wp:posOffset>
            </wp:positionV>
            <wp:extent cx="1111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940" w:type="dxa"/>
            <w:vAlign w:val="bottom"/>
            <w:gridSpan w:val="4"/>
            <w:vMerge w:val="restart"/>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0" w:type="dxa"/>
            <w:vAlign w:val="bottom"/>
          </w:tcPr>
          <w:p>
            <w:pPr>
              <w:spacing w:after="0"/>
              <w:rPr>
                <w:sz w:val="11"/>
                <w:szCs w:val="11"/>
                <w:color w:val="auto"/>
              </w:rPr>
            </w:pPr>
          </w:p>
        </w:tc>
        <w:tc>
          <w:tcPr>
            <w:tcW w:w="1940" w:type="dxa"/>
            <w:vAlign w:val="bottom"/>
            <w:gridSpan w:val="4"/>
            <w:vMerge w:val="restart"/>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11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ind w:right="1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60"/>
        </w:trPr>
        <w:tc>
          <w:tcPr>
            <w:tcW w:w="3000" w:type="dxa"/>
            <w:vAlign w:val="bottom"/>
          </w:tcPr>
          <w:p>
            <w:pPr>
              <w:spacing w:after="0"/>
              <w:rPr>
                <w:sz w:val="13"/>
                <w:szCs w:val="13"/>
                <w:color w:val="auto"/>
              </w:rPr>
            </w:pPr>
          </w:p>
        </w:tc>
        <w:tc>
          <w:tcPr>
            <w:tcW w:w="1940" w:type="dxa"/>
            <w:vAlign w:val="bottom"/>
            <w:tcBorders>
              <w:bottom w:val="single" w:sz="8" w:color="auto"/>
            </w:tcBorders>
            <w:gridSpan w:val="4"/>
            <w:vMerge w:val="continue"/>
          </w:tcPr>
          <w:p>
            <w:pPr>
              <w:spacing w:after="0"/>
              <w:rPr>
                <w:sz w:val="13"/>
                <w:szCs w:val="13"/>
                <w:color w:val="auto"/>
              </w:rPr>
            </w:pPr>
          </w:p>
        </w:tc>
        <w:tc>
          <w:tcPr>
            <w:tcW w:w="140" w:type="dxa"/>
            <w:vAlign w:val="bottom"/>
          </w:tcPr>
          <w:p>
            <w:pPr>
              <w:spacing w:after="0"/>
              <w:rPr>
                <w:sz w:val="13"/>
                <w:szCs w:val="13"/>
                <w:color w:val="auto"/>
              </w:rPr>
            </w:pPr>
          </w:p>
        </w:tc>
        <w:tc>
          <w:tcPr>
            <w:tcW w:w="1940" w:type="dxa"/>
            <w:vAlign w:val="bottom"/>
            <w:tcBorders>
              <w:bottom w:val="single" w:sz="8" w:color="auto"/>
            </w:tcBorders>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00" w:type="dxa"/>
            <w:vAlign w:val="bottom"/>
          </w:tcPr>
          <w:p>
            <w:pPr>
              <w:spacing w:after="0"/>
              <w:rPr>
                <w:sz w:val="13"/>
                <w:szCs w:val="13"/>
                <w:color w:val="auto"/>
              </w:rPr>
            </w:pPr>
          </w:p>
        </w:tc>
        <w:tc>
          <w:tcPr>
            <w:tcW w:w="1000" w:type="dxa"/>
            <w:vAlign w:val="bottom"/>
            <w:gridSpan w:val="2"/>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3"/>
                <w:szCs w:val="13"/>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40" w:type="dxa"/>
            <w:vAlign w:val="bottom"/>
          </w:tcPr>
          <w:p>
            <w:pPr>
              <w:spacing w:after="0"/>
              <w:rPr>
                <w:sz w:val="13"/>
                <w:szCs w:val="13"/>
                <w:color w:val="auto"/>
              </w:rPr>
            </w:pPr>
          </w:p>
        </w:tc>
        <w:tc>
          <w:tcPr>
            <w:tcW w:w="9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Cost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6"/>
              </w:rPr>
              <w:t>(loss)/income</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2023</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701,217,089</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2,775</w:t>
            </w:r>
          </w:p>
        </w:tc>
        <w:tc>
          <w:tcPr>
            <w:tcW w:w="10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923,400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(1,230 )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486,107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(17,485 )</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(419,630 )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50,537</w:t>
            </w:r>
          </w:p>
        </w:tc>
        <w:tc>
          <w:tcPr>
            <w:tcW w:w="0" w:type="dxa"/>
            <w:vAlign w:val="bottom"/>
          </w:tcPr>
          <w:p>
            <w:pPr>
              <w:spacing w:after="0"/>
              <w:rPr>
                <w:sz w:val="1"/>
                <w:szCs w:val="1"/>
                <w:color w:val="auto"/>
              </w:rPr>
            </w:pPr>
          </w:p>
        </w:tc>
      </w:tr>
      <w:tr>
        <w:trPr>
          <w:trHeight w:val="155"/>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(8,951 )</w:t>
            </w: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(8,951 )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(798 )</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(798 )</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2,050</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132,345</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(210,485 )</w:t>
            </w: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280</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(280 )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(712,915 )</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950</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(950 )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2024</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701,349,434</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2,775</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486,927</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(18,283 )</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(428,581 )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42,838</w:t>
            </w:r>
          </w:p>
        </w:tc>
        <w:tc>
          <w:tcPr>
            <w:tcW w:w="0" w:type="dxa"/>
            <w:vAlign w:val="bottom"/>
          </w:tcPr>
          <w:p>
            <w:pPr>
              <w:spacing w:after="0"/>
              <w:rPr>
                <w:sz w:val="1"/>
                <w:szCs w:val="1"/>
                <w:color w:val="auto"/>
              </w:rPr>
            </w:pPr>
          </w:p>
        </w:tc>
      </w:tr>
      <w:tr>
        <w:trPr>
          <w:trHeight w:val="155"/>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(12,255 )</w:t>
            </w: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(12,255 )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2,088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2,088</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Exercise of share options</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800,890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Delivery of shares on vesting of performance based</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stock units</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4,014,450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0" w:type="dxa"/>
            <w:vAlign w:val="bottom"/>
          </w:tcPr>
          <w:p>
            <w:pPr>
              <w:spacing w:after="0"/>
              <w:rPr>
                <w:sz w:val="1"/>
                <w:szCs w:val="1"/>
                <w:color w:val="auto"/>
              </w:rPr>
            </w:pPr>
          </w:p>
        </w:tc>
      </w:tr>
      <w:tr>
        <w:trPr>
          <w:trHeight w:val="16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shares, net of discount</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62,656,500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238</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46,762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47,000</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Transaction costs on issuance of shares</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(999 )</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2024</w:t>
            </w: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768,821,274</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3,032</w:t>
            </w:r>
          </w:p>
        </w:tc>
        <w:tc>
          <w:tcPr>
            <w:tcW w:w="140" w:type="dxa"/>
            <w:vAlign w:val="bottom"/>
            <w:tcBorders>
              <w:bottom w:val="single" w:sz="8" w:color="CFF0FC"/>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534,732</w:t>
            </w: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(18,278 )</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(440,836 )</w:t>
            </w: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78,650</w:t>
            </w:r>
          </w:p>
        </w:tc>
        <w:tc>
          <w:tcPr>
            <w:tcW w:w="0" w:type="dxa"/>
            <w:vAlign w:val="bottom"/>
          </w:tcPr>
          <w:p>
            <w:pPr>
              <w:spacing w:after="0"/>
              <w:rPr>
                <w:sz w:val="1"/>
                <w:szCs w:val="1"/>
                <w:color w:val="auto"/>
              </w:rPr>
            </w:pPr>
          </w:p>
        </w:tc>
      </w:tr>
      <w:tr>
        <w:trPr>
          <w:trHeight w:val="143"/>
        </w:trPr>
        <w:tc>
          <w:tcPr>
            <w:tcW w:w="30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Balance, December 31, 2022</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00" w:type="dxa"/>
            <w:vAlign w:val="bottom"/>
            <w:vMerge w:val="continue"/>
          </w:tcPr>
          <w:p>
            <w:pPr>
              <w:spacing w:after="0"/>
              <w:rPr>
                <w:sz w:val="13"/>
                <w:szCs w:val="13"/>
                <w:color w:val="auto"/>
              </w:rPr>
            </w:pP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624,928,519</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2,478</w:t>
            </w:r>
          </w:p>
        </w:tc>
        <w:tc>
          <w:tcPr>
            <w:tcW w:w="140" w:type="dxa"/>
            <w:vAlign w:val="bottom"/>
          </w:tcPr>
          <w:p>
            <w:pPr>
              <w:spacing w:after="0"/>
              <w:rPr>
                <w:sz w:val="13"/>
                <w:szCs w:val="13"/>
                <w:color w:val="auto"/>
              </w:rPr>
            </w:pPr>
          </w:p>
        </w:tc>
        <w:tc>
          <w:tcPr>
            <w:tcW w:w="94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(1,335 )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476,521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(21,687 )</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(404,575 )</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51,402</w:t>
            </w:r>
          </w:p>
        </w:tc>
        <w:tc>
          <w:tcPr>
            <w:tcW w:w="0" w:type="dxa"/>
            <w:vAlign w:val="bottom"/>
          </w:tcPr>
          <w:p>
            <w:pPr>
              <w:spacing w:after="0"/>
              <w:rPr>
                <w:sz w:val="1"/>
                <w:szCs w:val="1"/>
                <w:color w:val="auto"/>
              </w:rPr>
            </w:pPr>
          </w:p>
        </w:tc>
      </w:tr>
      <w:tr>
        <w:trPr>
          <w:trHeight w:val="155"/>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(12,076 )</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(12,076 )</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2,278</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Extinguishment and reissuance of convertible loan note</w:t>
            </w: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1,161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1,161</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1,635</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1,635</w:t>
            </w:r>
          </w:p>
        </w:tc>
        <w:tc>
          <w:tcPr>
            <w:tcW w:w="0" w:type="dxa"/>
            <w:vAlign w:val="bottom"/>
          </w:tcPr>
          <w:p>
            <w:pPr>
              <w:spacing w:after="0"/>
              <w:rPr>
                <w:sz w:val="1"/>
                <w:szCs w:val="1"/>
                <w:color w:val="auto"/>
              </w:rPr>
            </w:pPr>
          </w:p>
        </w:tc>
      </w:tr>
      <w:tr>
        <w:trPr>
          <w:trHeight w:val="15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March 31, 2023</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624,928,519</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2,478</w:t>
            </w:r>
          </w:p>
        </w:tc>
        <w:tc>
          <w:tcPr>
            <w:tcW w:w="10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(1,335 )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479,317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(19,409 )</w:t>
            </w:r>
          </w:p>
        </w:tc>
        <w:tc>
          <w:tcPr>
            <w:tcW w:w="2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(416,651 )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44,400</w:t>
            </w:r>
          </w:p>
        </w:tc>
        <w:tc>
          <w:tcPr>
            <w:tcW w:w="0" w:type="dxa"/>
            <w:vAlign w:val="bottom"/>
          </w:tcPr>
          <w:p>
            <w:pPr>
              <w:spacing w:after="0"/>
              <w:rPr>
                <w:sz w:val="1"/>
                <w:szCs w:val="1"/>
                <w:color w:val="auto"/>
              </w:rPr>
            </w:pPr>
          </w:p>
        </w:tc>
      </w:tr>
      <w:tr>
        <w:trPr>
          <w:trHeight w:val="155"/>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94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(1,751 )</w:t>
            </w:r>
          </w:p>
        </w:tc>
        <w:tc>
          <w:tcPr>
            <w:tcW w:w="10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1,400</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943</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Delivery of shares on vesting of restricted stock units</w:t>
            </w:r>
          </w:p>
        </w:tc>
        <w:tc>
          <w:tcPr>
            <w:tcW w:w="9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501,380</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Conversion of convertible loan note</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17,774,895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67</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5,784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4,617</w:t>
            </w:r>
          </w:p>
        </w:tc>
        <w:tc>
          <w:tcPr>
            <w:tcW w:w="0" w:type="dxa"/>
            <w:vAlign w:val="bottom"/>
          </w:tcPr>
          <w:p>
            <w:pPr>
              <w:spacing w:after="0"/>
              <w:rPr>
                <w:sz w:val="1"/>
                <w:szCs w:val="1"/>
                <w:color w:val="auto"/>
              </w:rPr>
            </w:pPr>
          </w:p>
        </w:tc>
      </w:tr>
      <w:tr>
        <w:trPr>
          <w:trHeight w:val="162"/>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warrants</w:t>
            </w:r>
          </w:p>
        </w:tc>
        <w:tc>
          <w:tcPr>
            <w:tcW w:w="94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5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June 30, 2023</w:t>
            </w:r>
          </w:p>
        </w:tc>
        <w:tc>
          <w:tcPr>
            <w:tcW w:w="9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643,204,794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2,547</w:t>
            </w:r>
          </w:p>
        </w:tc>
        <w:tc>
          <w:tcPr>
            <w:tcW w:w="10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1,003,030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(1,335 )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479,080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(18,009 )</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(412,618 )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49,665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2508250</wp:posOffset>
            </wp:positionH>
            <wp:positionV relativeFrom="paragraph">
              <wp:posOffset>-3093720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-3093720</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-3093720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-3093720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-3093720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-3093720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-3093720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-2459355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-2459355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-2459355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-2459355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-2459355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-2459355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-2459355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-1533525</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-1517015</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-1533525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-1517015</wp:posOffset>
            </wp:positionV>
            <wp:extent cx="7683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-1533525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-1517015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-1533525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-1517015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-1533525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-1517015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-1533525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-1517015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-1533525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-1517015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-762000</wp:posOffset>
            </wp:positionV>
            <wp:extent cx="774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-762000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-762000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-762000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-762000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-762000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-762000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-136525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-136525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-136525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-136525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-136525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-136525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-136525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form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MEREO BIOPHARMA GROUP PLC NOTES TO CONDENSED CONSOLIDATED FINANCIAL STATEMENTS (Unaudited)</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Mereo BioPharma Group plc (the “Company” or “Mereo”) is a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osteogenesis imperfecta (“OI”) and alvelestat primarily for the treatment of severe alpha-1 antitrypsin deficiency-associated lung disease (“AATD-LD”).</w:t>
      </w:r>
    </w:p>
    <w:p>
      <w:pPr>
        <w:spacing w:after="0" w:line="180" w:lineRule="exact"/>
        <w:rPr>
          <w:sz w:val="20"/>
          <w:szCs w:val="20"/>
          <w:color w:val="auto"/>
        </w:rPr>
      </w:pPr>
    </w:p>
    <w:p>
      <w:pPr>
        <w:jc w:val="both"/>
        <w:ind w:right="80" w:firstLine="749"/>
        <w:spacing w:after="0" w:line="266" w:lineRule="auto"/>
        <w:rPr>
          <w:sz w:val="20"/>
          <w:szCs w:val="20"/>
          <w:color w:val="auto"/>
        </w:rPr>
      </w:pPr>
      <w:r>
        <w:rPr>
          <w:rFonts w:ascii="Times New Roman" w:cs="Times New Roman" w:eastAsia="Times New Roman" w:hAnsi="Times New Roman"/>
          <w:sz w:val="18"/>
          <w:szCs w:val="18"/>
          <w:color w:val="auto"/>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of the Company and its subsidiaries and other financial information included in this Quarterly Report are unaudited, have been prepared in accordance with generally accepted accounting principles in the United States of America (“U.S. GAAP”) and are presented in U.S. dollars. All significant intercompany accounts and transactions between the Company and its subsidiaries have been eliminated on consolidation.</w:t>
      </w:r>
    </w:p>
    <w:p>
      <w:pPr>
        <w:spacing w:after="0" w:line="180"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presented in this Quarterly Report should be read in conjunction with the consolidated financial statements and accompanying notes included in the Company’s Annual Report on Form 10-K filed with the SEC on March 27, 2024 (the “2023 Annual Report”). The condensed consolidated balance sheet as of December 31, 2023 was derived from audited consolidated financial statements included in the Company’s Annual Report but does not include all disclosures required by U.S. GAAP. The Company’s significant accounting policies are described in Note 2 to those consolidated financial statements.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which are, in the opinion of management, necessary to fairly state the Company's financial position as of June 30, 2024, the results of operations for the three and six months ended June 30, 2024 and 2023 and cash flows for the six months ended June 30, 2024 and 2023. The interim results are not necessarily indicative of results to be expected for the full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spacing w:after="0" w:line="192"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historically been loss making, anticipates that it will continue to incur losses for the foreseeable future, and had an accumulated deficit of $440.8 million as of June 30, 2024. The Company has funded these losses through a combination of public equity financings, private equity and debt financings and various license and collaboration agreements, and it expects it will continue to do so until such time as it can generate significant revenue from product sales, or other commercial revenues, if ever, or through licensing and/or collaboration agreements for its rare disease or oncology product candidates. </w:t>
      </w:r>
      <w:r>
        <w:rPr>
          <w:rFonts w:ascii="Times New Roman" w:cs="Times New Roman" w:eastAsia="Times New Roman" w:hAnsi="Times New Roman"/>
          <w:sz w:val="18"/>
          <w:szCs w:val="18"/>
          <w:color w:val="2B333D"/>
        </w:rPr>
        <w:t>Although the Company recently raised net proceeds of $47.0 million before issuance costs through an underwritten registered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direct offering of its ADSs, there is no assurance that it will continue to be successful in obtaining sufficient funding on terms acceptable to the Company to fund continuing operations, if at all.</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cash and cash equivalents of $87.4 million. T</w:t>
      </w:r>
      <w:r>
        <w:rPr>
          <w:rFonts w:ascii="Times New Roman" w:cs="Times New Roman" w:eastAsia="Times New Roman" w:hAnsi="Times New Roman"/>
          <w:sz w:val="18"/>
          <w:szCs w:val="18"/>
          <w:color w:val="2B333D"/>
        </w:rPr>
        <w:t>he Company expects that its cash and cash equivalents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333D"/>
        </w:rPr>
        <w:t>June 30, 2024 will be sufficient to fund its operations and capital expenditure requirements for at least twelve months from the date of filing of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Significant estimates and assumptions reflected in the Company's unaudited condensed financial statements include, but are not limited to, revenue recognition on contracts with customers and convertible loan notes. Estimates are periodically reviewed in light of changes in circumstances, facts and experience. Changes in estimates are recorded in the period in which they become known.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Recent accounting pronouncements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There have been no recent accounting pronouncements, changes in accounting pronouncements or recently adopted accounting guidance other than those previously included in the Company’s Annual Report on Form 10-K for the year ended December 31, 2023, which was filed with the SEC on March 27, 2024, that are of significance or potential significance to the Company. The Company is continuing to evaluate the impact of the recently issued pronouncements that are effective in future periods that were discussed in its Annual Report on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accounts payable, certain accrued expenses, contingent consideration, warrant liability and convertible loan notes. The carrying amounts of cash and cash equivalents, accounts receivable, accounts payable and accrued expenses approximate their fair value due to the short-term nature of those financial instruments.</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financial assets and liabilities measured at fair value on a recurring basis and classified under the appropriate level of the fair value hierarchy: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60" w:type="dxa"/>
            <w:vAlign w:val="bottom"/>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5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34"/>
        </w:trPr>
        <w:tc>
          <w:tcPr>
            <w:tcW w:w="5760" w:type="dxa"/>
            <w:vAlign w:val="bottom"/>
          </w:tcPr>
          <w:p>
            <w:pPr>
              <w:spacing w:after="0"/>
              <w:rPr>
                <w:sz w:val="20"/>
                <w:szCs w:val="20"/>
                <w:color w:val="auto"/>
              </w:rPr>
            </w:pPr>
          </w:p>
        </w:tc>
        <w:tc>
          <w:tcPr>
            <w:tcW w:w="8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54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5"/>
        </w:trPr>
        <w:tc>
          <w:tcPr>
            <w:tcW w:w="6640" w:type="dxa"/>
            <w:vAlign w:val="bottom"/>
            <w:gridSpan w:val="2"/>
          </w:tcPr>
          <w:p>
            <w:pPr>
              <w:jc w:val="center"/>
              <w:ind w:left="59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40" w:type="dxa"/>
            <w:vAlign w:val="bottom"/>
          </w:tcPr>
          <w:p>
            <w:pPr>
              <w:spacing w:after="0"/>
              <w:rPr>
                <w:sz w:val="21"/>
                <w:szCs w:val="21"/>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5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925</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925</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731"/>
        </w:trPr>
        <w:tc>
          <w:tcPr>
            <w:tcW w:w="576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5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34"/>
        </w:trPr>
        <w:tc>
          <w:tcPr>
            <w:tcW w:w="5760" w:type="dxa"/>
            <w:vAlign w:val="bottom"/>
          </w:tcPr>
          <w:p>
            <w:pPr>
              <w:spacing w:after="0"/>
              <w:rPr>
                <w:sz w:val="20"/>
                <w:szCs w:val="20"/>
                <w:color w:val="auto"/>
              </w:rPr>
            </w:pPr>
          </w:p>
        </w:tc>
        <w:tc>
          <w:tcPr>
            <w:tcW w:w="88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540" w:type="dxa"/>
            <w:vAlign w:val="bottom"/>
          </w:tcPr>
          <w:p>
            <w:pPr>
              <w:spacing w:after="0"/>
              <w:rPr>
                <w:sz w:val="20"/>
                <w:szCs w:val="20"/>
                <w:color w:val="auto"/>
              </w:rPr>
            </w:pPr>
          </w:p>
        </w:tc>
        <w:tc>
          <w:tcPr>
            <w:tcW w:w="126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45"/>
        </w:trPr>
        <w:tc>
          <w:tcPr>
            <w:tcW w:w="6640" w:type="dxa"/>
            <w:vAlign w:val="bottom"/>
            <w:gridSpan w:val="2"/>
          </w:tcPr>
          <w:p>
            <w:pPr>
              <w:jc w:val="center"/>
              <w:ind w:left="59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($'000)</w:t>
            </w:r>
          </w:p>
        </w:tc>
        <w:tc>
          <w:tcPr>
            <w:tcW w:w="13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($'000)</w:t>
            </w:r>
          </w:p>
        </w:tc>
        <w:tc>
          <w:tcPr>
            <w:tcW w:w="540" w:type="dxa"/>
            <w:vAlign w:val="bottom"/>
          </w:tcPr>
          <w:p>
            <w:pPr>
              <w:spacing w:after="0"/>
              <w:rPr>
                <w:sz w:val="21"/>
                <w:szCs w:val="21"/>
                <w:color w:val="auto"/>
              </w:rPr>
            </w:pPr>
          </w:p>
        </w:tc>
        <w:tc>
          <w:tcPr>
            <w:tcW w:w="12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5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r>
      <w:tr>
        <w:trPr>
          <w:trHeight w:val="239"/>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412</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96"/>
              </w:rPr>
              <w:t>412</w:t>
            </w:r>
          </w:p>
        </w:tc>
        <w:tc>
          <w:tcPr>
            <w:tcW w:w="12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CVR liability</w:t>
            </w:r>
          </w:p>
        </w:tc>
        <w:tc>
          <w:tcPr>
            <w:tcW w:w="1460" w:type="dxa"/>
            <w:vAlign w:val="bottom"/>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transfers between Level 1 and Level 2 during the three and six months ended June 30,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54"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At June 30, 2024 and December 31, 2023, warrant liabilities solely related to those warrants outstanding to the former lenders of the Company as described in Note 11.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Contingent Value Rights Agreement Liability ("CVR liability")</w:t>
      </w:r>
    </w:p>
    <w:p>
      <w:pPr>
        <w:spacing w:after="0" w:line="2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2019, the Company acquired OncoMed and subsequently renamed it Mereo BioPharma 5, Inc. The Company made a provision for the estimated fair value of amounts payable to the former shareholders of Mereo BioPharma 5, Inc. under a Contingent Value Rights Agreement (“CVR”), established at the time of the acquisition of Mereo BioPharma 5, Inc. which was accounted for as a contingent consideration liability. The CVR expired on April 23, 2024 with no further amounts payable, therefore there were no CVR obligations as of June 30, 2024. As of December 31, 2023, the Company estimated the fair value of the liability for its obligations under the CVR to be $nil.</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9"/>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receivable</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599</w:t>
            </w: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 services</w:t>
            </w: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632</w:t>
            </w: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claim receivable</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1,950</w:t>
            </w: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Employee taxes on PSU vesting to be remitted</w:t>
            </w: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Other prepaid expense and current assets</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555</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r>
      <w:tr>
        <w:trPr>
          <w:trHeight w:val="277"/>
        </w:trPr>
        <w:tc>
          <w:tcPr>
            <w:tcW w:w="1140" w:type="dxa"/>
            <w:vAlign w:val="bottom"/>
          </w:tcPr>
          <w:p>
            <w:pPr>
              <w:spacing w:after="0"/>
              <w:rPr>
                <w:sz w:val="24"/>
                <w:szCs w:val="24"/>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4,489</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5,156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-24765</wp:posOffset>
            </wp:positionV>
            <wp:extent cx="939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939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June 2024, ADSs were sold on behalf of certain employees upon vesting of PSUs to cover ensuing income tax and social security obligations. Proceeds of $1.6 million were owed to the Company by its broker at June 30, 2024 and received shortly thereafter. The Company used these funds to settle its liability (see Note 8) to remit these amounts to the relevant taxing authorities on the employees' behalf.</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0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23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41"/>
        </w:trPr>
        <w:tc>
          <w:tcPr>
            <w:tcW w:w="23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37"/>
        </w:trPr>
        <w:tc>
          <w:tcPr>
            <w:tcW w:w="23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Pr>
          <w:p>
            <w:pPr>
              <w:spacing w:after="0"/>
              <w:rPr>
                <w:sz w:val="20"/>
                <w:szCs w:val="20"/>
                <w:color w:val="auto"/>
              </w:rPr>
            </w:pPr>
          </w:p>
        </w:tc>
      </w:tr>
      <w:tr>
        <w:trPr>
          <w:trHeight w:val="245"/>
        </w:trPr>
        <w:tc>
          <w:tcPr>
            <w:tcW w:w="2380" w:type="dxa"/>
            <w:vAlign w:val="bottom"/>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20" w:type="dxa"/>
            <w:vAlign w:val="bottom"/>
          </w:tcPr>
          <w:p>
            <w:pPr>
              <w:spacing w:after="0"/>
              <w:rPr>
                <w:sz w:val="21"/>
                <w:szCs w:val="21"/>
                <w:color w:val="auto"/>
              </w:rPr>
            </w:pPr>
          </w:p>
        </w:tc>
      </w:tr>
      <w:tr>
        <w:trPr>
          <w:trHeight w:val="239"/>
        </w:trPr>
        <w:tc>
          <w:tcPr>
            <w:tcW w:w="23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20"/>
                <w:szCs w:val="20"/>
                <w:color w:val="auto"/>
              </w:rPr>
            </w:pPr>
          </w:p>
        </w:tc>
      </w:tr>
      <w:tr>
        <w:trPr>
          <w:trHeight w:val="243"/>
        </w:trPr>
        <w:tc>
          <w:tcPr>
            <w:tcW w:w="2380" w:type="dxa"/>
            <w:vAlign w:val="bottom"/>
          </w:tcPr>
          <w:p>
            <w:pPr>
              <w:spacing w:after="0"/>
              <w:rPr>
                <w:sz w:val="21"/>
                <w:szCs w:val="21"/>
                <w:color w:val="auto"/>
              </w:rPr>
            </w:pPr>
          </w:p>
        </w:tc>
        <w:tc>
          <w:tcPr>
            <w:tcW w:w="3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equipment</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21"/>
                <w:szCs w:val="21"/>
                <w:color w:val="auto"/>
              </w:rPr>
            </w:pPr>
          </w:p>
        </w:tc>
      </w:tr>
      <w:tr>
        <w:trPr>
          <w:trHeight w:val="232"/>
        </w:trPr>
        <w:tc>
          <w:tcPr>
            <w:tcW w:w="23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 w:type="dxa"/>
            <w:vAlign w:val="bottom"/>
          </w:tcPr>
          <w:p>
            <w:pPr>
              <w:spacing w:after="0"/>
              <w:rPr>
                <w:sz w:val="20"/>
                <w:szCs w:val="20"/>
                <w:color w:val="auto"/>
              </w:rPr>
            </w:pPr>
          </w:p>
        </w:tc>
      </w:tr>
      <w:tr>
        <w:trPr>
          <w:trHeight w:val="245"/>
        </w:trPr>
        <w:tc>
          <w:tcPr>
            <w:tcW w:w="238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21"/>
                <w:szCs w:val="21"/>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(877 )</w:t>
            </w:r>
          </w:p>
        </w:tc>
        <w:tc>
          <w:tcPr>
            <w:tcW w:w="12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39"/>
        </w:trPr>
        <w:tc>
          <w:tcPr>
            <w:tcW w:w="238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tcPr>
          <w:p>
            <w:pPr>
              <w:spacing w:after="0"/>
              <w:rPr>
                <w:sz w:val="20"/>
                <w:szCs w:val="20"/>
                <w:color w:val="auto"/>
              </w:rPr>
            </w:pPr>
          </w:p>
        </w:tc>
      </w:tr>
      <w:tr>
        <w:trPr>
          <w:trHeight w:val="20"/>
        </w:trPr>
        <w:tc>
          <w:tcPr>
            <w:tcW w:w="23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-505460</wp:posOffset>
            </wp:positionV>
            <wp:extent cx="9461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-342265</wp:posOffset>
            </wp:positionV>
            <wp:extent cx="4131945" cy="1625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31945" cy="16256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Depreciation expense was less than $0.1 million for both the three and six months ended June 30, 2024 and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In August 2015, the Company entered into a lease agreement under which it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revisionary lease to extend the term for the original fourth floor lease to be coterminous with the fifth floor, ending in June 2026.</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9" w:right="419" w:bottom="1440" w:gutter="0" w:footer="0" w:header="0"/>
        </w:sectPr>
      </w:pPr>
    </w:p>
    <w:bookmarkStart w:id="10" w:name="page11"/>
    <w:bookmarkEnd w:id="10"/>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total lease expense included in the statements of operations and comprehensive loss was $0.2 million and $0.3 million in the three and six months ended June 30, 2024, respectively and $0.2 million and $0.3 million in the three and six months ended June 30, 2023, respectively. There were no material variable lease costs.</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8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241"/>
        </w:trPr>
        <w:tc>
          <w:tcPr>
            <w:tcW w:w="8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9"/>
        </w:trPr>
        <w:tc>
          <w:tcPr>
            <w:tcW w:w="840" w:type="dxa"/>
            <w:vAlign w:val="bottom"/>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4"/>
        </w:trPr>
        <w:tc>
          <w:tcPr>
            <w:tcW w:w="8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contractual lease term (years)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2.95</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8"/>
        </w:trPr>
        <w:tc>
          <w:tcPr>
            <w:tcW w:w="84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10.0 %</w:t>
            </w:r>
          </w:p>
        </w:tc>
        <w:tc>
          <w:tcPr>
            <w:tcW w:w="900" w:type="dxa"/>
            <w:vAlign w:val="bottom"/>
          </w:tcPr>
          <w:p>
            <w:pPr>
              <w:spacing w:after="0"/>
              <w:rPr>
                <w:sz w:val="20"/>
                <w:szCs w:val="20"/>
                <w:color w:val="auto"/>
              </w:rPr>
            </w:pPr>
          </w:p>
        </w:tc>
        <w:tc>
          <w:tcPr>
            <w:tcW w:w="9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Pr>
          <w:p>
            <w:pPr>
              <w:spacing w:after="0"/>
              <w:rPr>
                <w:sz w:val="20"/>
                <w:szCs w:val="20"/>
                <w:color w:val="auto"/>
              </w:rPr>
            </w:pPr>
          </w:p>
        </w:tc>
      </w:tr>
      <w:tr>
        <w:trPr>
          <w:trHeight w:val="464"/>
        </w:trPr>
        <w:tc>
          <w:tcPr>
            <w:tcW w:w="8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24"/>
                <w:szCs w:val="24"/>
                <w:color w:val="auto"/>
              </w:rPr>
            </w:pPr>
          </w:p>
        </w:tc>
        <w:tc>
          <w:tcPr>
            <w:tcW w:w="1800" w:type="dxa"/>
            <w:vAlign w:val="bottom"/>
            <w:gridSpan w:val="5"/>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00" w:type="dxa"/>
            <w:vAlign w:val="bottom"/>
          </w:tcPr>
          <w:p>
            <w:pPr>
              <w:spacing w:after="0"/>
              <w:rPr>
                <w:sz w:val="24"/>
                <w:szCs w:val="24"/>
                <w:color w:val="auto"/>
              </w:rPr>
            </w:pPr>
          </w:p>
        </w:tc>
      </w:tr>
      <w:tr>
        <w:trPr>
          <w:trHeight w:val="245"/>
        </w:trPr>
        <w:tc>
          <w:tcPr>
            <w:tcW w:w="84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4"/>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5"/>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00" w:type="dxa"/>
            <w:vAlign w:val="bottom"/>
            <w:tcBorders>
              <w:bottom w:val="single" w:sz="8" w:color="auto"/>
            </w:tcBorders>
          </w:tcPr>
          <w:p>
            <w:pPr>
              <w:spacing w:after="0"/>
              <w:rPr>
                <w:sz w:val="21"/>
                <w:szCs w:val="21"/>
                <w:color w:val="auto"/>
              </w:rPr>
            </w:pPr>
          </w:p>
        </w:tc>
      </w:tr>
      <w:tr>
        <w:trPr>
          <w:trHeight w:val="241"/>
        </w:trPr>
        <w:tc>
          <w:tcPr>
            <w:tcW w:w="8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0" w:type="dxa"/>
            <w:vAlign w:val="bottom"/>
          </w:tcPr>
          <w:p>
            <w:pPr>
              <w:spacing w:after="0"/>
              <w:rPr>
                <w:sz w:val="20"/>
                <w:szCs w:val="20"/>
                <w:color w:val="auto"/>
              </w:rPr>
            </w:pPr>
          </w:p>
        </w:tc>
      </w:tr>
      <w:tr>
        <w:trPr>
          <w:trHeight w:val="236"/>
        </w:trPr>
        <w:tc>
          <w:tcPr>
            <w:tcW w:w="8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($'000)</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r>
      <w:tr>
        <w:trPr>
          <w:trHeight w:val="252"/>
        </w:trPr>
        <w:tc>
          <w:tcPr>
            <w:tcW w:w="5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4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377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-1365250</wp:posOffset>
            </wp:positionV>
            <wp:extent cx="534924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49240" cy="154305"/>
                    </a:xfrm>
                    <a:prstGeom prst="rect">
                      <a:avLst/>
                    </a:prstGeom>
                    <a:noFill/>
                  </pic:spPr>
                </pic:pic>
              </a:graphicData>
            </a:graphic>
          </wp:anchor>
        </w:drawing>
      </w:r>
    </w:p>
    <w:p>
      <w:pPr>
        <w:spacing w:after="0" w:line="2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maturities of the Company’s operating lease liabilities as of June 30, 2024:</w:t>
      </w:r>
    </w:p>
    <w:p>
      <w:pPr>
        <w:spacing w:after="0" w:line="262"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As of June 30,</w:t>
            </w:r>
          </w:p>
        </w:tc>
      </w:tr>
      <w:tr>
        <w:trPr>
          <w:trHeight w:val="245"/>
        </w:trPr>
        <w:tc>
          <w:tcPr>
            <w:tcW w:w="64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1"/>
        </w:trPr>
        <w:tc>
          <w:tcPr>
            <w:tcW w:w="6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09"/>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Maturity analysis of the operating lease liabilities for the years ending December</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52"/>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31,</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r>
      <w:tr>
        <w:trPr>
          <w:trHeight w:val="239"/>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47"/>
        </w:trPr>
        <w:tc>
          <w:tcPr>
            <w:tcW w:w="6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39"/>
        </w:trPr>
        <w:tc>
          <w:tcPr>
            <w:tcW w:w="6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41"/>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undiscounted payments</w:t>
            </w:r>
          </w:p>
        </w:tc>
        <w:tc>
          <w:tcPr>
            <w:tcW w:w="2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39"/>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Present value discount</w:t>
            </w: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(120 )</w:t>
            </w:r>
          </w:p>
        </w:tc>
      </w:tr>
      <w:tr>
        <w:trPr>
          <w:trHeight w:val="277"/>
        </w:trPr>
        <w:tc>
          <w:tcPr>
            <w:tcW w:w="6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r>
      <w:tr>
        <w:trPr>
          <w:trHeight w:val="223"/>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7"/>
        </w:trPr>
        <w:tc>
          <w:tcPr>
            <w:tcW w:w="6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Other current liabilities</w:t>
            </w:r>
          </w:p>
        </w:tc>
        <w:tc>
          <w:tcPr>
            <w:tcW w:w="2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4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1140" w:type="dxa"/>
            <w:vAlign w:val="bottom"/>
          </w:tcPr>
          <w:p>
            <w:pPr>
              <w:spacing w:after="0"/>
              <w:rPr>
                <w:sz w:val="21"/>
                <w:szCs w:val="21"/>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Social security and other taxes</w:t>
            </w:r>
          </w:p>
        </w:tc>
        <w:tc>
          <w:tcPr>
            <w:tcW w:w="36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Employee taxes on PSU vesting to be remitted</w:t>
            </w:r>
          </w:p>
        </w:tc>
        <w:tc>
          <w:tcPr>
            <w:tcW w:w="3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1,602</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140" w:type="dxa"/>
            <w:vAlign w:val="bottom"/>
          </w:tcPr>
          <w:p>
            <w:pPr>
              <w:spacing w:after="0"/>
              <w:rPr>
                <w:sz w:val="21"/>
                <w:szCs w:val="21"/>
                <w:color w:val="auto"/>
              </w:rPr>
            </w:pPr>
          </w:p>
        </w:tc>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consideration liability</w:t>
            </w:r>
          </w:p>
        </w:tc>
        <w:tc>
          <w:tcPr>
            <w:tcW w:w="36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Equity issuance costs payable</w:t>
            </w:r>
          </w:p>
        </w:tc>
        <w:tc>
          <w:tcPr>
            <w:tcW w:w="3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3,435</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280" w:type="dxa"/>
            <w:vAlign w:val="bottom"/>
            <w:vMerge w:val="restart"/>
          </w:tcPr>
          <w:p>
            <w:pPr>
              <w:jc w:val="right"/>
              <w:ind w:right="1570"/>
              <w:spacing w:after="0"/>
              <w:rPr>
                <w:sz w:val="20"/>
                <w:szCs w:val="20"/>
                <w:color w:val="auto"/>
              </w:rPr>
            </w:pPr>
            <w:r>
              <w:rPr>
                <w:rFonts w:ascii="Times New Roman" w:cs="Times New Roman" w:eastAsia="Times New Roman" w:hAnsi="Times New Roman"/>
                <w:sz w:val="18"/>
                <w:szCs w:val="18"/>
                <w:color w:val="auto"/>
              </w:rPr>
              <w:t>9</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90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-1096645</wp:posOffset>
            </wp:positionV>
            <wp:extent cx="93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8"/>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 Accrued expenses</w:t>
            </w: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3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Accrued expenses consist of the following:</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0"/>
        </w:trPr>
        <w:tc>
          <w:tcPr>
            <w:tcW w:w="114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 costs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765</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1,821</w:t>
            </w: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legal fees</w:t>
            </w: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1,624</w:t>
            </w: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audit fees</w:t>
            </w: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671</w:t>
            </w:r>
          </w:p>
        </w:tc>
      </w:tr>
      <w:tr>
        <w:trPr>
          <w:trHeight w:val="247"/>
        </w:trPr>
        <w:tc>
          <w:tcPr>
            <w:tcW w:w="1140" w:type="dxa"/>
            <w:vAlign w:val="bottom"/>
          </w:tcPr>
          <w:p>
            <w:pPr>
              <w:spacing w:after="0"/>
              <w:rPr>
                <w:sz w:val="21"/>
                <w:szCs w:val="21"/>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0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338</w:t>
            </w:r>
          </w:p>
        </w:tc>
      </w:tr>
      <w:tr>
        <w:trPr>
          <w:trHeight w:val="239"/>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Accrued local taxes</w:t>
            </w:r>
          </w:p>
        </w:tc>
        <w:tc>
          <w:tcPr>
            <w:tcW w:w="2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382</w:t>
            </w:r>
          </w:p>
        </w:tc>
      </w:tr>
      <w:tr>
        <w:trPr>
          <w:trHeight w:val="243"/>
        </w:trPr>
        <w:tc>
          <w:tcPr>
            <w:tcW w:w="1140" w:type="dxa"/>
            <w:vAlign w:val="bottom"/>
          </w:tcPr>
          <w:p>
            <w:pPr>
              <w:spacing w:after="0"/>
              <w:rPr>
                <w:sz w:val="21"/>
                <w:szCs w:val="21"/>
                <w:color w:val="auto"/>
              </w:rPr>
            </w:pPr>
          </w:p>
        </w:tc>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365</w:t>
            </w:r>
          </w:p>
        </w:tc>
      </w:tr>
      <w:tr>
        <w:trPr>
          <w:trHeight w:val="237"/>
        </w:trPr>
        <w:tc>
          <w:tcPr>
            <w:tcW w:w="114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3,721</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5,467</w:t>
            </w:r>
          </w:p>
        </w:tc>
      </w:tr>
      <w:tr>
        <w:trPr>
          <w:trHeight w:val="20"/>
        </w:trPr>
        <w:tc>
          <w:tcPr>
            <w:tcW w:w="11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-187960</wp:posOffset>
            </wp:positionV>
            <wp:extent cx="939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Convertible loan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Loan Note</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On February 10, 2020, the Company entered into a convertible equity financing with Novartis Pharma (AG) (“Novartis”) under which Novartis purchased a £3.8 million ($5.2 million) convertible loan note (the “Novartis Loan Note”). The Novartis Loan Note is convertible at the discretion of the holder, at a fixed price of £0.265 per ordinary share and originally bore interest at 6% per annum with a maturity date of February 10, 2023. In connection with the Novartis Loan Note, the Company also issued 1,449,614 warrants which are exercisable until February 2025 at an exercise price of £0.265 per ordinary share. These warrants were recognized separately as equity instruments.</w:t>
      </w:r>
    </w:p>
    <w:p>
      <w:pPr>
        <w:spacing w:after="0" w:line="183" w:lineRule="exact"/>
        <w:rPr>
          <w:sz w:val="20"/>
          <w:szCs w:val="20"/>
          <w:color w:val="auto"/>
        </w:rPr>
      </w:pPr>
    </w:p>
    <w:p>
      <w:pPr>
        <w:jc w:val="both"/>
        <w:ind w:right="240" w:firstLine="749"/>
        <w:spacing w:after="0" w:line="266" w:lineRule="auto"/>
        <w:rPr>
          <w:sz w:val="20"/>
          <w:szCs w:val="20"/>
          <w:color w:val="auto"/>
        </w:rPr>
      </w:pPr>
      <w:r>
        <w:rPr>
          <w:rFonts w:ascii="Times New Roman" w:cs="Times New Roman" w:eastAsia="Times New Roman" w:hAnsi="Times New Roman"/>
          <w:sz w:val="18"/>
          <w:szCs w:val="18"/>
          <w:color w:val="auto"/>
        </w:rPr>
        <w:t>Effective February 10, 2023, the maturity date of the Novartis Loan Note was extended to February 10, 2025 and the interest rate amended to 9%. Interest accrued to the amendment date of $0.9 million was paid in cash, and additional warrants to purchase 2,000,000 ordinary shares were issued. These warrants were also recognized separately as equity instruments.</w:t>
      </w:r>
    </w:p>
    <w:p>
      <w:pPr>
        <w:spacing w:after="0" w:line="176" w:lineRule="exact"/>
        <w:rPr>
          <w:sz w:val="20"/>
          <w:szCs w:val="20"/>
          <w:color w:val="auto"/>
        </w:rPr>
      </w:pPr>
    </w:p>
    <w:p>
      <w:pPr>
        <w:ind w:right="80" w:firstLine="749"/>
        <w:spacing w:after="0" w:line="253" w:lineRule="auto"/>
        <w:rPr>
          <w:sz w:val="20"/>
          <w:szCs w:val="20"/>
          <w:color w:val="auto"/>
        </w:rPr>
      </w:pPr>
      <w:r>
        <w:rPr>
          <w:rFonts w:ascii="Times New Roman" w:cs="Times New Roman" w:eastAsia="Times New Roman" w:hAnsi="Times New Roman"/>
          <w:sz w:val="18"/>
          <w:szCs w:val="18"/>
          <w:color w:val="auto"/>
        </w:rPr>
        <w:t>The amendments to the Novartis Loan Note were an extinguishment of the original instrument and the issuance of a new one. Accordingly, on the extinguishment date, the carrying value of $5.5 million was derecognized. At the same time, a new liability of $3.4 million was recognized, which represents the portion of the consideration of the new arrangement allocated to the liability component of the new Novartis Loan Note on the basis of its relative fair value, net of fees. The remaining amount was allocated between the $0.9 million of interest paid in cash and the residual $1.2 million which was recorded in additional paid-in capital to reflect the relative fair value of the warrants and the conversion option embedded in the new Novartis Loan Note. No extinguishment gain or loss was recognized. The Company recognized interest expense of $0.3 million and $0.6 million in relation to the Novartis Loan Note in the unaudited condensed consolidated statements of operations and comprehensive loss for the three and six months ended June 30, 2024, respectively and $0.2 million and $0.5 million in the three and six months ended June 30, 2023 respectively. The effective interest rate applied to the liability portion of the Novartis Loan Note in the three and six months ended June 30, 2024 was 27.8% (2023: 27.8% after the amendments and 37.4% before).</w:t>
      </w:r>
    </w:p>
    <w:p>
      <w:pPr>
        <w:spacing w:after="0" w:line="194"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the net carrying amount of the liability component of the convertible debt instrument was $4.9 million and $4.4 million, respectively and the fair value was $3.3 million and $3.1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Loan Notes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Private Placement Loan Notes were issued in 2020 as part of a $70.0 million private placement transaction which also included the issuance of ordinary shares and warrants. The Private Placement Loan Notes were originally convertible at a fixed price of £0.174 per ordinary share, bore interest at a rate of 6% per annum and had a maturity date of June 3,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2" w:name="page13"/>
    <w:bookmarkEnd w:id="12"/>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In May 2023, the maturity date of the Private Placement Loan Notes was extended to August 3, 2023, with all other terms remaining unchanged. This extension was a modification and the carrying value of the liability component was adjusted to the present value of the modified cash flows discounted at the original effective interest rate, net of identifiable transaction costs. The carrying value was also reduced by $0.6 million with a corresponding adjustment to additional paid-in capital to reflect the increase in the fair value of the embedded conversion option.</w:t>
      </w:r>
    </w:p>
    <w:p>
      <w:pPr>
        <w:spacing w:after="0" w:line="180"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In 2023, the Company received conversion notices and subsequently issued and allotted 17,774,895 ordinary shares in the three months ended June 30, 2023 and 9,645,200 ordinary shares in the three months ended September 30, 2023, both at a price of £0.174 per share on non-cash conversion of Private Placement Loan Notes with an aggregate principal amount of $4.6 million. In 2023, the Company also paid $3.2 million to fully settle the outstanding principal and accrued interest balance.</w:t>
      </w:r>
    </w:p>
    <w:p>
      <w:pPr>
        <w:spacing w:after="0" w:line="180" w:lineRule="exact"/>
        <w:rPr>
          <w:sz w:val="20"/>
          <w:szCs w:val="20"/>
          <w:color w:val="auto"/>
        </w:rPr>
      </w:pPr>
    </w:p>
    <w:p>
      <w:pPr>
        <w:ind w:right="300" w:firstLine="749"/>
        <w:spacing w:after="0" w:line="266" w:lineRule="auto"/>
        <w:rPr>
          <w:sz w:val="20"/>
          <w:szCs w:val="20"/>
          <w:color w:val="auto"/>
        </w:rPr>
      </w:pPr>
      <w:r>
        <w:rPr>
          <w:rFonts w:ascii="Times New Roman" w:cs="Times New Roman" w:eastAsia="Times New Roman" w:hAnsi="Times New Roman"/>
          <w:sz w:val="18"/>
          <w:szCs w:val="18"/>
          <w:color w:val="auto"/>
        </w:rPr>
        <w:t>The Company recognized $0.7 million and $1.1 million of interest expense in the three and six months ended June 30, 2023 respectively. The effective interest rate applied to the liability portion of the Private Placement Loan Notes in 2023 after the amendments was 27.1% while the effective interest rate applied in 2023 before the amendments was 25.1%.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 liability</w:t>
      </w:r>
    </w:p>
    <w:p>
      <w:pPr>
        <w:spacing w:after="0" w:line="23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31"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140" w:type="dxa"/>
            <w:vAlign w:val="bottom"/>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5"/>
        </w:trPr>
        <w:tc>
          <w:tcPr>
            <w:tcW w:w="7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($'000)</w:t>
            </w:r>
          </w:p>
        </w:tc>
        <w:tc>
          <w:tcPr>
            <w:tcW w:w="440" w:type="dxa"/>
            <w:vAlign w:val="bottom"/>
          </w:tcPr>
          <w:p>
            <w:pPr>
              <w:spacing w:after="0"/>
              <w:rPr>
                <w:sz w:val="21"/>
                <w:szCs w:val="21"/>
                <w:color w:val="auto"/>
              </w:rPr>
            </w:pPr>
          </w:p>
        </w:tc>
        <w:tc>
          <w:tcPr>
            <w:tcW w:w="146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50"/>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412</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643</w:t>
            </w:r>
          </w:p>
        </w:tc>
      </w:tr>
      <w:tr>
        <w:trPr>
          <w:trHeight w:val="239"/>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changes during the period</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(542 )</w:t>
            </w:r>
          </w:p>
        </w:tc>
      </w:tr>
      <w:tr>
        <w:trPr>
          <w:trHeight w:val="243"/>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94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At March 31</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855</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45"/>
        </w:trPr>
        <w:tc>
          <w:tcPr>
            <w:tcW w:w="70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changes during the period</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39"/>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9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r>
      <w:tr>
        <w:trPr>
          <w:trHeight w:val="278"/>
        </w:trPr>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w:t>
            </w:r>
          </w:p>
        </w:tc>
        <w:tc>
          <w:tcPr>
            <w:tcW w:w="940" w:type="dxa"/>
            <w:vAlign w:val="bottom"/>
            <w:tcBorders>
              <w:bottom w:val="single" w:sz="8" w:color="auto"/>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925</w:t>
            </w:r>
          </w:p>
        </w:tc>
        <w:tc>
          <w:tcPr>
            <w:tcW w:w="1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-659130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w:t>
      </w:r>
    </w:p>
    <w:p>
      <w:pPr>
        <w:spacing w:after="0" w:line="229"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As a part of a private placement transaction on June 3, 2020, the participating investors received conditional warrants entitling them to subscribe for an aggregate of 161,048,366 ordinary shares in the Company at an exercise price of £0.348 per warrant and were exercisable until June 2023 when they expired. The warrants were classified as liabilities as the Company did not have an unconditional right to avoid redeeming the instruments for cash.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bank loan</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As of June 30, 2024, the former lenders of the Company have warrants outstanding to purchase a total of 1,243,908 ordinary shares at an exercise price of £2.95 per share, exercisable until August 2027 and a total of 1,243,908 ordinary shares at an exercise price of $0.4144 per share, exercisable on dates between August 2027 and October 2028. There were no warrants exercised during either the three and six months ended June 30, 2024 or 2023.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Total outstanding warrants</w:t>
      </w:r>
    </w:p>
    <w:p>
      <w:pPr>
        <w:spacing w:after="0" w:line="229"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and December 31, 2023, a total of 2,487,816 warrants over the same number of ordinary shares are outstanding. These warrants outstanding are equivalent to 0.3% of the issued ordinary share capital of the Company as of June 30, 2024 and 0.4% as of December 31, 2023.</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lists the weighted average inputs to the models used to calculate the fair value of warrants: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1"/>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1140" w:type="dxa"/>
            <w:vAlign w:val="bottom"/>
          </w:tcPr>
          <w:p>
            <w:pPr>
              <w:spacing w:after="0"/>
              <w:rPr>
                <w:sz w:val="20"/>
                <w:szCs w:val="20"/>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4.05</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r>
      <w:tr>
        <w:trPr>
          <w:trHeight w:val="247"/>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of warrants (years)</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39"/>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Market price of ADS ($)</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2.31</w:t>
            </w:r>
          </w:p>
        </w:tc>
      </w:tr>
      <w:tr>
        <w:trPr>
          <w:trHeight w:val="247"/>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Model used</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Black-Scholes</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Black-Scholes</w:t>
            </w:r>
          </w:p>
        </w:tc>
      </w:tr>
      <w:tr>
        <w:trPr>
          <w:trHeight w:val="45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12. Shareholders’ Equity</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3"/>
        </w:trPr>
        <w:tc>
          <w:tcPr>
            <w:tcW w:w="11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3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24"/>
                <w:szCs w:val="24"/>
                <w:color w:val="auto"/>
              </w:rPr>
            </w:pPr>
          </w:p>
        </w:tc>
        <w:tc>
          <w:tcPr>
            <w:tcW w:w="13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Cost</w:t>
            </w:r>
          </w:p>
        </w:tc>
      </w:tr>
      <w:tr>
        <w:trPr>
          <w:trHeight w:val="245"/>
        </w:trPr>
        <w:tc>
          <w:tcPr>
            <w:tcW w:w="1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13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2023 and March 31, 2023</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624,928,519</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2,478</w:t>
            </w:r>
          </w:p>
        </w:tc>
      </w:tr>
      <w:tr>
        <w:trPr>
          <w:trHeight w:val="239"/>
        </w:trPr>
        <w:tc>
          <w:tcPr>
            <w:tcW w:w="1140" w:type="dxa"/>
            <w:vAlign w:val="bottom"/>
          </w:tcPr>
          <w:p>
            <w:pPr>
              <w:spacing w:after="0"/>
              <w:rPr>
                <w:sz w:val="20"/>
                <w:szCs w:val="20"/>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DRSUs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501,380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1140" w:type="dxa"/>
            <w:vAlign w:val="bottom"/>
          </w:tcPr>
          <w:p>
            <w:pPr>
              <w:spacing w:after="0"/>
              <w:rPr>
                <w:sz w:val="21"/>
                <w:szCs w:val="21"/>
                <w:color w:val="auto"/>
              </w:rPr>
            </w:pPr>
          </w:p>
        </w:tc>
        <w:tc>
          <w:tcPr>
            <w:tcW w:w="61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Conversion of convertible loan notes</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17,774,895</w:t>
            </w:r>
          </w:p>
        </w:tc>
        <w:tc>
          <w:tcPr>
            <w:tcW w:w="1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38"/>
        </w:trPr>
        <w:tc>
          <w:tcPr>
            <w:tcW w:w="114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At June 30, 2023</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643,204,794</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2,547</w:t>
            </w:r>
          </w:p>
        </w:tc>
      </w:tr>
      <w:tr>
        <w:trPr>
          <w:trHeight w:val="20"/>
        </w:trPr>
        <w:tc>
          <w:tcPr>
            <w:tcW w:w="11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26"/>
        </w:trPr>
        <w:tc>
          <w:tcPr>
            <w:tcW w:w="114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1140" w:type="dxa"/>
            <w:vAlign w:val="bottom"/>
          </w:tcPr>
          <w:p>
            <w:pPr>
              <w:spacing w:after="0"/>
              <w:rPr>
                <w:sz w:val="21"/>
                <w:szCs w:val="21"/>
                <w:color w:val="auto"/>
              </w:rPr>
            </w:pPr>
          </w:p>
        </w:tc>
        <w:tc>
          <w:tcPr>
            <w:tcW w:w="6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January 1, 2024</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701,217,089</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2,775</w:t>
            </w:r>
          </w:p>
        </w:tc>
      </w:tr>
      <w:tr>
        <w:trPr>
          <w:trHeight w:val="239"/>
        </w:trPr>
        <w:tc>
          <w:tcPr>
            <w:tcW w:w="1140" w:type="dxa"/>
            <w:vAlign w:val="bottom"/>
          </w:tcPr>
          <w:p>
            <w:pPr>
              <w:spacing w:after="0"/>
              <w:rPr>
                <w:sz w:val="20"/>
                <w:szCs w:val="20"/>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132,345</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9"/>
        </w:trPr>
        <w:tc>
          <w:tcPr>
            <w:tcW w:w="1140" w:type="dxa"/>
            <w:vAlign w:val="bottom"/>
          </w:tcPr>
          <w:p>
            <w:pPr>
              <w:spacing w:after="0"/>
              <w:rPr>
                <w:sz w:val="24"/>
                <w:szCs w:val="24"/>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March 31, 2024</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701,349,434</w:t>
            </w:r>
          </w:p>
        </w:tc>
        <w:tc>
          <w:tcPr>
            <w:tcW w:w="1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2,775</w:t>
            </w:r>
          </w:p>
        </w:tc>
      </w:tr>
      <w:tr>
        <w:trPr>
          <w:trHeight w:val="221"/>
        </w:trPr>
        <w:tc>
          <w:tcPr>
            <w:tcW w:w="1140" w:type="dxa"/>
            <w:vAlign w:val="bottom"/>
          </w:tcPr>
          <w:p>
            <w:pPr>
              <w:spacing w:after="0"/>
              <w:rPr>
                <w:sz w:val="19"/>
                <w:szCs w:val="19"/>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share options</w:t>
            </w: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800,890</w:t>
            </w:r>
          </w:p>
        </w:tc>
        <w:tc>
          <w:tcPr>
            <w:tcW w:w="1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47"/>
        </w:trPr>
        <w:tc>
          <w:tcPr>
            <w:tcW w:w="1140" w:type="dxa"/>
            <w:vAlign w:val="bottom"/>
          </w:tcPr>
          <w:p>
            <w:pPr>
              <w:spacing w:after="0"/>
              <w:rPr>
                <w:sz w:val="21"/>
                <w:szCs w:val="21"/>
                <w:color w:val="auto"/>
              </w:rPr>
            </w:pPr>
          </w:p>
        </w:tc>
        <w:tc>
          <w:tcPr>
            <w:tcW w:w="6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Vesting of PSUs</w:t>
            </w:r>
          </w:p>
        </w:tc>
        <w:tc>
          <w:tcPr>
            <w:tcW w:w="1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4,014,450</w:t>
            </w:r>
          </w:p>
        </w:tc>
        <w:tc>
          <w:tcPr>
            <w:tcW w:w="1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39"/>
        </w:trPr>
        <w:tc>
          <w:tcPr>
            <w:tcW w:w="1140" w:type="dxa"/>
            <w:vAlign w:val="bottom"/>
          </w:tcPr>
          <w:p>
            <w:pPr>
              <w:spacing w:after="0"/>
              <w:rPr>
                <w:sz w:val="20"/>
                <w:szCs w:val="20"/>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shares</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62,656,500</w:t>
            </w:r>
          </w:p>
        </w:tc>
        <w:tc>
          <w:tcPr>
            <w:tcW w:w="100" w:type="dxa"/>
            <w:vAlign w:val="bottom"/>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238</w:t>
            </w:r>
          </w:p>
        </w:tc>
      </w:tr>
      <w:tr>
        <w:trPr>
          <w:trHeight w:val="279"/>
        </w:trPr>
        <w:tc>
          <w:tcPr>
            <w:tcW w:w="1140" w:type="dxa"/>
            <w:vAlign w:val="bottom"/>
          </w:tcPr>
          <w:p>
            <w:pPr>
              <w:spacing w:after="0"/>
              <w:rPr>
                <w:sz w:val="24"/>
                <w:szCs w:val="24"/>
                <w:color w:val="auto"/>
              </w:rPr>
            </w:pPr>
          </w:p>
        </w:tc>
        <w:tc>
          <w:tcPr>
            <w:tcW w:w="6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At June 30, 2024</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768,821,274</w:t>
            </w:r>
          </w:p>
        </w:tc>
        <w:tc>
          <w:tcPr>
            <w:tcW w:w="10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5499735</wp:posOffset>
            </wp:positionH>
            <wp:positionV relativeFrom="paragraph">
              <wp:posOffset>-1490980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-676275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-659765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exercise of employee share options and the vesting of restricted stock units ("RSUs") were satisfied by delivering shares from the Employee Benefit Trust until all of the shares in the Employee Benefit Trust were used and it was terminated. Subsequently, 132,345 ordinary shares were issued to satisfy employee share option exercises.</w:t>
      </w:r>
    </w:p>
    <w:p>
      <w:pPr>
        <w:spacing w:after="0" w:line="216"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4,815,340 ordinary shares were issued due to the exercise of employee share options and the vesting of PSUs.</w:t>
      </w:r>
    </w:p>
    <w:p>
      <w:pPr>
        <w:spacing w:after="0" w:line="229" w:lineRule="exact"/>
        <w:rPr>
          <w:sz w:val="20"/>
          <w:szCs w:val="20"/>
          <w:color w:val="auto"/>
        </w:rPr>
      </w:pPr>
    </w:p>
    <w:p>
      <w:pPr>
        <w:ind w:right="200" w:firstLine="794"/>
        <w:spacing w:after="0" w:line="266" w:lineRule="auto"/>
        <w:rPr>
          <w:sz w:val="20"/>
          <w:szCs w:val="20"/>
          <w:color w:val="auto"/>
        </w:rPr>
      </w:pPr>
      <w:r>
        <w:rPr>
          <w:rFonts w:ascii="Times New Roman" w:cs="Times New Roman" w:eastAsia="Times New Roman" w:hAnsi="Times New Roman"/>
          <w:sz w:val="18"/>
          <w:szCs w:val="18"/>
          <w:color w:val="auto"/>
        </w:rPr>
        <w:t>Additionally, on June 17, 2024, the Company issued 12,531,300 ADSs representing 62,656,500 ordinary shares through an underwritten registered direct offering priced at $3.99 per ADS. The Company raised aggregate gross proceeds of $50.0 million, or $47.0 million after underwriting discounts of $3.0 million. The Company also incurred other issuance costs of $1.0 million related to the offering.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Revenue and cost of revenue</w:t>
      </w:r>
    </w:p>
    <w:p>
      <w:pPr>
        <w:spacing w:after="0" w:line="29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was no revenue earned, or cost of revenue recognized in the three and six months ended June 30, 2024.</w:t>
      </w:r>
    </w:p>
    <w:p>
      <w:pPr>
        <w:spacing w:after="0" w:line="293"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2023, the Company recognized milestone proceeds of $9.0 million as revenue under the license and collaboration agreement with Ultragenyx for setrusumab following achievement of a development milestone. As a</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97" w:right="539" w:bottom="1440" w:gutter="0" w:footer="0" w:header="0"/>
        </w:sectPr>
      </w:pPr>
    </w:p>
    <w:bookmarkStart w:id="14" w:name="page15"/>
    <w:bookmarkEnd w:id="14"/>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consequence of this milestone received, and in accordance with the terms of the 2015 asset purchase agreement with Novartis which requires payment of a percentage of the proceeds received, subject to certain deductions, the Company also recognized cost of revenue of $3.4 million for the three months ended June 30, 2023 and $3.1 million for the six months ended June 30, 2023.</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 based compensation</w:t>
      </w:r>
    </w:p>
    <w:p>
      <w:pPr>
        <w:spacing w:after="0" w:line="225"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 xml:space="preserve">The Company currently grants equity awards under the Mereo 2019 Equity Incentive Plan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2019 EIP</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and the 2019 Non-Employee Equity Incentive Plan (the “2019 NED EIP”). There are also still outstanding awards under two previous plans, the 2015 Plan and the Mereo Share Option Plan (together the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Previous Share Option Plans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however no awards have been granted under these plans since 2016 and no further grants are envisioned.</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total number of ADSs available for issue under the 2019 EIP and 2019 NED EIP was 9.0 million as of June 30, 2024.</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expense for share-based compensation arises solely in respect of awards made under these two active plans as follows:</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22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1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2"/>
        </w:trPr>
        <w:tc>
          <w:tcPr>
            <w:tcW w:w="4600" w:type="dxa"/>
            <w:vAlign w:val="bottom"/>
          </w:tcPr>
          <w:p>
            <w:pPr>
              <w:spacing w:after="0"/>
              <w:rPr>
                <w:sz w:val="23"/>
                <w:szCs w:val="23"/>
                <w:color w:val="auto"/>
              </w:rPr>
            </w:pPr>
          </w:p>
        </w:tc>
        <w:tc>
          <w:tcPr>
            <w:tcW w:w="1320" w:type="dxa"/>
            <w:vAlign w:val="bottom"/>
            <w:tcBorders>
              <w:bottom w:val="single" w:sz="8" w:color="auto"/>
            </w:tcBorders>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8"/>
        </w:trPr>
        <w:tc>
          <w:tcPr>
            <w:tcW w:w="4600" w:type="dxa"/>
            <w:vAlign w:val="bottom"/>
          </w:tcPr>
          <w:p>
            <w:pPr>
              <w:spacing w:after="0"/>
              <w:rPr>
                <w:sz w:val="19"/>
                <w:szCs w:val="19"/>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7"/>
        </w:trPr>
        <w:tc>
          <w:tcPr>
            <w:tcW w:w="4600" w:type="dxa"/>
            <w:vAlign w:val="bottom"/>
          </w:tcPr>
          <w:p>
            <w:pPr>
              <w:spacing w:after="0"/>
              <w:rPr>
                <w:sz w:val="20"/>
                <w:szCs w:val="20"/>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($'000)</w:t>
            </w:r>
          </w:p>
        </w:tc>
        <w:tc>
          <w:tcPr>
            <w:tcW w:w="80" w:type="dxa"/>
            <w:vAlign w:val="bottom"/>
          </w:tcPr>
          <w:p>
            <w:pPr>
              <w:spacing w:after="0"/>
              <w:rPr>
                <w:sz w:val="20"/>
                <w:szCs w:val="20"/>
                <w:color w:val="auto"/>
              </w:rPr>
            </w:pPr>
          </w:p>
        </w:tc>
        <w:tc>
          <w:tcPr>
            <w:tcW w:w="102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5"/>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EIP</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1,568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c>
          <w:tcPr>
            <w:tcW w:w="11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1,889</w:t>
            </w: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2019 NED EIP</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1,111</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687</w:t>
            </w:r>
          </w:p>
        </w:tc>
      </w:tr>
      <w:tr>
        <w:trPr>
          <w:trHeight w:val="27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4,138</w:t>
            </w:r>
          </w:p>
        </w:tc>
        <w:tc>
          <w:tcPr>
            <w:tcW w:w="8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5015865</wp:posOffset>
            </wp:positionH>
            <wp:positionV relativeFrom="paragraph">
              <wp:posOffset>-835025</wp:posOffset>
            </wp:positionV>
            <wp:extent cx="85725"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1968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03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03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514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514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As of June 30, 2024, the total unrecognized compensation cost related to outstanding share awards was $7.3 million, which the Company expects to recognize over a weighted-average period of 1.7 years</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Value Options (“Options”)</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Option activity and related information under the 2019 EIP for the six months ended June 30, 2024 is as follows; all outstanding Options are expected to vest:</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160" w:type="dxa"/>
            <w:vAlign w:val="bottom"/>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9,595,161</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8,133</w:t>
            </w: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2,477,404</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(47,288 )</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2.01</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(415,568 )</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1.27</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r>
      <w:tr>
        <w:trPr>
          <w:trHeight w:val="243"/>
        </w:trPr>
        <w:tc>
          <w:tcPr>
            <w:tcW w:w="51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(5,000 )</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2024</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11,604,709</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18,975</w:t>
            </w: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4,957,767</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8,566</w:t>
            </w:r>
          </w:p>
        </w:tc>
      </w:tr>
      <w:tr>
        <w:trPr>
          <w:trHeight w:val="234"/>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6,646,942</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2.03</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-490855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-490855</wp:posOffset>
            </wp:positionV>
            <wp:extent cx="603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-490855</wp:posOffset>
            </wp:positionV>
            <wp:extent cx="603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3"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At December 31, 2023, 6,169,952 Options with a weighted average grant date fair value of $1.13 were unvested. The weighted average per share fair value of options vesting during the six months ended June 30, 2024 and 2023 was $1.14 and $1.51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weighted average contractual life of Options outstanding at June 30, 2024 and December 31, 2023 was 8.1 years and 8.0 years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vested Options at June 30, 2024 and December 31, 2023 it was 7.2 years and 6.6 years respectively.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26" w:right="359" w:bottom="1440" w:gutter="0" w:footer="0" w:header="0"/>
        </w:sectPr>
      </w:pPr>
    </w:p>
    <w:bookmarkStart w:id="15" w:name="page16"/>
    <w:bookmarkEnd w:id="15"/>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based on the following weighted average assumptions:</w:t>
      </w:r>
    </w:p>
    <w:p>
      <w:pPr>
        <w:spacing w:after="0" w:line="198"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56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1"/>
                <w:szCs w:val="21"/>
                <w:color w:val="auto"/>
              </w:rPr>
            </w:pPr>
          </w:p>
        </w:tc>
      </w:tr>
      <w:tr>
        <w:trPr>
          <w:trHeight w:val="239"/>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1020" w:type="dxa"/>
            <w:vAlign w:val="bottom"/>
            <w:shd w:val="clear" w:color="auto" w:fill="CFF0FC"/>
          </w:tcPr>
          <w:p>
            <w:pPr>
              <w:jc w:val="right"/>
              <w:ind w:right="8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0"/>
                <w:szCs w:val="20"/>
                <w:color w:val="auto"/>
              </w:rPr>
            </w:pPr>
          </w:p>
        </w:tc>
      </w:tr>
      <w:tr>
        <w:trPr>
          <w:trHeight w:val="239"/>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10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4.02 %</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r>
      <w:tr>
        <w:trPr>
          <w:trHeight w:val="247"/>
        </w:trPr>
        <w:tc>
          <w:tcPr>
            <w:tcW w:w="5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6.25</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21"/>
                <w:szCs w:val="21"/>
                <w:color w:val="auto"/>
              </w:rPr>
            </w:pPr>
          </w:p>
        </w:tc>
      </w:t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10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90.78 %</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98.06 %</w:t>
            </w:r>
          </w:p>
        </w:tc>
      </w:tr>
      <w:tr>
        <w:trPr>
          <w:trHeight w:val="23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10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0.00 %</w:t>
            </w: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-145415</wp:posOffset>
            </wp:positionV>
            <wp:extent cx="570039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18"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requisite service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(“RSUs”)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RSUs were first awarded in 2023 and each RSU entitles the holder to a conditional right to receive an ADS at no cost upon the completion of the applicable vesting period. RSUs granted under the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withholding tax obligations, and the remaining ADSs are delivered to the holder. RSUs have a maximum contractual life of 3.0 years.</w:t>
      </w:r>
    </w:p>
    <w:p>
      <w:pPr>
        <w:spacing w:after="0" w:line="183"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RSU activity and related information under the 2019 EIP is as follows. As of June 30, 2024 all outstanding RSUs are expected to vest:</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260" w:type="dxa"/>
            <w:vAlign w:val="bottom"/>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489,225</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1,130</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204,914</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w:t>
            </w:r>
          </w:p>
        </w:tc>
        <w:tc>
          <w:tcPr>
            <w:tcW w:w="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(142,583 )</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480</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(23,533 )</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1.36</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2024</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528,023</w:t>
            </w:r>
          </w:p>
        </w:tc>
        <w:tc>
          <w:tcPr>
            <w:tcW w:w="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-8255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June 30, 2024, the weighted average remaining period of RSUs outstanding was 2.8 years.</w:t>
      </w:r>
    </w:p>
    <w:p>
      <w:pPr>
        <w:spacing w:after="0" w:line="225"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RSU was calculated by reference to the value of the shares awarded.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Based Restricted Stock Units (“PSUs”)</w:t>
      </w:r>
    </w:p>
    <w:p>
      <w:pPr>
        <w:spacing w:after="0" w:line="229" w:lineRule="exact"/>
        <w:rPr>
          <w:sz w:val="20"/>
          <w:szCs w:val="20"/>
          <w:color w:val="auto"/>
        </w:rPr>
      </w:pPr>
    </w:p>
    <w:p>
      <w:pPr>
        <w:ind w:right="120" w:firstLine="749"/>
        <w:spacing w:after="0" w:line="266" w:lineRule="auto"/>
        <w:rPr>
          <w:sz w:val="20"/>
          <w:szCs w:val="20"/>
          <w:color w:val="auto"/>
        </w:rPr>
      </w:pPr>
      <w:r>
        <w:rPr>
          <w:rFonts w:ascii="Times New Roman" w:cs="Times New Roman" w:eastAsia="Times New Roman" w:hAnsi="Times New Roman"/>
          <w:sz w:val="18"/>
          <w:szCs w:val="18"/>
          <w:color w:val="auto"/>
        </w:rPr>
        <w:t>PSUs were first awarded in 2023 and each PSU entitles the holder to a conditional right to receive an ADS at no cost upon satisfaction of four escalating ADS price performance targets over a two year performance period following the date of grant. A summary of the Company’s PSU activity and related information under the 2019 EIP for the six months ended June 30, 2024 is as follows: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60" w:type="dxa"/>
            <w:vAlign w:val="bottom"/>
          </w:tcPr>
          <w:p>
            <w:pPr>
              <w:spacing w:after="0"/>
              <w:rPr>
                <w:sz w:val="18"/>
                <w:szCs w:val="18"/>
                <w:color w:val="auto"/>
              </w:rPr>
            </w:pPr>
          </w:p>
        </w:tc>
        <w:tc>
          <w:tcPr>
            <w:tcW w:w="12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PSUs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260" w:type="dxa"/>
            <w:vAlign w:val="bottom"/>
          </w:tcPr>
          <w:p>
            <w:pPr>
              <w:spacing w:after="0"/>
              <w:rPr>
                <w:sz w:val="21"/>
                <w:szCs w:val="21"/>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1,338,150</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3,091</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(802,890 )</w:t>
            </w: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0.65</w:t>
            </w:r>
          </w:p>
        </w:tc>
        <w:tc>
          <w:tcPr>
            <w:tcW w:w="8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2,798</w:t>
            </w:r>
          </w:p>
        </w:tc>
      </w:tr>
      <w:tr>
        <w:trPr>
          <w:trHeight w:val="277"/>
        </w:trPr>
        <w:tc>
          <w:tcPr>
            <w:tcW w:w="5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2024</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535,260</w:t>
            </w:r>
          </w:p>
        </w:tc>
        <w:tc>
          <w:tcPr>
            <w:tcW w:w="8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-24765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-7620</wp:posOffset>
            </wp:positionV>
            <wp:extent cx="596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-24765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At June 30, 2024, the weighted average contractual life of PSUs outstanding was 0.6 years.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grant date fair value is recognized over the expected life using the straight-line attribution method.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2019 NED EIP</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has awarded the following instruments under the 2019 NED EIP: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Options permit the recipient to purchase ADSs at an exercise price equal to the market price of the underlying ADSs on the date of grant. Options issued under the 2019 NED EIP have a contractual term of 10 years and vest in equal monthly installments over one year. There are no performance conditions. A summary of the Company’s Option activity and related information under the 2019 NED EIP for the six months ended June 30, 2024 is as follows; all outstanding Options are expected to vest:</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160" w:type="dxa"/>
            <w:vAlign w:val="bottom"/>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1,355,087</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1,166</w:t>
            </w: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360,000</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2024</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1,715,087</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r>
      <w:tr>
        <w:trPr>
          <w:trHeight w:val="22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1,475,087</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1.84</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2,700</w:t>
            </w:r>
          </w:p>
        </w:tc>
      </w:tr>
      <w:tr>
        <w:trPr>
          <w:trHeight w:val="247"/>
        </w:trPr>
        <w:tc>
          <w:tcPr>
            <w:tcW w:w="51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240,000</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-334010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-316865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-334010</wp:posOffset>
            </wp:positionV>
            <wp:extent cx="603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-316865</wp:posOffset>
            </wp:positionV>
            <wp:extent cx="603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-334010</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-316865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At December 31, 2023, 73,336 Options with a weighted average grant date fair value of $0.84 were unnvested. The weighted average per share fair value of options vesting during the six months ended June 30, 2024 and 2023 was $2.08 and $0.90 respectively.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weighted average contractual life of Options outstanding at June 30, 2024 and December 31, 2023 was 7.9 years and 8.0 years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vested Options at June 30, 2024 and December 31, 2023 it was 7.7 years and 7.9 years respectively.</w:t>
      </w:r>
    </w:p>
    <w:p>
      <w:pPr>
        <w:spacing w:after="0" w:line="207"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difference between the exercise price of the underlying awards and the quoted market price of the Company’s ADSs for the Options that were in-the-money.</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 pricing model based on the following weighted average assumptions:</w:t>
      </w:r>
    </w:p>
    <w:p>
      <w:pPr>
        <w:spacing w:after="0" w:line="198"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4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20" w:type="dxa"/>
            <w:vAlign w:val="bottom"/>
          </w:tcPr>
          <w:p>
            <w:pPr>
              <w:spacing w:after="0"/>
              <w:rPr>
                <w:sz w:val="21"/>
                <w:szCs w:val="21"/>
                <w:color w:val="auto"/>
              </w:rPr>
            </w:pPr>
          </w:p>
        </w:tc>
      </w:tr>
      <w:tr>
        <w:trPr>
          <w:trHeight w:val="239"/>
        </w:trPr>
        <w:tc>
          <w:tcPr>
            <w:tcW w:w="1140" w:type="dxa"/>
            <w:vAlign w:val="bottom"/>
          </w:tcPr>
          <w:p>
            <w:pPr>
              <w:spacing w:after="0"/>
              <w:rPr>
                <w:sz w:val="20"/>
                <w:szCs w:val="20"/>
                <w:color w:val="auto"/>
              </w:rPr>
            </w:pPr>
          </w:p>
        </w:tc>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value of ADSs ($)</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0.94</w:t>
            </w:r>
          </w:p>
        </w:tc>
        <w:tc>
          <w:tcPr>
            <w:tcW w:w="1120" w:type="dxa"/>
            <w:vAlign w:val="bottom"/>
          </w:tcPr>
          <w:p>
            <w:pPr>
              <w:spacing w:after="0"/>
              <w:rPr>
                <w:sz w:val="20"/>
                <w:szCs w:val="20"/>
                <w:color w:val="auto"/>
              </w:rPr>
            </w:pPr>
          </w:p>
        </w:tc>
      </w:tr>
      <w:tr>
        <w:trPr>
          <w:trHeight w:val="239"/>
        </w:trPr>
        <w:tc>
          <w:tcPr>
            <w:tcW w:w="114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4.08 %</w:t>
            </w:r>
          </w:p>
        </w:tc>
        <w:tc>
          <w:tcPr>
            <w:tcW w:w="24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3.36 %</w:t>
            </w:r>
          </w:p>
        </w:tc>
      </w:tr>
      <w:tr>
        <w:trPr>
          <w:trHeight w:val="247"/>
        </w:trPr>
        <w:tc>
          <w:tcPr>
            <w:tcW w:w="1140" w:type="dxa"/>
            <w:vAlign w:val="bottom"/>
          </w:tcPr>
          <w:p>
            <w:pPr>
              <w:spacing w:after="0"/>
              <w:rPr>
                <w:sz w:val="21"/>
                <w:szCs w:val="21"/>
                <w:color w:val="auto"/>
              </w:rPr>
            </w:pPr>
          </w:p>
        </w:tc>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tcPr>
          <w:p>
            <w:pPr>
              <w:spacing w:after="0"/>
              <w:rPr>
                <w:sz w:val="21"/>
                <w:szCs w:val="21"/>
                <w:color w:val="auto"/>
              </w:rPr>
            </w:pPr>
          </w:p>
        </w:tc>
      </w:tr>
      <w:tr>
        <w:trPr>
          <w:trHeight w:val="234"/>
        </w:trPr>
        <w:tc>
          <w:tcPr>
            <w:tcW w:w="114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 (%)</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90.67 %</w:t>
            </w:r>
          </w:p>
        </w:tc>
        <w:tc>
          <w:tcPr>
            <w:tcW w:w="248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97.94 %</w:t>
            </w:r>
          </w:p>
        </w:tc>
      </w:tr>
      <w:tr>
        <w:trPr>
          <w:trHeight w:val="252"/>
        </w:trPr>
        <w:tc>
          <w:tcPr>
            <w:tcW w:w="1140" w:type="dxa"/>
            <w:vAlign w:val="bottom"/>
          </w:tcPr>
          <w:p>
            <w:pPr>
              <w:spacing w:after="0"/>
              <w:rPr>
                <w:sz w:val="21"/>
                <w:szCs w:val="21"/>
                <w:color w:val="auto"/>
              </w:rPr>
            </w:pPr>
          </w:p>
        </w:tc>
        <w:tc>
          <w:tcPr>
            <w:tcW w:w="6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648"/>
        </w:trPr>
        <w:tc>
          <w:tcPr>
            <w:tcW w:w="1140" w:type="dxa"/>
            <w:vAlign w:val="bottom"/>
          </w:tcPr>
          <w:p>
            <w:pPr>
              <w:spacing w:after="0"/>
              <w:rPr>
                <w:sz w:val="24"/>
                <w:szCs w:val="24"/>
                <w:color w:val="auto"/>
              </w:rPr>
            </w:pPr>
          </w:p>
        </w:tc>
        <w:tc>
          <w:tcPr>
            <w:tcW w:w="6140" w:type="dxa"/>
            <w:vAlign w:val="bottom"/>
          </w:tcPr>
          <w:p>
            <w:pPr>
              <w:ind w:left="4400"/>
              <w:spacing w:after="0"/>
              <w:rPr>
                <w:sz w:val="20"/>
                <w:szCs w:val="20"/>
                <w:color w:val="auto"/>
              </w:rPr>
            </w:pPr>
            <w:r>
              <w:rPr>
                <w:rFonts w:ascii="Times New Roman" w:cs="Times New Roman" w:eastAsia="Times New Roman" w:hAnsi="Times New Roman"/>
                <w:sz w:val="18"/>
                <w:szCs w:val="18"/>
                <w:color w:val="auto"/>
              </w:rPr>
              <w:t>15</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744" w:gutter="0" w:footer="0" w:header="0"/>
        </w:sectPr>
      </w:pPr>
    </w:p>
    <w:bookmarkStart w:id="17" w:name="page18"/>
    <w:bookmarkEnd w:id="17"/>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expected volatility assumption is calculated by reference to the historical volatility of an appropriate peer group of companies for a period equal to the expected term of the Option.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Restricted Stock Units (“DRSUs”)</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Non-executive directors may voluntarily elect to convert their annual cash fees for services on the board of directors and DRSUs were granted to NEDs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Payment of DRSUs in ADSs will generally be 180 days following separation of service but have no specified contractual term.</w:t>
      </w:r>
    </w:p>
    <w:p>
      <w:pPr>
        <w:spacing w:after="0" w:line="183" w:lineRule="exact"/>
        <w:rPr>
          <w:sz w:val="20"/>
          <w:szCs w:val="20"/>
          <w:color w:val="auto"/>
        </w:rPr>
      </w:pPr>
    </w:p>
    <w:p>
      <w:pPr>
        <w:ind w:right="360" w:firstLine="749"/>
        <w:spacing w:after="0" w:line="282" w:lineRule="auto"/>
        <w:rPr>
          <w:sz w:val="20"/>
          <w:szCs w:val="20"/>
          <w:color w:val="auto"/>
        </w:rPr>
      </w:pPr>
      <w:r>
        <w:rPr>
          <w:rFonts w:ascii="Times New Roman" w:cs="Times New Roman" w:eastAsia="Times New Roman" w:hAnsi="Times New Roman"/>
          <w:sz w:val="18"/>
          <w:szCs w:val="18"/>
          <w:color w:val="auto"/>
        </w:rPr>
        <w:t>A summary of the Company’s DRSU activity and related information under the 2019 NED EIP for the six months ended June 30, 2024 is as follows; all outstanding DRSUs are expected to vest:</w:t>
      </w:r>
    </w:p>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260" w:type="dxa"/>
            <w:vAlign w:val="bottom"/>
          </w:tcPr>
          <w:p>
            <w:pPr>
              <w:spacing w:after="0"/>
              <w:rPr>
                <w:sz w:val="18"/>
                <w:szCs w:val="18"/>
                <w:color w:val="auto"/>
              </w:rPr>
            </w:pPr>
          </w:p>
        </w:tc>
        <w:tc>
          <w:tcPr>
            <w:tcW w:w="12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260" w:type="dxa"/>
            <w:vAlign w:val="bottom"/>
          </w:tcPr>
          <w:p>
            <w:pPr>
              <w:spacing w:after="0"/>
              <w:rPr>
                <w:sz w:val="18"/>
                <w:szCs w:val="18"/>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DRSUs</w:t>
            </w:r>
          </w:p>
        </w:tc>
        <w:tc>
          <w:tcPr>
            <w:tcW w:w="80" w:type="dxa"/>
            <w:vAlign w:val="bottom"/>
          </w:tcPr>
          <w:p>
            <w:pPr>
              <w:spacing w:after="0"/>
              <w:rPr>
                <w:sz w:val="18"/>
                <w:szCs w:val="18"/>
                <w:color w:val="auto"/>
              </w:rPr>
            </w:pPr>
          </w:p>
        </w:tc>
        <w:tc>
          <w:tcPr>
            <w:tcW w:w="12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8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260" w:type="dxa"/>
            <w:vAlign w:val="bottom"/>
          </w:tcPr>
          <w:p>
            <w:pPr>
              <w:spacing w:after="0"/>
              <w:rPr>
                <w:sz w:val="21"/>
                <w:szCs w:val="21"/>
                <w:color w:val="auto"/>
              </w:rPr>
            </w:pPr>
          </w:p>
        </w:tc>
        <w:tc>
          <w:tcPr>
            <w:tcW w:w="12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(ADSs)</w:t>
            </w:r>
          </w:p>
        </w:tc>
        <w:tc>
          <w:tcPr>
            <w:tcW w:w="8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8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729,982</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1,686</w:t>
            </w:r>
          </w:p>
        </w:tc>
      </w:tr>
      <w:tr>
        <w:trPr>
          <w:trHeight w:val="239"/>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125,393</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485</w:t>
            </w:r>
          </w:p>
        </w:tc>
      </w:tr>
      <w:tr>
        <w:trPr>
          <w:trHeight w:val="243"/>
        </w:trPr>
        <w:tc>
          <w:tcPr>
            <w:tcW w:w="52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At June 30, 2024</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855,375</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3,079</w:t>
            </w:r>
          </w:p>
        </w:tc>
      </w:tr>
      <w:tr>
        <w:trPr>
          <w:trHeight w:val="20"/>
        </w:trPr>
        <w:tc>
          <w:tcPr>
            <w:tcW w:w="5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52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771,778</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24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2,778</w:t>
            </w:r>
          </w:p>
        </w:tc>
      </w:tr>
      <w:tr>
        <w:trPr>
          <w:trHeight w:val="234"/>
        </w:trPr>
        <w:tc>
          <w:tcPr>
            <w:tcW w:w="5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Unvested</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83,597</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3.87</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-490855</wp:posOffset>
            </wp:positionV>
            <wp:extent cx="596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-490855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1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Where presented, the aggregate intrinsic value is calculated as the quoted market price of the Company’s ADSs. The fair value of each DRSU was calculated by reference to the value of the shares awarded. The grant date fair value is recognized over the vesting period using the accelerated graded-vesting attribution method.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 Share Option Plans</w:t>
      </w:r>
    </w:p>
    <w:p>
      <w:pPr>
        <w:spacing w:after="0" w:line="229"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Mereo previously granted options to employees under two separate plans, the Mereo BioPharma Group Limited Share Option Plan (the “2015 Plan”) and the Mereo Share Option Plan (the “Share Option Plan”). No awards have been granted under either of these plans since 2017 and following the introduction of the 2019 EIP and the 2019 NED EIP, no further awards are envisioned.</w:t>
      </w:r>
    </w:p>
    <w:p>
      <w:pPr>
        <w:spacing w:after="0" w:line="176"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All awards made under these plans became fully vested, with all compensation cost fully recognized, before December 31, 2021. A summary of the awards still outstanding under these plans is as follows:</w:t>
      </w:r>
    </w:p>
    <w:p>
      <w:pPr>
        <w:spacing w:after="0" w:line="198"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00" w:type="dxa"/>
            <w:vAlign w:val="bottom"/>
          </w:tcPr>
          <w:p>
            <w:pPr>
              <w:spacing w:after="0"/>
              <w:rPr>
                <w:sz w:val="18"/>
                <w:szCs w:val="18"/>
                <w:color w:val="auto"/>
              </w:rPr>
            </w:pPr>
          </w:p>
        </w:tc>
        <w:tc>
          <w:tcPr>
            <w:tcW w:w="11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00" w:type="dxa"/>
            <w:vAlign w:val="bottom"/>
          </w:tcPr>
          <w:p>
            <w:pPr>
              <w:spacing w:after="0"/>
              <w:rPr>
                <w:sz w:val="18"/>
                <w:szCs w:val="18"/>
                <w:color w:val="auto"/>
              </w:rPr>
            </w:pPr>
          </w:p>
        </w:tc>
        <w:tc>
          <w:tcPr>
            <w:tcW w:w="11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6"/>
        </w:trPr>
        <w:tc>
          <w:tcPr>
            <w:tcW w:w="5160" w:type="dxa"/>
            <w:vAlign w:val="bottom"/>
          </w:tcPr>
          <w:p>
            <w:pPr>
              <w:spacing w:after="0"/>
              <w:rPr>
                <w:sz w:val="18"/>
                <w:szCs w:val="18"/>
                <w:color w:val="auto"/>
              </w:rPr>
            </w:pPr>
          </w:p>
        </w:tc>
        <w:tc>
          <w:tcPr>
            <w:tcW w:w="11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Date Fair</w:t>
            </w:r>
          </w:p>
        </w:tc>
        <w:tc>
          <w:tcPr>
            <w:tcW w:w="100" w:type="dxa"/>
            <w:vAlign w:val="bottom"/>
          </w:tcPr>
          <w:p>
            <w:pPr>
              <w:spacing w:after="0"/>
              <w:rPr>
                <w:sz w:val="18"/>
                <w:szCs w:val="18"/>
                <w:color w:val="auto"/>
              </w:rPr>
            </w:pPr>
          </w:p>
        </w:tc>
        <w:tc>
          <w:tcPr>
            <w:tcW w:w="1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45"/>
        </w:trPr>
        <w:tc>
          <w:tcPr>
            <w:tcW w:w="5160" w:type="dxa"/>
            <w:vAlign w:val="bottom"/>
          </w:tcPr>
          <w:p>
            <w:pPr>
              <w:spacing w:after="0"/>
              <w:rPr>
                <w:sz w:val="21"/>
                <w:szCs w:val="21"/>
                <w:color w:val="auto"/>
              </w:rPr>
            </w:pPr>
          </w:p>
        </w:tc>
        <w:tc>
          <w:tcPr>
            <w:tcW w:w="11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(ADSs)</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Price ($)</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6"/>
              </w:rPr>
              <w:t>Value ($)</w:t>
            </w:r>
          </w:p>
        </w:tc>
        <w:tc>
          <w:tcPr>
            <w:tcW w:w="100" w:type="dxa"/>
            <w:vAlign w:val="bottom"/>
          </w:tcPr>
          <w:p>
            <w:pPr>
              <w:spacing w:after="0"/>
              <w:rPr>
                <w:sz w:val="21"/>
                <w:szCs w:val="21"/>
                <w:color w:val="auto"/>
              </w:rPr>
            </w:pPr>
          </w:p>
        </w:tc>
        <w:tc>
          <w:tcPr>
            <w:tcW w:w="11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($'000)</w:t>
            </w: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1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1,572,358</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9.22</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(152,491 )</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At June 30, 2024</w:t>
            </w: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1,419,867</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9.05</w:t>
            </w:r>
          </w:p>
        </w:tc>
        <w:tc>
          <w:tcPr>
            <w:tcW w:w="10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ind w:left="8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03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weighted average contractual life of Options outstanding and vested at June 30, 2024 and December 31, 2023 was 1.3 years and 1.8 years respectively.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15. Loss per share</w:t>
      </w:r>
    </w:p>
    <w:p>
      <w:pPr>
        <w:spacing w:after="0" w:line="229"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Basic loss per share is calculated by dividing the loss attributable for the year to ordinary equity holders of the Company by the weighted average number of ordinary shares outstanding during the year. Diluted loss per share is based on dividing the loss attributable for the year, adjusted for the effect of dilutive ordinary shares, by ordinary share equivalents, which includes the weighted average number of ordinary shares outstanding and the effect of dilutive ordinary share equivalents.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0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03"/>
        </w:trPr>
        <w:tc>
          <w:tcPr>
            <w:tcW w:w="5820" w:type="dxa"/>
            <w:vAlign w:val="bottom"/>
          </w:tcPr>
          <w:p>
            <w:pPr>
              <w:spacing w:after="0"/>
              <w:rPr>
                <w:sz w:val="17"/>
                <w:szCs w:val="17"/>
                <w:color w:val="auto"/>
              </w:rPr>
            </w:pPr>
          </w:p>
        </w:tc>
        <w:tc>
          <w:tcPr>
            <w:tcW w:w="1280" w:type="dxa"/>
            <w:vAlign w:val="bottom"/>
            <w:gridSpan w:val="2"/>
          </w:tcPr>
          <w:p>
            <w:pPr>
              <w:jc w:val="center"/>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140" w:type="dxa"/>
            <w:vAlign w:val="bottom"/>
          </w:tcPr>
          <w:p>
            <w:pPr>
              <w:spacing w:after="0"/>
              <w:rPr>
                <w:sz w:val="17"/>
                <w:szCs w:val="17"/>
                <w:color w:val="auto"/>
              </w:rPr>
            </w:pPr>
          </w:p>
        </w:tc>
        <w:tc>
          <w:tcPr>
            <w:tcW w:w="1240" w:type="dxa"/>
            <w:vAlign w:val="bottom"/>
            <w:gridSpan w:val="2"/>
          </w:tcPr>
          <w:p>
            <w:pPr>
              <w:jc w:val="center"/>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($'000, except</w:t>
            </w:r>
          </w:p>
        </w:tc>
        <w:tc>
          <w:tcPr>
            <w:tcW w:w="140" w:type="dxa"/>
            <w:vAlign w:val="bottom"/>
          </w:tcPr>
          <w:p>
            <w:pPr>
              <w:spacing w:after="0"/>
              <w:rPr>
                <w:sz w:val="17"/>
                <w:szCs w:val="17"/>
                <w:color w:val="auto"/>
              </w:rPr>
            </w:pPr>
          </w:p>
        </w:tc>
        <w:tc>
          <w:tcPr>
            <w:tcW w:w="1240" w:type="dxa"/>
            <w:vAlign w:val="bottom"/>
            <w:gridSpan w:val="2"/>
          </w:tcPr>
          <w:p>
            <w:pPr>
              <w:jc w:val="center"/>
              <w:ind w:right="50"/>
              <w:spacing w:after="0" w:line="203" w:lineRule="exact"/>
              <w:rPr>
                <w:sz w:val="20"/>
                <w:szCs w:val="20"/>
                <w:color w:val="auto"/>
              </w:rPr>
            </w:pPr>
            <w:r>
              <w:rPr>
                <w:rFonts w:ascii="Times New Roman" w:cs="Times New Roman" w:eastAsia="Times New Roman" w:hAnsi="Times New Roman"/>
                <w:sz w:val="18"/>
                <w:szCs w:val="18"/>
                <w:b w:val="1"/>
                <w:bCs w:val="1"/>
                <w:color w:val="auto"/>
              </w:rPr>
              <w:t>($'000, except</w:t>
            </w:r>
          </w:p>
        </w:tc>
        <w:tc>
          <w:tcPr>
            <w:tcW w:w="140" w:type="dxa"/>
            <w:vAlign w:val="bottom"/>
          </w:tcPr>
          <w:p>
            <w:pPr>
              <w:spacing w:after="0"/>
              <w:rPr>
                <w:sz w:val="17"/>
                <w:szCs w:val="17"/>
                <w:color w:val="auto"/>
              </w:rPr>
            </w:pPr>
          </w:p>
        </w:tc>
        <w:tc>
          <w:tcPr>
            <w:tcW w:w="1240" w:type="dxa"/>
            <w:vAlign w:val="bottom"/>
            <w:gridSpan w:val="2"/>
          </w:tcPr>
          <w:p>
            <w:pPr>
              <w:jc w:val="center"/>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99"/>
              </w:rPr>
              <w:t>($'000, except</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28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140" w:type="dxa"/>
            <w:vAlign w:val="bottom"/>
          </w:tcPr>
          <w:p>
            <w:pPr>
              <w:spacing w:after="0"/>
              <w:rPr>
                <w:sz w:val="18"/>
                <w:szCs w:val="18"/>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share and per</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0" w:type="dxa"/>
            <w:vAlign w:val="bottom"/>
          </w:tcPr>
          <w:p>
            <w:pPr>
              <w:spacing w:after="0"/>
              <w:rPr>
                <w:sz w:val="1"/>
                <w:szCs w:val="1"/>
                <w:color w:val="auto"/>
              </w:rPr>
            </w:pPr>
          </w:p>
        </w:tc>
      </w:tr>
      <w:tr>
        <w:trPr>
          <w:trHeight w:val="245"/>
        </w:trPr>
        <w:tc>
          <w:tcPr>
            <w:tcW w:w="58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0" w:type="dxa"/>
            <w:vAlign w:val="bottom"/>
          </w:tcPr>
          <w:p>
            <w:pPr>
              <w:spacing w:after="0"/>
              <w:rPr>
                <w:sz w:val="1"/>
                <w:szCs w:val="1"/>
                <w:color w:val="auto"/>
              </w:rPr>
            </w:pPr>
          </w:p>
        </w:tc>
      </w:tr>
      <w:tr>
        <w:trPr>
          <w:trHeight w:val="239"/>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(21,208 )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(13,827 )</w:t>
            </w:r>
          </w:p>
        </w:tc>
        <w:tc>
          <w:tcPr>
            <w:tcW w:w="0" w:type="dxa"/>
            <w:vAlign w:val="bottom"/>
          </w:tcPr>
          <w:p>
            <w:pPr>
              <w:spacing w:after="0"/>
              <w:rPr>
                <w:sz w:val="1"/>
                <w:szCs w:val="1"/>
                <w:color w:val="auto"/>
              </w:rPr>
            </w:pPr>
          </w:p>
        </w:tc>
      </w:tr>
      <w:tr>
        <w:trPr>
          <w:trHeight w:val="237"/>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3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 share -</w:t>
            </w:r>
          </w:p>
        </w:tc>
        <w:tc>
          <w:tcPr>
            <w:tcW w:w="160" w:type="dxa"/>
            <w:vAlign w:val="bottom"/>
            <w:shd w:val="clear" w:color="auto" w:fill="CFF0FC"/>
          </w:tcPr>
          <w:p>
            <w:pPr>
              <w:spacing w:after="0"/>
              <w:rPr>
                <w:sz w:val="17"/>
                <w:szCs w:val="17"/>
                <w:color w:val="auto"/>
              </w:rPr>
            </w:pPr>
          </w:p>
        </w:tc>
        <w:tc>
          <w:tcPr>
            <w:tcW w:w="11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711,770,804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628,421,064</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706,407,371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626,185,695</w:t>
            </w:r>
          </w:p>
        </w:tc>
        <w:tc>
          <w:tcPr>
            <w:tcW w:w="0" w:type="dxa"/>
            <w:vAlign w:val="bottom"/>
          </w:tcPr>
          <w:p>
            <w:pPr>
              <w:spacing w:after="0"/>
              <w:rPr>
                <w:sz w:val="1"/>
                <w:szCs w:val="1"/>
                <w:color w:val="auto"/>
              </w:rPr>
            </w:pPr>
          </w:p>
        </w:tc>
      </w:tr>
      <w:tr>
        <w:trPr>
          <w:trHeight w:val="247"/>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-479425</wp:posOffset>
            </wp:positionV>
            <wp:extent cx="857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-479425</wp:posOffset>
            </wp:positionV>
            <wp:extent cx="857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-479425</wp:posOffset>
            </wp:positionV>
            <wp:extent cx="857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-25400</wp:posOffset>
            </wp:positionV>
            <wp:extent cx="857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857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-25400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-7620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8" w:lineRule="exact"/>
        <w:rPr>
          <w:sz w:val="20"/>
          <w:szCs w:val="20"/>
          <w:color w:val="auto"/>
        </w:rPr>
      </w:pPr>
    </w:p>
    <w:p>
      <w:pPr>
        <w:ind w:right="280" w:firstLine="749"/>
        <w:spacing w:after="0" w:line="266" w:lineRule="auto"/>
        <w:rPr>
          <w:sz w:val="20"/>
          <w:szCs w:val="20"/>
          <w:color w:val="auto"/>
        </w:rPr>
      </w:pPr>
      <w:r>
        <w:rPr>
          <w:rFonts w:ascii="Times New Roman" w:cs="Times New Roman" w:eastAsia="Times New Roman" w:hAnsi="Times New Roman"/>
          <w:sz w:val="18"/>
          <w:szCs w:val="18"/>
          <w:color w:val="auto"/>
        </w:rPr>
        <w:t>The Company’s potentially dilutive securities have been excluded from the computation of diluted net loss per share as the effect for the three and six months ended June 30, 2024 and 2023 would be to reduce the net loss per share. Therefore, the weighted average number of ordinary shares outstanding used to calculate both basic and diluted net loss per share is the same.</w:t>
      </w:r>
    </w:p>
    <w:p>
      <w:pPr>
        <w:spacing w:after="0" w:line="176" w:lineRule="exact"/>
        <w:rPr>
          <w:sz w:val="20"/>
          <w:szCs w:val="20"/>
          <w:color w:val="auto"/>
        </w:rPr>
      </w:pPr>
    </w:p>
    <w:p>
      <w:pPr>
        <w:ind w:right="140" w:firstLine="749"/>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potentially dilutive ordinary shares, presented based on amounts outstanding at each period end, from the computation of diluted net loss per share for the periods indicated because including them would have had an anti-dilutive effect:</w:t>
      </w:r>
    </w:p>
    <w:p>
      <w:pPr>
        <w:spacing w:after="0" w:line="198"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680" w:type="dxa"/>
            <w:vAlign w:val="bottom"/>
          </w:tcPr>
          <w:p>
            <w:pPr>
              <w:spacing w:after="0"/>
              <w:rPr>
                <w:sz w:val="21"/>
                <w:szCs w:val="21"/>
                <w:color w:val="auto"/>
              </w:rPr>
            </w:pPr>
          </w:p>
        </w:tc>
        <w:tc>
          <w:tcPr>
            <w:tcW w:w="17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73,698,315</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64,289,090</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2,640,115</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2,738,750</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2,676,300</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6,690,750</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DRSUs</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4,276,875</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3,637,905</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Convertible loan notes – Novartis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16,308,364</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15,000,137</w:t>
            </w:r>
          </w:p>
        </w:tc>
      </w:tr>
      <w:tr>
        <w:trPr>
          <w:trHeight w:val="239"/>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loan notes – private placement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24,279,659</w:t>
            </w:r>
          </w:p>
        </w:tc>
      </w:tr>
      <w:tr>
        <w:trPr>
          <w:trHeight w:val="247"/>
        </w:trPr>
        <w:tc>
          <w:tcPr>
            <w:tcW w:w="7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Warrants to purchase ordinary shares</w:t>
            </w:r>
          </w:p>
        </w:tc>
        <w:tc>
          <w:tcPr>
            <w:tcW w:w="1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7,539,129</w:t>
            </w:r>
          </w:p>
        </w:tc>
        <w:tc>
          <w:tcPr>
            <w:tcW w:w="18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7,539,129</w:t>
            </w:r>
          </w:p>
        </w:tc>
      </w:t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AstraZeneca milestones potentially payable in equity</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1,349,692</w:t>
            </w:r>
          </w:p>
        </w:tc>
        <w:tc>
          <w:tcPr>
            <w:tcW w:w="18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1,349,692</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right="60" w:firstLine="749"/>
        <w:spacing w:after="0" w:line="257" w:lineRule="auto"/>
        <w:rPr>
          <w:sz w:val="20"/>
          <w:szCs w:val="20"/>
          <w:color w:val="auto"/>
        </w:rPr>
      </w:pPr>
      <w:r>
        <w:rPr>
          <w:rFonts w:ascii="Times New Roman" w:cs="Times New Roman" w:eastAsia="Times New Roman" w:hAnsi="Times New Roman"/>
          <w:sz w:val="18"/>
          <w:szCs w:val="18"/>
          <w:color w:val="auto"/>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However, the Company may record charges in the future as a result of these indemnification obligations. In accordance with the Articles of Association in force on June 30, 2024, the Company has indemnification obligations to its officers and directors for certain events or occurrences, subject to certain limits, while they are serving at the Company’s request in such capacity. There have been no claims to date, and the Company has director and officer insurance that may enable it to recover a portion of any amounts paid for future potential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 Asset Purchase agreements</w:t>
      </w:r>
    </w:p>
    <w:p>
      <w:pPr>
        <w:spacing w:after="0" w:line="229"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The Company issued to Novartis loan notes and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spacing w:after="0" w:line="176" w:lineRule="exact"/>
        <w:rPr>
          <w:sz w:val="20"/>
          <w:szCs w:val="20"/>
          <w:color w:val="auto"/>
        </w:rPr>
      </w:pPr>
    </w:p>
    <w:p>
      <w:pPr>
        <w:jc w:val="both"/>
        <w:ind w:right="340" w:firstLine="749"/>
        <w:spacing w:after="0" w:line="266" w:lineRule="auto"/>
        <w:rPr>
          <w:sz w:val="20"/>
          <w:szCs w:val="20"/>
          <w:color w:val="auto"/>
        </w:rPr>
      </w:pPr>
      <w:r>
        <w:rPr>
          <w:rFonts w:ascii="Times New Roman" w:cs="Times New Roman" w:eastAsia="Times New Roman" w:hAnsi="Times New Roman"/>
          <w:sz w:val="18"/>
          <w:szCs w:val="18"/>
          <w:color w:val="auto"/>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the Company, a merger or consolidation of the Company, or a sale of any assets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229"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In October 2017, the Company entered into an exclusive license and option agreement (“the License Agreement”), to obtain from AstraZeneca an exclusive worldwide, sub-licensable license under AstraZeneca’s intellectual property rights relating to alvelestat, with an option to acquire such intellectual property rights following commencement of a pivotal trial and payment of related milestone payments (“the Option”), together with the acquisition of certain related assets. Upon entering into the License Agreement, the Company made a payment of $3.0 million and issued 490,798 ordinary shares to AstraZeneca, for an aggregate upfront payment equal to $5.0 million. In connection with certain development and regulatory milestones, the Company has agreed to make payments of up to $115.5 million in the aggregate and issue additional ordinary shares to AstraZeneca for licensed products containing alvelestat.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spacing w:after="0" w:line="187"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License Agreement will expire on the expiration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License Agreement upon prior written notice. Either party may terminate the agreement upon prior written notice for the other party’s material breach that remains uncured for a specified period of time or insolvency.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activities</w:t>
      </w:r>
    </w:p>
    <w:p>
      <w:pPr>
        <w:spacing w:after="0" w:line="229" w:lineRule="exact"/>
        <w:rPr>
          <w:sz w:val="20"/>
          <w:szCs w:val="20"/>
          <w:color w:val="auto"/>
        </w:rPr>
      </w:pPr>
    </w:p>
    <w:p>
      <w:pPr>
        <w:ind w:right="120" w:firstLine="749"/>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in the normal course of business with contract research organizations (“CROs”), contract manufacturing organizations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$2.4 million as of June 30,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60" w:firstLine="749"/>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a party to litigation or subject to claims incident to the ordinary course of business. The Company was not a party to any material litigation and did not have any material contingency reserves established for any liabilities as of June 30, 2024 and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In the three and six months ended June 30, 2024 and 2023, there were no reportable related party transactions.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100" w:firstLine="84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and the audited consolidated financial statements and notes thereto and management’s discussion and analysis of financial condition and results of operations for the year ended December 31, 2023, included in our Annual Report on Form 10-K that was filed with the SEC on March 27, 2024. Some of the information contained in this discussion and analysis or set forth elsewhere in this Quarterly Report, including information with respect to our plans and strategy for our business, includes forward-looking statements that involve risks and uncertainties. As a result of many factors, including those factors set forth in the “Risk Factors” section of our Annual Report on Form 10-K for the year ended December 31, 2023, our actual results could differ materially from the results described in, or implied by, these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from the FDA. Alvelestat has received U.S. Orphan Drug Designation for the treatment of AATD and Fast Track designation from the FDA for the treatment of AATD-LD.</w:t>
      </w:r>
    </w:p>
    <w:p>
      <w:pPr>
        <w:spacing w:after="0" w:line="187"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our merger with OncoMed Pharmaceuticals Inc in 2019. We have successfully completed large, randomized Phase 2 clinical trials for four of our product candidates and the Phase 1b portion of a Phase 1b/2 for a fifth product candidate.</w:t>
      </w:r>
    </w:p>
    <w:p>
      <w:pPr>
        <w:spacing w:after="0" w:line="187"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involves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w:t>
      </w:r>
    </w:p>
    <w:p>
      <w:pPr>
        <w:spacing w:after="0" w:line="183"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On June 11, 2024, we and our partner, Ultragenyx jointly announced positive 14-month results from the Phase 2 portion of the ongoing Phase 2/3 Orbit study (NCT05125809) demonstrating that, as of a May 24, 2024 data cut-off date, treatment with setrusumab (UX143) continued to significantly reduce incidence of fractures in patients with OI with at least 14 months of follow-up. Treatment with setrusumab also resulted in ongoing and meaningful improvements in lumbar spine bone mineral density (BMD) at month 12 without evidence of plateau.</w:t>
      </w:r>
    </w:p>
    <w:p>
      <w:pPr>
        <w:spacing w:after="0" w:line="180"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18"/>
          <w:szCs w:val="18"/>
          <w:color w:val="auto"/>
        </w:rPr>
        <w:t>The large reduction in annualized radiologically confirmed fracture rate previously reported in patients treated for a minimum of 6 months was sustained in patients treated for at least 14 months with a high degree of significance. The median annualized rate of radiologically confirmed fractures across all 24 patients in the 2 years prior to treatment was 0.72. Following a mean treatment duration period of 16 months, the median annualized fracture rate was reduced 67% to 0.00 (p=0.0014; n=24). The annualized fracture rate excluded morphometric vertebral fractures and fractures of the fingers, toes, skull, and face, consistent with the Phase 3 study primary efficacy endpoint.</w:t>
      </w:r>
    </w:p>
    <w:p>
      <w:pPr>
        <w:spacing w:after="0" w:line="183"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On June 17, 2024, we issued 12,531,300 ADSs representing 62,656,500 ordinary shares through an underwritten registered direct offering priced at-the-market on June 14, 2024 at a price of $3.99 per ADS. We raised aggregate gross proceeds of $50.0 million, or $47.0 million after underwriting discounts of $3.0 million. We also incurred other issuance costs of $1.0 million.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2024 and 2023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three months ended June 30, 2024 and 2023.</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(3,430 )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(4,946 )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(3,712 )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(7,868 )</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(12,814 )</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(811 )</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(12,003 )</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559</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(1,029 )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financial instruments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43"/>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1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(12,255 )</w:t>
            </w:r>
          </w:p>
        </w:tc>
        <w:tc>
          <w:tcPr>
            <w:tcW w:w="100" w:type="dxa"/>
            <w:vAlign w:val="bottom"/>
            <w:shd w:val="clear" w:color="auto" w:fill="CFF0FC"/>
          </w:tcPr>
          <w:p>
            <w:pPr>
              <w:spacing w:after="0"/>
              <w:rPr>
                <w:sz w:val="21"/>
                <w:szCs w:val="21"/>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100" w:type="dxa"/>
            <w:vAlign w:val="bottom"/>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(10,504 )</w:t>
            </w:r>
          </w:p>
        </w:tc>
        <w:tc>
          <w:tcPr>
            <w:tcW w:w="10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8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(12,255 )</w:t>
            </w:r>
          </w:p>
        </w:tc>
        <w:tc>
          <w:tcPr>
            <w:tcW w:w="1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(1,751 )</w:t>
            </w:r>
          </w:p>
        </w:tc>
        <w:tc>
          <w:tcPr>
            <w:tcW w:w="10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(10,504 )</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 Foreign currency translation</w:t>
            </w:r>
          </w:p>
        </w:tc>
        <w:tc>
          <w:tcPr>
            <w:tcW w:w="11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vMerge w:val="restart"/>
          </w:tcPr>
          <w:p>
            <w:pPr>
              <w:spacing w:after="0"/>
              <w:rPr>
                <w:sz w:val="18"/>
                <w:szCs w:val="18"/>
                <w:color w:val="auto"/>
              </w:rPr>
            </w:pPr>
          </w:p>
        </w:tc>
        <w:tc>
          <w:tcPr>
            <w:tcW w:w="116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vMerge w:val="restart"/>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11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(12,250 )</w:t>
            </w:r>
          </w:p>
        </w:tc>
        <w:tc>
          <w:tcPr>
            <w:tcW w:w="100" w:type="dxa"/>
            <w:vAlign w:val="bottom"/>
            <w:tcBorders>
              <w:bottom w:val="single" w:sz="8" w:color="CFF0FC"/>
            </w:tcBorders>
            <w:shd w:val="clear" w:color="auto" w:fill="CFF0FC"/>
          </w:tcPr>
          <w:p>
            <w:pPr>
              <w:spacing w:after="0"/>
              <w:rPr>
                <w:sz w:val="23"/>
                <w:szCs w:val="23"/>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(351 )</w:t>
            </w:r>
          </w:p>
        </w:tc>
        <w:tc>
          <w:tcPr>
            <w:tcW w:w="100" w:type="dxa"/>
            <w:vAlign w:val="bottom"/>
            <w:tcBorders>
              <w:bottom w:val="single" w:sz="8" w:color="CFF0FC"/>
            </w:tcBorders>
            <w:shd w:val="clear" w:color="auto" w:fill="CFF0FC"/>
          </w:tcPr>
          <w:p>
            <w:pPr>
              <w:spacing w:after="0"/>
              <w:rPr>
                <w:sz w:val="23"/>
                <w:szCs w:val="23"/>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(11,899 )</w:t>
            </w:r>
          </w:p>
        </w:tc>
        <w:tc>
          <w:tcPr>
            <w:tcW w:w="1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-2819400</wp:posOffset>
            </wp:positionV>
            <wp:extent cx="641223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-2510790</wp:posOffset>
            </wp:positionV>
            <wp:extent cx="6412230"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-1576705</wp:posOffset>
            </wp:positionV>
            <wp:extent cx="6412230"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-2202180</wp:posOffset>
            </wp:positionV>
            <wp:extent cx="6412230" cy="162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-479425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-479425</wp:posOffset>
            </wp:positionV>
            <wp:extent cx="603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-479425</wp:posOffset>
            </wp:positionV>
            <wp:extent cx="603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Percentage change not meaningful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No revenue was recognized for the three months ended June 30, 2024. Revenue of $9.0 million for the three months ended June 30, 2023 comprised a one-time milestone payment of $9.0 million resulting from the achievement of a clinical milestone on setrusumab by Ultragenyx.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No cost of revenue was recognized for the three months ended June 30, 2024. Cost of revenue for the three months ended June 30, 2023 was $3.4 million and primarily represents amounts payable pursuant to our 2015 agreement with Novartis, under which the Company pays a percentage of proceeds resulting from milestone revenue received, subject to certain deductions, and other amounts on the achievement of clinical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three months ended June 30, 2024 and 2023.</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1,448</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508</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2,902</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184 %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1,962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Leflutrozole (BGS-649)</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Acumapimod (BCT-197)</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160" w:type="dxa"/>
            <w:vAlign w:val="bottom"/>
            <w:vMerge w:val="continue"/>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3,712</w:t>
            </w: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-179070</wp:posOffset>
            </wp:positionV>
            <wp:extent cx="6412230" cy="1797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412230" cy="179705"/>
                    </a:xfrm>
                    <a:prstGeom prst="rect">
                      <a:avLst/>
                    </a:prstGeom>
                    <a:noFill/>
                  </pic:spPr>
                </pic:pic>
              </a:graphicData>
            </a:graphic>
          </wp:anchor>
        </w:drawing>
      </w:r>
    </w:p>
    <w:p>
      <w:pPr>
        <w:spacing w:after="0" w:line="205"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increased by $1.2 million, or 33%, from $3.7 million in the three months ended June 30, 2023 to $4.9 million in the three months ended June 30, 2024.</w:t>
      </w:r>
    </w:p>
    <w:p>
      <w:pPr>
        <w:spacing w:after="0" w:line="162" w:lineRule="exact"/>
        <w:rPr>
          <w:sz w:val="20"/>
          <w:szCs w:val="20"/>
          <w:color w:val="auto"/>
        </w:rPr>
      </w:pPr>
    </w:p>
    <w:p>
      <w:pPr>
        <w:ind w:right="520" w:firstLine="749"/>
        <w:spacing w:after="0" w:line="282" w:lineRule="auto"/>
        <w:rPr>
          <w:sz w:val="20"/>
          <w:szCs w:val="20"/>
          <w:color w:val="auto"/>
        </w:rPr>
      </w:pPr>
      <w:r>
        <w:rPr>
          <w:rFonts w:ascii="Times New Roman" w:cs="Times New Roman" w:eastAsia="Times New Roman" w:hAnsi="Times New Roman"/>
          <w:sz w:val="18"/>
          <w:szCs w:val="18"/>
          <w:color w:val="auto"/>
        </w:rPr>
        <w:t>The increase was primarily due to increases of $1.9 million and $0.9 million of R&amp;D expenses for alvelestat and setrusumab, respectively, partially offset by a $1.5 million reduction in R&amp;D expenses for etigilimab.</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increase in the program expenses for alvelestat primarily relates to preparatory work for the Phase 3 study, including manufacturing and drug formulation activities, St. Georges Respiratory Questionnaire (SGRQ) validation activities and regulatory filings and interactions.</w:t>
      </w:r>
    </w:p>
    <w:p>
      <w:pPr>
        <w:spacing w:after="0" w:line="16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increase in program expenses for setrusumab is driven by additional activities in Europe and resources for the input into development, regulatory and manufacturing plans with our partner, Ultragenyx, as the global development program is funded by Ultragenyx pursuant to our license and collaboration agreement.</w:t>
      </w:r>
    </w:p>
    <w:p>
      <w:pPr>
        <w:spacing w:after="0" w:line="176"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reduction in etigilimab expenses was primarily due to the winding down and completion during 2023 of the open label Phase 1b/2 basket study in combination with an anti-PD-1 in a range of tumor types.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increased by $5.2 million, or 195%, from $2.7 million in the three months ended June 30, 2023 to $7.9 million in the three months ended June 30, 2024. The increase is primarily related to: (i) a $3.4 million reduction in expenses which was recognized in the three months ended June 30, 2023 for amounts from our depository to reimburse certain expenses incurred by us in respect of our ADR program, whereas in 2024, $1.7 million was received from our depository in the three months ended March 31, 2024; and (ii) pre-commercial activities to lay the foundation for the commercial launch of setrusumab in Europe, including those to support pricing and reimbursement by HTA authorities and payor decision-makers in Europe of $0.9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right="320" w:firstLine="749"/>
        <w:spacing w:after="0" w:line="282" w:lineRule="auto"/>
        <w:rPr>
          <w:sz w:val="20"/>
          <w:szCs w:val="20"/>
          <w:color w:val="auto"/>
        </w:rPr>
      </w:pPr>
      <w:r>
        <w:rPr>
          <w:rFonts w:ascii="Times New Roman" w:cs="Times New Roman" w:eastAsia="Times New Roman" w:hAnsi="Times New Roman"/>
          <w:sz w:val="18"/>
          <w:szCs w:val="18"/>
          <w:color w:val="auto"/>
        </w:rPr>
        <w:t>Total interest income increased from $0.4 million in the three months ended June 30, 2023 to $0.6 million in the three months ended June 30, 2024. The increase was principally due to higher interest rates on short-term deposits.</w:t>
      </w:r>
    </w:p>
    <w:p>
      <w:pPr>
        <w:spacing w:after="0" w:line="162" w:lineRule="exact"/>
        <w:rPr>
          <w:sz w:val="20"/>
          <w:szCs w:val="20"/>
          <w:color w:val="auto"/>
        </w:rPr>
      </w:pPr>
    </w:p>
    <w:p>
      <w:pPr>
        <w:ind w:right="240" w:firstLine="749"/>
        <w:spacing w:after="0" w:line="266" w:lineRule="auto"/>
        <w:rPr>
          <w:sz w:val="20"/>
          <w:szCs w:val="20"/>
          <w:color w:val="auto"/>
        </w:rPr>
      </w:pPr>
      <w:r>
        <w:rPr>
          <w:rFonts w:ascii="Times New Roman" w:cs="Times New Roman" w:eastAsia="Times New Roman" w:hAnsi="Times New Roman"/>
          <w:sz w:val="18"/>
          <w:szCs w:val="18"/>
          <w:color w:val="auto"/>
        </w:rPr>
        <w:t>Total interest expense decreased from $1.0 million in the three months ended June 30, 2023 to $0.3 million in the three months ended June 30, 2024. This decrease was principally due to the lower balance in the quarter of convertible loan notes as the private placement loan notes were fully converted and redeemed in August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financial instruments</w:t>
      </w:r>
    </w:p>
    <w:p>
      <w:pPr>
        <w:spacing w:after="0" w:line="227"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The total change in fair value of financial instruments for the three months ended June 30, 2024 was an unrealized loss of $0.1 million, compared to an unrealized loss of $0.1 million in the three months ended June 30, 2023. The unrealized loss in 2024 is principally due to the increase in the share price of the Company's ADSs while the unrealized gain in 2023 was due to the Private Placement warrants, which reduced in value as they neared expiration in June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w:t>
      </w:r>
    </w:p>
    <w:p>
      <w:pPr>
        <w:spacing w:after="0" w:line="227"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gain for the three months ended June 30, 2024 was less than $0.1 million compared to a loss of $0.8 million in for the three months ended June 30, 2023. This change primarily reflects the impact of a slight weakening in the value of U.S. dollars when translating U.S. dollar foreign currency balances into our functional currency of pound sterling in the three months ended June 30, 2024, compared to a greater strengthening of U.S. dollars in the three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The benefit from research and development tax credits was $0.4 million for the three months ended June 30, 2024 and $0.6 million for the three months ended June 30, 2023, which reflects a combination of a lower level of qualifying expenditure in 2024 and a reduction in the proportion of qualifying expenditure that can be reclaimed under the scheme rules. The tax credits represent eligible cash rebates paid or receivable from the tax authorities in the jurisdictions within which we operate for eligible types of research and development activities and associated expenditure (the “R&amp;D tax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foreign currency translation adjustment for the three months ended June 30, 2024 was a gain of less than $0.1 million, compared to a gain of $1.4 million for the three months ended June 30, 2023. The $1.4 million change primarily reflects the impact of the weakening of U.S. dollars when translating the net assets of the Company from its functional currency (pound sterling) into its presentational currency (U.S. dollars) which was fully offset by the change in the weighted average historical exchange rate used to translate the equity components.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Mereo’s results of operations for the six months ended June 30, 2024 and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tcBorders>
              <w:bottom w:val="single" w:sz="8" w:color="auto"/>
            </w:tcBorders>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3,083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(8,939 )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(9,119 )</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51 %</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80" w:type="dxa"/>
            <w:vAlign w:val="bottom"/>
          </w:tcPr>
          <w:p>
            <w:pPr>
              <w:spacing w:after="0"/>
              <w:rPr>
                <w:sz w:val="20"/>
                <w:szCs w:val="20"/>
                <w:color w:val="auto"/>
              </w:rPr>
            </w:pPr>
          </w:p>
        </w:tc>
        <w:tc>
          <w:tcPr>
            <w:tcW w:w="4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(22,716 )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income/(expenses)</w:t>
            </w:r>
          </w:p>
        </w:tc>
        <w:tc>
          <w:tcPr>
            <w:tcW w:w="28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1,175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fair value of financial instruments</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(218 )%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transaction gain/(loss), net</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net</w:t>
            </w:r>
          </w:p>
        </w:tc>
        <w:tc>
          <w:tcPr>
            <w:tcW w:w="1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Benefit from research and development tax credit</w:t>
            </w:r>
          </w:p>
        </w:tc>
        <w:tc>
          <w:tcPr>
            <w:tcW w:w="2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loss before income tax</w:t>
            </w:r>
          </w:p>
        </w:tc>
        <w:tc>
          <w:tcPr>
            <w:tcW w:w="28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80" w:type="dxa"/>
            <w:vAlign w:val="bottom"/>
          </w:tcPr>
          <w:p>
            <w:pPr>
              <w:spacing w:after="0"/>
              <w:rPr>
                <w:sz w:val="20"/>
                <w:szCs w:val="20"/>
                <w:color w:val="auto"/>
              </w:rPr>
            </w:pPr>
          </w:p>
        </w:tc>
        <w:tc>
          <w:tcPr>
            <w:tcW w:w="4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(21,208 )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(13,827 )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(7,381 )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2"/>
        </w:trPr>
        <w:tc>
          <w:tcPr>
            <w:tcW w:w="580" w:type="dxa"/>
            <w:vAlign w:val="bottom"/>
          </w:tcPr>
          <w:p>
            <w:pPr>
              <w:spacing w:after="0" w:line="20" w:lineRule="exact"/>
              <w:rPr>
                <w:sz w:val="1"/>
                <w:szCs w:val="1"/>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comprehensive (loss)/income – Foreign currency translation</w:t>
            </w: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 w:type="dxa"/>
            <w:vAlign w:val="bottom"/>
          </w:tcPr>
          <w:p>
            <w:pPr>
              <w:spacing w:after="0"/>
              <w:rPr>
                <w:sz w:val="18"/>
                <w:szCs w:val="18"/>
                <w:color w:val="auto"/>
              </w:rPr>
            </w:pPr>
          </w:p>
        </w:tc>
        <w:tc>
          <w:tcPr>
            <w:tcW w:w="4880" w:type="dxa"/>
            <w:vAlign w:val="bottom"/>
            <w:vMerge w:val="continue"/>
          </w:tcPr>
          <w:p>
            <w:pPr>
              <w:spacing w:after="0"/>
              <w:rPr>
                <w:sz w:val="18"/>
                <w:szCs w:val="18"/>
                <w:color w:val="auto"/>
              </w:rPr>
            </w:pPr>
          </w:p>
        </w:tc>
        <w:tc>
          <w:tcPr>
            <w:tcW w:w="280" w:type="dxa"/>
            <w:vAlign w:val="bottom"/>
            <w:vMerge w:val="restart"/>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(793 )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3,678</w:t>
            </w:r>
          </w:p>
        </w:tc>
        <w:tc>
          <w:tcPr>
            <w:tcW w:w="100" w:type="dxa"/>
            <w:vAlign w:val="bottom"/>
            <w:vMerge w:val="restart"/>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(4,471 )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net of tax</w:t>
            </w:r>
          </w:p>
        </w:tc>
        <w:tc>
          <w:tcPr>
            <w:tcW w:w="280" w:type="dxa"/>
            <w:vAlign w:val="bottom"/>
            <w:vMerge w:val="continue"/>
          </w:tcPr>
          <w:p>
            <w:pPr>
              <w:spacing w:after="0"/>
              <w:rPr>
                <w:sz w:val="20"/>
                <w:szCs w:val="20"/>
                <w:color w:val="auto"/>
              </w:rPr>
            </w:pPr>
          </w:p>
        </w:tc>
        <w:tc>
          <w:tcPr>
            <w:tcW w:w="11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 w:type="dxa"/>
            <w:vAlign w:val="bottom"/>
          </w:tcPr>
          <w:p>
            <w:pPr>
              <w:spacing w:after="0"/>
              <w:rPr>
                <w:sz w:val="20"/>
                <w:szCs w:val="20"/>
                <w:color w:val="auto"/>
              </w:rPr>
            </w:pPr>
          </w:p>
        </w:tc>
        <w:tc>
          <w:tcPr>
            <w:tcW w:w="48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(10,149 )</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(11,852 )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117 %</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-3882390</wp:posOffset>
            </wp:positionV>
            <wp:extent cx="641223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-3573780</wp:posOffset>
            </wp:positionV>
            <wp:extent cx="641223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-2639695</wp:posOffset>
            </wp:positionV>
            <wp:extent cx="641223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-2331085</wp:posOffset>
            </wp:positionV>
            <wp:extent cx="641223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-3265170</wp:posOffset>
            </wp:positionV>
            <wp:extent cx="6412230" cy="1631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2230"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-2022475</wp:posOffset>
            </wp:positionV>
            <wp:extent cx="6412230" cy="162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16256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-1550670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-1550670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-1550670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-1379220</wp:posOffset>
            </wp:positionV>
            <wp:extent cx="6412230" cy="29146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2230" cy="29146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811"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100" w:firstLine="749"/>
        <w:spacing w:after="0" w:line="282" w:lineRule="auto"/>
        <w:rPr>
          <w:sz w:val="20"/>
          <w:szCs w:val="20"/>
          <w:color w:val="auto"/>
        </w:rPr>
      </w:pPr>
      <w:r>
        <w:rPr>
          <w:rFonts w:ascii="Times New Roman" w:cs="Times New Roman" w:eastAsia="Times New Roman" w:hAnsi="Times New Roman"/>
          <w:sz w:val="18"/>
          <w:szCs w:val="18"/>
          <w:color w:val="auto"/>
        </w:rPr>
        <w:t>No revenue was recognized for the six months ended June 30, 2024. Revenue of $9.0 million for the six months ended June 30, 2023 comprised a one-time milestone payment of $9.0 million resulting from the achievement of a clinical milestone on setrusumab by Ultragenyx.</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ind w:right="100" w:firstLine="749"/>
        <w:spacing w:after="0" w:line="266" w:lineRule="auto"/>
        <w:rPr>
          <w:sz w:val="20"/>
          <w:szCs w:val="20"/>
          <w:color w:val="auto"/>
        </w:rPr>
      </w:pPr>
      <w:r>
        <w:rPr>
          <w:rFonts w:ascii="Times New Roman" w:cs="Times New Roman" w:eastAsia="Times New Roman" w:hAnsi="Times New Roman"/>
          <w:sz w:val="18"/>
          <w:szCs w:val="18"/>
          <w:color w:val="auto"/>
        </w:rPr>
        <w:t>No cost of revenue was recognized for the six months ended June 30, 2024. Cost of revenue for the six months ended June 30, 2023 was $3.1 million and primarily represents amounts payable pursuant to our 2015 agreement with Novartis, under which the Company pays a percentage of proceeds resulting from milestone revenue received, subject to certain deductions, and other amounts on the achievement of clinical milestones.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 Expenses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sets forth our R&amp;D expenses by product development program for the six months ended June 30, 2024 and 2023.</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45"/>
        </w:trPr>
        <w:tc>
          <w:tcPr>
            <w:tcW w:w="5160" w:type="dxa"/>
            <w:vAlign w:val="bottom"/>
          </w:tcPr>
          <w:p>
            <w:pPr>
              <w:spacing w:after="0"/>
              <w:rPr>
                <w:sz w:val="21"/>
                <w:szCs w:val="21"/>
                <w:color w:val="auto"/>
              </w:rPr>
            </w:pPr>
          </w:p>
        </w:tc>
        <w:tc>
          <w:tcPr>
            <w:tcW w:w="24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16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560" w:type="dxa"/>
            <w:vAlign w:val="bottom"/>
            <w:gridSpan w:val="3"/>
          </w:tcPr>
          <w:p>
            <w:pPr>
              <w:ind w:left="8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Setrusumab (BPS-804/UX143)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2,357</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1,161</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Alvelestat (MPH-966)</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5,515</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3,362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Etigilimab (MPH-313)</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818</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4,115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(3,297 )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Leflutrozole (BGS-649)</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Acumapimod (BCT-197)</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R&amp;D expenses</w:t>
            </w: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5160" w:type="dxa"/>
            <w:vAlign w:val="bottom"/>
            <w:vMerge w:val="continue"/>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8,939</w:t>
            </w:r>
          </w:p>
        </w:tc>
        <w:tc>
          <w:tcPr>
            <w:tcW w:w="1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-1113790</wp:posOffset>
            </wp:positionV>
            <wp:extent cx="641223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-805180</wp:posOffset>
            </wp:positionV>
            <wp:extent cx="641223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-496570</wp:posOffset>
            </wp:positionV>
            <wp:extent cx="641223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-179705</wp:posOffset>
            </wp:positionV>
            <wp:extent cx="6412230" cy="1803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12230" cy="180340"/>
                    </a:xfrm>
                    <a:prstGeom prst="rect">
                      <a:avLst/>
                    </a:prstGeom>
                    <a:noFill/>
                  </pic:spPr>
                </pic:pic>
              </a:graphicData>
            </a:graphic>
          </wp:anchor>
        </w:drawing>
      </w:r>
    </w:p>
    <w:p>
      <w:pPr>
        <w:spacing w:after="0" w:line="205" w:lineRule="exact"/>
        <w:rPr>
          <w:sz w:val="20"/>
          <w:szCs w:val="20"/>
          <w:color w:val="auto"/>
        </w:rPr>
      </w:pPr>
    </w:p>
    <w:p>
      <w:pPr>
        <w:jc w:val="both"/>
        <w:ind w:right="420" w:firstLine="749"/>
        <w:spacing w:after="0" w:line="282" w:lineRule="auto"/>
        <w:rPr>
          <w:sz w:val="20"/>
          <w:szCs w:val="20"/>
          <w:color w:val="auto"/>
        </w:rPr>
      </w:pPr>
      <w:r>
        <w:rPr>
          <w:rFonts w:ascii="Times New Roman" w:cs="Times New Roman" w:eastAsia="Times New Roman" w:hAnsi="Times New Roman"/>
          <w:sz w:val="18"/>
          <w:szCs w:val="18"/>
          <w:color w:val="auto"/>
        </w:rPr>
        <w:t>Total R&amp;D expenses decreased by $0.1 million, or 1%, from $9.0 million in the six months ended June 30, 2023 to $8.9 million in the three months ended June 30, 2024.</w:t>
      </w:r>
    </w:p>
    <w:p>
      <w:pPr>
        <w:spacing w:after="0" w:line="162"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The decrease was primarily due to a $3.3 million reduction in R&amp;D expenses for etigilimab, partially offset by increases of $2.2 million and $1.2 million of R&amp;D expenses for alvelestat and setrusumab, respectively.</w:t>
      </w:r>
    </w:p>
    <w:p>
      <w:pPr>
        <w:spacing w:after="0" w:line="162" w:lineRule="exact"/>
        <w:rPr>
          <w:sz w:val="20"/>
          <w:szCs w:val="20"/>
          <w:color w:val="auto"/>
        </w:rPr>
      </w:pPr>
    </w:p>
    <w:p>
      <w:pPr>
        <w:ind w:right="280" w:firstLine="749"/>
        <w:spacing w:after="0" w:line="282" w:lineRule="auto"/>
        <w:rPr>
          <w:sz w:val="20"/>
          <w:szCs w:val="20"/>
          <w:color w:val="auto"/>
        </w:rPr>
      </w:pPr>
      <w:r>
        <w:rPr>
          <w:rFonts w:ascii="Times New Roman" w:cs="Times New Roman" w:eastAsia="Times New Roman" w:hAnsi="Times New Roman"/>
          <w:sz w:val="18"/>
          <w:szCs w:val="18"/>
          <w:color w:val="auto"/>
        </w:rPr>
        <w:t>The reduction in etigilimab expenses was primarily due to the winding down and completion during 2023 of the open label Phase 1b/2 basket study in combination with an anti-PD-1 in a range of tumor types.</w:t>
      </w:r>
    </w:p>
    <w:p>
      <w:pPr>
        <w:spacing w:after="0" w:line="162"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increase in the program expenses for alvelestat primarily relates to preparatory work for the Phase 3 study, including manufacturing and drug formulation activities, St. Georges Respiratory Questionnaire (SGRQ) validation activities and regulatory interactions.</w:t>
      </w:r>
    </w:p>
    <w:p>
      <w:pPr>
        <w:spacing w:after="0" w:line="162"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The increase in program expenses for setrusumab is driven by additional activities in Europe, and resources for the input into development, regulatory and manufacturing plans with our partner, Ultragenyx, as the global development program is funded by Ultragenyx pursuant to our license and collaboration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$4.7 million, or 51%, from $9.1 million in the six months ended June 30, 2023 to $13.8 million in the six months ended June 30, 2024.</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increase is primarily related to:</w:t>
      </w:r>
    </w:p>
    <w:p>
      <w:pPr>
        <w:spacing w:after="0" w:line="117" w:lineRule="exact"/>
        <w:rPr>
          <w:sz w:val="20"/>
          <w:szCs w:val="20"/>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Pre-commercial activities to lay the foundation for the commercial launch of setrusumab in Europe, including those to support pricing and reimbursement by HTA authorities and payor decision-makers in Europe of $1.3 million.</w:t>
      </w:r>
    </w:p>
    <w:p>
      <w:pPr>
        <w:spacing w:after="0" w:line="53"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increases in other general and administrative expenses of approximately $1.7 million, including legal and professional fees in respect of compliance with the U.S. domestic reporting regime and employee-related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ind w:left="1020" w:right="16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of $1.7 million in the amount received from our depository to reimburse certain expenses incurred by us in respect of our ADR program in the six months ended June 30, 2024 compared to the six months ended June 30,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Total interest income increased from $0.7 million in the six months ended June 30, 2023 to $1.2 million in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principally due to higher interest rates on short-term deposits.</w:t>
      </w:r>
    </w:p>
    <w:p>
      <w:pPr>
        <w:spacing w:after="0" w:line="207"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Total interest expense decreased from $1.8 million in the six months ended June 30, 2023 to $0.6 million in the six months ended June 30, 2024. This decrease was principally due to the lower balance in the six months of convertible loan notes as the private placement loan notes were fully converted and redeemed in August 2023.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the fair value of financial instruments</w:t>
      </w:r>
    </w:p>
    <w:p>
      <w:pPr>
        <w:spacing w:after="0" w:line="227"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The total change in fair value of financial instruments for the six months ended June 30, 2024 was an unrealized loss of $0.5 million, compared to an unrealized gain of $0.4 million in the six months ended June 30, 2023. The unrealized loss in 2024 is principally due to the increase in the share price of the Company's ADSs during the period, while the unrealized gain in 2023 was due to the Private Placement warrants, which reduced in value as they neared expiration in June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 gain/(loss)</w:t>
      </w:r>
    </w:p>
    <w:p>
      <w:pPr>
        <w:spacing w:after="0" w:line="227"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The net foreign exchange gain for the six months ended June 30, 2024 was $0.6 million compared to a loss of $2.0 million in for the six months ended June 30, 2023. This change primarily reflects the impact of a slight weakening in the value of U.S. dollars when translating U.S. dollar foreign currency balances into into our functional currency of pound sterling in the six months ended June 30 2024 compared to a greater strengthening of U.S. dollars in the six months ended June 30,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research and development tax credit</w:t>
      </w:r>
    </w:p>
    <w:p>
      <w:pPr>
        <w:spacing w:after="0" w:line="2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The benefit from research and development tax credits was $0.8 million for the six months ended June 30, 2024 compared to $1.1 million for the six months ended June 30, 2023, which reflects a combination of a lower level of qualifying expenditure in 2024 and a reduction in the proportion of qualifying expenditure that can be reclaimed under the scheme rules. The tax credits represent eligible cash rebates paid or receivable from the tax authorities in the jurisdictions within which we operate for eligible types of research and development activities and associated expenditure (the “R&amp;D tax credit”).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comprehensive loss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Foreign currency translation adjustments</w:t>
      </w:r>
    </w:p>
    <w:p>
      <w:pPr>
        <w:spacing w:after="0" w:line="22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foreign currency translation adjustment for the six months ended June 30, 2024 was a loss of $0.8 million compared to a gain of $3.7 million for the six months ended June 30, 2023. The $ 4.5 million change primarily reflects the impact of the strengthening of U.S. dollars when translating from the functional currency of the Company (pound sterling) into the presentational currency (U.S.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Under the current business plan and cash flow forecasts, and in consideration of our ongoing research and development efforts and our general corporate funding requirements, we anticipate that our current on-hand cash resources will extend into 2027.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6" w:name="page27"/>
    <w:bookmarkEnd w:id="26"/>
    <w:p>
      <w:pPr>
        <w:ind w:firstLine="749"/>
        <w:spacing w:after="0" w:line="261" w:lineRule="auto"/>
        <w:rPr>
          <w:sz w:val="20"/>
          <w:szCs w:val="20"/>
          <w:color w:val="auto"/>
        </w:rPr>
      </w:pPr>
      <w:r>
        <w:rPr>
          <w:rFonts w:ascii="Times New Roman" w:cs="Times New Roman" w:eastAsia="Times New Roman" w:hAnsi="Times New Roman"/>
          <w:sz w:val="18"/>
          <w:szCs w:val="18"/>
          <w:color w:val="auto"/>
        </w:rPr>
        <w:t>We do not currently have any approved product candidates and as a result, have not generated any revenue from product sales. As a result, to date, we have financed our operations primarily through the issuances of our equity securities, convertible debt and warrants. These offerings have raised approximately $259 million, including through the $50.0 million underwritten registered direct offering in June 2024 and the $12.0 million “at-the-market” offering pursuant to our Open Market Sale Agreement with Jefferies LLC in July 2023 (all amounts are gross proceeds before fees and discounts).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have also received payments under various license and collaboration agreements, including:</w:t>
      </w:r>
    </w:p>
    <w:p>
      <w:pPr>
        <w:spacing w:after="0" w:line="225" w:lineRule="exact"/>
        <w:rPr>
          <w:sz w:val="20"/>
          <w:szCs w:val="20"/>
          <w:color w:val="auto"/>
        </w:rPr>
      </w:pPr>
    </w:p>
    <w:p>
      <w:pPr>
        <w:ind w:left="760" w:right="5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upfront payment of $50.0 million under the license and collaboration agreement with Ultragenyx for setrusumab in 2021 and a further milestone payment of $9.0 million in July 2023.</w:t>
      </w:r>
    </w:p>
    <w:p>
      <w:pPr>
        <w:spacing w:after="0" w:line="161" w:lineRule="exact"/>
        <w:rPr>
          <w:rFonts w:ascii="Times New Roman" w:cs="Times New Roman" w:eastAsia="Times New Roman" w:hAnsi="Times New Roman"/>
          <w:sz w:val="18"/>
          <w:szCs w:val="18"/>
          <w:color w:val="auto"/>
        </w:rPr>
      </w:pPr>
    </w:p>
    <w:p>
      <w:pPr>
        <w:ind w:left="760" w:right="9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upfront payment of $4.0 million under the license and collaboration agreement with Feng Biosciences (formerly OncXerna) for navicixizumab in 2020 and a further milestone payment of $2.0 million in 2022.</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upfront payment of $1.0 million under the global license agreement with ReproNovo for leflutrozole in December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160" w:firstLine="749"/>
        <w:spacing w:after="0" w:line="261" w:lineRule="auto"/>
        <w:rPr>
          <w:sz w:val="20"/>
          <w:szCs w:val="20"/>
          <w:color w:val="auto"/>
        </w:rPr>
      </w:pPr>
      <w:r>
        <w:rPr>
          <w:rFonts w:ascii="Times New Roman" w:cs="Times New Roman" w:eastAsia="Times New Roman" w:hAnsi="Times New Roman"/>
          <w:sz w:val="18"/>
          <w:szCs w:val="18"/>
          <w:color w:val="auto"/>
        </w:rPr>
        <w:t>As further described in our Annual Report on Form 10-K for the year ended December 31, 2023, filed with the SEC on March 27, 2023, under “Item 1. Business—Material Agreements—Novartis Agreements” and “Item 1. Business—Material Agreements—Licensing Agreement with AstraZeneca,” under various agreements with Novartis and AstraZeneca, Mereo has agreed to make milestone payments and pay royalties on potential future commercial sales. The amount, timing, and likelihood of such payments are not known and will remain uncertain for the foreseeable future.</w:t>
      </w:r>
    </w:p>
    <w:p>
      <w:pPr>
        <w:spacing w:after="0" w:line="180"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In addition, Mereo enters into contracts in the ordinary course of business with CROs, CMOs, and other vendors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$2.4 million as of June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2024, and 2023</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table below summarizes our cash flows (used in) from operating, investing and financing activities for the six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2023.</w:t>
      </w:r>
    </w:p>
    <w:p>
      <w:pPr>
        <w:spacing w:after="0" w:line="243" w:lineRule="exact"/>
        <w:rPr>
          <w:sz w:val="20"/>
          <w:szCs w:val="20"/>
          <w:color w:val="auto"/>
        </w:rPr>
      </w:pPr>
    </w:p>
    <w:tbl>
      <w:tblPr>
        <w:tblLayout w:type="fixed"/>
        <w:tblInd w:w="1700" w:type="dxa"/>
        <w:tblCellMar>
          <w:top w:w="0" w:type="dxa"/>
          <w:left w:w="0" w:type="dxa"/>
          <w:bottom w:w="0" w:type="dxa"/>
          <w:right w:w="0" w:type="dxa"/>
        </w:tblCellMar>
      </w:tblPr>
      <w:tr>
        <w:trPr>
          <w:trHeight w:val="245"/>
        </w:trPr>
        <w:tc>
          <w:tcPr>
            <w:tcW w:w="5360" w:type="dxa"/>
            <w:vAlign w:val="bottom"/>
          </w:tcPr>
          <w:p>
            <w:pPr>
              <w:spacing w:after="0"/>
              <w:rPr>
                <w:sz w:val="21"/>
                <w:szCs w:val="21"/>
                <w:color w:val="auto"/>
              </w:rPr>
            </w:pPr>
          </w:p>
        </w:tc>
        <w:tc>
          <w:tcPr>
            <w:tcW w:w="25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5360" w:type="dxa"/>
            <w:vAlign w:val="bottom"/>
          </w:tcPr>
          <w:p>
            <w:pPr>
              <w:spacing w:after="0"/>
              <w:rPr>
                <w:sz w:val="20"/>
                <w:szCs w:val="20"/>
                <w:color w:val="auto"/>
              </w:rPr>
            </w:pPr>
          </w:p>
        </w:tc>
        <w:tc>
          <w:tcPr>
            <w:tcW w:w="12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0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34"/>
        </w:trPr>
        <w:tc>
          <w:tcPr>
            <w:tcW w:w="5360" w:type="dxa"/>
            <w:vAlign w:val="bottom"/>
          </w:tcPr>
          <w:p>
            <w:pPr>
              <w:spacing w:after="0"/>
              <w:rPr>
                <w:sz w:val="20"/>
                <w:szCs w:val="20"/>
                <w:color w:val="auto"/>
              </w:rPr>
            </w:pP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($'000)</w:t>
            </w:r>
          </w:p>
        </w:tc>
        <w:tc>
          <w:tcPr>
            <w:tcW w:w="20" w:type="dxa"/>
            <w:vAlign w:val="bottom"/>
          </w:tcPr>
          <w:p>
            <w:pPr>
              <w:spacing w:after="0"/>
              <w:rPr>
                <w:sz w:val="20"/>
                <w:szCs w:val="20"/>
                <w:color w:val="auto"/>
              </w:rPr>
            </w:pPr>
          </w:p>
        </w:tc>
      </w:tr>
      <w:tr>
        <w:trPr>
          <w:trHeight w:val="248"/>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(15,895 )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(17,002 )</w:t>
            </w:r>
          </w:p>
        </w:tc>
        <w:tc>
          <w:tcPr>
            <w:tcW w:w="20" w:type="dxa"/>
            <w:vAlign w:val="bottom"/>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(419 )</w:t>
            </w:r>
          </w:p>
        </w:tc>
        <w:tc>
          <w:tcPr>
            <w:tcW w:w="20" w:type="dxa"/>
            <w:vAlign w:val="bottom"/>
          </w:tcPr>
          <w:p>
            <w:pPr>
              <w:spacing w:after="0"/>
              <w:rPr>
                <w:sz w:val="20"/>
                <w:szCs w:val="20"/>
                <w:color w:val="auto"/>
              </w:rPr>
            </w:pPr>
          </w:p>
        </w:tc>
      </w:tr>
      <w:tr>
        <w:trPr>
          <w:trHeight w:val="247"/>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46,781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tcPr>
          <w:p>
            <w:pPr>
              <w:spacing w:after="0"/>
              <w:rPr>
                <w:sz w:val="21"/>
                <w:szCs w:val="21"/>
                <w:color w:val="auto"/>
              </w:rPr>
            </w:pPr>
          </w:p>
        </w:tc>
      </w:tr>
      <w:tr>
        <w:trPr>
          <w:trHeight w:val="23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0" w:type="dxa"/>
            <w:vAlign w:val="bottom"/>
          </w:tcPr>
          <w:p>
            <w:pPr>
              <w:spacing w:after="0"/>
              <w:rPr>
                <w:sz w:val="20"/>
                <w:szCs w:val="20"/>
                <w:color w:val="auto"/>
              </w:rPr>
            </w:pPr>
          </w:p>
        </w:tc>
      </w:tr>
      <w:tr>
        <w:trPr>
          <w:trHeight w:val="236"/>
        </w:trPr>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Increase/(decrease) in cash and cash equivalents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30,010</w:t>
            </w:r>
          </w:p>
        </w:tc>
        <w:tc>
          <w:tcPr>
            <w:tcW w:w="1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(15,215 )</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-8255</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six months ended June 30, 2024, was $15.9 million, a decrease of $1.1 million from $17.0 million in the six months ended June 30, 2023. </w:t>
      </w:r>
      <w:r>
        <w:rPr>
          <w:rFonts w:ascii="Times New Roman" w:cs="Times New Roman" w:eastAsia="Times New Roman" w:hAnsi="Times New Roman"/>
          <w:sz w:val="18"/>
          <w:szCs w:val="18"/>
          <w:color w:val="363435"/>
        </w:rPr>
        <w:t>The decrease was primarily driven by</w:t>
      </w:r>
      <w:r>
        <w:rPr>
          <w:rFonts w:ascii="Times New Roman" w:cs="Times New Roman" w:eastAsia="Times New Roman" w:hAnsi="Times New Roman"/>
          <w:sz w:val="18"/>
          <w:szCs w:val="18"/>
          <w:color w:val="auto"/>
        </w:rPr>
        <w:t xml:space="preserve"> $2.0 million received from a claim on our Directors and Officers insurance policy to reimburse us for certain legal and professional costs incurred in prior years and $1.5 million higher net interest inflows. These decreases were partially offset by receipt of $1.7 million less from our depository to reimburse certain expenses incurred by us in respect of our ADR program in the six months ended June 30, 2024 than the six months ended June 30, 2023 and $0.7 million higher operating expense payments.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2024, was $0.7 million, an increase of $0.3 million from $0.4 million in the six months ended June 30, 2023. In both periods, these cash flows relate to payments to acquire intangible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six months ended June 30, 2024 was $46.8 million, an increase of $46.7 million from $0.1 million in the six months ended June 30, 2023. The increase was due to the net proceeds received from the underwritten registered direct offering in June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and Capital Expenditure Requirements</w:t>
      </w:r>
    </w:p>
    <w:p>
      <w:pPr>
        <w:spacing w:after="0" w:line="229" w:lineRule="exact"/>
        <w:rPr>
          <w:sz w:val="20"/>
          <w:szCs w:val="20"/>
          <w:color w:val="auto"/>
        </w:rPr>
      </w:pPr>
    </w:p>
    <w:p>
      <w:pPr>
        <w:ind w:right="320" w:firstLine="749"/>
        <w:spacing w:after="0" w:line="266" w:lineRule="auto"/>
        <w:rPr>
          <w:sz w:val="20"/>
          <w:szCs w:val="20"/>
          <w:color w:val="auto"/>
        </w:rPr>
      </w:pPr>
      <w:r>
        <w:rPr>
          <w:rFonts w:ascii="Times New Roman" w:cs="Times New Roman" w:eastAsia="Times New Roman" w:hAnsi="Times New Roman"/>
          <w:sz w:val="18"/>
          <w:szCs w:val="18"/>
          <w:color w:val="auto"/>
        </w:rPr>
        <w:t>As of June 30, 2024, we had an accumulated deficit of $440.8 million. We expect to continue to report significant operating losses for the foreseeable future as we continue our research and development efforts and seek to obtain regulatory approval of our product candidates and any future product we develop.</w:t>
      </w:r>
    </w:p>
    <w:p>
      <w:pPr>
        <w:spacing w:after="0" w:line="176" w:lineRule="exact"/>
        <w:rPr>
          <w:sz w:val="20"/>
          <w:szCs w:val="20"/>
          <w:color w:val="auto"/>
        </w:rPr>
      </w:pPr>
    </w:p>
    <w:p>
      <w:pPr>
        <w:ind w:right="20" w:firstLine="749"/>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These costs will increase further if we:</w:t>
      </w:r>
    </w:p>
    <w:p>
      <w:pPr>
        <w:spacing w:after="0" w:line="225"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develop additional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completes clinical trials;</w:t>
      </w:r>
    </w:p>
    <w:p>
      <w:pPr>
        <w:spacing w:after="0" w:line="225" w:lineRule="exact"/>
        <w:rPr>
          <w:rFonts w:ascii="Times New Roman" w:cs="Times New Roman" w:eastAsia="Times New Roman" w:hAnsi="Times New Roman"/>
          <w:sz w:val="18"/>
          <w:szCs w:val="18"/>
          <w:color w:val="auto"/>
        </w:rPr>
      </w:pPr>
    </w:p>
    <w:p>
      <w:pPr>
        <w:ind w:left="760" w:right="7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scale-up manufacturing capabilities to commercialize or co-commercialize any product candidates for which we may obtain regulatory approval and chose to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intellectual property portfolio;</w:t>
      </w:r>
    </w:p>
    <w:p>
      <w:pPr>
        <w:spacing w:after="0" w:line="225"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further clinical, scientific, operational, financial, legal and management information systems, and personnel, including personnel to support our development and to support our operations as a U.S. public company listed on Nasdaq; or</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16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enable us to fund our currently committed clinical trials, operating expenses and capital expenditure requirements into 2027.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w:t>
      </w:r>
    </w:p>
    <w:p>
      <w:pPr>
        <w:spacing w:after="0" w:line="187" w:lineRule="exact"/>
        <w:rPr>
          <w:sz w:val="20"/>
          <w:szCs w:val="20"/>
          <w:color w:val="auto"/>
        </w:rPr>
      </w:pPr>
    </w:p>
    <w:p>
      <w:pPr>
        <w:ind w:left="760" w:right="8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for our activities related to our ongoing collaboration with Ultragenyx for setrusumab for the treatment of adults and children with OI; and potential future clinical trials for alvelestat in AATD and other potential indications;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manufacturing clinical supplies of our product candidates;</w:t>
      </w:r>
    </w:p>
    <w:p>
      <w:pPr>
        <w:spacing w:after="0" w:line="225" w:lineRule="exact"/>
        <w:rPr>
          <w:rFonts w:ascii="Times New Roman" w:cs="Times New Roman" w:eastAsia="Times New Roman" w:hAnsi="Times New Roman"/>
          <w:sz w:val="18"/>
          <w:szCs w:val="18"/>
          <w:color w:val="auto"/>
        </w:rPr>
      </w:pPr>
    </w:p>
    <w:p>
      <w:pPr>
        <w:ind w:left="760" w:right="58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including post-marketing studies that could be required by regulatory authorities;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8" w:name="page29"/>
    <w:bookmarkEnd w:id="28"/>
    <w:p>
      <w:pPr>
        <w:ind w:lef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potential future commercialization activities, including manufacturing, marketing, sales, life cycle management and distribution, for our product candidates that we commercialize directly;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revenue, if any, received from commercial sales of our product candidates;</w:t>
      </w:r>
    </w:p>
    <w:p>
      <w:pPr>
        <w:spacing w:after="0" w:line="225" w:lineRule="exact"/>
        <w:rPr>
          <w:rFonts w:ascii="Times New Roman" w:cs="Times New Roman" w:eastAsia="Times New Roman" w:hAnsi="Times New Roman"/>
          <w:sz w:val="18"/>
          <w:szCs w:val="18"/>
          <w:color w:val="auto"/>
        </w:rPr>
      </w:pPr>
    </w:p>
    <w:p>
      <w:pPr>
        <w:ind w:left="760" w:right="30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competitors and market developments;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collaborators and partners under the existing agreements on setrusumab, navicixizumab and, leflutrozole;</w:t>
      </w:r>
    </w:p>
    <w:p>
      <w:pPr>
        <w:spacing w:after="0" w:line="225" w:lineRule="exact"/>
        <w:rPr>
          <w:rFonts w:ascii="Times New Roman" w:cs="Times New Roman" w:eastAsia="Times New Roman" w:hAnsi="Times New Roman"/>
          <w:sz w:val="18"/>
          <w:szCs w:val="18"/>
          <w:color w:val="auto"/>
        </w:rPr>
      </w:pPr>
    </w:p>
    <w:p>
      <w:pPr>
        <w:ind w:left="760" w:right="7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are able to acquire new product candidates or enter into licensing or collaboration arrangements for our product candidates, although we currently have no commitments or agreements to complete any such transactions;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milestone and deferred payments under Mereo’s license and option agreement with AstraZeneca;</w:t>
      </w:r>
    </w:p>
    <w:p>
      <w:pPr>
        <w:spacing w:after="0" w:line="225"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need to repay the principal and interest on our Convertible Loan Note due in February 2025. We currently assume it will be converted or otherwise refinanced with new debt or equity;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or other assessments and our ability to claim R&amp;D tax credits or other reliefs.</w:t>
      </w:r>
    </w:p>
    <w:p>
      <w:pPr>
        <w:spacing w:after="0" w:line="225"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w:t>
      </w:r>
    </w:p>
    <w:p>
      <w:pPr>
        <w:spacing w:after="0" w:line="176" w:lineRule="exact"/>
        <w:rPr>
          <w:sz w:val="20"/>
          <w:szCs w:val="20"/>
          <w:color w:val="auto"/>
        </w:rPr>
      </w:pPr>
    </w:p>
    <w:p>
      <w:pPr>
        <w:ind w:right="220" w:firstLine="749"/>
        <w:spacing w:after="0" w:line="266" w:lineRule="auto"/>
        <w:rPr>
          <w:sz w:val="20"/>
          <w:szCs w:val="20"/>
          <w:color w:val="auto"/>
        </w:rPr>
      </w:pPr>
      <w:r>
        <w:rPr>
          <w:rFonts w:ascii="Times New Roman" w:cs="Times New Roman" w:eastAsia="Times New Roman" w:hAnsi="Times New Roman"/>
          <w:sz w:val="18"/>
          <w:szCs w:val="18"/>
          <w:color w:val="auto"/>
        </w:rPr>
        <w:t>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w:t>
      </w:r>
    </w:p>
    <w:p>
      <w:pPr>
        <w:spacing w:after="0" w:line="176"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various other assumptions that we believe are reasonable under the circumstances. The actual impact on our financial performance could differ from these estimates under different assumptions or conditions.</w:t>
      </w:r>
    </w:p>
    <w:p>
      <w:pPr>
        <w:spacing w:after="0" w:line="183"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An accounting estimate is considered critical if both (i) the nature of the estimates or assumptions is material due to the levels of subjectivity and judgment involved, and (ii) the impact within a reasonable range of outcomes of the estimates and assumptions is material to our unaudited condensed consolidated financial statements. We believe that there are no estimates and assumptions made in our unaudited condensed consolidated financial statements that rise to this level. Our critical accounting policies are described under the heading “Management’s Discussion and Analysis of Financial Condition and Results of Operations—Critical Accounting</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9" w:name="page30"/>
    <w:bookmarkEnd w:id="29"/>
    <w:p>
      <w:pPr>
        <w:ind w:right="40"/>
        <w:spacing w:after="0" w:line="261" w:lineRule="auto"/>
        <w:rPr>
          <w:sz w:val="20"/>
          <w:szCs w:val="20"/>
          <w:color w:val="auto"/>
        </w:rPr>
      </w:pPr>
      <w:r>
        <w:rPr>
          <w:rFonts w:ascii="Times New Roman" w:cs="Times New Roman" w:eastAsia="Times New Roman" w:hAnsi="Times New Roman"/>
          <w:sz w:val="18"/>
          <w:szCs w:val="18"/>
          <w:color w:val="auto"/>
        </w:rPr>
        <w:t>Estimates” in our 2023 Annual Report, which was filed with the SEC on March 27, 2024. If actual results or events differ materially from the estimates, judgments and assumptions used by us in applying these policies, our reported financial condition and results of operations could be materially affected. Other than as disclosed in Note 2 to the unaudited condensed consolidated financial statements included in this Quarterly Report on Form 10-Q, there have been no significant changes to our critical accounting estimates from those described in our 2023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See the section titled “Information Regarding Forward-Looking Statements” at the beginning of this Quarterly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exposure to market risk during the three months ended June 30, 2024. For a discussion of the Company’s exposure to market risk, please refer to the Company’s market risk disclosures set forth in Part II, Item 7A, “Quantitative and Qualitative Disclosures About Market Risk” in our Annual Report on Form 10-K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 15(e) and 15d 15(e)) under the Securities and Exchange Act of 1934, as amended (“Exchange Act”) as of June 30, 2024.</w:t>
      </w:r>
    </w:p>
    <w:p>
      <w:pPr>
        <w:spacing w:after="0" w:line="176"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Based on such evaluation, our Chief Executive Officer and Chief Financial Officer have concluded that our disclosure controls and procedures were effective at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40" w:firstLine="749"/>
        <w:spacing w:after="0" w:line="312" w:lineRule="auto"/>
        <w:rPr>
          <w:sz w:val="20"/>
          <w:szCs w:val="20"/>
          <w:color w:val="auto"/>
        </w:rPr>
      </w:pPr>
      <w:r>
        <w:rPr>
          <w:rFonts w:ascii="Times New Roman" w:cs="Times New Roman" w:eastAsia="Times New Roman" w:hAnsi="Times New Roman"/>
          <w:sz w:val="17"/>
          <w:szCs w:val="17"/>
          <w:color w:val="auto"/>
        </w:rPr>
        <w:t>No changes in our internal control over financial reporting (as defined in Rules 13a-15(e) and 15d – 15(e)) under Exchange Act) occurred during the quarter ended June 30, 2024 that have materially affected, or are reasonably likely to materially affect, our internal control over financial reporting.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0" w:name="page31"/>
    <w:bookmarkEnd w:id="30"/>
    <w:p>
      <w:pPr>
        <w:jc w:val="center"/>
        <w:ind w:right="-219"/>
        <w:spacing w:after="0"/>
        <w:rPr>
          <w:sz w:val="20"/>
          <w:szCs w:val="20"/>
          <w:color w:val="auto"/>
        </w:rPr>
      </w:pPr>
      <w:r>
        <w:rPr>
          <w:rFonts w:ascii="Times New Roman" w:cs="Times New Roman" w:eastAsia="Times New Roman" w:hAnsi="Times New Roman"/>
          <w:sz w:val="18"/>
          <w:szCs w:val="18"/>
          <w:color w:val="auto"/>
        </w:rPr>
        <w:t>PART II – OTHER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June 30, 2024, we were not a party to any material legal proceedings.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the Company’s most recent Annual Report on Form 10-K as filed with the SEC on March 27,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right="120" w:firstLine="749"/>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June 30, 2024, none of our directors or officers adopted, modified or terminated a “Rule 10b5-1 trading arrangement” or a “non-Rule 10b5-1 trading arrangement” as such terms are defined in Item 408(a) of Regulation S-K.</w:t>
      </w:r>
    </w:p>
    <w:p>
      <w:pPr>
        <w:spacing w:after="0" w:line="16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050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auto"/>
              </w:rPr>
              <w:t>The following exhibits are either provided with this Quarterly Report on Form 10-Q or are incorporated herein by reference:</w:t>
            </w:r>
          </w:p>
        </w:tc>
      </w:tr>
      <w:tr>
        <w:trPr>
          <w:trHeight w:val="450"/>
        </w:trPr>
        <w:tc>
          <w:tcPr>
            <w:tcW w:w="7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340" w:type="dxa"/>
            <w:vAlign w:val="bottom"/>
            <w:tcBorders>
              <w:bottom w:val="single" w:sz="8" w:color="auto"/>
            </w:tcBorders>
            <w:gridSpan w:val="12"/>
          </w:tcPr>
          <w:p>
            <w:pPr>
              <w:ind w:left="33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432"/>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Underwriting Agreement, dated June 14, 2024, by and among the Company and Jefferies LLC, Leerink Partners LLC and Cantor Fitzgerald &amp;</w:t>
              </w:r>
            </w:hyperlink>
          </w:p>
        </w:tc>
        <w:tc>
          <w:tcPr>
            <w:tcW w:w="20" w:type="dxa"/>
            <w:vAlign w:val="bottom"/>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Co. as underwriters.(incorporated by reference to Exhibit 1.1 to the Company’s Current Report on Form 8-K filed June 14, 2024 (File No.</w:t>
              </w:r>
            </w:hyperlink>
          </w:p>
        </w:tc>
        <w:tc>
          <w:tcPr>
            <w:tcW w:w="340" w:type="dxa"/>
            <w:vAlign w:val="bottom"/>
            <w:gridSpan w:val="7"/>
          </w:tcPr>
          <w:p>
            <w:pPr>
              <w:spacing w:after="0"/>
              <w:rPr>
                <w:sz w:val="17"/>
                <w:szCs w:val="17"/>
                <w:color w:val="auto"/>
              </w:rPr>
            </w:pPr>
          </w:p>
        </w:tc>
      </w:tr>
      <w:tr>
        <w:trPr>
          <w:trHeight w:val="196"/>
        </w:trPr>
        <w:tc>
          <w:tcPr>
            <w:tcW w:w="740" w:type="dxa"/>
            <w:vAlign w:val="bottom"/>
          </w:tcPr>
          <w:p>
            <w:pPr>
              <w:spacing w:after="0"/>
              <w:rPr>
                <w:sz w:val="17"/>
                <w:szCs w:val="17"/>
                <w:color w:val="auto"/>
              </w:rPr>
            </w:pPr>
          </w:p>
        </w:tc>
        <w:tc>
          <w:tcPr>
            <w:tcW w:w="1160" w:type="dxa"/>
            <w:vAlign w:val="bottom"/>
            <w:gridSpan w:val="5"/>
          </w:tcPr>
          <w:p>
            <w:pPr>
              <w:ind w:left="180"/>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001-38452)).</w:t>
              </w:r>
            </w:hyperlink>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6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Extension Letter to the Cooperation Agreement between the Company and Rubric Capital, dated April 15, 2024 (previously filed as Exhibit</w:t>
              </w:r>
            </w:hyperlink>
          </w:p>
        </w:tc>
        <w:tc>
          <w:tcPr>
            <w:tcW w:w="200" w:type="dxa"/>
            <w:vAlign w:val="bottom"/>
            <w:gridSpan w:val="4"/>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the Company's Current Report on Form 8-K filed April 15, 2024 and incorporated therein by reference).</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8"/>
          </w:tcPr>
          <w:p>
            <w:pPr>
              <w:spacing w:after="0"/>
              <w:rPr>
                <w:sz w:val="17"/>
                <w:szCs w:val="17"/>
                <w:color w:val="auto"/>
              </w:rPr>
            </w:pPr>
          </w:p>
        </w:tc>
      </w:tr>
      <w:tr>
        <w:trPr>
          <w:trHeight w:val="46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13a-14(a) and Rule 15d-14(a) of the Securities Exchange Act of 1934, as adopted</w:t>
            </w:r>
          </w:p>
        </w:tc>
        <w:tc>
          <w:tcPr>
            <w:tcW w:w="240" w:type="dxa"/>
            <w:vAlign w:val="bottom"/>
            <w:gridSpan w:val="5"/>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980" w:type="dxa"/>
            <w:vAlign w:val="bottom"/>
            <w:gridSpan w:val="10"/>
          </w:tcPr>
          <w:p>
            <w:pPr>
              <w:spacing w:after="0"/>
              <w:rPr>
                <w:sz w:val="17"/>
                <w:szCs w:val="17"/>
                <w:color w:val="auto"/>
              </w:rPr>
            </w:pPr>
          </w:p>
        </w:tc>
      </w:tr>
      <w:tr>
        <w:trPr>
          <w:trHeight w:val="45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13a-14(a) and Rule 15d-14(a) of the Securities Exchange Act of 1934, as adopted</w:t>
            </w:r>
          </w:p>
        </w:tc>
        <w:tc>
          <w:tcPr>
            <w:tcW w:w="300" w:type="dxa"/>
            <w:vAlign w:val="bottom"/>
            <w:gridSpan w:val="6"/>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5980" w:type="dxa"/>
            <w:vAlign w:val="bottom"/>
            <w:gridSpan w:val="10"/>
          </w:tcPr>
          <w:p>
            <w:pPr>
              <w:spacing w:after="0"/>
              <w:rPr>
                <w:sz w:val="17"/>
                <w:szCs w:val="17"/>
                <w:color w:val="auto"/>
              </w:rPr>
            </w:pPr>
          </w:p>
        </w:tc>
      </w:tr>
      <w:tr>
        <w:trPr>
          <w:trHeight w:val="453"/>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 of</w:t>
            </w:r>
          </w:p>
        </w:tc>
        <w:tc>
          <w:tcPr>
            <w:tcW w:w="40" w:type="dxa"/>
            <w:vAlign w:val="bottom"/>
            <w:gridSpan w:val="2"/>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20" w:type="dxa"/>
            <w:vAlign w:val="bottom"/>
            <w:gridSpan w:val="4"/>
          </w:tcPr>
          <w:p>
            <w:pPr>
              <w:ind w:left="18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5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9780" w:type="dxa"/>
            <w:vAlign w:val="bottom"/>
            <w:gridSpan w:val="10"/>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452"/>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18 U.S.C. Section 1350, as adopted pursuant to Section 906 of the Sarbanes-Oxley Act of</w:t>
            </w:r>
          </w:p>
        </w:tc>
        <w:tc>
          <w:tcPr>
            <w:tcW w:w="100" w:type="dxa"/>
            <w:vAlign w:val="bottom"/>
            <w:gridSpan w:val="3"/>
          </w:tcPr>
          <w:p>
            <w:pPr>
              <w:spacing w:after="0"/>
              <w:rPr>
                <w:sz w:val="24"/>
                <w:szCs w:val="24"/>
                <w:color w:val="auto"/>
              </w:rPr>
            </w:pPr>
          </w:p>
        </w:tc>
      </w:tr>
      <w:tr>
        <w:trPr>
          <w:trHeight w:val="196"/>
        </w:trPr>
        <w:tc>
          <w:tcPr>
            <w:tcW w:w="740" w:type="dxa"/>
            <w:vAlign w:val="bottom"/>
          </w:tcPr>
          <w:p>
            <w:pPr>
              <w:spacing w:after="0"/>
              <w:rPr>
                <w:sz w:val="17"/>
                <w:szCs w:val="17"/>
                <w:color w:val="auto"/>
              </w:rPr>
            </w:pPr>
          </w:p>
        </w:tc>
        <w:tc>
          <w:tcPr>
            <w:tcW w:w="620" w:type="dxa"/>
            <w:vAlign w:val="bottom"/>
            <w:gridSpan w:val="4"/>
          </w:tcPr>
          <w:p>
            <w:pPr>
              <w:ind w:left="18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5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9880" w:type="dxa"/>
            <w:vAlign w:val="bottom"/>
            <w:gridSpan w:val="13"/>
          </w:tcPr>
          <w:p>
            <w:pPr>
              <w:spacing w:after="0" w:line="20" w:lineRule="exact"/>
              <w:rPr>
                <w:sz w:val="1"/>
                <w:szCs w:val="1"/>
                <w:color w:val="auto"/>
              </w:rPr>
            </w:pPr>
          </w:p>
        </w:tc>
      </w:tr>
      <w:tr>
        <w:trPr>
          <w:trHeight w:val="475"/>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3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bl>
    <w:p>
      <w:pPr>
        <w:spacing w:after="0" w:line="252" w:lineRule="exact"/>
        <w:rPr>
          <w:sz w:val="20"/>
          <w:szCs w:val="20"/>
          <w:color w:val="auto"/>
        </w:rPr>
      </w:pPr>
    </w:p>
    <w:p>
      <w:pPr>
        <w:ind w:right="780" w:firstLine="21"/>
        <w:spacing w:after="0" w:line="355" w:lineRule="auto"/>
        <w:tabs>
          <w:tab w:leader="none" w:pos="91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for the Company's Quarterly Report on Form 10-Q has been formatted in Inline XBRL and contained in Exhibit 101 * Filed herewith.</w:t>
      </w: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190309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 on August 13, 2024.</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MEREO BIOPHARMA GROUP PLC</w:t>
            </w:r>
          </w:p>
        </w:tc>
      </w:tr>
      <w:tr>
        <w:trPr>
          <w:trHeight w:val="7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13, 2024</w:t>
            </w:r>
          </w:p>
        </w:tc>
        <w:tc>
          <w:tcPr>
            <w:tcW w:w="202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Denise Scots-Knight</w:t>
            </w:r>
          </w:p>
        </w:tc>
      </w:tr>
      <w:tr>
        <w:trPr>
          <w:trHeight w:val="228"/>
        </w:trPr>
        <w:tc>
          <w:tcPr>
            <w:tcW w:w="3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Denise Scots-Knight</w:t>
            </w:r>
          </w:p>
        </w:tc>
      </w:tr>
      <w:tr>
        <w:trPr>
          <w:trHeight w:val="238"/>
        </w:trPr>
        <w:tc>
          <w:tcPr>
            <w:tcW w:w="3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7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13, 2024</w:t>
            </w:r>
          </w:p>
        </w:tc>
        <w:tc>
          <w:tcPr>
            <w:tcW w:w="2020" w:type="dxa"/>
            <w:vAlign w:val="bottom"/>
          </w:tcPr>
          <w:p>
            <w:pPr>
              <w:spacing w:after="0"/>
              <w:rPr>
                <w:sz w:val="24"/>
                <w:szCs w:val="24"/>
                <w:color w:val="auto"/>
              </w:rPr>
            </w:pPr>
          </w:p>
        </w:tc>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Christine Fox</w:t>
            </w:r>
          </w:p>
        </w:tc>
      </w:tr>
      <w:tr>
        <w:trPr>
          <w:trHeight w:val="228"/>
        </w:trPr>
        <w:tc>
          <w:tcPr>
            <w:tcW w:w="36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Christine Fox</w:t>
            </w:r>
          </w:p>
        </w:tc>
      </w:tr>
      <w:tr>
        <w:trPr>
          <w:trHeight w:val="238"/>
        </w:trPr>
        <w:tc>
          <w:tcPr>
            <w:tcW w:w="36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662"/>
        </w:trPr>
        <w:tc>
          <w:tcPr>
            <w:tcW w:w="3600" w:type="dxa"/>
            <w:vAlign w:val="bottom"/>
          </w:tcPr>
          <w:p>
            <w:pPr>
              <w:spacing w:after="0"/>
              <w:rPr>
                <w:sz w:val="24"/>
                <w:szCs w:val="24"/>
                <w:color w:val="auto"/>
              </w:rPr>
            </w:pPr>
          </w:p>
        </w:tc>
        <w:tc>
          <w:tcPr>
            <w:tcW w:w="764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31</w:t>
            </w:r>
          </w:p>
        </w:tc>
      </w:tr>
      <w:tr>
        <w:trPr>
          <w:trHeight w:val="763"/>
        </w:trPr>
        <w:tc>
          <w:tcPr>
            <w:tcW w:w="36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Denise Scots-Knight, certify that:</w:t>
      </w:r>
    </w:p>
    <w:p>
      <w:pPr>
        <w:spacing w:after="0" w:line="144" w:lineRule="exact"/>
        <w:rPr>
          <w:sz w:val="20"/>
          <w:szCs w:val="20"/>
          <w:color w:val="auto"/>
        </w:rPr>
      </w:pPr>
    </w:p>
    <w:p>
      <w:pPr>
        <w:ind w:left="480" w:hanging="459"/>
        <w:spacing w:after="0"/>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57"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80" w:right="280" w:hanging="459"/>
        <w:spacing w:after="0" w:line="266"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8" w:lineRule="exact"/>
        <w:rPr>
          <w:rFonts w:ascii="Times New Roman" w:cs="Times New Roman" w:eastAsia="Times New Roman" w:hAnsi="Times New Roman"/>
          <w:sz w:val="18"/>
          <w:szCs w:val="18"/>
          <w:color w:val="auto"/>
        </w:rPr>
      </w:pPr>
    </w:p>
    <w:p>
      <w:pPr>
        <w:ind w:left="1040" w:right="180" w:hanging="560"/>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40" w:right="320" w:hanging="560"/>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40" w:right="480" w:hanging="560"/>
        <w:spacing w:after="0" w:line="312" w:lineRule="auto"/>
        <w:tabs>
          <w:tab w:leader="none" w:pos="1040"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040" w:right="80" w:hanging="560"/>
        <w:spacing w:after="0" w:line="266"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108" w:lineRule="exact"/>
        <w:rPr>
          <w:rFonts w:ascii="Times New Roman" w:cs="Times New Roman" w:eastAsia="Times New Roman" w:hAnsi="Times New Roman"/>
          <w:sz w:val="18"/>
          <w:szCs w:val="18"/>
          <w:color w:val="auto"/>
        </w:rPr>
      </w:pPr>
    </w:p>
    <w:p>
      <w:pPr>
        <w:ind w:left="480" w:right="240" w:hanging="459"/>
        <w:spacing w:after="0" w:line="312" w:lineRule="auto"/>
        <w:tabs>
          <w:tab w:leader="none" w:pos="4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72" w:lineRule="exact"/>
        <w:rPr>
          <w:rFonts w:ascii="Times New Roman" w:cs="Times New Roman" w:eastAsia="Times New Roman" w:hAnsi="Times New Roman"/>
          <w:sz w:val="17"/>
          <w:szCs w:val="17"/>
          <w:color w:val="auto"/>
        </w:rPr>
      </w:pPr>
    </w:p>
    <w:p>
      <w:pPr>
        <w:ind w:left="1040" w:right="720" w:hanging="560"/>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040" w:right="400" w:hanging="560"/>
        <w:spacing w:after="0" w:line="282" w:lineRule="auto"/>
        <w:tabs>
          <w:tab w:leader="none" w:pos="10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00" w:lineRule="exact"/>
        <w:rPr>
          <w:sz w:val="20"/>
          <w:szCs w:val="20"/>
          <w:color w:val="auto"/>
        </w:rPr>
      </w:pPr>
    </w:p>
    <w:p>
      <w:pPr>
        <w:spacing w:after="0" w:line="3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/s/ Denise Scots-Knight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17145</wp:posOffset>
            </wp:positionV>
            <wp:extent cx="31203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Denise Scots-Knight</w:t>
      </w:r>
    </w:p>
    <w:p>
      <w:pPr>
        <w:spacing w:after="0" w:line="36" w:lineRule="exact"/>
        <w:rPr>
          <w:sz w:val="20"/>
          <w:szCs w:val="20"/>
          <w:color w:val="auto"/>
        </w:rPr>
      </w:pPr>
    </w:p>
    <w:p>
      <w:pPr>
        <w:sectPr>
          <w:pgSz w:w="11900" w:h="16838" w:orient="portrait"/>
          <w:cols w:equalWidth="0" w:num="2">
            <w:col w:w="6800" w:space="560"/>
            <w:col w:w="3880"/>
          </w:cols>
          <w:pgMar w:left="320" w:top="1440" w:right="339" w:bottom="1440" w:gutter="0" w:footer="0" w:header="0"/>
          <w:type w:val="continuous"/>
        </w:sectPr>
      </w:pPr>
    </w:p>
    <w:p>
      <w:pPr>
        <w:ind w:left="63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1631950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2">
            <w:col w:w="6700" w:space="660"/>
            <w:col w:w="3880"/>
          </w:cols>
          <w:pgMar w:left="320" w:top="1440" w:right="33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Christine Fox, certify that:</w:t>
      </w:r>
    </w:p>
    <w:p>
      <w:pPr>
        <w:spacing w:after="0" w:line="144" w:lineRule="exact"/>
        <w:rPr>
          <w:sz w:val="20"/>
          <w:szCs w:val="20"/>
          <w:color w:val="auto"/>
        </w:rPr>
      </w:pPr>
    </w:p>
    <w:p>
      <w:pPr>
        <w:ind w:left="480" w:hanging="459"/>
        <w:spacing w:after="0"/>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Mereo BioPharma Group plc (the “Company”);</w:t>
      </w:r>
    </w:p>
    <w:p>
      <w:pPr>
        <w:spacing w:after="0" w:line="157" w:lineRule="exact"/>
        <w:rPr>
          <w:rFonts w:ascii="Times New Roman" w:cs="Times New Roman" w:eastAsia="Times New Roman" w:hAnsi="Times New Roman"/>
          <w:sz w:val="18"/>
          <w:szCs w:val="18"/>
          <w:color w:val="auto"/>
        </w:rPr>
      </w:pPr>
    </w:p>
    <w:p>
      <w:pPr>
        <w:jc w:val="both"/>
        <w:ind w:left="480" w:right="300" w:hanging="459"/>
        <w:spacing w:after="0" w:line="266"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480" w:right="260" w:hanging="459"/>
        <w:spacing w:after="0" w:line="282"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480" w:right="280" w:hanging="459"/>
        <w:spacing w:after="0" w:line="266" w:lineRule="auto"/>
        <w:tabs>
          <w:tab w:leader="none" w:pos="4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8" w:lineRule="exact"/>
        <w:rPr>
          <w:rFonts w:ascii="Times New Roman" w:cs="Times New Roman" w:eastAsia="Times New Roman" w:hAnsi="Times New Roman"/>
          <w:sz w:val="18"/>
          <w:szCs w:val="18"/>
          <w:color w:val="auto"/>
        </w:rPr>
      </w:pPr>
    </w:p>
    <w:p>
      <w:pPr>
        <w:ind w:left="1040" w:right="180" w:hanging="560"/>
        <w:spacing w:after="0" w:line="266"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1040" w:right="320" w:hanging="560"/>
        <w:spacing w:after="0" w:line="266"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1040" w:right="480" w:hanging="560"/>
        <w:spacing w:after="0" w:line="312" w:lineRule="auto"/>
        <w:tabs>
          <w:tab w:leader="none" w:pos="104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Times New Roman" w:cs="Times New Roman" w:eastAsia="Times New Roman" w:hAnsi="Times New Roman"/>
          <w:sz w:val="17"/>
          <w:szCs w:val="17"/>
          <w:color w:val="auto"/>
        </w:rPr>
      </w:pPr>
    </w:p>
    <w:p>
      <w:pPr>
        <w:ind w:left="1040" w:right="80" w:hanging="560"/>
        <w:spacing w:after="0" w:line="266"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quarterly report that has materially affected, or is reasonably likely to materially affect, the Company’s internal control over financial reporting; and</w:t>
      </w:r>
    </w:p>
    <w:p>
      <w:pPr>
        <w:spacing w:after="0" w:line="108" w:lineRule="exact"/>
        <w:rPr>
          <w:rFonts w:ascii="Times New Roman" w:cs="Times New Roman" w:eastAsia="Times New Roman" w:hAnsi="Times New Roman"/>
          <w:sz w:val="18"/>
          <w:szCs w:val="18"/>
          <w:color w:val="auto"/>
        </w:rPr>
      </w:pPr>
    </w:p>
    <w:p>
      <w:pPr>
        <w:ind w:left="480" w:right="240" w:hanging="459"/>
        <w:spacing w:after="0" w:line="312" w:lineRule="auto"/>
        <w:tabs>
          <w:tab w:leader="none" w:pos="48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p>
      <w:pPr>
        <w:spacing w:after="0" w:line="72" w:lineRule="exact"/>
        <w:rPr>
          <w:rFonts w:ascii="Times New Roman" w:cs="Times New Roman" w:eastAsia="Times New Roman" w:hAnsi="Times New Roman"/>
          <w:sz w:val="17"/>
          <w:szCs w:val="17"/>
          <w:color w:val="auto"/>
        </w:rPr>
      </w:pPr>
    </w:p>
    <w:p>
      <w:pPr>
        <w:ind w:left="1040" w:right="720" w:hanging="560"/>
        <w:spacing w:after="0" w:line="282"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1040" w:right="400" w:hanging="560"/>
        <w:spacing w:after="0" w:line="282" w:lineRule="auto"/>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00" w:lineRule="exact"/>
        <w:rPr>
          <w:sz w:val="20"/>
          <w:szCs w:val="20"/>
          <w:color w:val="auto"/>
        </w:rPr>
      </w:pPr>
    </w:p>
    <w:p>
      <w:pPr>
        <w:spacing w:after="0" w:line="33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3438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Name:</w:t>
            </w:r>
          </w:p>
        </w:tc>
        <w:tc>
          <w:tcPr>
            <w:tcW w:w="4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Christine Fox</w:t>
            </w:r>
          </w:p>
        </w:tc>
      </w:tr>
      <w:tr>
        <w:trPr>
          <w:trHeight w:val="243"/>
        </w:trPr>
        <w:tc>
          <w:tcPr>
            <w:tcW w:w="6920" w:type="dxa"/>
            <w:vAlign w:val="bottom"/>
          </w:tcPr>
          <w:p>
            <w:pPr>
              <w:ind w:left="5980"/>
              <w:spacing w:after="0"/>
              <w:rPr>
                <w:sz w:val="20"/>
                <w:szCs w:val="20"/>
                <w:color w:val="auto"/>
              </w:rPr>
            </w:pPr>
            <w:r>
              <w:rPr>
                <w:rFonts w:ascii="Times New Roman" w:cs="Times New Roman" w:eastAsia="Times New Roman" w:hAnsi="Times New Roman"/>
                <w:sz w:val="18"/>
                <w:szCs w:val="18"/>
                <w:color w:val="auto"/>
              </w:rPr>
              <w:t>Title:</w:t>
            </w:r>
          </w:p>
        </w:tc>
        <w:tc>
          <w:tcPr>
            <w:tcW w:w="43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56"/>
        </w:trPr>
        <w:tc>
          <w:tcPr>
            <w:tcW w:w="6920" w:type="dxa"/>
            <w:vAlign w:val="bottom"/>
            <w:tcBorders>
              <w:bottom w:val="single" w:sz="8" w:color="9A9A9A"/>
            </w:tcBorders>
          </w:tcPr>
          <w:p>
            <w:pPr>
              <w:spacing w:after="0"/>
              <w:rPr>
                <w:sz w:val="24"/>
                <w:szCs w:val="24"/>
                <w:color w:val="auto"/>
              </w:rPr>
            </w:pPr>
          </w:p>
        </w:tc>
        <w:tc>
          <w:tcPr>
            <w:tcW w:w="4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June 30, 2024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13,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Denise Scots-Knight</w:t>
            </w:r>
          </w:p>
        </w:tc>
        <w:tc>
          <w:tcPr>
            <w:tcW w:w="4300" w:type="dxa"/>
            <w:vAlign w:val="bottom"/>
          </w:tcPr>
          <w:p>
            <w:pPr>
              <w:spacing w:after="0"/>
              <w:rPr>
                <w:sz w:val="20"/>
                <w:szCs w:val="20"/>
                <w:color w:val="auto"/>
              </w:rPr>
            </w:pPr>
          </w:p>
        </w:tc>
      </w:tr>
      <w:tr>
        <w:trPr>
          <w:trHeight w:val="250"/>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Denise Scots-Knight</w:t>
            </w:r>
          </w:p>
        </w:tc>
        <w:tc>
          <w:tcPr>
            <w:tcW w:w="4300" w:type="dxa"/>
            <w:vAlign w:val="bottom"/>
          </w:tcPr>
          <w:p>
            <w:pPr>
              <w:spacing w:after="0"/>
              <w:rPr>
                <w:sz w:val="21"/>
                <w:szCs w:val="21"/>
                <w:color w:val="auto"/>
              </w:rPr>
            </w:pPr>
          </w:p>
        </w:tc>
      </w:tr>
      <w:tr>
        <w:trPr>
          <w:trHeight w:val="243"/>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4300" w:type="dxa"/>
            <w:vAlign w:val="bottom"/>
          </w:tcPr>
          <w:p>
            <w:pPr>
              <w:spacing w:after="0"/>
              <w:rPr>
                <w:sz w:val="21"/>
                <w:szCs w:val="21"/>
                <w:color w:val="auto"/>
              </w:rPr>
            </w:pPr>
          </w:p>
        </w:tc>
      </w:tr>
      <w:tr>
        <w:trPr>
          <w:trHeight w:val="2315"/>
        </w:trPr>
        <w:tc>
          <w:tcPr>
            <w:tcW w:w="1160" w:type="dxa"/>
            <w:vAlign w:val="bottom"/>
            <w:tcBorders>
              <w:bottom w:val="single" w:sz="8" w:color="9A9A9A"/>
            </w:tcBorders>
          </w:tcPr>
          <w:p>
            <w:pPr>
              <w:spacing w:after="0"/>
              <w:rPr>
                <w:sz w:val="24"/>
                <w:szCs w:val="24"/>
                <w:color w:val="auto"/>
              </w:rPr>
            </w:pPr>
          </w:p>
        </w:tc>
        <w:tc>
          <w:tcPr>
            <w:tcW w:w="578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Mereo BioPharma Group plc (the “Company”) on Form 10-Q for the quarterly period ended June 30, 2024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spacing w:after="0" w:line="176"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53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August 13, 2024</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Fox</w:t>
            </w:r>
          </w:p>
        </w:tc>
        <w:tc>
          <w:tcPr>
            <w:tcW w:w="4500" w:type="dxa"/>
            <w:vAlign w:val="bottom"/>
          </w:tcPr>
          <w:p>
            <w:pPr>
              <w:spacing w:after="0"/>
              <w:rPr>
                <w:sz w:val="20"/>
                <w:szCs w:val="20"/>
                <w:color w:val="auto"/>
              </w:rPr>
            </w:pPr>
          </w:p>
        </w:tc>
      </w:tr>
      <w:tr>
        <w:trPr>
          <w:trHeight w:val="250"/>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Christine Fox</w:t>
            </w:r>
          </w:p>
        </w:tc>
        <w:tc>
          <w:tcPr>
            <w:tcW w:w="4500" w:type="dxa"/>
            <w:vAlign w:val="bottom"/>
          </w:tcPr>
          <w:p>
            <w:pPr>
              <w:spacing w:after="0"/>
              <w:rPr>
                <w:sz w:val="21"/>
                <w:szCs w:val="21"/>
                <w:color w:val="auto"/>
              </w:rPr>
            </w:pPr>
          </w:p>
        </w:tc>
      </w:tr>
      <w:tr>
        <w:trPr>
          <w:trHeight w:val="243"/>
        </w:trPr>
        <w:tc>
          <w:tcPr>
            <w:tcW w:w="1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4500" w:type="dxa"/>
            <w:vAlign w:val="bottom"/>
          </w:tcPr>
          <w:p>
            <w:pPr>
              <w:spacing w:after="0"/>
              <w:rPr>
                <w:sz w:val="21"/>
                <w:szCs w:val="21"/>
                <w:color w:val="auto"/>
              </w:rPr>
            </w:pPr>
          </w:p>
        </w:tc>
      </w:tr>
      <w:tr>
        <w:trPr>
          <w:trHeight w:val="1856"/>
        </w:trPr>
        <w:tc>
          <w:tcPr>
            <w:tcW w:w="138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06" Type="http://schemas.openxmlformats.org/officeDocument/2006/relationships/hyperlink" Target="https://www.sec.gov/Archives/edgar/data/1719714/000119312524161662/d828399dex11.htm" TargetMode="External"/><Relationship Id="rId207" Type="http://schemas.openxmlformats.org/officeDocument/2006/relationships/hyperlink" Target="https://www.sec.gov/Archives/edgar/data/1719714/000119312524095508/d81838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2024-08-13T07:26:07Z</dcterms:created>
  <dcterms:modified xsi:type="dcterms:W3CDTF">2024-08-13T07:26:07Z</dcterms:modified>
</cp:coreProperties>
</file>