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 nominal value £0.003, represented by American Depository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Rule 13d-1(b)</w:t>
      </w:r>
    </w:p>
    <w:p>
      <w:pPr>
        <w:spacing w:after="0" w:line="18" w:lineRule="exact"/>
        <w:rPr>
          <w:sz w:val="24"/>
          <w:szCs w:val="24"/>
          <w:color w:val="auto"/>
        </w:rPr>
      </w:pPr>
    </w:p>
    <w:p>
      <w:pPr>
        <w:ind w:left="660" w:right="9380" w:hanging="4"/>
        <w:spacing w:after="0" w:line="330" w:lineRule="auto"/>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3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904"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Capital GP VII LLC</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8400" w:type="dxa"/>
            <w:vAlign w:val="bottom"/>
            <w:gridSpan w:val="4"/>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p>
        </w:tc>
        <w:tc>
          <w:tcPr>
            <w:tcW w:w="63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continue"/>
          </w:tcPr>
          <w:p>
            <w:pPr>
              <w:spacing w:after="0"/>
              <w:rPr>
                <w:sz w:val="20"/>
                <w:szCs w:val="2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8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3,614,686 (1)</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3,614,686 (1)</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8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3,614,686 (1)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8400" w:type="dxa"/>
            <w:vAlign w:val="bottom"/>
            <w:tcBorders>
              <w:bottom w:val="single" w:sz="8" w:color="auto"/>
            </w:tcBorders>
            <w:gridSpan w:val="4"/>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continue"/>
          </w:tcPr>
          <w:p>
            <w:pPr>
              <w:spacing w:after="0"/>
              <w:rPr>
                <w:sz w:val="20"/>
                <w:szCs w:val="2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20" w:hanging="328"/>
        <w:spacing w:after="0" w:line="30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total consists of: (i) 3,576,819 ordinary shares represented by American Depository Shares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Mereo BioPharma Group plc (the “</w:t>
      </w:r>
      <w:r>
        <w:rPr>
          <w:rFonts w:ascii="Arial" w:cs="Arial" w:eastAsia="Arial" w:hAnsi="Arial"/>
          <w:sz w:val="16"/>
          <w:szCs w:val="16"/>
          <w:u w:val="single" w:color="auto"/>
          <w:color w:val="auto"/>
        </w:rPr>
        <w:t>Issuer</w:t>
      </w:r>
      <w:r>
        <w:rPr>
          <w:rFonts w:ascii="Arial" w:cs="Arial" w:eastAsia="Arial" w:hAnsi="Arial"/>
          <w:sz w:val="16"/>
          <w:szCs w:val="16"/>
          <w:color w:val="auto"/>
        </w:rPr>
        <w:t>”) and (ii) 37,867 Ordinary Shares underlying a currently exercisable warrant held by the Reporting Person. The number excludes 3,643,238 ordinary shares issuable upon exercise of certain warrants granted in a private placement dated June 3, 2020 (the “Private Placement”),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213868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904"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1</w:t>
            </w:r>
          </w:p>
        </w:tc>
        <w:tc>
          <w:tcPr>
            <w:tcW w:w="84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8400" w:type="dxa"/>
            <w:vAlign w:val="bottom"/>
            <w:gridSpan w:val="4"/>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8400" w:type="dxa"/>
            <w:vAlign w:val="bottom"/>
            <w:gridSpan w:val="4"/>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p>
        </w:tc>
        <w:tc>
          <w:tcPr>
            <w:tcW w:w="63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4</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right w:val="single" w:sz="8" w:color="auto"/>
            </w:tcBorders>
            <w:vMerge w:val="continue"/>
          </w:tcPr>
          <w:p>
            <w:pPr>
              <w:spacing w:after="0"/>
              <w:rPr>
                <w:sz w:val="20"/>
                <w:szCs w:val="2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8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6</w:t>
            </w:r>
          </w:p>
        </w:tc>
        <w:tc>
          <w:tcPr>
            <w:tcW w:w="638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4,518,356 (1)</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7</w:t>
            </w:r>
          </w:p>
        </w:tc>
        <w:tc>
          <w:tcPr>
            <w:tcW w:w="638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color w:val="auto"/>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8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800" w:type="dxa"/>
            <w:vAlign w:val="bottom"/>
            <w:tcBorders>
              <w:lef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4,518,356 (1)</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8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9</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4,518,356 (1)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10</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8400" w:type="dxa"/>
            <w:vAlign w:val="bottom"/>
            <w:tcBorders>
              <w:bottom w:val="single" w:sz="8" w:color="auto"/>
            </w:tcBorders>
            <w:gridSpan w:val="4"/>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11</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12</w:t>
            </w:r>
          </w:p>
        </w:tc>
        <w:tc>
          <w:tcPr>
            <w:tcW w:w="84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continue"/>
          </w:tcPr>
          <w:p>
            <w:pPr>
              <w:spacing w:after="0"/>
              <w:rPr>
                <w:sz w:val="20"/>
                <w:szCs w:val="2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330"/>
        <w:spacing w:after="0" w:line="279"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total consists of: (i) 4,471,023 ordinary shares represented by American Depository Shares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(the “</w:t>
      </w:r>
      <w:r>
        <w:rPr>
          <w:rFonts w:ascii="Arial" w:cs="Arial" w:eastAsia="Arial" w:hAnsi="Arial"/>
          <w:sz w:val="17"/>
          <w:szCs w:val="17"/>
          <w:u w:val="single" w:color="auto"/>
          <w:color w:val="auto"/>
        </w:rPr>
        <w:t>Issuer</w:t>
      </w:r>
      <w:r>
        <w:rPr>
          <w:rFonts w:ascii="Arial" w:cs="Arial" w:eastAsia="Arial" w:hAnsi="Arial"/>
          <w:sz w:val="17"/>
          <w:szCs w:val="17"/>
          <w:color w:val="auto"/>
        </w:rPr>
        <w:t>”) and (ii) 47,333 Ordinary Shares underlying a currently exercisable warrant held by the Reporting Person. The number excludes 4,554,047 ordinary shares issuable upon exercise of certain warrants granted in a private placement dated June 3, 2020 (the “Private Placement”),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264795</wp:posOffset>
            </wp:positionV>
            <wp:extent cx="7132320" cy="5503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904" w:right="339" w:bottom="1440" w:gutter="0" w:footer="0" w:header="0"/>
        </w:sectPr>
      </w:pPr>
    </w:p>
    <w:p>
      <w:pPr>
        <w:spacing w:after="0" w:line="25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 OF REPORTING PERSONS</w:t>
      </w:r>
    </w:p>
    <w:p>
      <w:pPr>
        <w:ind w:left="360"/>
        <w:spacing w:after="0" w:line="228" w:lineRule="auto"/>
        <w:rPr>
          <w:sz w:val="20"/>
          <w:szCs w:val="20"/>
          <w:color w:val="auto"/>
        </w:rPr>
      </w:pPr>
      <w:r>
        <w:rPr>
          <w:rFonts w:ascii="Arial" w:cs="Arial" w:eastAsia="Arial" w:hAnsi="Arial"/>
          <w:sz w:val="22"/>
          <w:szCs w:val="22"/>
          <w:color w:val="auto"/>
        </w:rPr>
        <w:t>1</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OrbiMed Capital LLC</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CHECK THE APPROPRIATE BOX IF A MEMBER OF A GROUP</w:t>
      </w:r>
    </w:p>
    <w:p>
      <w:pPr>
        <w:ind w:left="840" w:hanging="488"/>
        <w:spacing w:after="0" w:line="227"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18"/>
          <w:szCs w:val="18"/>
          <w:color w:val="auto"/>
        </w:rPr>
        <w:t>(a) o</w:t>
      </w:r>
    </w:p>
    <w:p>
      <w:pPr>
        <w:spacing w:after="0" w:line="1"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18"/>
          <w:szCs w:val="18"/>
          <w:color w:val="auto"/>
        </w:rPr>
        <w:t>(b) 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3</w:t>
            </w: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SEC USE ONLY</w:t>
            </w:r>
          </w:p>
        </w:tc>
        <w:tc>
          <w:tcPr>
            <w:tcW w:w="620" w:type="dxa"/>
            <w:vAlign w:val="bottom"/>
            <w:tcBorders>
              <w:top w:val="single" w:sz="8" w:color="auto"/>
            </w:tcBorders>
          </w:tcPr>
          <w:p>
            <w:pPr>
              <w:spacing w:after="0"/>
              <w:rPr>
                <w:sz w:val="24"/>
                <w:szCs w:val="24"/>
                <w:color w:val="auto"/>
              </w:rPr>
            </w:pPr>
          </w:p>
        </w:tc>
        <w:tc>
          <w:tcPr>
            <w:tcW w:w="63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4</w:t>
            </w:r>
          </w:p>
        </w:tc>
        <w:tc>
          <w:tcPr>
            <w:tcW w:w="83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22"/>
                <w:szCs w:val="22"/>
                <w:color w:val="auto"/>
              </w:rPr>
              <w:t>5</w:t>
            </w:r>
          </w:p>
        </w:tc>
        <w:tc>
          <w:tcPr>
            <w:tcW w:w="63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shd w:val="clear" w:color="auto" w:fill="000000"/>
          </w:tcPr>
          <w:p>
            <w:pPr>
              <w:spacing w:after="0"/>
              <w:rPr>
                <w:sz w:val="20"/>
                <w:szCs w:val="20"/>
                <w:color w:val="auto"/>
              </w:rPr>
            </w:pPr>
          </w:p>
        </w:tc>
        <w:tc>
          <w:tcPr>
            <w:tcW w:w="19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6300" w:type="dxa"/>
            <w:vAlign w:val="bottom"/>
            <w:vMerge w:val="restart"/>
          </w:tcPr>
          <w:p>
            <w:pPr>
              <w:ind w:left="60"/>
              <w:spacing w:after="0"/>
              <w:rPr>
                <w:sz w:val="20"/>
                <w:szCs w:val="20"/>
                <w:color w:val="auto"/>
              </w:rPr>
            </w:pPr>
            <w:r>
              <w:rPr>
                <w:rFonts w:ascii="Arial" w:cs="Arial" w:eastAsia="Arial" w:hAnsi="Arial"/>
                <w:sz w:val="18"/>
                <w:szCs w:val="18"/>
                <w:color w:val="auto"/>
              </w:rPr>
              <w:t>2,259,178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0" w:type="dxa"/>
            <w:vAlign w:val="bottom"/>
            <w:tcBorders>
              <w:right w:val="single" w:sz="8" w:color="auto"/>
            </w:tcBorders>
            <w:shd w:val="clear" w:color="auto" w:fill="000000"/>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30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vMerge w:val="restart"/>
            <w:shd w:val="clear" w:color="auto" w:fill="000000"/>
          </w:tcPr>
          <w:p>
            <w:pPr>
              <w:spacing w:after="0"/>
              <w:rPr>
                <w:sz w:val="8"/>
                <w:szCs w:val="8"/>
                <w:color w:val="auto"/>
              </w:rPr>
            </w:pPr>
          </w:p>
        </w:tc>
        <w:tc>
          <w:tcPr>
            <w:tcW w:w="1920" w:type="dxa"/>
            <w:vAlign w:val="bottom"/>
            <w:tcBorders>
              <w:right w:val="single" w:sz="8" w:color="auto"/>
            </w:tcBorders>
            <w:gridSpan w:val="2"/>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vMerge w:val="continue"/>
            <w:shd w:val="clear" w:color="auto" w:fill="000000"/>
          </w:tcPr>
          <w:p>
            <w:pPr>
              <w:spacing w:after="0"/>
              <w:rPr>
                <w:sz w:val="6"/>
                <w:szCs w:val="6"/>
                <w:color w:val="auto"/>
              </w:rPr>
            </w:pPr>
          </w:p>
        </w:tc>
        <w:tc>
          <w:tcPr>
            <w:tcW w:w="192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3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shd w:val="clear" w:color="auto" w:fill="000000"/>
          </w:tcPr>
          <w:p>
            <w:pPr>
              <w:spacing w:after="0"/>
              <w:rPr>
                <w:sz w:val="15"/>
                <w:szCs w:val="15"/>
                <w:color w:val="auto"/>
              </w:rPr>
            </w:pPr>
          </w:p>
        </w:tc>
        <w:tc>
          <w:tcPr>
            <w:tcW w:w="19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272"/>
              <w:spacing w:after="0" w:line="232" w:lineRule="exact"/>
              <w:rPr>
                <w:sz w:val="20"/>
                <w:szCs w:val="20"/>
                <w:color w:val="auto"/>
              </w:rPr>
            </w:pPr>
            <w:r>
              <w:rPr>
                <w:rFonts w:ascii="Arial" w:cs="Arial" w:eastAsia="Arial" w:hAnsi="Arial"/>
                <w:sz w:val="22"/>
                <w:szCs w:val="22"/>
                <w:color w:val="auto"/>
              </w:rPr>
              <w:t>6</w:t>
            </w:r>
          </w:p>
        </w:tc>
        <w:tc>
          <w:tcPr>
            <w:tcW w:w="630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40" w:type="dxa"/>
            <w:vAlign w:val="bottom"/>
            <w:tcBorders>
              <w:right w:val="single" w:sz="8" w:color="auto"/>
            </w:tcBorders>
            <w:shd w:val="clear" w:color="auto" w:fill="000000"/>
          </w:tcPr>
          <w:p>
            <w:pPr>
              <w:spacing w:after="0"/>
              <w:rPr>
                <w:sz w:val="4"/>
                <w:szCs w:val="4"/>
                <w:color w:val="auto"/>
              </w:rPr>
            </w:pPr>
          </w:p>
        </w:tc>
        <w:tc>
          <w:tcPr>
            <w:tcW w:w="1920" w:type="dxa"/>
            <w:vAlign w:val="bottom"/>
            <w:tcBorders>
              <w:right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63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92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19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240" w:type="dxa"/>
            <w:vAlign w:val="bottom"/>
          </w:tcPr>
          <w:p>
            <w:pPr>
              <w:spacing w:after="0"/>
              <w:rPr>
                <w:sz w:val="17"/>
                <w:szCs w:val="17"/>
                <w:color w:val="auto"/>
              </w:rPr>
            </w:pPr>
          </w:p>
        </w:tc>
        <w:tc>
          <w:tcPr>
            <w:tcW w:w="62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22"/>
                <w:szCs w:val="22"/>
                <w:color w:val="auto"/>
              </w:rPr>
              <w:t>7</w:t>
            </w:r>
          </w:p>
        </w:tc>
        <w:tc>
          <w:tcPr>
            <w:tcW w:w="630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19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19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300" w:type="dxa"/>
            <w:vAlign w:val="bottom"/>
          </w:tcPr>
          <w:p>
            <w:pPr>
              <w:ind w:left="60"/>
              <w:spacing w:after="0"/>
              <w:rPr>
                <w:sz w:val="20"/>
                <w:szCs w:val="20"/>
                <w:color w:val="auto"/>
              </w:rPr>
            </w:pPr>
            <w:r>
              <w:rPr>
                <w:rFonts w:ascii="Arial" w:cs="Arial" w:eastAsia="Arial" w:hAnsi="Arial"/>
                <w:sz w:val="18"/>
                <w:szCs w:val="18"/>
                <w:color w:val="auto"/>
              </w:rPr>
              <w:t>2,259,178 (1)</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vMerge w:val="restart"/>
            <w:shd w:val="clear" w:color="auto" w:fill="000000"/>
          </w:tcPr>
          <w:p>
            <w:pPr>
              <w:spacing w:after="0"/>
              <w:rPr>
                <w:sz w:val="8"/>
                <w:szCs w:val="8"/>
                <w:color w:val="auto"/>
              </w:rPr>
            </w:pPr>
          </w:p>
        </w:tc>
        <w:tc>
          <w:tcPr>
            <w:tcW w:w="19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vMerge w:val="continue"/>
            <w:shd w:val="clear" w:color="auto" w:fill="000000"/>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22"/>
                <w:szCs w:val="22"/>
                <w:color w:val="auto"/>
              </w:rPr>
              <w:t>8</w:t>
            </w:r>
          </w:p>
        </w:tc>
        <w:tc>
          <w:tcPr>
            <w:tcW w:w="63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30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Borders>
              <w:right w:val="single" w:sz="8" w:color="auto"/>
            </w:tcBorders>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63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Borders>
              <w:bottom w:val="single" w:sz="8" w:color="auto"/>
              <w:right w:val="single" w:sz="8" w:color="auto"/>
            </w:tcBorders>
            <w:shd w:val="clear" w:color="auto" w:fill="000000"/>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gridSpan w:val="2"/>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9</w:t>
            </w:r>
          </w:p>
        </w:tc>
        <w:tc>
          <w:tcPr>
            <w:tcW w:w="83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2,259,178 (1)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4"/>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10</w:t>
            </w:r>
          </w:p>
        </w:tc>
        <w:tc>
          <w:tcPr>
            <w:tcW w:w="832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120" w:type="dxa"/>
            <w:vAlign w:val="bottom"/>
          </w:tcPr>
          <w:p>
            <w:pPr>
              <w:ind w:left="16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tcBorders>
            <w:gridSpan w:val="4"/>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11</w:t>
            </w:r>
          </w:p>
        </w:tc>
        <w:tc>
          <w:tcPr>
            <w:tcW w:w="83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gridSpan w:val="4"/>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12</w:t>
            </w:r>
          </w:p>
        </w:tc>
        <w:tc>
          <w:tcPr>
            <w:tcW w:w="83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1400" w:type="dxa"/>
            <w:vAlign w:val="bottom"/>
            <w:gridSpan w:val="2"/>
            <w:vMerge w:val="restart"/>
          </w:tcPr>
          <w:p>
            <w:pPr>
              <w:jc w:val="center"/>
              <w:ind w:right="1060"/>
              <w:spacing w:after="0"/>
              <w:rPr>
                <w:sz w:val="20"/>
                <w:szCs w:val="20"/>
                <w:color w:val="auto"/>
              </w:rPr>
            </w:pPr>
            <w:r>
              <w:rPr>
                <w:rFonts w:ascii="Arial" w:cs="Arial" w:eastAsia="Arial" w:hAnsi="Arial"/>
                <w:sz w:val="18"/>
                <w:szCs w:val="18"/>
                <w:color w:val="auto"/>
                <w:w w:val="92"/>
              </w:rPr>
              <w:t>OO</w:t>
            </w:r>
          </w:p>
        </w:tc>
        <w:tc>
          <w:tcPr>
            <w:tcW w:w="6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20" w:hanging="330"/>
        <w:spacing w:after="0" w:line="279"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total consists of: (i) 2,235,512 ordinary shares represented by American Depository Shares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(the “</w:t>
      </w:r>
      <w:r>
        <w:rPr>
          <w:rFonts w:ascii="Arial" w:cs="Arial" w:eastAsia="Arial" w:hAnsi="Arial"/>
          <w:sz w:val="17"/>
          <w:szCs w:val="17"/>
          <w:u w:val="single" w:color="auto"/>
          <w:color w:val="auto"/>
        </w:rPr>
        <w:t>Issuer</w:t>
      </w:r>
      <w:r>
        <w:rPr>
          <w:rFonts w:ascii="Arial" w:cs="Arial" w:eastAsia="Arial" w:hAnsi="Arial"/>
          <w:sz w:val="17"/>
          <w:szCs w:val="17"/>
          <w:color w:val="auto"/>
        </w:rPr>
        <w:t>”) and (ii) 23,666 Ordinary Shares underlying a currently exercisable warrant held by the Reporting Person. The number excludes 2,277,024 ordinary shares issuable upon exercise of certain warrants granted in a private placement dated June 3, 2020 (the “Private Placement”),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Mereo BioPharma Group plc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4th Floor, One Cavendish Place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London, W1G 0QF, United Kingdom</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GP VII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refer to Item 4 on each cover page for each Reporting Person.</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ectPr>
          <w:pgSz w:w="11900" w:h="16838" w:orient="portrait"/>
          <w:cols w:equalWidth="0" w:num="2">
            <w:col w:w="9060" w:space="720"/>
            <w:col w:w="1320"/>
          </w:cols>
          <w:pgMar w:left="320" w:top="798" w:right="479" w:bottom="1440" w:gutter="0" w:footer="0" w:header="0"/>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904" w:right="339" w:bottom="1440" w:gutter="0" w:footer="0" w:header="0"/>
        </w:sectPr>
      </w:pPr>
    </w:p>
    <w:p>
      <w:pPr>
        <w:spacing w:after="0" w:line="29"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OrbiMed Capital GP VII LLC (“GP VII”) is the general partner of OrbiMed Private Investments VII, LP. OrbiMed Advisors LLC (“Advisors”) and OrbiMed Capital LLC (“Capital”) are investment advisors in accordance with ss.240.13d-1(b)(1)(ii)(E) and Advisors is the managing member of GP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948690</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2138680" cy="304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-180975</wp:posOffset>
            </wp:positionV>
            <wp:extent cx="2130425" cy="304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844" w:lineRule="exact"/>
        <w:rPr>
          <w:sz w:val="20"/>
          <w:szCs w:val="20"/>
          <w:color w:val="auto"/>
        </w:rPr>
      </w:pPr>
    </w:p>
    <w:p>
      <w:pPr>
        <w:sectPr>
          <w:pgSz w:w="11900" w:h="16838" w:orient="portrait"/>
          <w:cols w:equalWidth="0" w:num="3">
            <w:col w:w="4260" w:space="720"/>
            <w:col w:w="4140" w:space="720"/>
            <w:col w:w="1400"/>
          </w:cols>
          <w:pgMar w:left="320" w:top="904" w:right="339" w:bottom="1440" w:gutter="0" w:footer="0" w:header="0"/>
        </w:sect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2020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persons are holding 9.99%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exercises investment and voting power over the shares through a management committee comprised of Carl L. Gordon, Sven H. Borho and Jonathan T. Silverstein,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2138680" cy="304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589492107</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904"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OrbiMed Advisors LLC, its Managing 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 of OrbiMed Advisors LLC</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 of OrbiMed Advisors LLC</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-130810</wp:posOffset>
            </wp:positionV>
            <wp:extent cx="3274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2138680" cy="304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589492107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260" w:space="720"/>
            <w:col w:w="4080" w:space="720"/>
            <w:col w:w="1460"/>
          </w:cols>
          <w:pgMar w:left="320" w:top="445"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12, 2021 (the “Schedule 13G”), with respect to the Ordinary Share, par value £0.003 per share, of Mereo BioPharma Group plc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12, 2021.</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OrbiMed Advisors LLC, its Managing Member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 of OrbiMed Advisors LLC</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Sven H. Borho</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 of OrbiMed Advisors LLC</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2021-02-12T16:04:44Z</dcterms:created>
  <dcterms:modified xsi:type="dcterms:W3CDTF">2021-02-12T16:04:44Z</dcterms:modified>
</cp:coreProperties>
</file>