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13G</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wp:posOffset>
            </wp:positionH>
            <wp:positionV relativeFrom="paragraph">
              <wp:posOffset>20320</wp:posOffset>
            </wp:positionV>
            <wp:extent cx="6069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069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17145</wp:posOffset>
            </wp:positionV>
            <wp:extent cx="4705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17145</wp:posOffset>
            </wp:positionV>
            <wp:extent cx="4705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jc w:val="both"/>
        <w:ind w:left="660" w:right="9200" w:hanging="4"/>
        <w:spacing w:after="0" w:line="229" w:lineRule="exact"/>
        <w:tabs>
          <w:tab w:leader="none" w:pos="98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Rule 13d-1(d)</w:t>
      </w:r>
    </w:p>
    <w:p>
      <w:pPr>
        <w:spacing w:after="0" w:line="179" w:lineRule="exact"/>
        <w:rPr>
          <w:sz w:val="24"/>
          <w:szCs w:val="24"/>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6"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8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**This CUSIP applies to the American Depositary Shares, each representing five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34"/>
        </w:trPr>
        <w:tc>
          <w:tcPr>
            <w:tcW w:w="600" w:type="dxa"/>
            <w:vAlign w:val="bottom"/>
            <w:tcBorders>
              <w:top w:val="single" w:sz="8" w:color="auto"/>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w:t>
            </w:r>
          </w:p>
        </w:tc>
        <w:tc>
          <w:tcPr>
            <w:tcW w:w="180" w:type="dxa"/>
            <w:vAlign w:val="bottom"/>
            <w:tcBorders>
              <w:top w:val="single" w:sz="8" w:color="auto"/>
              <w:right w:val="single" w:sz="8" w:color="auto"/>
            </w:tcBorders>
          </w:tcPr>
          <w:p>
            <w:pPr>
              <w:spacing w:after="0"/>
              <w:rPr>
                <w:sz w:val="24"/>
                <w:szCs w:val="24"/>
                <w:color w:val="auto"/>
              </w:rPr>
            </w:pPr>
          </w:p>
        </w:tc>
        <w:tc>
          <w:tcPr>
            <w:tcW w:w="1046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2020" w:type="dxa"/>
            <w:vAlign w:val="bottom"/>
            <w:gridSpan w:val="3"/>
          </w:tcPr>
          <w:p>
            <w:pPr>
              <w:ind w:left="20"/>
              <w:spacing w:after="0"/>
              <w:rPr>
                <w:sz w:val="20"/>
                <w:szCs w:val="20"/>
                <w:color w:val="auto"/>
              </w:rPr>
            </w:pPr>
            <w:r>
              <w:rPr>
                <w:rFonts w:ascii="Arial" w:cs="Arial" w:eastAsia="Arial" w:hAnsi="Arial"/>
                <w:sz w:val="18"/>
                <w:szCs w:val="18"/>
                <w:color w:val="auto"/>
              </w:rPr>
              <w:t>Baker Bros. Advisors LP</w:t>
            </w: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2</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40" w:type="dxa"/>
            <w:vAlign w:val="bottom"/>
            <w:gridSpan w:val="2"/>
          </w:tcPr>
          <w:p>
            <w:pPr>
              <w:ind w:left="2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p>
        </w:tc>
        <w:tc>
          <w:tcPr>
            <w:tcW w:w="580" w:type="dxa"/>
            <w:vAlign w:val="bottom"/>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3</w:t>
            </w: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SEC USE ONLY</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0" w:type="dxa"/>
            <w:vAlign w:val="bottom"/>
            <w:tcBorders>
              <w:left w:val="single" w:sz="8" w:color="auto"/>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4</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tcPr>
          <w:p>
            <w:pPr>
              <w:jc w:val="right"/>
              <w:ind w:right="144"/>
              <w:spacing w:after="0"/>
              <w:rPr>
                <w:sz w:val="20"/>
                <w:szCs w:val="20"/>
                <w:color w:val="auto"/>
              </w:rPr>
            </w:pPr>
            <w:r>
              <w:rPr>
                <w:rFonts w:ascii="Arial" w:cs="Arial" w:eastAsia="Arial" w:hAnsi="Arial"/>
                <w:sz w:val="32"/>
                <w:szCs w:val="32"/>
                <w:b w:val="1"/>
                <w:bCs w:val="1"/>
                <w:color w:val="auto"/>
              </w:rPr>
              <w:t>5</w:t>
            </w: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68"/>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64,917,601 (1)</w:t>
            </w:r>
          </w:p>
        </w:tc>
        <w:tc>
          <w:tcPr>
            <w:tcW w:w="0" w:type="dxa"/>
            <w:vAlign w:val="bottom"/>
          </w:tcPr>
          <w:p>
            <w:pPr>
              <w:spacing w:after="0"/>
              <w:rPr>
                <w:sz w:val="1"/>
                <w:szCs w:val="1"/>
                <w:color w:val="auto"/>
              </w:rPr>
            </w:pPr>
          </w:p>
        </w:tc>
      </w:tr>
      <w:tr>
        <w:trPr>
          <w:trHeight w:val="41"/>
        </w:trPr>
        <w:tc>
          <w:tcPr>
            <w:tcW w:w="2060" w:type="dxa"/>
            <w:vAlign w:val="bottom"/>
            <w:tcBorders>
              <w:left w:val="single" w:sz="8" w:color="auto"/>
              <w:right w:val="single" w:sz="8" w:color="auto"/>
            </w:tcBorders>
            <w:gridSpan w:val="3"/>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2060" w:type="dxa"/>
            <w:vAlign w:val="bottom"/>
            <w:tcBorders>
              <w:left w:val="single" w:sz="8" w:color="auto"/>
              <w:right w:val="single" w:sz="8" w:color="auto"/>
            </w:tcBorders>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vMerge w:val="restart"/>
          </w:tcPr>
          <w:p>
            <w:pPr>
              <w:jc w:val="right"/>
              <w:ind w:right="144"/>
              <w:spacing w:after="0" w:line="236" w:lineRule="exact"/>
              <w:rPr>
                <w:sz w:val="20"/>
                <w:szCs w:val="20"/>
                <w:color w:val="auto"/>
              </w:rPr>
            </w:pPr>
            <w:r>
              <w:rPr>
                <w:rFonts w:ascii="Arial" w:cs="Arial" w:eastAsia="Arial" w:hAnsi="Arial"/>
                <w:sz w:val="27"/>
                <w:szCs w:val="27"/>
                <w:b w:val="1"/>
                <w:bCs w:val="1"/>
                <w:color w:val="auto"/>
              </w:rPr>
              <w:t>6</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line="20" w:lineRule="exact"/>
              <w:rPr>
                <w:sz w:val="1"/>
                <w:szCs w:val="1"/>
                <w:color w:val="auto"/>
              </w:rPr>
            </w:pPr>
          </w:p>
        </w:tc>
      </w:tr>
      <w:tr>
        <w:trPr>
          <w:trHeight w:val="201"/>
        </w:trPr>
        <w:tc>
          <w:tcPr>
            <w:tcW w:w="60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b w:val="1"/>
                <w:bCs w:val="1"/>
                <w:color w:val="auto"/>
                <w:w w:val="95"/>
              </w:rPr>
              <w:t>SHARES</w:t>
            </w:r>
          </w:p>
        </w:tc>
        <w:tc>
          <w:tcPr>
            <w:tcW w:w="16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600" w:type="dxa"/>
            <w:vAlign w:val="bottom"/>
            <w:tcBorders>
              <w:left w:val="single" w:sz="8" w:color="auto"/>
            </w:tcBorders>
          </w:tcPr>
          <w:p>
            <w:pPr>
              <w:spacing w:after="0"/>
              <w:rPr>
                <w:sz w:val="3"/>
                <w:szCs w:val="3"/>
                <w:color w:val="auto"/>
              </w:rPr>
            </w:pPr>
          </w:p>
        </w:tc>
        <w:tc>
          <w:tcPr>
            <w:tcW w:w="1460" w:type="dxa"/>
            <w:vAlign w:val="bottom"/>
            <w:tcBorders>
              <w:right w:val="single" w:sz="8" w:color="auto"/>
            </w:tcBorders>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84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OWNED BY</w:t>
            </w: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0" w:type="dxa"/>
            <w:vAlign w:val="bottom"/>
            <w:tcBorders>
              <w:lef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right w:val="single" w:sz="8" w:color="auto"/>
            </w:tcBorders>
          </w:tcPr>
          <w:p>
            <w:pPr>
              <w:jc w:val="center"/>
              <w:ind w:right="670"/>
              <w:spacing w:after="0" w:line="177" w:lineRule="exact"/>
              <w:rPr>
                <w:sz w:val="20"/>
                <w:szCs w:val="20"/>
                <w:color w:val="auto"/>
              </w:rPr>
            </w:pPr>
            <w:r>
              <w:rPr>
                <w:rFonts w:ascii="Arial" w:cs="Arial" w:eastAsia="Arial" w:hAnsi="Arial"/>
                <w:sz w:val="18"/>
                <w:szCs w:val="18"/>
                <w:b w:val="1"/>
                <w:bCs w:val="1"/>
                <w:color w:val="auto"/>
              </w:rPr>
              <w:t>EACH</w:t>
            </w:r>
          </w:p>
        </w:tc>
        <w:tc>
          <w:tcPr>
            <w:tcW w:w="160" w:type="dxa"/>
            <w:vAlign w:val="bottom"/>
          </w:tcPr>
          <w:p>
            <w:pPr>
              <w:spacing w:after="0"/>
              <w:rPr>
                <w:sz w:val="15"/>
                <w:szCs w:val="15"/>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7</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14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64,917,601 (1)</w:t>
            </w: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b w:val="1"/>
                <w:bCs w:val="1"/>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8</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94"/>
        </w:trPr>
        <w:tc>
          <w:tcPr>
            <w:tcW w:w="6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4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9</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64,917,601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6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10</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8"/>
        </w:trPr>
        <w:tc>
          <w:tcPr>
            <w:tcW w:w="60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0460" w:type="dxa"/>
            <w:vAlign w:val="bottom"/>
            <w:tcBorders>
              <w:bottom w:val="single" w:sz="8" w:color="auto"/>
              <w:right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42"/>
              <w:spacing w:after="0"/>
              <w:rPr>
                <w:sz w:val="20"/>
                <w:szCs w:val="20"/>
                <w:color w:val="auto"/>
              </w:rPr>
            </w:pPr>
            <w:r>
              <w:rPr>
                <w:rFonts w:ascii="Arial" w:cs="Arial" w:eastAsia="Arial" w:hAnsi="Arial"/>
                <w:sz w:val="32"/>
                <w:szCs w:val="32"/>
                <w:b w:val="1"/>
                <w:bCs w:val="1"/>
                <w:color w:val="auto"/>
                <w:w w:val="84"/>
              </w:rPr>
              <w:t>11</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9.99% (1)(2)</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6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12</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IA, PN</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60" w:hanging="324"/>
        <w:spacing w:after="0" w:line="25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29,367,831 Ordinary Shares (“Ordinary Shares”) of Mereo BioPharma Group plc (the “Issuer”) that are represented by 5,873,566 American Depositary Shares (“ADS”) issuable upon the exercise of June 2023 Warrants (as defined in Item 4 and subject to the limitations as described therein) and 35,549,770 Ordinary Shares represented by 7,109,954 ADS that may be acquired upon conversion of Tranche 1 Notes (as defined in Item 4 and subject to the limitations as described therein), directly held by the Funds (as defined below). Each ADS represents 5 Ordinary Shares of the Issuer.</w:t>
      </w:r>
    </w:p>
    <w:p>
      <w:pPr>
        <w:spacing w:after="0" w:line="187" w:lineRule="exact"/>
        <w:rPr>
          <w:rFonts w:ascii="Arial" w:cs="Arial" w:eastAsia="Arial" w:hAnsi="Arial"/>
          <w:sz w:val="18"/>
          <w:szCs w:val="18"/>
          <w:color w:val="auto"/>
        </w:rPr>
      </w:pPr>
    </w:p>
    <w:p>
      <w:pPr>
        <w:ind w:left="980" w:right="140" w:hanging="324"/>
        <w:spacing w:after="0" w:line="301"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584,908,239 Ordinary Shares of the Issuer outstanding as of November 19, 2021, as obtained in an email received from the Issuer on December 27, 2021, plus 29,367,831 Ordinary Shares that are represented by 5,873,566 ADS issuable upon the exercise of the June 2023 Warrants (as defined in Item 4 and subject to the limitations as described therein) and 35,549,770 Ordinary Shares represented by 7,109,954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34"/>
        </w:trPr>
        <w:tc>
          <w:tcPr>
            <w:tcW w:w="600" w:type="dxa"/>
            <w:vAlign w:val="bottom"/>
            <w:tcBorders>
              <w:top w:val="single" w:sz="8" w:color="auto"/>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w:t>
            </w:r>
          </w:p>
        </w:tc>
        <w:tc>
          <w:tcPr>
            <w:tcW w:w="180" w:type="dxa"/>
            <w:vAlign w:val="bottom"/>
            <w:tcBorders>
              <w:top w:val="single" w:sz="8" w:color="auto"/>
              <w:right w:val="single" w:sz="8" w:color="auto"/>
            </w:tcBorders>
          </w:tcPr>
          <w:p>
            <w:pPr>
              <w:spacing w:after="0"/>
              <w:rPr>
                <w:sz w:val="24"/>
                <w:szCs w:val="24"/>
                <w:color w:val="auto"/>
              </w:rPr>
            </w:pPr>
          </w:p>
        </w:tc>
        <w:tc>
          <w:tcPr>
            <w:tcW w:w="1046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Baker Bros. Advisors (GP) LLC</w:t>
            </w: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2</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40" w:type="dxa"/>
            <w:vAlign w:val="bottom"/>
            <w:gridSpan w:val="2"/>
          </w:tcPr>
          <w:p>
            <w:pPr>
              <w:ind w:left="2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p>
        </w:tc>
        <w:tc>
          <w:tcPr>
            <w:tcW w:w="580" w:type="dxa"/>
            <w:vAlign w:val="bottom"/>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3</w:t>
            </w: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SEC USE ONLY</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0" w:type="dxa"/>
            <w:vAlign w:val="bottom"/>
            <w:tcBorders>
              <w:left w:val="single" w:sz="8" w:color="auto"/>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4</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tcPr>
          <w:p>
            <w:pPr>
              <w:jc w:val="right"/>
              <w:ind w:right="144"/>
              <w:spacing w:after="0"/>
              <w:rPr>
                <w:sz w:val="20"/>
                <w:szCs w:val="20"/>
                <w:color w:val="auto"/>
              </w:rPr>
            </w:pPr>
            <w:r>
              <w:rPr>
                <w:rFonts w:ascii="Arial" w:cs="Arial" w:eastAsia="Arial" w:hAnsi="Arial"/>
                <w:sz w:val="32"/>
                <w:szCs w:val="32"/>
                <w:b w:val="1"/>
                <w:bCs w:val="1"/>
                <w:color w:val="auto"/>
              </w:rPr>
              <w:t>5</w:t>
            </w: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68"/>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64,917,601 (1)</w:t>
            </w:r>
          </w:p>
        </w:tc>
        <w:tc>
          <w:tcPr>
            <w:tcW w:w="0" w:type="dxa"/>
            <w:vAlign w:val="bottom"/>
          </w:tcPr>
          <w:p>
            <w:pPr>
              <w:spacing w:after="0"/>
              <w:rPr>
                <w:sz w:val="1"/>
                <w:szCs w:val="1"/>
                <w:color w:val="auto"/>
              </w:rPr>
            </w:pPr>
          </w:p>
        </w:tc>
      </w:tr>
      <w:tr>
        <w:trPr>
          <w:trHeight w:val="41"/>
        </w:trPr>
        <w:tc>
          <w:tcPr>
            <w:tcW w:w="2060" w:type="dxa"/>
            <w:vAlign w:val="bottom"/>
            <w:tcBorders>
              <w:left w:val="single" w:sz="8" w:color="auto"/>
              <w:right w:val="single" w:sz="8" w:color="auto"/>
            </w:tcBorders>
            <w:gridSpan w:val="3"/>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2060" w:type="dxa"/>
            <w:vAlign w:val="bottom"/>
            <w:tcBorders>
              <w:left w:val="single" w:sz="8" w:color="auto"/>
              <w:right w:val="single" w:sz="8" w:color="auto"/>
            </w:tcBorders>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vMerge w:val="restart"/>
          </w:tcPr>
          <w:p>
            <w:pPr>
              <w:jc w:val="right"/>
              <w:ind w:right="144"/>
              <w:spacing w:after="0" w:line="236" w:lineRule="exact"/>
              <w:rPr>
                <w:sz w:val="20"/>
                <w:szCs w:val="20"/>
                <w:color w:val="auto"/>
              </w:rPr>
            </w:pPr>
            <w:r>
              <w:rPr>
                <w:rFonts w:ascii="Arial" w:cs="Arial" w:eastAsia="Arial" w:hAnsi="Arial"/>
                <w:sz w:val="27"/>
                <w:szCs w:val="27"/>
                <w:b w:val="1"/>
                <w:bCs w:val="1"/>
                <w:color w:val="auto"/>
              </w:rPr>
              <w:t>6</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line="20" w:lineRule="exact"/>
              <w:rPr>
                <w:sz w:val="1"/>
                <w:szCs w:val="1"/>
                <w:color w:val="auto"/>
              </w:rPr>
            </w:pPr>
          </w:p>
        </w:tc>
      </w:tr>
      <w:tr>
        <w:trPr>
          <w:trHeight w:val="201"/>
        </w:trPr>
        <w:tc>
          <w:tcPr>
            <w:tcW w:w="60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b w:val="1"/>
                <w:bCs w:val="1"/>
                <w:color w:val="auto"/>
                <w:w w:val="95"/>
              </w:rPr>
              <w:t>SHARES</w:t>
            </w:r>
          </w:p>
        </w:tc>
        <w:tc>
          <w:tcPr>
            <w:tcW w:w="16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600" w:type="dxa"/>
            <w:vAlign w:val="bottom"/>
            <w:tcBorders>
              <w:left w:val="single" w:sz="8" w:color="auto"/>
            </w:tcBorders>
          </w:tcPr>
          <w:p>
            <w:pPr>
              <w:spacing w:after="0"/>
              <w:rPr>
                <w:sz w:val="3"/>
                <w:szCs w:val="3"/>
                <w:color w:val="auto"/>
              </w:rPr>
            </w:pPr>
          </w:p>
        </w:tc>
        <w:tc>
          <w:tcPr>
            <w:tcW w:w="1460" w:type="dxa"/>
            <w:vAlign w:val="bottom"/>
            <w:tcBorders>
              <w:right w:val="single" w:sz="8" w:color="auto"/>
            </w:tcBorders>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84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OWNED BY</w:t>
            </w: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0" w:type="dxa"/>
            <w:vAlign w:val="bottom"/>
            <w:tcBorders>
              <w:lef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right w:val="single" w:sz="8" w:color="auto"/>
            </w:tcBorders>
          </w:tcPr>
          <w:p>
            <w:pPr>
              <w:jc w:val="center"/>
              <w:ind w:right="670"/>
              <w:spacing w:after="0" w:line="177" w:lineRule="exact"/>
              <w:rPr>
                <w:sz w:val="20"/>
                <w:szCs w:val="20"/>
                <w:color w:val="auto"/>
              </w:rPr>
            </w:pPr>
            <w:r>
              <w:rPr>
                <w:rFonts w:ascii="Arial" w:cs="Arial" w:eastAsia="Arial" w:hAnsi="Arial"/>
                <w:sz w:val="18"/>
                <w:szCs w:val="18"/>
                <w:b w:val="1"/>
                <w:bCs w:val="1"/>
                <w:color w:val="auto"/>
              </w:rPr>
              <w:t>EACH</w:t>
            </w:r>
          </w:p>
        </w:tc>
        <w:tc>
          <w:tcPr>
            <w:tcW w:w="160" w:type="dxa"/>
            <w:vAlign w:val="bottom"/>
          </w:tcPr>
          <w:p>
            <w:pPr>
              <w:spacing w:after="0"/>
              <w:rPr>
                <w:sz w:val="15"/>
                <w:szCs w:val="15"/>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7</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14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64,917,601 (1)</w:t>
            </w: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b w:val="1"/>
                <w:bCs w:val="1"/>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8</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94"/>
        </w:trPr>
        <w:tc>
          <w:tcPr>
            <w:tcW w:w="6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4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9</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64,917,601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6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10</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8"/>
        </w:trPr>
        <w:tc>
          <w:tcPr>
            <w:tcW w:w="60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0460" w:type="dxa"/>
            <w:vAlign w:val="bottom"/>
            <w:tcBorders>
              <w:bottom w:val="single" w:sz="8" w:color="auto"/>
              <w:right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42"/>
              <w:spacing w:after="0"/>
              <w:rPr>
                <w:sz w:val="20"/>
                <w:szCs w:val="20"/>
                <w:color w:val="auto"/>
              </w:rPr>
            </w:pPr>
            <w:r>
              <w:rPr>
                <w:rFonts w:ascii="Arial" w:cs="Arial" w:eastAsia="Arial" w:hAnsi="Arial"/>
                <w:sz w:val="32"/>
                <w:szCs w:val="32"/>
                <w:b w:val="1"/>
                <w:bCs w:val="1"/>
                <w:color w:val="auto"/>
                <w:w w:val="84"/>
              </w:rPr>
              <w:t>11</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9.99% (1)(2)</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6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12</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HC, OO</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16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29,367,831 Ordinary Shares of the Issuer that are represented by 5,873,566 ADS issuable upon the exercise of June 2023 Warrants (as defined in Item 4 and subject to the limitations as described therein) and 35,549,770 Ordinary Shares represented by 7,109,954 ADS that may be acquired upon conversion of Tranche 1 Notes (as defined in Item 4 and subject to the limitations as described therein), directly held by the Funds (as defined below). Each ADS represents 5 Ordinary Shares of the Issuer.</w:t>
      </w:r>
    </w:p>
    <w:p>
      <w:pPr>
        <w:spacing w:after="0" w:line="171" w:lineRule="exact"/>
        <w:rPr>
          <w:rFonts w:ascii="Arial" w:cs="Arial" w:eastAsia="Arial" w:hAnsi="Arial"/>
          <w:sz w:val="17"/>
          <w:szCs w:val="17"/>
          <w:color w:val="auto"/>
        </w:rPr>
      </w:pPr>
    </w:p>
    <w:p>
      <w:pPr>
        <w:ind w:left="980" w:right="140" w:hanging="324"/>
        <w:spacing w:after="0" w:line="30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584,908,239 Ordinary Shares of the Issuer outstanding as of November 19, 2021, as obtained in an email received from the Issuer on December 27, 2021, plus 29,367,831 Ordinary Shares that are represented by 5,873,566 ADS issuable upon the exercise of the June 2023 Warrants (as defined in Item 4 and subject to the limitations as described therein) and 35,549,770 Ordinary Shares represented by 7,109,954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34"/>
        </w:trPr>
        <w:tc>
          <w:tcPr>
            <w:tcW w:w="4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32"/>
                <w:szCs w:val="32"/>
                <w:b w:val="1"/>
                <w:bCs w:val="1"/>
                <w:color w:val="auto"/>
              </w:rPr>
              <w:t>1</w:t>
            </w: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1046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Felix J. Baker</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2</w:t>
            </w: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40" w:type="dxa"/>
            <w:vAlign w:val="bottom"/>
            <w:gridSpan w:val="2"/>
          </w:tcPr>
          <w:p>
            <w:pPr>
              <w:jc w:val="center"/>
              <w:ind w:right="980"/>
              <w:spacing w:after="0" w:line="207" w:lineRule="exact"/>
              <w:rPr>
                <w:sz w:val="20"/>
                <w:szCs w:val="20"/>
                <w:color w:val="auto"/>
              </w:rPr>
            </w:pPr>
            <w:r>
              <w:rPr>
                <w:rFonts w:ascii="Arial" w:cs="Arial" w:eastAsia="Arial" w:hAnsi="Arial"/>
                <w:sz w:val="18"/>
                <w:szCs w:val="18"/>
                <w:b w:val="1"/>
                <w:bCs w:val="1"/>
                <w:color w:val="auto"/>
                <w:w w:val="93"/>
              </w:rPr>
              <w:t xml:space="preserve">(a) </w:t>
            </w:r>
            <w:r>
              <w:rPr>
                <w:rFonts w:ascii="MS PGothic" w:cs="MS PGothic" w:eastAsia="MS PGothic" w:hAnsi="MS PGothic"/>
                <w:sz w:val="18"/>
                <w:szCs w:val="18"/>
                <w:color w:val="auto"/>
                <w:w w:val="93"/>
              </w:rPr>
              <w:t>☐</w:t>
            </w:r>
          </w:p>
        </w:tc>
        <w:tc>
          <w:tcPr>
            <w:tcW w:w="580" w:type="dxa"/>
            <w:vAlign w:val="bottom"/>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jc w:val="center"/>
              <w:ind w:right="960"/>
              <w:spacing w:after="0" w:line="207" w:lineRule="exact"/>
              <w:rPr>
                <w:sz w:val="20"/>
                <w:szCs w:val="20"/>
                <w:color w:val="auto"/>
              </w:rPr>
            </w:pPr>
            <w:r>
              <w:rPr>
                <w:rFonts w:ascii="Arial" w:cs="Arial" w:eastAsia="Arial" w:hAnsi="Arial"/>
                <w:sz w:val="18"/>
                <w:szCs w:val="18"/>
                <w:b w:val="1"/>
                <w:bCs w:val="1"/>
                <w:color w:val="auto"/>
                <w:w w:val="95"/>
              </w:rPr>
              <w:t xml:space="preserve">(b) </w:t>
            </w:r>
            <w:r>
              <w:rPr>
                <w:rFonts w:ascii="MS PGothic" w:cs="MS PGothic" w:eastAsia="MS PGothic" w:hAnsi="MS PGothic"/>
                <w:sz w:val="18"/>
                <w:szCs w:val="18"/>
                <w:color w:val="auto"/>
                <w:w w:val="95"/>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3</w:t>
            </w: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SEC USE ONLY</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80" w:type="dxa"/>
            <w:vAlign w:val="bottom"/>
            <w:tcBorders>
              <w:left w:val="single" w:sz="8" w:color="auto"/>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4</w:t>
            </w: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tcPr>
          <w:p>
            <w:pPr>
              <w:jc w:val="right"/>
              <w:ind w:right="144"/>
              <w:spacing w:after="0"/>
              <w:rPr>
                <w:sz w:val="20"/>
                <w:szCs w:val="20"/>
                <w:color w:val="auto"/>
              </w:rPr>
            </w:pPr>
            <w:r>
              <w:rPr>
                <w:rFonts w:ascii="Arial" w:cs="Arial" w:eastAsia="Arial" w:hAnsi="Arial"/>
                <w:sz w:val="32"/>
                <w:szCs w:val="32"/>
                <w:b w:val="1"/>
                <w:bCs w:val="1"/>
                <w:color w:val="auto"/>
              </w:rPr>
              <w:t>5</w:t>
            </w: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580" w:type="dxa"/>
            <w:vAlign w:val="bottom"/>
            <w:tcBorders>
              <w:right w:val="single" w:sz="8" w:color="auto"/>
            </w:tcBorders>
            <w:gridSpan w:val="3"/>
            <w:vMerge w:val="restart"/>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64,917,601 (1)</w:t>
            </w:r>
          </w:p>
        </w:tc>
        <w:tc>
          <w:tcPr>
            <w:tcW w:w="0" w:type="dxa"/>
            <w:vAlign w:val="bottom"/>
          </w:tcPr>
          <w:p>
            <w:pPr>
              <w:spacing w:after="0"/>
              <w:rPr>
                <w:sz w:val="1"/>
                <w:szCs w:val="1"/>
                <w:color w:val="auto"/>
              </w:rPr>
            </w:pPr>
          </w:p>
        </w:tc>
      </w:tr>
      <w:tr>
        <w:trPr>
          <w:trHeight w:val="41"/>
        </w:trPr>
        <w:tc>
          <w:tcPr>
            <w:tcW w:w="480" w:type="dxa"/>
            <w:vAlign w:val="bottom"/>
            <w:tcBorders>
              <w:left w:val="single" w:sz="8" w:color="auto"/>
            </w:tcBorders>
          </w:tcPr>
          <w:p>
            <w:pPr>
              <w:spacing w:after="0"/>
              <w:rPr>
                <w:sz w:val="3"/>
                <w:szCs w:val="3"/>
                <w:color w:val="auto"/>
              </w:rPr>
            </w:pPr>
          </w:p>
        </w:tc>
        <w:tc>
          <w:tcPr>
            <w:tcW w:w="1580" w:type="dxa"/>
            <w:vAlign w:val="bottom"/>
            <w:tcBorders>
              <w:right w:val="single" w:sz="8" w:color="auto"/>
            </w:tcBorders>
            <w:gridSpan w:val="3"/>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480" w:type="dxa"/>
            <w:vAlign w:val="bottom"/>
            <w:tcBorders>
              <w:left w:val="single" w:sz="8" w:color="auto"/>
            </w:tcBorders>
          </w:tcPr>
          <w:p>
            <w:pPr>
              <w:spacing w:after="0"/>
              <w:rPr>
                <w:sz w:val="3"/>
                <w:szCs w:val="3"/>
                <w:color w:val="auto"/>
              </w:rPr>
            </w:pPr>
          </w:p>
        </w:tc>
        <w:tc>
          <w:tcPr>
            <w:tcW w:w="1580" w:type="dxa"/>
            <w:vAlign w:val="bottom"/>
            <w:tcBorders>
              <w:right w:val="single" w:sz="8" w:color="auto"/>
            </w:tcBorders>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vMerge w:val="restart"/>
          </w:tcPr>
          <w:p>
            <w:pPr>
              <w:jc w:val="right"/>
              <w:ind w:right="144"/>
              <w:spacing w:after="0" w:line="236" w:lineRule="exact"/>
              <w:rPr>
                <w:sz w:val="20"/>
                <w:szCs w:val="20"/>
                <w:color w:val="auto"/>
              </w:rPr>
            </w:pPr>
            <w:r>
              <w:rPr>
                <w:rFonts w:ascii="Arial" w:cs="Arial" w:eastAsia="Arial" w:hAnsi="Arial"/>
                <w:sz w:val="27"/>
                <w:szCs w:val="27"/>
                <w:b w:val="1"/>
                <w:bCs w:val="1"/>
                <w:color w:val="auto"/>
              </w:rPr>
              <w:t>6</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line="20" w:lineRule="exact"/>
              <w:rPr>
                <w:sz w:val="1"/>
                <w:szCs w:val="1"/>
                <w:color w:val="auto"/>
              </w:rPr>
            </w:pPr>
          </w:p>
        </w:tc>
      </w:tr>
      <w:tr>
        <w:trPr>
          <w:trHeight w:val="201"/>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b w:val="1"/>
                <w:bCs w:val="1"/>
                <w:color w:val="auto"/>
                <w:w w:val="95"/>
              </w:rPr>
              <w:t>SHARES</w:t>
            </w:r>
          </w:p>
        </w:tc>
        <w:tc>
          <w:tcPr>
            <w:tcW w:w="16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480" w:type="dxa"/>
            <w:vAlign w:val="bottom"/>
            <w:tcBorders>
              <w:lef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right w:val="single" w:sz="8" w:color="auto"/>
            </w:tcBorders>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84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right w:val="single" w:sz="8" w:color="auto"/>
            </w:tcBorders>
          </w:tcPr>
          <w:p>
            <w:pPr>
              <w:jc w:val="center"/>
              <w:ind w:right="670"/>
              <w:spacing w:after="0" w:line="177" w:lineRule="exact"/>
              <w:rPr>
                <w:sz w:val="20"/>
                <w:szCs w:val="20"/>
                <w:color w:val="auto"/>
              </w:rPr>
            </w:pPr>
            <w:r>
              <w:rPr>
                <w:rFonts w:ascii="Arial" w:cs="Arial" w:eastAsia="Arial" w:hAnsi="Arial"/>
                <w:sz w:val="18"/>
                <w:szCs w:val="18"/>
                <w:b w:val="1"/>
                <w:bCs w:val="1"/>
                <w:color w:val="auto"/>
              </w:rPr>
              <w:t>EACH</w:t>
            </w:r>
          </w:p>
        </w:tc>
        <w:tc>
          <w:tcPr>
            <w:tcW w:w="160" w:type="dxa"/>
            <w:vAlign w:val="bottom"/>
          </w:tcPr>
          <w:p>
            <w:pPr>
              <w:spacing w:after="0"/>
              <w:rPr>
                <w:sz w:val="15"/>
                <w:szCs w:val="15"/>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7</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64,917,601 (1)</w:t>
            </w:r>
          </w:p>
        </w:tc>
        <w:tc>
          <w:tcPr>
            <w:tcW w:w="0" w:type="dxa"/>
            <w:vAlign w:val="bottom"/>
          </w:tcPr>
          <w:p>
            <w:pPr>
              <w:spacing w:after="0"/>
              <w:rPr>
                <w:sz w:val="1"/>
                <w:szCs w:val="1"/>
                <w:color w:val="auto"/>
              </w:rPr>
            </w:pPr>
          </w:p>
        </w:tc>
      </w:tr>
      <w:tr>
        <w:trPr>
          <w:trHeight w:val="95"/>
        </w:trPr>
        <w:tc>
          <w:tcPr>
            <w:tcW w:w="480" w:type="dxa"/>
            <w:vAlign w:val="bottom"/>
            <w:tcBorders>
              <w:lef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b w:val="1"/>
                <w:bCs w:val="1"/>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8</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94"/>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4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gridSpan w:val="2"/>
          </w:tcPr>
          <w:p>
            <w:pPr>
              <w:spacing w:after="0"/>
              <w:rPr>
                <w:sz w:val="3"/>
                <w:szCs w:val="3"/>
                <w:color w:val="auto"/>
              </w:rPr>
            </w:pPr>
          </w:p>
        </w:tc>
        <w:tc>
          <w:tcPr>
            <w:tcW w:w="740" w:type="dxa"/>
            <w:vAlign w:val="bottom"/>
            <w:tcBorders>
              <w:bottom w:val="single" w:sz="8" w:color="auto"/>
              <w:right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9</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64,917,601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640" w:type="dxa"/>
            <w:vAlign w:val="bottom"/>
            <w:tcBorders>
              <w:bottom w:val="single" w:sz="8" w:color="auto"/>
              <w:right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10</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8"/>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20" w:type="dxa"/>
            <w:vAlign w:val="bottom"/>
            <w:gridSpan w:val="3"/>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640" w:type="dxa"/>
            <w:vAlign w:val="bottom"/>
            <w:tcBorders>
              <w:bottom w:val="single" w:sz="8" w:color="auto"/>
              <w:right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11</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9.99% (1)(2)</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640" w:type="dxa"/>
            <w:vAlign w:val="bottom"/>
            <w:tcBorders>
              <w:bottom w:val="single" w:sz="8" w:color="auto"/>
              <w:right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12</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rPr>
              <w:t>IN, HC</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right="100" w:hanging="326"/>
        <w:spacing w:after="0" w:line="279" w:lineRule="auto"/>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29,367,831 Ordinary Shares of the Issuer that are represented by 5,873,566 ADS issuable upon the exercise of June 2023 Warrants (as defined in Item 4 and subject to the limitations as described therein) and 35,549,770 Ordinary Shares represented by 7,109,954 ADS that may be acquired upon conversion of Tranche 1 Notes (as defined in Item 4 and subject to the limitations as described therein), directly held by the Funds (as defined below). Each ADS represents 5 Ordinary Shares of the Issuer.</w:t>
      </w:r>
    </w:p>
    <w:p>
      <w:pPr>
        <w:spacing w:after="0" w:line="171" w:lineRule="exact"/>
        <w:rPr>
          <w:rFonts w:ascii="Arial" w:cs="Arial" w:eastAsia="Arial" w:hAnsi="Arial"/>
          <w:sz w:val="17"/>
          <w:szCs w:val="17"/>
          <w:color w:val="auto"/>
        </w:rPr>
      </w:pPr>
    </w:p>
    <w:p>
      <w:pPr>
        <w:ind w:left="820" w:right="140" w:hanging="326"/>
        <w:spacing w:after="0" w:line="301"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584,908,239 Ordinary Shares of the Issuer outstanding as of November 19, 2021, as obtained in an email received from the Issuer on December 27, 2021, plus 29,367,831 Ordinary Shares that are represented by 5,873,566 ADS issuable upon the exercise of the June 2023 Warrants (as defined in Item 4 and subject to the limitations as described therein) and 35,549,770 Ordinary Shares represented by 7,109,954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34"/>
        </w:trPr>
        <w:tc>
          <w:tcPr>
            <w:tcW w:w="48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2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Julian C. Baker</w:t>
            </w:r>
          </w:p>
        </w:tc>
        <w:tc>
          <w:tcPr>
            <w:tcW w:w="74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60" w:type="dxa"/>
            <w:vAlign w:val="bottom"/>
          </w:tcPr>
          <w:p>
            <w:pPr>
              <w:ind w:left="4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p>
        </w:tc>
        <w:tc>
          <w:tcPr>
            <w:tcW w:w="740" w:type="dxa"/>
            <w:vAlign w:val="bottom"/>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60" w:type="dxa"/>
            <w:vAlign w:val="bottom"/>
          </w:tcPr>
          <w:p>
            <w:pPr>
              <w:ind w:left="4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20" w:type="dxa"/>
            <w:vAlign w:val="bottom"/>
            <w:tcBorders>
              <w:right w:val="single" w:sz="8" w:color="auto"/>
            </w:tcBorders>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SEC USE ONLY</w:t>
            </w:r>
          </w:p>
        </w:tc>
        <w:tc>
          <w:tcPr>
            <w:tcW w:w="74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80" w:type="dxa"/>
            <w:vAlign w:val="bottom"/>
            <w:tcBorders>
              <w:left w:val="single" w:sz="8" w:color="auto"/>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74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jc w:val="right"/>
              <w:ind w:right="144"/>
              <w:spacing w:after="0"/>
              <w:rPr>
                <w:sz w:val="20"/>
                <w:szCs w:val="20"/>
                <w:color w:val="auto"/>
              </w:rPr>
            </w:pPr>
            <w:r>
              <w:rPr>
                <w:rFonts w:ascii="Arial" w:cs="Arial" w:eastAsia="Arial" w:hAnsi="Arial"/>
                <w:sz w:val="32"/>
                <w:szCs w:val="32"/>
                <w:b w:val="1"/>
                <w:bCs w:val="1"/>
                <w:color w:val="auto"/>
              </w:rPr>
              <w:t>5</w:t>
            </w: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58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74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64,917,601 (1)</w:t>
            </w:r>
          </w:p>
        </w:tc>
        <w:tc>
          <w:tcPr>
            <w:tcW w:w="0" w:type="dxa"/>
            <w:vAlign w:val="bottom"/>
          </w:tcPr>
          <w:p>
            <w:pPr>
              <w:spacing w:after="0"/>
              <w:rPr>
                <w:sz w:val="1"/>
                <w:szCs w:val="1"/>
                <w:color w:val="auto"/>
              </w:rPr>
            </w:pPr>
          </w:p>
        </w:tc>
      </w:tr>
      <w:tr>
        <w:trPr>
          <w:trHeight w:val="41"/>
        </w:trPr>
        <w:tc>
          <w:tcPr>
            <w:tcW w:w="480" w:type="dxa"/>
            <w:vAlign w:val="bottom"/>
            <w:tcBorders>
              <w:left w:val="single" w:sz="8" w:color="auto"/>
            </w:tcBorders>
          </w:tcPr>
          <w:p>
            <w:pPr>
              <w:spacing w:after="0"/>
              <w:rPr>
                <w:sz w:val="3"/>
                <w:szCs w:val="3"/>
                <w:color w:val="auto"/>
              </w:rPr>
            </w:pPr>
          </w:p>
        </w:tc>
        <w:tc>
          <w:tcPr>
            <w:tcW w:w="1580" w:type="dxa"/>
            <w:vAlign w:val="bottom"/>
            <w:tcBorders>
              <w:right w:val="single" w:sz="8" w:color="auto"/>
            </w:tcBorders>
            <w:gridSpan w:val="2"/>
            <w:vMerge w:val="continue"/>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480" w:type="dxa"/>
            <w:vAlign w:val="bottom"/>
            <w:tcBorders>
              <w:left w:val="single" w:sz="8" w:color="auto"/>
            </w:tcBorders>
          </w:tcPr>
          <w:p>
            <w:pPr>
              <w:spacing w:after="0"/>
              <w:rPr>
                <w:sz w:val="3"/>
                <w:szCs w:val="3"/>
                <w:color w:val="auto"/>
              </w:rPr>
            </w:pPr>
          </w:p>
        </w:tc>
        <w:tc>
          <w:tcPr>
            <w:tcW w:w="1580" w:type="dxa"/>
            <w:vAlign w:val="bottom"/>
            <w:tcBorders>
              <w:right w:val="single" w:sz="8" w:color="auto"/>
            </w:tcBorders>
            <w:gridSpan w:val="2"/>
            <w:vMerge w:val="continue"/>
          </w:tcPr>
          <w:p>
            <w:pPr>
              <w:spacing w:after="0"/>
              <w:rPr>
                <w:sz w:val="3"/>
                <w:szCs w:val="3"/>
                <w:color w:val="auto"/>
              </w:rPr>
            </w:pPr>
          </w:p>
        </w:tc>
        <w:tc>
          <w:tcPr>
            <w:tcW w:w="740" w:type="dxa"/>
            <w:vAlign w:val="bottom"/>
            <w:tcBorders>
              <w:right w:val="single" w:sz="8" w:color="auto"/>
            </w:tcBorders>
            <w:vMerge w:val="restart"/>
          </w:tcPr>
          <w:p>
            <w:pPr>
              <w:jc w:val="right"/>
              <w:ind w:right="144"/>
              <w:spacing w:after="0" w:line="236" w:lineRule="exact"/>
              <w:rPr>
                <w:sz w:val="20"/>
                <w:szCs w:val="20"/>
                <w:color w:val="auto"/>
              </w:rPr>
            </w:pPr>
            <w:r>
              <w:rPr>
                <w:rFonts w:ascii="Arial" w:cs="Arial" w:eastAsia="Arial" w:hAnsi="Arial"/>
                <w:sz w:val="27"/>
                <w:szCs w:val="27"/>
                <w:b w:val="1"/>
                <w:bCs w:val="1"/>
                <w:color w:val="auto"/>
              </w:rPr>
              <w:t>6</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line="20" w:lineRule="exact"/>
              <w:rPr>
                <w:sz w:val="1"/>
                <w:szCs w:val="1"/>
                <w:color w:val="auto"/>
              </w:rPr>
            </w:pPr>
          </w:p>
        </w:tc>
      </w:tr>
      <w:tr>
        <w:trPr>
          <w:trHeight w:val="201"/>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b w:val="1"/>
                <w:bCs w:val="1"/>
                <w:color w:val="auto"/>
                <w:w w:val="95"/>
              </w:rPr>
              <w:t>SHARES</w:t>
            </w:r>
          </w:p>
        </w:tc>
        <w:tc>
          <w:tcPr>
            <w:tcW w:w="740" w:type="dxa"/>
            <w:vAlign w:val="bottom"/>
            <w:tcBorders>
              <w:right w:val="single" w:sz="8" w:color="auto"/>
            </w:tcBorders>
            <w:vMerge w:val="continue"/>
          </w:tcPr>
          <w:p>
            <w:pPr>
              <w:spacing w:after="0"/>
              <w:rPr>
                <w:sz w:val="17"/>
                <w:szCs w:val="17"/>
                <w:color w:val="auto"/>
              </w:rPr>
            </w:pPr>
          </w:p>
        </w:tc>
        <w:tc>
          <w:tcPr>
            <w:tcW w:w="8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480" w:type="dxa"/>
            <w:vAlign w:val="bottom"/>
            <w:tcBorders>
              <w:lef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84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740" w:type="dxa"/>
            <w:vAlign w:val="bottom"/>
            <w:tcBorders>
              <w:right w:val="single" w:sz="8" w:color="auto"/>
            </w:tcBorders>
          </w:tcPr>
          <w:p>
            <w:pPr>
              <w:spacing w:after="0"/>
              <w:rPr>
                <w:sz w:val="18"/>
                <w:szCs w:val="18"/>
                <w:color w:val="auto"/>
              </w:rPr>
            </w:pP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740" w:type="dxa"/>
            <w:vAlign w:val="bottom"/>
            <w:tcBorders>
              <w:bottom w:val="single" w:sz="8" w:color="auto"/>
              <w:right w:val="single" w:sz="8" w:color="auto"/>
            </w:tcBorders>
          </w:tcPr>
          <w:p>
            <w:pPr>
              <w:spacing w:after="0"/>
              <w:rPr>
                <w:sz w:val="20"/>
                <w:szCs w:val="20"/>
                <w:color w:val="auto"/>
              </w:rPr>
            </w:pPr>
          </w:p>
        </w:tc>
        <w:tc>
          <w:tcPr>
            <w:tcW w:w="8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right w:val="single" w:sz="8" w:color="auto"/>
            </w:tcBorders>
          </w:tcPr>
          <w:p>
            <w:pPr>
              <w:jc w:val="center"/>
              <w:ind w:right="490"/>
              <w:spacing w:after="0" w:line="177" w:lineRule="exact"/>
              <w:rPr>
                <w:sz w:val="20"/>
                <w:szCs w:val="20"/>
                <w:color w:val="auto"/>
              </w:rPr>
            </w:pPr>
            <w:r>
              <w:rPr>
                <w:rFonts w:ascii="Arial" w:cs="Arial" w:eastAsia="Arial" w:hAnsi="Arial"/>
                <w:sz w:val="18"/>
                <w:szCs w:val="18"/>
                <w:b w:val="1"/>
                <w:bCs w:val="1"/>
                <w:color w:val="auto"/>
              </w:rPr>
              <w:t>EACH</w:t>
            </w:r>
          </w:p>
        </w:tc>
        <w:tc>
          <w:tcPr>
            <w:tcW w:w="74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7</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740" w:type="dxa"/>
            <w:vAlign w:val="bottom"/>
            <w:tcBorders>
              <w:right w:val="single" w:sz="8" w:color="auto"/>
            </w:tcBorders>
            <w:vMerge w:val="continue"/>
          </w:tcPr>
          <w:p>
            <w:pPr>
              <w:spacing w:after="0"/>
              <w:rPr>
                <w:sz w:val="18"/>
                <w:szCs w:val="18"/>
                <w:color w:val="auto"/>
              </w:rPr>
            </w:pPr>
          </w:p>
        </w:tc>
        <w:tc>
          <w:tcPr>
            <w:tcW w:w="8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740" w:type="dxa"/>
            <w:vAlign w:val="bottom"/>
            <w:tcBorders>
              <w:right w:val="single" w:sz="8" w:color="auto"/>
            </w:tcBorders>
          </w:tcPr>
          <w:p>
            <w:pPr>
              <w:spacing w:after="0"/>
              <w:rPr>
                <w:sz w:val="20"/>
                <w:szCs w:val="20"/>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64,917,601 (1)</w:t>
            </w:r>
          </w:p>
        </w:tc>
        <w:tc>
          <w:tcPr>
            <w:tcW w:w="0" w:type="dxa"/>
            <w:vAlign w:val="bottom"/>
          </w:tcPr>
          <w:p>
            <w:pPr>
              <w:spacing w:after="0"/>
              <w:rPr>
                <w:sz w:val="1"/>
                <w:szCs w:val="1"/>
                <w:color w:val="auto"/>
              </w:rPr>
            </w:pPr>
          </w:p>
        </w:tc>
      </w:tr>
      <w:tr>
        <w:trPr>
          <w:trHeight w:val="95"/>
        </w:trPr>
        <w:tc>
          <w:tcPr>
            <w:tcW w:w="480" w:type="dxa"/>
            <w:vAlign w:val="bottom"/>
            <w:tcBorders>
              <w:lef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Borders>
              <w:right w:val="single" w:sz="8" w:color="auto"/>
            </w:tcBorders>
            <w:vMerge w:val="restart"/>
          </w:tcPr>
          <w:p>
            <w:pPr>
              <w:jc w:val="center"/>
              <w:ind w:right="550"/>
              <w:spacing w:after="0"/>
              <w:rPr>
                <w:sz w:val="20"/>
                <w:szCs w:val="20"/>
                <w:color w:val="auto"/>
              </w:rPr>
            </w:pPr>
            <w:r>
              <w:rPr>
                <w:rFonts w:ascii="Arial" w:cs="Arial" w:eastAsia="Arial" w:hAnsi="Arial"/>
                <w:sz w:val="18"/>
                <w:szCs w:val="18"/>
                <w:b w:val="1"/>
                <w:bCs w:val="1"/>
                <w:color w:val="auto"/>
              </w:rPr>
              <w:t>WITH</w:t>
            </w:r>
          </w:p>
        </w:tc>
        <w:tc>
          <w:tcPr>
            <w:tcW w:w="74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8</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94"/>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84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64,917,601 (1)</w:t>
            </w:r>
          </w:p>
        </w:tc>
        <w:tc>
          <w:tcPr>
            <w:tcW w:w="74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64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8"/>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64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9.99% (1)(2)</w:t>
            </w:r>
          </w:p>
        </w:tc>
        <w:tc>
          <w:tcPr>
            <w:tcW w:w="74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64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IN, HC</w:t>
            </w:r>
          </w:p>
        </w:tc>
        <w:tc>
          <w:tcPr>
            <w:tcW w:w="74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160" w:hanging="324"/>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29,367,831 Ordinary Shares of the Issuer that are represented by 5,873,566 ADS issuable upon the exercise of June 2023 Warrants (as defined in Item 4 and subject to the limitations as described therein) and 35,549,770 Ordinary Shares represented by 7,109,954 ADS that may be acquired upon conversion of Tranche 1 Notes (as defined in Item 4 and subject to the limitations as described therein), directly held by the Funds (as defined below). Each ADS represents 5 Ordinary Shares of the Issuer.</w:t>
      </w:r>
    </w:p>
    <w:p>
      <w:pPr>
        <w:spacing w:after="0" w:line="171" w:lineRule="exact"/>
        <w:rPr>
          <w:rFonts w:ascii="Arial" w:cs="Arial" w:eastAsia="Arial" w:hAnsi="Arial"/>
          <w:sz w:val="17"/>
          <w:szCs w:val="17"/>
          <w:color w:val="auto"/>
        </w:rPr>
      </w:pPr>
    </w:p>
    <w:p>
      <w:pPr>
        <w:ind w:left="980" w:right="140" w:hanging="324"/>
        <w:spacing w:after="0" w:line="30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584,908,239 Ordinary Shares of the Issuer outstanding as of November 19, 2021, as obtained in an email received from the Issuer on December 27, 2021, plus 29,367,831 Ordinary Shares that are represented by 5,873,566 ADS issuable upon the exercise of the June 2023 Warrants (as defined in Item 4 and subject to the limitations as described therein) and 35,549,770 Ordinary Shares represented by 7,109,954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Amendment No. 1 to Schedule 13G</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This Amendment No. 1 to Schedule 13G amends and restates the previously filed Schedule 13G filed by Baker Bros. Advisors LP (the “Adviser”), Baker Bros. Advisors (GP) LLC (the “Adviser GP”), Julian C. Baker and Felix J. Baker (collectively, the “Reporting Persons”). Except as supplemented herein, such statements, as heretofore amended and supplemented, remain in full force and effect.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Mereo BioPharma Group plc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5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One Cavendish Place,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London, W1G 0QF United Kingdom</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This Amendment No. 1 is being filed jointly by the Reporting Persons.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The business address of each of the Reporting Persons is:</w:t>
            </w:r>
          </w:p>
        </w:tc>
      </w:tr>
      <w:tr>
        <w:trPr>
          <w:trHeight w:val="421"/>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Baker Bros. Advisors LP</w:t>
            </w:r>
          </w:p>
        </w:tc>
      </w:tr>
      <w:tr>
        <w:trPr>
          <w:trHeight w:val="253"/>
        </w:trPr>
        <w:tc>
          <w:tcPr>
            <w:tcW w:w="1020" w:type="dxa"/>
            <w:vAlign w:val="bottom"/>
          </w:tcPr>
          <w:p>
            <w:pPr>
              <w:spacing w:after="0"/>
              <w:rPr>
                <w:sz w:val="21"/>
                <w:szCs w:val="21"/>
                <w:color w:val="auto"/>
              </w:rPr>
            </w:pPr>
          </w:p>
        </w:tc>
        <w:tc>
          <w:tcPr>
            <w:tcW w:w="10220" w:type="dxa"/>
            <w:vAlign w:val="bottom"/>
          </w:tcPr>
          <w:p>
            <w:pPr>
              <w:ind w:left="280"/>
              <w:spacing w:after="0" w:line="252" w:lineRule="exact"/>
              <w:rPr>
                <w:sz w:val="20"/>
                <w:szCs w:val="20"/>
                <w:color w:val="auto"/>
              </w:rPr>
            </w:pPr>
            <w:r>
              <w:rPr>
                <w:rFonts w:ascii="Arial" w:cs="Arial" w:eastAsia="Arial" w:hAnsi="Arial"/>
                <w:sz w:val="18"/>
                <w:szCs w:val="18"/>
                <w:color w:val="auto"/>
              </w:rPr>
              <w:t>860 Washington Street,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New York, NY 10014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(212) 339-5690</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The Adviser is a limited partnership organized under the laws of the State of Delaware. The Adviser GP is a limited liability company</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organized under the laws of the State of Delaware. The citizenship of each of Julian C. Baker and Felix J. Baker is the United States of</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America.</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Ordinary Shares, nominal value £0.003 per share (“Ordinary Shares”).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589492107</w:t>
            </w:r>
          </w:p>
        </w:tc>
      </w:tr>
      <w:tr>
        <w:trPr>
          <w:trHeight w:val="459"/>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(c), check whether the person filing is a:</w:t>
      </w:r>
    </w:p>
    <w:p>
      <w:pPr>
        <w:spacing w:after="0" w:line="196" w:lineRule="exact"/>
        <w:rPr>
          <w:sz w:val="20"/>
          <w:szCs w:val="20"/>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300" w:hanging="644"/>
        <w:spacing w:after="0" w:line="239" w:lineRule="exact"/>
        <w:tabs>
          <w:tab w:leader="none" w:pos="976"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 through 9 and 11 of each of the cover pages to this Amendment No. 1 are incorporated herein reference.</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Set forth below is the aggregate number of Ordinary Shares represented by American Depositary Shares (“ADS”) directly held by each of Baker Brothers Life Sciences, L.P. (“Life Sciences”) and 667, L.P. (“667”, and together with Life Sciences, the “Funds”) which may be deemed to be indirectly beneficially owned by the Reporting Persons, as well as Ordinary Shares represented by ADS that may be acquired upon exercise of warrants with an exercise price of 34.8 pence per Ordinary Share that expire June 30, 2023 (“June 2023 Warrants”), subject to the limitations on exercise described below, and Ordinary Shares represented by ADS that may be acquired upon conversion of 6% convertible notes with a conversion price of 17.4 pence per Ordinary Share due June 30, 2023 (“Tranche 1 Notes”), subject to the limitations on conversion described below. Each ADS represents 5 Ordinary Shares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right="100"/>
        <w:spacing w:after="0" w:line="257" w:lineRule="auto"/>
        <w:rPr>
          <w:sz w:val="20"/>
          <w:szCs w:val="20"/>
          <w:color w:val="auto"/>
        </w:rPr>
      </w:pPr>
      <w:r>
        <w:rPr>
          <w:rFonts w:ascii="Arial" w:cs="Arial" w:eastAsia="Arial" w:hAnsi="Arial"/>
          <w:sz w:val="18"/>
          <w:szCs w:val="18"/>
          <w:color w:val="auto"/>
        </w:rPr>
        <w:t>The information set forth below is based on 584,908,239 Ordinary Shares outstanding as of November 19, 2021, as obtained in an email received from the Issuer on December 27,2021, plus 29,367,831 Ordinary Shares represented by 5,873,566 ADS issuable upon the exercise of the June 2023 Warrants, subject to the limitations on exercise described below and 35,549,770 Ordinary Shares represented by 7,109,954 ADS that may be acquired upon conversion of Tranche 1 Notes, subject to the limitations on conversion described below. Such percentage figures are calculated in accordance with Rule 13d-3 under the Securities Exchange Act of 1934, as amended.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Number of Ordinary</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Shares we own or</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have the right to</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acquire within 60</w:t>
            </w:r>
          </w:p>
        </w:tc>
        <w:tc>
          <w:tcPr>
            <w:tcW w:w="1780" w:type="dxa"/>
            <w:vAlign w:val="bottom"/>
            <w:gridSpan w:val="2"/>
          </w:tcPr>
          <w:p>
            <w:pPr>
              <w:jc w:val="right"/>
              <w:ind w:right="310"/>
              <w:spacing w:after="0"/>
              <w:rPr>
                <w:sz w:val="20"/>
                <w:szCs w:val="20"/>
                <w:color w:val="auto"/>
              </w:rPr>
            </w:pPr>
            <w:r>
              <w:rPr>
                <w:rFonts w:ascii="Arial" w:cs="Arial" w:eastAsia="Arial" w:hAnsi="Arial"/>
                <w:sz w:val="18"/>
                <w:szCs w:val="18"/>
                <w:color w:val="auto"/>
              </w:rPr>
              <w:t>Percent of Class</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Name</w:t>
            </w: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days</w:t>
            </w:r>
          </w:p>
        </w:tc>
        <w:tc>
          <w:tcPr>
            <w:tcW w:w="1780" w:type="dxa"/>
            <w:vAlign w:val="bottom"/>
            <w:gridSpan w:val="2"/>
          </w:tcPr>
          <w:p>
            <w:pPr>
              <w:jc w:val="right"/>
              <w:ind w:right="450"/>
              <w:spacing w:after="0"/>
              <w:rPr>
                <w:sz w:val="20"/>
                <w:szCs w:val="20"/>
                <w:color w:val="auto"/>
              </w:rPr>
            </w:pPr>
            <w:r>
              <w:rPr>
                <w:rFonts w:ascii="Arial" w:cs="Arial" w:eastAsia="Arial" w:hAnsi="Arial"/>
                <w:sz w:val="18"/>
                <w:szCs w:val="18"/>
                <w:color w:val="auto"/>
              </w:rPr>
              <w:t>Outstanding</w:t>
            </w:r>
          </w:p>
        </w:tc>
      </w:tr>
      <w:tr>
        <w:trPr>
          <w:trHeight w:val="216"/>
        </w:trPr>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667, L.P.</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4,711,979</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29"/>
        </w:trPr>
        <w:tc>
          <w:tcPr>
            <w:tcW w:w="5860" w:type="dxa"/>
            <w:vAlign w:val="bottom"/>
          </w:tcPr>
          <w:p>
            <w:pPr>
              <w:ind w:left="60"/>
              <w:spacing w:after="0"/>
              <w:rPr>
                <w:sz w:val="20"/>
                <w:szCs w:val="20"/>
                <w:color w:val="auto"/>
              </w:rPr>
            </w:pPr>
            <w:r>
              <w:rPr>
                <w:rFonts w:ascii="Arial" w:cs="Arial" w:eastAsia="Arial" w:hAnsi="Arial"/>
                <w:sz w:val="18"/>
                <w:szCs w:val="18"/>
                <w:color w:val="auto"/>
              </w:rPr>
              <w:t>Baker Brothers Life Sciences, L.P.</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60,205,622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9.26%</w:t>
            </w:r>
          </w:p>
        </w:tc>
      </w:tr>
      <w:tr>
        <w:trPr>
          <w:trHeight w:val="223"/>
        </w:trPr>
        <w:tc>
          <w:tcPr>
            <w:tcW w:w="5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64,917,601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8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June 2023 Warrants are only exercisable to the extent that upon giving effect or immediately prior to such exercise that the holders thereof, their affiliates and any persons who are members of a Section 13(d) group with the holders or its affiliates would beneficially own in the aggregate, for purposes of Section 13(d) of the Exchange Act, no more than 9.99% of the outstanding Ordinary Shares after conversion (“Warrants Beneficial Ownership Limitation”). By written notice to the Issuer, the Funds may from time to time increase or decrease the Warrants Beneficial Ownership Limitation applicable to that Fund to any other percentage not in excess of 19.99%. Any such increase will not be effective until the 61st day after such notice is delivered to the Issuer. As a result of this restriction, the number of Ordinary Shares that may be issued upon exercise of the June 2023 Warrants by the above holders may change depending upon changes in the outstanding Ordinary Shares.</w:t>
      </w:r>
    </w:p>
    <w:p>
      <w:pPr>
        <w:spacing w:after="0" w:line="17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Tranche 1 Notes are only convertible to the extent that upon giving effect or immediately prior to such conversion that the holders thereof, their affiliates and any persons who are members of a Section 13(d) group with the holders or its affiliates would beneficially own in the aggregate, for purposes of Section 13(d) of the Exchange Act, no more than 9.99% of the outstanding Ordinary Shares after conversion (“Notes Beneficial Ownership Limitation”, and together with the Warrants Beneficial Ownership Limitation, the “Beneficial Ownership Limitations”). By written notice to the Issuer, the Funds may from time to time increase or decrease the Notes Beneficial Ownership Limitation applicable to that Fund to any other percentage not in excess of 19.99%. Any such increase will not be effective until the 61st day after such notice is delivered to the Issuer. As a result of this restriction, the number of Ordinary Shares that may be issued upon exercise of the Tranche 1 Notes by the above holders may change depending upon changes in the outstanding Ordinary Shares. The above allocation of Ordinary shares beneficially owned through ownership of the Tranche 1 Notes and June 2023 Warrants is determined on an aggregate basis due to the Beneficial Ownership Limitations and has been apportioned among those derivative instruments and the Funds pursuant to internal estimates.</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Adviser GP, Felix J. Baker and Julian C. Baker as managing members of the Adviser GP, and the Adviser may be deemed to be beneficial owners of securities of the Issuer directly held by the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80" w:firstLine="1296"/>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N/A</w:t>
      </w:r>
    </w:p>
    <w:p>
      <w:pPr>
        <w:sectPr>
          <w:pgSz w:w="11900" w:h="16838" w:orient="portrait"/>
          <w:cols w:equalWidth="0" w:num="1">
            <w:col w:w="11200"/>
          </w:cols>
          <w:pgMar w:left="320" w:top="688" w:right="37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580" w:space="720"/>
            <w:col w:w="9900"/>
          </w:cols>
          <w:pgMar w:left="320" w:top="688" w:right="37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1200"/>
          </w:cols>
          <w:pgMar w:left="320" w:top="688" w:right="37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ectPr>
          <w:pgSz w:w="11900" w:h="16838" w:orient="portrait"/>
          <w:cols w:equalWidth="0" w:num="2">
            <w:col w:w="580" w:space="720"/>
            <w:col w:w="9900"/>
          </w:cols>
          <w:pgMar w:left="320" w:top="688" w:right="37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The information in Item 4 is incorporated herein by reference.</w:t>
      </w:r>
    </w:p>
    <w:p>
      <w:pPr>
        <w:sectPr>
          <w:pgSz w:w="11900" w:h="16838" w:orient="portrait"/>
          <w:cols w:equalWidth="0" w:num="1">
            <w:col w:w="11200"/>
          </w:cols>
          <w:pgMar w:left="320" w:top="688" w:right="37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580" w:space="720"/>
            <w:col w:w="9900"/>
          </w:cols>
          <w:pgMar w:left="320" w:top="688" w:right="37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1200"/>
          </w:cols>
          <w:pgMar w:left="320" w:top="688" w:right="37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580" w:space="720"/>
            <w:col w:w="9900"/>
          </w:cols>
          <w:pgMar w:left="320" w:top="688" w:right="37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1200"/>
          </w:cols>
          <w:pgMar w:left="320" w:top="688" w:right="37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11" w:lineRule="exact"/>
        <w:rPr>
          <w:sz w:val="20"/>
          <w:szCs w:val="20"/>
          <w:color w:val="auto"/>
        </w:rPr>
      </w:pPr>
    </w:p>
    <w:p>
      <w:pPr>
        <w:sectPr>
          <w:pgSz w:w="11900" w:h="16838" w:orient="portrait"/>
          <w:cols w:equalWidth="0" w:num="2">
            <w:col w:w="600" w:space="700"/>
            <w:col w:w="9900"/>
          </w:cols>
          <w:pgMar w:left="320" w:top="688" w:right="379" w:bottom="1440" w:gutter="0" w:footer="0" w:header="0"/>
          <w:type w:val="continuous"/>
        </w:sectPr>
      </w:pPr>
    </w:p>
    <w:p>
      <w:pPr>
        <w:spacing w:after="0" w:line="4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type w:val="continuous"/>
        </w:sectPr>
      </w:pPr>
    </w:p>
    <w:bookmarkStart w:id="9" w:name="page10"/>
    <w:bookmarkEnd w:id="9"/>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2022</w:t>
      </w:r>
    </w:p>
    <w:p>
      <w:pPr>
        <w:spacing w:after="0" w:line="221"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By: Baker Bros. Advisors (GP) LLC, its general partner</w:t>
      </w:r>
    </w:p>
    <w:p>
      <w:pPr>
        <w:spacing w:after="0" w:line="24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BAKER BROS. ADVISORS (GP) LLC</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Julian C. Baker</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68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2022-02-14T15:30:03Z</dcterms:created>
  <dcterms:modified xsi:type="dcterms:W3CDTF">2022-02-14T15:30:03Z</dcterms:modified>
</cp:coreProperties>
</file>