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2022 Financial Information</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2022, Mereo BioPharma Group plc (the “Company”) had cash and short-term deposits of £84.9 million ($111.4 million). Net cash burn during the first quarter of 2022 amounted to £9.4 million ($12.4 million). The Company expects its existing cash and short-term deposits will enable it to fund its currently committed clinical trials, operating expenses and capital expenditure requirements into 2024.</w:t>
      </w:r>
    </w:p>
    <w:p>
      <w:pPr>
        <w:spacing w:after="0" w:line="176"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7"/>
          <w:szCs w:val="17"/>
          <w:color w:val="auto"/>
        </w:rPr>
        <w:t>The Company’s current business plan and cash flow forecasts consider (i) ongoing research and development efforts which are focused on etigilimab, the Company’s oncology product candidate, and on its rare disease product candidates, setrusumab and alvelestat, (ii) general corporate funding requirements, and (iii) the £3.8 million convertible loan note instrument with Novartis pursuant to which it issued 3,841,479 unsecured convertible loan notes and warrants to purchase 1,449,614 ordinary shares, exercisable until February 2023 and February 2025, respectively.</w:t>
      </w:r>
    </w:p>
    <w:p>
      <w:pPr>
        <w:spacing w:after="0" w:line="164" w:lineRule="exact"/>
        <w:rPr>
          <w:sz w:val="20"/>
          <w:szCs w:val="20"/>
          <w:color w:val="auto"/>
        </w:rPr>
      </w:pPr>
    </w:p>
    <w:p>
      <w:pPr>
        <w:ind w:right="1180" w:firstLine="440"/>
        <w:spacing w:after="0" w:line="282" w:lineRule="auto"/>
        <w:rPr>
          <w:sz w:val="20"/>
          <w:szCs w:val="20"/>
          <w:color w:val="auto"/>
        </w:rPr>
      </w:pPr>
      <w:r>
        <w:rPr>
          <w:rFonts w:ascii="Times New Roman" w:cs="Times New Roman" w:eastAsia="Times New Roman" w:hAnsi="Times New Roman"/>
          <w:sz w:val="18"/>
          <w:szCs w:val="18"/>
          <w:color w:val="auto"/>
        </w:rPr>
        <w:t>The contents of this Report on Form 6-K are incorporated by reference in the Company’s registration statement on Form F-3 (File No. 333-258495).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This Report on Form 6-K contains “forward-looking statements.” All statements other than statements of historical fact contained herein are forward-looking statements within the meaning of Section 27A of the Securities Act of 1933, as amended (the “Securities Act”), and Section 21E of the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0980"/>
          </w:cols>
          <w:pgMar w:left="440" w:top="26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Christine Fox</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2022-05-09T07:17:37Z</dcterms:created>
  <dcterms:modified xsi:type="dcterms:W3CDTF">2022-05-09T07:17:37Z</dcterms:modified>
</cp:coreProperties>
</file>