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nominal value £0.003, per 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4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**There is no CUSIP number assigned to the Ordinary Shares. CUSIP number 589492107 has been assigned to the American Depositary Receipts (“ADRs”) of the Issuer, which are quoted on the Nasdaq Global Market under the symbol “MREO.” Each ADR represents 5 Ordinary Shares.</w:t>
      </w:r>
    </w:p>
    <w:p>
      <w:pPr>
        <w:spacing w:after="0" w:line="14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5,585,621 ordinary shares (represented by 1,117,124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5,585,621 ordinary shares (represented by 1,117,124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5,585,621 ordinary shares (represented by 1,117,124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5.13%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5,585,621 ordinary shares (represented by 1,117,124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5,585,621 ordinary shares (represented by 1,117,124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5,585,621 ordinary shares (represented by 1,117,124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5.13%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Mereo BioPharma Group Plc (the “Issuer”)</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Fourth Floor, One Cavendish Place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London W1G 0QF</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United Kingdom</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Names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Rock Springs Capital Management LP (“RSCM”);</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ii. Rock Springs Capital LLC (“RSC”); and</w:t>
      </w:r>
    </w:p>
    <w:p>
      <w:pPr>
        <w:spacing w:after="0" w:line="211"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This Statement relates to Shares (as defined herein) held directly by the Rock Springs Capital Master Fund LP (the “Master Fund”), which is a Cayman Island exempted limited partnership, and Four Pines Master Fund LP (“Four Pines”), which is a Cayman Islands exempted limited partnership, and indirectly held by RSCM, a Delaware limited partnership, and RSC, a Delaware limited liability company. RSCM serves as the investment manager to each of the Rock Springs Capital Master Fund LP (the “Master Fund”) and Four Pines. RSC is the general partner of RSCM.</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Management LP and Rock Springs Capital LLC</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Baltimore, MD 21202</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Management LP - Delaware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LLC - Delaware</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Ordinary Shares, nominal value £0.003, per ordinary share (the “Shares”)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jc w:val="both"/>
        <w:ind w:left="800" w:right="20"/>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Depository Receipts (“ADRs”) of the Issuer, which are quoted on the Nasdaq Global Market under the symbol “MREO.” Each ADR represents 5 Ordinary Shares.</w:t>
      </w:r>
    </w:p>
    <w:p>
      <w:pPr>
        <w:spacing w:after="0" w:line="337"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 parent holding company or control person in accordance with §240.13d-1(b)(1)(ii)(G);</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1240"/>
          </w:cols>
          <w:pgMar w:left="320" w:top="663" w:right="3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40" w:lineRule="exact"/>
        <w:rPr>
          <w:sz w:val="20"/>
          <w:szCs w:val="20"/>
          <w:color w:val="auto"/>
        </w:rPr>
      </w:pPr>
    </w:p>
    <w:p>
      <w:pPr>
        <w:jc w:val="both"/>
        <w:ind w:left="800"/>
        <w:spacing w:after="0" w:line="301" w:lineRule="auto"/>
        <w:rPr>
          <w:sz w:val="20"/>
          <w:szCs w:val="20"/>
          <w:color w:val="auto"/>
        </w:rPr>
      </w:pPr>
      <w:r>
        <w:rPr>
          <w:rFonts w:ascii="Arial" w:cs="Arial" w:eastAsia="Arial" w:hAnsi="Arial"/>
          <w:sz w:val="16"/>
          <w:szCs w:val="16"/>
          <w:color w:val="auto"/>
        </w:rPr>
        <w:t>As of the date of this filing, the Reporting Persons may be deemed to be the beneficial owners of 5,585,621 ADRs (translates to 27,928,105 shares), which amount includes 5,200,000 ADRs (translates to 26,000,000 shares) directly beneficially owned by the Master Fund, and 385,621 ADRs (translates to 1,928,105 shares) directly beneficially owned by Four Pines. The percent of class is determined by dividing the number of Shares beneficially owned by the Reporting Persons by 544,510,263, as reported on the Issuer’s Form F-3/A filed on September 27, 2021.</w:t>
      </w:r>
    </w:p>
    <w:p>
      <w:pPr>
        <w:spacing w:after="0" w:line="4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 Amount beneficially owned:</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Rock Springs Capital Management LP: 5,585,621 ADRs (translates to 27,928,105 shares)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Rock Springs Capital LLC: 5,585,621 ADRs (translates to 27,928,105 shares)</w:t>
      </w:r>
    </w:p>
    <w:p>
      <w:pPr>
        <w:spacing w:after="0" w:line="9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 Percent of Class: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Rock Springs Capital Management LP: 5.13%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Rock Springs Capital LLC: 5.13%</w:t>
      </w:r>
    </w:p>
    <w:p>
      <w:pPr>
        <w:spacing w:after="0" w:line="166" w:lineRule="exact"/>
        <w:rPr>
          <w:sz w:val="20"/>
          <w:szCs w:val="20"/>
          <w:color w:val="auto"/>
        </w:rPr>
      </w:pPr>
    </w:p>
    <w:p>
      <w:pPr>
        <w:ind w:left="1040" w:hanging="24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the which the person has:</w:t>
      </w:r>
    </w:p>
    <w:p>
      <w:pPr>
        <w:spacing w:after="0" w:line="225" w:lineRule="exact"/>
        <w:rPr>
          <w:rFonts w:ascii="Arial" w:cs="Arial" w:eastAsia="Arial" w:hAnsi="Arial"/>
          <w:sz w:val="18"/>
          <w:szCs w:val="18"/>
          <w:b w:val="1"/>
          <w:bCs w:val="1"/>
          <w:color w:val="auto"/>
        </w:rPr>
      </w:pPr>
    </w:p>
    <w:p>
      <w:pPr>
        <w:ind w:left="1720" w:right="6480" w:hanging="182"/>
        <w:spacing w:after="0" w:line="314" w:lineRule="auto"/>
        <w:tabs>
          <w:tab w:leader="none" w:pos="1755" w:val="left"/>
        </w:tabs>
        <w:numPr>
          <w:ilvl w:val="1"/>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Rock Springs Capital Management LP: 0 Rock Springs Capital LLC: 0</w:t>
      </w:r>
    </w:p>
    <w:p>
      <w:pPr>
        <w:spacing w:after="0" w:line="141" w:lineRule="exact"/>
        <w:rPr>
          <w:rFonts w:ascii="Arial" w:cs="Arial" w:eastAsia="Arial" w:hAnsi="Arial"/>
          <w:sz w:val="16"/>
          <w:szCs w:val="16"/>
          <w:b w:val="1"/>
          <w:bCs w:val="1"/>
          <w:color w:val="auto"/>
        </w:rPr>
      </w:pPr>
    </w:p>
    <w:p>
      <w:pPr>
        <w:ind w:left="1800" w:hanging="262"/>
        <w:spacing w:after="0"/>
        <w:tabs>
          <w:tab w:leader="none" w:pos="180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Rock Springs Capital Management LP: 5,585,621 ADRs (translates to 27,928,105 shares)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Rock Springs Capital LLC: 5,585,621 ADRs (translates to 27,928,105 shares)</w:t>
      </w:r>
    </w:p>
    <w:p>
      <w:pPr>
        <w:spacing w:after="0" w:line="207" w:lineRule="exact"/>
        <w:rPr>
          <w:sz w:val="20"/>
          <w:szCs w:val="20"/>
          <w:color w:val="auto"/>
        </w:rPr>
      </w:pPr>
    </w:p>
    <w:p>
      <w:pPr>
        <w:ind w:left="1720" w:right="5420" w:hanging="182"/>
        <w:spacing w:after="0" w:line="293" w:lineRule="auto"/>
        <w:tabs>
          <w:tab w:leader="none" w:pos="185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Rock Springs Capital Management LP: 0</w:t>
      </w:r>
    </w:p>
    <w:p>
      <w:pPr>
        <w:spacing w:after="0" w:line="1"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0</w:t>
      </w:r>
    </w:p>
    <w:p>
      <w:pPr>
        <w:spacing w:after="0" w:line="206" w:lineRule="exact"/>
        <w:rPr>
          <w:rFonts w:ascii="Arial" w:cs="Arial" w:eastAsia="Arial" w:hAnsi="Arial"/>
          <w:sz w:val="16"/>
          <w:szCs w:val="16"/>
          <w:b w:val="1"/>
          <w:bCs w:val="1"/>
          <w:color w:val="auto"/>
        </w:rPr>
      </w:pPr>
    </w:p>
    <w:p>
      <w:pPr>
        <w:ind w:left="1840" w:hanging="302"/>
        <w:spacing w:after="0"/>
        <w:tabs>
          <w:tab w:leader="none" w:pos="18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Rock Springs Capital Management LP: 5,585,621 ADRs (translates to 27,928,105 shares)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Rock Springs Capital LLC: 5,585,621 ADRs (translates to 27,928,105 shares)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78"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Please see response to Item 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the activities solely in connection with a nomination under §240.14a-11.</w:t>
      </w:r>
    </w:p>
    <w:p>
      <w:pPr>
        <w:sectPr>
          <w:pgSz w:w="11900" w:h="16838" w:orient="portrait"/>
          <w:cols w:equalWidth="0" w:num="1">
            <w:col w:w="11240"/>
          </w:cols>
          <w:pgMar w:left="320" w:top="553"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Rock Springs Capital Management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Member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Rock Springs Capital LLC</w:t>
      </w:r>
    </w:p>
    <w:p>
      <w:pPr>
        <w:spacing w:after="0" w:line="229"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1240"/>
          </w:cols>
          <w:pgMar w:left="320" w:top="447"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13d-1(k)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Rock Springs Capital Management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Member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Rock Springs Capital LLC</w:t>
      </w:r>
    </w:p>
    <w:p>
      <w:pPr>
        <w:spacing w:after="0" w:line="229"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-130810</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Member</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lvl w:ilvl="1">
      <w:lvlJc w:val="left"/>
      <w:lvlText w:val="(%2)"/>
      <w:numFmt w:val="lowerRoman"/>
      <w:start w:val="1"/>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2022-02-15T11:45:59Z</dcterms:created>
  <dcterms:modified xsi:type="dcterms:W3CDTF">2022-02-15T11:45:59Z</dcterms:modified>
</cp:coreProperties>
</file>