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12, 2026</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8" w:right="339" w:bottom="1440" w:gutter="0" w:footer="0" w:header="0"/>
        </w:sectPr>
      </w:pPr>
    </w:p>
    <w:p>
      <w:pPr>
        <w:spacing w:after="0" w:line="14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1118"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118" w:right="339" w:bottom="1440" w:gutter="0" w:footer="0" w:header="0"/>
          <w:type w:val="continuous"/>
        </w:sectPr>
      </w:pP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60" w:hanging="213"/>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32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42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 five</w:t>
            </w:r>
          </w:p>
        </w:tc>
        <w:tc>
          <w:tcPr>
            <w:tcW w:w="120" w:type="dxa"/>
            <w:vAlign w:val="bottom"/>
          </w:tcPr>
          <w:p>
            <w:pPr>
              <w:spacing w:after="0"/>
              <w:rPr>
                <w:sz w:val="16"/>
                <w:szCs w:val="16"/>
                <w:color w:val="auto"/>
              </w:rPr>
            </w:pP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£0.003 per share</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12, 2026, Mereo BioPharma Group plc announced its financial results for the first quarter ended March 31, 2026 and provided an update on recent corporate developments. The full text of the press release issued in connection with the announcement is furnished as Exhibit 99.1 to this Current Report on Form 8-K.</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4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12, 2026</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680" w:type="dxa"/>
            <w:vAlign w:val="bottom"/>
            <w:tcBorders>
              <w:right w:val="single" w:sz="8" w:color="0000EE"/>
            </w:tcBorders>
          </w:tcPr>
          <w:p>
            <w:pPr>
              <w:spacing w:after="0" w:line="20" w:lineRule="exact"/>
              <w:rPr>
                <w:sz w:val="1"/>
                <w:szCs w:val="1"/>
                <w:color w:val="auto"/>
              </w:rPr>
            </w:pPr>
          </w:p>
        </w:tc>
        <w:tc>
          <w:tcPr>
            <w:tcW w:w="2500" w:type="dxa"/>
            <w:vAlign w:val="bottom"/>
            <w:tcBorders>
              <w:right w:val="single" w:sz="8" w:color="0000EE"/>
            </w:tcBorders>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rPr>
                <w:sz w:val="22"/>
                <w:szCs w:val="22"/>
                <w:color w:val="auto"/>
              </w:rPr>
            </w:pP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MEREO BIOPHARMA GROUP PLC</w:t>
            </w:r>
          </w:p>
        </w:tc>
      </w:tr>
      <w:tr>
        <w:trPr>
          <w:trHeight w:val="453"/>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Date: May 12, 2026</w:t>
            </w:r>
          </w:p>
        </w:tc>
        <w:tc>
          <w:tcPr>
            <w:tcW w:w="7580" w:type="dxa"/>
            <w:vAlign w:val="bottom"/>
            <w:gridSpan w:val="3"/>
          </w:tcPr>
          <w:p>
            <w:pPr>
              <w:ind w:left="2060"/>
              <w:spacing w:after="0"/>
              <w:rPr>
                <w:sz w:val="20"/>
                <w:szCs w:val="20"/>
                <w:color w:val="auto"/>
              </w:rPr>
            </w:pPr>
            <w:r>
              <w:rPr>
                <w:rFonts w:ascii="Times New Roman" w:cs="Times New Roman" w:eastAsia="Times New Roman" w:hAnsi="Times New Roman"/>
                <w:sz w:val="20"/>
                <w:szCs w:val="20"/>
                <w:color w:val="auto"/>
              </w:rPr>
              <w:t>By:  /s/ Christine Fox</w:t>
            </w:r>
          </w:p>
        </w:tc>
      </w:tr>
      <w:tr>
        <w:trPr>
          <w:trHeight w:val="200"/>
        </w:trPr>
        <w:tc>
          <w:tcPr>
            <w:tcW w:w="3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160" w:type="dxa"/>
            <w:vAlign w:val="bottom"/>
            <w:tcBorders>
              <w:top w:val="single" w:sz="8" w:color="auto"/>
            </w:tcBorders>
          </w:tcPr>
          <w:p>
            <w:pPr>
              <w:ind w:left="360"/>
              <w:spacing w:after="0" w:line="200" w:lineRule="exact"/>
              <w:rPr>
                <w:sz w:val="20"/>
                <w:szCs w:val="20"/>
                <w:color w:val="auto"/>
              </w:rPr>
            </w:pPr>
            <w:r>
              <w:rPr>
                <w:rFonts w:ascii="Times New Roman" w:cs="Times New Roman" w:eastAsia="Times New Roman" w:hAnsi="Times New Roman"/>
                <w:sz w:val="20"/>
                <w:szCs w:val="20"/>
                <w:color w:val="auto"/>
              </w:rPr>
              <w:t>Christine Fox</w:t>
            </w:r>
          </w:p>
        </w:tc>
      </w:tr>
      <w:tr>
        <w:trPr>
          <w:trHeight w:val="258"/>
        </w:trPr>
        <w:tc>
          <w:tcPr>
            <w:tcW w:w="36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973"/>
        </w:trPr>
        <w:tc>
          <w:tcPr>
            <w:tcW w:w="3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First Quarter 2026 Financial Results and Provides Corporate Highlights</w:t>
      </w:r>
    </w:p>
    <w:p>
      <w:pPr>
        <w:spacing w:after="0" w:line="200" w:lineRule="exact"/>
        <w:rPr>
          <w:sz w:val="20"/>
          <w:szCs w:val="20"/>
          <w:color w:val="auto"/>
        </w:rPr>
      </w:pPr>
    </w:p>
    <w:p>
      <w:pPr>
        <w:spacing w:after="0" w:line="24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May 12, 2026 – </w:t>
      </w:r>
      <w:r>
        <w:rPr>
          <w:rFonts w:ascii="Times New Roman" w:cs="Times New Roman" w:eastAsia="Times New Roman" w:hAnsi="Times New Roman"/>
          <w:sz w:val="18"/>
          <w:szCs w:val="18"/>
          <w:color w:val="auto"/>
        </w:rPr>
        <w:t>Mereo BioPharma Group plc (NASDAQ: MREO) (“Mereo” or the “Company”),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rare diseases, today announced financial results for the first quarter ended March 31, 2026, and provided an update on recent corporate developments.</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“Based on extensive analysis of data across the two global Phase 3 studies of setrusumab in osteogenesis imperfecta in collaboration with our partner Ultragenyx, we believe there is basis to engage with the regulatory agencies to determine if there is a path forward in pediatric patients. These interactions have been initiated, and we plan to provide updates once we have some definitive feedback. We continue to believe that setrusumab has the potential to provide meaningful benefit for people living with OI, a condition with no FDA or EMA approved therapies,” said Denise Scots-Knight, Chief Executive Officer of Mereo. “We are actively engaged with potential partners for alvelestat in AATD-LD and believe alvelestat can quickly enter Phase 3 development following closing of a partnership transaction. Our other partnered program, vantictumab, is continuing to move forward with āshibio, who plan to initiate a Phase 2 trial in osteopetrosis in the second half of 2026. We continue to expect that our cash position, which totaled $36.2 million as of March 31, will provide runway into mid-2027, through several key inflection points expected during the remainder of this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Developments and Anticipated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121"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analyses of the data from the Orbit and Cosmic Phase 3 studies, including patient subgroups, have been completed.</w:t>
      </w:r>
    </w:p>
    <w:p>
      <w:pPr>
        <w:spacing w:after="0" w:line="117" w:lineRule="exact"/>
        <w:rPr>
          <w:rFonts w:ascii="Times New Roman" w:cs="Times New Roman" w:eastAsia="Times New Roman" w:hAnsi="Times New Roman"/>
          <w:sz w:val="18"/>
          <w:szCs w:val="18"/>
          <w:color w:val="auto"/>
        </w:rPr>
      </w:pPr>
    </w:p>
    <w:p>
      <w:pPr>
        <w:ind w:left="380" w:hanging="372"/>
        <w:spacing w:after="0" w:line="261"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neither study achieved statistical significance against the primary endpoints of reduction in annualized clinical fracture rate compared to placebo (Orbit) or bisphosphonates (Cosmic), both studies achieved high statistical significance against the key secondary endpoint of improvement in bone mineral density versus control as well as reductions in vertebral fractures and improvements in patient reported outcomes (PROs) associated with disease severity, pain / discomfort and daily activities, with these PRO improvements achieving statistical significance in the Orbit study.</w:t>
      </w:r>
    </w:p>
    <w:p>
      <w:pPr>
        <w:spacing w:after="0" w:line="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of setrusumab was consistent with that observed in prior studies.</w:t>
      </w:r>
    </w:p>
    <w:p>
      <w:pPr>
        <w:spacing w:after="0" w:line="117" w:lineRule="exact"/>
        <w:rPr>
          <w:rFonts w:ascii="Times New Roman" w:cs="Times New Roman" w:eastAsia="Times New Roman" w:hAnsi="Times New Roman"/>
          <w:sz w:val="18"/>
          <w:szCs w:val="18"/>
          <w:color w:val="auto"/>
        </w:rPr>
      </w:pPr>
    </w:p>
    <w:p>
      <w:pPr>
        <w:ind w:left="380" w:right="100" w:hanging="372"/>
        <w:spacing w:after="0" w:line="266"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Phase 3 data analysis from both global Phase 3 studies and the safety profile of setrusumab, Mereo and its partner Ultragenyx believe there is a basis to engage regulatory agencies to determine if there is a path forward for setrusumab in pediatric patients. These interactions have been initiated.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2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Mereo is actively engaged in discussions with potential partners for the Phase 3 development and commercialization of alvelestat.</w:t>
      </w:r>
    </w:p>
    <w:p>
      <w:pPr>
        <w:spacing w:after="0" w:line="117" w:lineRule="exact"/>
        <w:rPr>
          <w:rFonts w:ascii="Times New Roman" w:cs="Times New Roman" w:eastAsia="Times New Roman" w:hAnsi="Times New Roman"/>
          <w:sz w:val="18"/>
          <w:szCs w:val="18"/>
          <w:color w:val="auto"/>
        </w:rPr>
      </w:pPr>
    </w:p>
    <w:p>
      <w:pPr>
        <w:ind w:left="380" w:right="380" w:hanging="372"/>
        <w:spacing w:after="0" w:line="312" w:lineRule="auto"/>
        <w:tabs>
          <w:tab w:leader="none" w:pos="3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previous discussions with the FDA and EMA, Mereo anticipates a single Phase 3 trial enrolling approximately 220 early- and late-stage AATD-LD patients evaluating alvelestat over an 18-month treatment period will support regulatory submissions in both the U.S. and Europe.</w:t>
      </w:r>
    </w:p>
    <w:p>
      <w:pPr>
        <w:spacing w:after="0" w:line="32" w:lineRule="exact"/>
        <w:rPr>
          <w:sz w:val="20"/>
          <w:szCs w:val="20"/>
          <w:color w:val="auto"/>
        </w:rPr>
      </w:pPr>
    </w:p>
    <w:p>
      <w:pPr>
        <w:ind w:left="840" w:right="260" w:hanging="383"/>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efficacy endpoint for potential U.S. approval will be the St. George’s Respiratory Questionnaire (SGRQ) Total Score, with lung density measured by CT scan serving as the primary endpoint for potential European regulatory approval. These are independent primary endpoints.</w:t>
      </w:r>
    </w:p>
    <w:p>
      <w:pPr>
        <w:spacing w:after="0" w:line="67" w:lineRule="exact"/>
        <w:rPr>
          <w:rFonts w:ascii="Times New Roman" w:cs="Times New Roman" w:eastAsia="Times New Roman" w:hAnsi="Times New Roman"/>
          <w:sz w:val="18"/>
          <w:szCs w:val="18"/>
          <w:color w:val="auto"/>
        </w:rPr>
      </w:pPr>
    </w:p>
    <w:p>
      <w:pPr>
        <w:ind w:left="840" w:hanging="38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initiation of the Phase 3 study could happen within 6 months of closing a potential partnership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Vantictumab (OMP18R5)</w:t>
      </w:r>
    </w:p>
    <w:p>
      <w:pPr>
        <w:spacing w:after="0" w:line="121" w:lineRule="exact"/>
        <w:rPr>
          <w:sz w:val="20"/>
          <w:szCs w:val="20"/>
          <w:color w:val="auto"/>
        </w:rPr>
      </w:pPr>
    </w:p>
    <w:p>
      <w:pPr>
        <w:ind w:left="380" w:right="12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development partner for vantictumab, āshibio, Inc., is continuing to advance toward initiation of a Phase 2 clinical trial in autosomal dominant osteopetrosis Type 2 (ADO2), which is expected to commence in the second half of 2026.</w:t>
      </w:r>
    </w:p>
    <w:p>
      <w:pPr>
        <w:spacing w:after="0" w:line="53"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āshibio is responsible for funding the global clinical program and holds the right to commercialize vantictumab outside of Europe, where Mereo has retained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research and development (“R&amp;D”) expenses increased by $0.8 million, from $3.9 million in the first quarter of 2025 to $4.7 million in the first quarter of 2026. The increase was primarily due to increases of $1.8 million in R&amp;D expenses for setrusumab, partially offset by reductions of $0.9 million in R&amp;D expenses for alvelestat. The increase in program expenses for setrusumab was primarily driven by recognition of a payable for our share of certain costs related to the cancellation of manufacturing slots by our partner, Ultragenyx, partially offset by reductions of, and delays to, investment in manufacturing and ongoing activities, including medical affairs activities in Europe during the first quarter of 2026. The decrease in program expenses for alvelestat was primarily due to completion of activities undertaken in preparation for the potential Phase 3 study in the first quarter of 2025.</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$3.3 million, from $7.3 million in the first quarter of 2025 to $4.0 million in the first quarter of 2026. The decrease was primarily due to the recognition of a $1.9 million reduction in expenses in the first quarter of 2026 for amounts received from our depository to reimburse certain expenses incurred by us in respect of our ADR program, and a reduction of approximately $1.4 million driven by delays to investment in pre-commercial activities to lay the foundation for the potential commercial launch of setrusumab in Europe, if approved, and other realized cost savings.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loss for the first quarter of 2026 was $6.7 million, compared to $12.9 million for the first quarter of 2025, primarily reflecting an operating loss of $8.8 million and foreign currency transaction gain of $1.6 million.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of $36.2 million, compared to $41.0 million as of December 31, 2025. The Company’s guidance remains unchanged, and it continues to expect, based on current operational plans, that its existing cash and cash equivalents balance will enable it to fund its currently committed clinical trials, operating expenses, and capital expenditure requirements into mid-2027. This guidance does not include any potential payments associated with business development activity around any of the Company’s programs.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March 31, 2026 were 798,078,829. Total ADS equivalents as of March 31, 2026 were 159,615,765, with each ADS representing five ordinary shares of the 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three rare disease product candidates: setrusumab for the treatment of osteogenesis imperfecta (OI); alvelestat for the treatment of alpha-1 antitrypsin deficiency-associated lung disease (AATD-LD); and vantictumab for the treatment of autosomal dominant osteopetrosis type 2 (ADO2). The Company and its partner for setrusumab, Ultragenyx Pharmaceutical Inc., have reported top-line results from the Phase 3 portion of a pivotal Phase 2/3 study in pediatrics and young adults (5 to 25 years old) and in the Phase 3 study in pediatric patients (2 to &lt;7 years old) for setrusumab in OI.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European Commission (“EC”) and the FDA, PRIME designation from the EMA, and has Breakthrough Therapy designation and rare pediatric disease designation from the FDA. Alvelestat has received Orphan Designation for AATD from the EC and the FDA, and Fast Track designation from the FDA for AATD-LD. Following results from ASTRAEUS and ATALANTa in AATD-lung disease, the Company has aligned with the FDA and the EMA on the primary endpoints for a Phase 3 pivotal study which, if successful, could enable full approval in both the U.S. and Europe. The Company’s partner for vantictumab, āshibio, Inc., is funding the global development program and Mereo has retained EU and UK commercial rights. Mereo has also entered into an exclusive global license agreement with ReproNovo SA, a reproductive medicine company, for the development and commercialization of leflutrozole, a non-steroidal aromatase inhibitor for the treatment of infertility in men with low testosterone. In addition, Mereo has two oncology product candidates, etigilimab, an anti-TIGIT; and navicixizumab for the potential treatment of late-line ovarian cancer. Navicixizumab has been partnered with Feng Biosciences, Inc. in a global licensing agreement that includes milestone payments and royalties.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as well as assumptions that, if they never materialize or prove incorrect, could cause our results to differ materially from those expressed or implied by such forward-looking statements.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reflect our current expectations, beliefs and assumptions concerning future events or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Risks and uncertainties include, among other things, the uncertainties inherent in the clinical development process; the Company’s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the Company’s dependence on enrollment of patients in its clinical trials; potentially smaller than anticipated market opportunities for the Company's product candidates; the Company’s dependence on its key executives; and the Company’s ability to maintain compliance with Nasdaq continued listing requirements.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720" w:type="dxa"/>
            <w:vAlign w:val="bottom"/>
          </w:tcPr>
          <w:p>
            <w:pPr>
              <w:spacing w:after="0"/>
              <w:rPr>
                <w:sz w:val="24"/>
                <w:szCs w:val="24"/>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720" w:type="dxa"/>
            <w:vAlign w:val="bottom"/>
          </w:tcPr>
          <w:p>
            <w:pPr>
              <w:spacing w:after="0"/>
              <w:rPr>
                <w:sz w:val="24"/>
                <w:szCs w:val="24"/>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Roth</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Investors</w:t>
            </w:r>
          </w:p>
        </w:tc>
        <w:tc>
          <w:tcPr>
            <w:tcW w:w="5540" w:type="dxa"/>
            <w:vAlign w:val="bottom"/>
            <w:gridSpan w:val="4"/>
          </w:tcPr>
          <w:p>
            <w:pPr>
              <w:ind w:left="1420"/>
              <w:spacing w:after="0" w:line="198" w:lineRule="exact"/>
              <w:rPr>
                <w:sz w:val="20"/>
                <w:szCs w:val="20"/>
                <w:color w:val="auto"/>
              </w:rPr>
            </w:pPr>
            <w:r>
              <w:rPr>
                <w:rFonts w:ascii="Times New Roman" w:cs="Times New Roman" w:eastAsia="Times New Roman" w:hAnsi="Times New Roman"/>
                <w:sz w:val="18"/>
                <w:szCs w:val="18"/>
                <w:color w:val="0432FF"/>
              </w:rPr>
              <w:t>investors@mereobiopharma.com</w:t>
            </w:r>
          </w:p>
        </w:tc>
      </w:tr>
      <w:tr>
        <w:trPr>
          <w:trHeight w:val="1863"/>
        </w:trPr>
        <w:tc>
          <w:tcPr>
            <w:tcW w:w="5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0" w:type="dxa"/>
            <w:vAlign w:val="bottom"/>
            <w:tcBorders>
              <w:top w:val="single" w:sz="8" w:color="0432FF"/>
              <w:bottom w:val="single" w:sz="8" w:color="9A9A9A"/>
            </w:tcBorders>
          </w:tcPr>
          <w:p>
            <w:pPr>
              <w:spacing w:after="0"/>
              <w:rPr>
                <w:sz w:val="24"/>
                <w:szCs w:val="24"/>
                <w:color w:val="auto"/>
              </w:rPr>
            </w:pPr>
          </w:p>
        </w:tc>
        <w:tc>
          <w:tcPr>
            <w:tcW w:w="2100" w:type="dxa"/>
            <w:vAlign w:val="bottom"/>
            <w:tcBorders>
              <w:top w:val="single" w:sz="8" w:color="0432FF"/>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45,020</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40,614</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r>
      <w:tr>
        <w:trPr>
          <w:trHeight w:val="209"/>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6,560</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5,001</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8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798,078,829 shares issued at March 31, 2026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795,658,504)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20"/>
                <w:szCs w:val="20"/>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549,622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(507,538)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(501,018)</w:t>
            </w: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(12,571)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(10,823)</w:t>
            </w:r>
          </w:p>
        </w:tc>
      </w:tr>
      <w:tr>
        <w:trPr>
          <w:trHeight w:val="210"/>
        </w:trPr>
        <w:tc>
          <w:tcPr>
            <w:tcW w:w="6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34,054</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40,916</w:t>
            </w:r>
          </w:p>
        </w:tc>
        <w:tc>
          <w:tcPr>
            <w:tcW w:w="100" w:type="dxa"/>
            <w:vAlign w:val="bottom"/>
            <w:tcBorders>
              <w:top w:val="single" w:sz="8" w:color="CFF0FC"/>
            </w:tcBorders>
          </w:tcPr>
          <w:p>
            <w:pPr>
              <w:spacing w:after="0"/>
              <w:rPr>
                <w:sz w:val="18"/>
                <w:szCs w:val="18"/>
                <w:color w:val="auto"/>
              </w:rPr>
            </w:pPr>
          </w:p>
        </w:tc>
      </w:tr>
      <w:tr>
        <w:trPr>
          <w:trHeight w:val="24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40,614</w:t>
            </w: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45,917</w:t>
            </w:r>
          </w:p>
        </w:tc>
        <w:tc>
          <w:tcPr>
            <w:tcW w:w="100" w:type="dxa"/>
            <w:vAlign w:val="bottom"/>
            <w:shd w:val="clear" w:color="auto" w:fill="CFF0FC"/>
          </w:tcPr>
          <w:p>
            <w:pPr>
              <w:spacing w:after="0"/>
              <w:rPr>
                <w:sz w:val="21"/>
                <w:szCs w:val="21"/>
                <w:color w:val="auto"/>
              </w:rPr>
            </w:pPr>
          </w:p>
        </w:tc>
      </w:tr>
      <w:tr>
        <w:trPr>
          <w:trHeight w:val="960"/>
        </w:trPr>
        <w:tc>
          <w:tcPr>
            <w:tcW w:w="684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5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6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-4191000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-3634105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-2082165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-950595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-659765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-642620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(3,930)</w:t>
            </w:r>
          </w:p>
        </w:tc>
      </w:tr>
      <w:tr>
        <w:trPr>
          <w:trHeight w:val="216"/>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(7,272)</w:t>
            </w: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(11,202)</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warrants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(6,719)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(6,719)</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(12,887)</w:t>
            </w:r>
          </w:p>
        </w:tc>
      </w:tr>
      <w:tr>
        <w:trPr>
          <w:trHeight w:val="20"/>
        </w:trPr>
        <w:tc>
          <w:tcPr>
            <w:tcW w:w="6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801,805,570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784,279,387</w:t>
            </w:r>
          </w:p>
        </w:tc>
        <w:tc>
          <w:tcPr>
            <w:tcW w:w="100" w:type="dxa"/>
            <w:vAlign w:val="bottom"/>
            <w:shd w:val="clear" w:color="auto" w:fill="CFF0FC"/>
          </w:tcPr>
          <w:p>
            <w:pPr>
              <w:spacing w:after="0"/>
              <w:rPr>
                <w:sz w:val="18"/>
                <w:szCs w:val="18"/>
                <w:color w:val="auto"/>
              </w:rPr>
            </w:pPr>
          </w:p>
        </w:tc>
      </w:tr>
      <w:tr>
        <w:trPr>
          <w:trHeight w:val="43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(12,887)</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 adjustments, net of tax</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(8,467)</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(9,328)</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0"/>
        </w:trPr>
        <w:tc>
          <w:tcPr>
            <w:tcW w:w="6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-3051175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-1653540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-1637030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-1637030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-805180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2026-05-12T06:35:24Z</dcterms:created>
  <dcterms:modified xsi:type="dcterms:W3CDTF">2026-05-12T06:35:24Z</dcterms:modified>
</cp:coreProperties>
</file>