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58096d6k.htm"/>
      <w:bookmarkStart w:id="1" w:name="ksd258096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PURSUANT </w:t>
      </w:r>
    </w:p>
    <w:p>
      <w:pPr>
        <w:pStyle w:val="TextBody"/>
        <w:spacing w:before="0" w:after="0"/>
        <w:jc w:val="center"/>
        <w:rPr>
          <w:rFonts w:ascii="Times New Roman" w:hAnsi="Times New Roman"/>
          <w:b/>
          <w:sz w:val="24"/>
        </w:rPr>
      </w:pPr>
      <w:r>
        <w:rPr>
          <w:rFonts w:ascii="Times New Roman" w:hAnsi="Times New Roman"/>
          <w:b/>
          <w:sz w:val="24"/>
        </w:rPr>
        <w:t xml:space="preserve">TO RULE 13a-16 or 15d-16 UNDER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May,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001-38452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MEREO BIOPHARMA GROUP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4th Floor, One Cavendish Place,</w:t>
      </w:r>
    </w:p>
    <w:p>
      <w:pPr>
        <w:pStyle w:val="TextBody"/>
        <w:spacing w:before="0" w:after="0"/>
        <w:jc w:val="center"/>
        <w:rPr>
          <w:rFonts w:ascii="Times New Roman" w:hAnsi="Times New Roman"/>
          <w:b/>
          <w:sz w:val="20"/>
        </w:rPr>
      </w:pPr>
      <w:r>
        <w:rPr>
          <w:rFonts w:ascii="Times New Roman" w:hAnsi="Times New Roman"/>
          <w:b/>
          <w:sz w:val="20"/>
        </w:rPr>
        <w:t>London, W1G 0QF, United Kingdom</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MEREO BIOPHARMA GROUP PLC </w:t>
      </w:r>
    </w:p>
    <w:p>
      <w:pPr>
        <w:pStyle w:val="TextBody"/>
        <w:spacing w:before="0" w:after="0"/>
        <w:jc w:val="center"/>
        <w:rPr>
          <w:rFonts w:ascii="Times New Roman" w:hAnsi="Times New Roman"/>
          <w:sz w:val="20"/>
        </w:rPr>
      </w:pPr>
      <w:r>
        <w:rPr>
          <w:rFonts w:ascii="Times New Roman" w:hAnsi="Times New Roman"/>
          <w:sz w:val="20"/>
        </w:rPr>
        <w:t xml:space="preserve">(the Company) </w:t>
      </w:r>
    </w:p>
    <w:p>
      <w:pPr>
        <w:pStyle w:val="TextBody"/>
        <w:spacing w:before="0" w:after="0"/>
        <w:jc w:val="center"/>
        <w:rPr>
          <w:rFonts w:ascii="Times New Roman" w:hAnsi="Times New Roman"/>
          <w:sz w:val="20"/>
        </w:rPr>
      </w:pPr>
      <w:r>
        <w:rPr>
          <w:rFonts w:ascii="Times New Roman" w:hAnsi="Times New Roman"/>
          <w:sz w:val="20"/>
        </w:rPr>
        <w:t xml:space="preserve">Notice of Transfer of Listing to the Nasdaq Capital Market </w:t>
      </w:r>
    </w:p>
    <w:p>
      <w:pPr>
        <w:pStyle w:val="TextBody"/>
        <w:spacing w:before="240" w:after="0"/>
        <w:jc w:val="left"/>
        <w:rPr>
          <w:rFonts w:ascii="Times New Roman" w:hAnsi="Times New Roman"/>
          <w:sz w:val="20"/>
        </w:rPr>
      </w:pPr>
      <w:r>
        <w:rPr>
          <w:rFonts w:ascii="Times New Roman" w:hAnsi="Times New Roman"/>
          <w:sz w:val="20"/>
        </w:rPr>
        <w:t xml:space="preserve">On April 3, 2023, Mereo BioPharma Group plc (the Company) submitted to the Listing Qualifications Department of the Nasdaq Stock Market (Nasdaq) an application to transfer the listing of its American Depositary Shares (ADSs) representing ordinary shares of the Company from the Nasdaq Global Market to the Nasdaq Capital Market. On May 2, 2023 the Company received notice from Nasdaq that its application to transfer the listing of its ADSs had been approved. The transfer became effective at the opening of business May 3, 2023. The Companys ADSs will continue to trade under the symbol MREO and will not be affected by this change in listing. </w:t>
      </w:r>
    </w:p>
    <w:p>
      <w:pPr>
        <w:pStyle w:val="TextBody"/>
        <w:spacing w:before="240" w:after="0"/>
        <w:jc w:val="left"/>
        <w:rPr>
          <w:rFonts w:ascii="Times New Roman" w:hAnsi="Times New Roman"/>
          <w:sz w:val="20"/>
        </w:rPr>
      </w:pPr>
      <w:r>
        <w:rPr>
          <w:rFonts w:ascii="Times New Roman" w:hAnsi="Times New Roman"/>
          <w:sz w:val="20"/>
        </w:rPr>
        <w:t xml:space="preserve">The Nasdaq Global Market and the Nasdaq Capital Market are each market tiers of Nasdaq and the Nasdaq Capital Market is a continuous trading market that operates in the same manner as the Nasdaq Global Market. All companies listed on the Nasdaq Capital Market must meet certain financial requirements and adhere to Nasdaqs corporate governance standards. The Company believes it is in compliance with all applicable criteria for continued listing on the Nasdaq Capital Market, but for the $1.00 bid price requirement, as previously announced in the Form 6-K filed by the Company on November 2, 2022. In connection with the transfer to the Nasdaq Capital Market, Nasdaq granted the Company an additional 180-day period (or until October 30, 2023) to regain compliance with the requirement set forth in Nasdaq Listing Rule 5450(a)(1) that the bid price of the Companys ADSs meet or exceed $1.00 per ADS for at least ten consecutive business days. If at any time before October 30, 2023 the closing bid price of the Companys ADSs is at least $1.00 per share for a minimum of 10 consecutive business days, Nasdaq will provide written confirmation of compliance and this matter will be closed. </w:t>
      </w:r>
    </w:p>
    <w:p>
      <w:pPr>
        <w:pStyle w:val="TextBody"/>
        <w:spacing w:before="240" w:after="0"/>
        <w:jc w:val="left"/>
        <w:rPr>
          <w:rFonts w:ascii="Times New Roman" w:hAnsi="Times New Roman"/>
          <w:sz w:val="20"/>
        </w:rPr>
      </w:pPr>
      <w:r>
        <w:rPr>
          <w:rFonts w:ascii="Times New Roman" w:hAnsi="Times New Roman"/>
          <w:sz w:val="20"/>
        </w:rPr>
        <w:t xml:space="preserve">At the close of business today, May 5, 2023, the closing bid price of the Companys ADSs met or exceeded $1.00 per ADS for the last ten consecutive business days. The Company will provide a further update following receipt of any written confirmation from Nasdaq in compliance with Nasdaq Listing Rule 5450(a)(1). On May 5, 2023 the Company issued a press release with details of the transfer of its ADSs to the Nasdaq Capital Market a copy of which is attached as exhibit 99.1 hereto and incorporated by reference herein. </w:t>
      </w:r>
    </w:p>
    <w:p>
      <w:pPr>
        <w:pStyle w:val="TextBody"/>
        <w:spacing w:before="240" w:after="0"/>
        <w:jc w:val="left"/>
        <w:rPr>
          <w:rFonts w:ascii="Times New Roman" w:hAnsi="Times New Roman"/>
          <w:sz w:val="20"/>
        </w:rPr>
      </w:pPr>
      <w:r>
        <w:rPr>
          <w:rFonts w:ascii="Times New Roman" w:hAnsi="Times New Roman"/>
          <w:sz w:val="20"/>
        </w:rPr>
        <w:t>The contents of this Report on Form 6-K are incorporated by reference into the Companys Registration Statement on Form F-3 (File No. 333-258495) and its Registration Statements on Form S-8 (File Numbers 333-269388, 333-231636, 333-236498, 333-252147 and 333-262151).</w:t>
      </w:r>
    </w:p>
    <w:p>
      <w:pPr>
        <w:pStyle w:val="TextBody"/>
        <w:spacing w:before="240" w:after="0"/>
        <w:jc w:val="left"/>
        <w:rPr>
          <w:rFonts w:ascii="Times New Roman" w:hAnsi="Times New Roman"/>
          <w:b/>
          <w:sz w:val="20"/>
          <w:u w:val="single"/>
        </w:rPr>
      </w:pPr>
      <w:r>
        <w:rPr>
          <w:rFonts w:ascii="Times New Roman" w:hAnsi="Times New Roman"/>
          <w:b/>
          <w:sz w:val="20"/>
          <w:u w:val="single"/>
        </w:rPr>
        <w:t xml:space="preserve">Exhibit Index </w:t>
      </w:r>
    </w:p>
    <w:p>
      <w:pPr>
        <w:pStyle w:val="TextBody"/>
        <w:spacing w:before="120" w:after="0"/>
        <w:jc w:val="left"/>
        <w:rPr>
          <w:rFonts w:ascii="Times New Roman" w:hAnsi="Times New Roman"/>
          <w:b/>
          <w:sz w:val="20"/>
        </w:rPr>
      </w:pPr>
      <w:r>
        <w:rPr>
          <w:rFonts w:ascii="Times New Roman" w:hAnsi="Times New Roman"/>
          <w:b/>
          <w:sz w:val="20"/>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7"/>
        <w:gridCol w:w="337"/>
        <w:gridCol w:w="9411"/>
      </w:tblGrid>
      <w:tr>
        <w:trPr/>
        <w:tc>
          <w:tcPr>
            <w:tcW w:w="45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9411" w:type="dxa"/>
            <w:tcBorders/>
            <w:shd w:fill="auto" w:val="clear"/>
            <w:vAlign w:val="center"/>
          </w:tcPr>
          <w:p>
            <w:pPr>
              <w:pStyle w:val="TableContents"/>
              <w:spacing w:before="0" w:after="283"/>
              <w:rPr>
                <w:sz w:val="4"/>
                <w:szCs w:val="4"/>
              </w:rPr>
            </w:pPr>
            <w:r>
              <w:rPr>
                <w:sz w:val="4"/>
                <w:szCs w:val="4"/>
              </w:rPr>
            </w:r>
          </w:p>
        </w:tc>
      </w:tr>
      <w:tr>
        <w:trPr/>
        <w:tc>
          <w:tcPr>
            <w:tcW w:w="457" w:type="dxa"/>
            <w:tcBorders/>
            <w:shd w:fill="auto" w:val="clear"/>
          </w:tcPr>
          <w:p>
            <w:pPr>
              <w:pStyle w:val="TableContents"/>
              <w:spacing w:before="0" w:after="283"/>
              <w:rPr/>
            </w:pPr>
            <w:r>
              <w:rPr/>
              <w:t>99.1</w:t>
            </w:r>
          </w:p>
        </w:tc>
        <w:tc>
          <w:tcPr>
            <w:tcW w:w="337" w:type="dxa"/>
            <w:tcBorders/>
            <w:shd w:fill="auto" w:val="clear"/>
            <w:vAlign w:val="bottom"/>
          </w:tcPr>
          <w:p>
            <w:pPr>
              <w:pStyle w:val="TableContents"/>
              <w:spacing w:before="0" w:after="283"/>
              <w:rPr/>
            </w:pPr>
            <w:r>
              <w:rPr/>
              <w:t>  </w:t>
            </w:r>
          </w:p>
        </w:tc>
        <w:tc>
          <w:tcPr>
            <w:tcW w:w="9411" w:type="dxa"/>
            <w:tcBorders/>
            <w:shd w:fill="auto" w:val="clear"/>
          </w:tcPr>
          <w:p>
            <w:pPr>
              <w:pStyle w:val="TableContents"/>
              <w:spacing w:before="0" w:after="283"/>
              <w:rPr/>
            </w:pPr>
            <w:hyperlink w:anchor="d258096dex991.htm">
              <w:r>
                <w:rPr>
                  <w:rStyle w:val="InternetLink"/>
                </w:rPr>
                <w:t xml:space="preserve">Press release dated May 5, 2023 </w:t>
              </w:r>
            </w:hyperlink>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 May 5,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0"/>
        <w:gridCol w:w="60"/>
        <w:gridCol w:w="3652"/>
      </w:tblGrid>
      <w:tr>
        <w:trPr/>
        <w:tc>
          <w:tcPr>
            <w:tcW w:w="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MEREO BIOPHARMA GROUP PLC</w:t>
            </w:r>
          </w:p>
        </w:tc>
      </w:tr>
      <w:tr>
        <w:trPr>
          <w:trHeight w:val="240" w:hRule="atLeast"/>
        </w:trPr>
        <w:tc>
          <w:tcPr>
            <w:tcW w:w="370" w:type="dxa"/>
            <w:tcBorders/>
            <w:shd w:fill="auto" w:val="clear"/>
            <w:vAlign w:val="center"/>
          </w:tcPr>
          <w:p>
            <w:pPr>
              <w:pStyle w:val="TableContents"/>
              <w:spacing w:before="0" w:after="283"/>
              <w:rPr>
                <w:sz w:val="4"/>
                <w:szCs w:val="4"/>
              </w:rPr>
            </w:pPr>
            <w:r>
              <w:rPr>
                <w:sz w:val="4"/>
                <w:szCs w:val="4"/>
              </w:rPr>
            </w:r>
          </w:p>
        </w:tc>
        <w:tc>
          <w:tcPr>
            <w:tcW w:w="3712" w:type="dxa"/>
            <w:gridSpan w:val="2"/>
            <w:tcBorders/>
            <w:shd w:fill="auto" w:val="clear"/>
            <w:vAlign w:val="center"/>
          </w:tcPr>
          <w:p>
            <w:pPr>
              <w:pStyle w:val="TableContents"/>
              <w:spacing w:before="0" w:after="283"/>
              <w:rPr>
                <w:sz w:val="4"/>
                <w:szCs w:val="4"/>
              </w:rPr>
            </w:pPr>
            <w:r>
              <w:rPr>
                <w:sz w:val="4"/>
                <w:szCs w:val="4"/>
              </w:rPr>
            </w:r>
          </w:p>
        </w:tc>
      </w:tr>
      <w:tr>
        <w:trPr/>
        <w:tc>
          <w:tcPr>
            <w:tcW w:w="37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Charles Sermon</w:t>
            </w:r>
          </w:p>
        </w:tc>
      </w:tr>
      <w:tr>
        <w:trPr/>
        <w:tc>
          <w:tcPr>
            <w:tcW w:w="3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2" w:type="dxa"/>
            <w:tcBorders/>
            <w:shd w:fill="auto" w:val="clear"/>
          </w:tcPr>
          <w:p>
            <w:pPr>
              <w:pStyle w:val="TableContents"/>
              <w:spacing w:before="0" w:after="283"/>
              <w:rPr/>
            </w:pPr>
            <w:r>
              <w:rPr/>
              <w:t>Name: Charles Sermon</w:t>
            </w:r>
          </w:p>
        </w:tc>
      </w:tr>
      <w:tr>
        <w:trPr/>
        <w:tc>
          <w:tcPr>
            <w:tcW w:w="3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2" w:type="dxa"/>
            <w:tcBorders/>
            <w:shd w:fill="auto" w:val="clear"/>
          </w:tcPr>
          <w:p>
            <w:pPr>
              <w:pStyle w:val="TableContents"/>
              <w:spacing w:before="0" w:after="283"/>
              <w:rPr/>
            </w:pPr>
            <w:r>
              <w:rPr/>
              <w:t>Title: General Counsel</w:t>
            </w:r>
          </w:p>
        </w:tc>
      </w:tr>
    </w:tbl>
    <w:p>
      <w:pPr>
        <w:pStyle w:val="TextBody"/>
        <w:spacing w:before="0" w:after="0"/>
        <w:jc w:val="right"/>
        <w:rPr>
          <w:rFonts w:ascii="Times New Roman" w:hAnsi="Times New Roman"/>
          <w:b/>
          <w:sz w:val="20"/>
        </w:rPr>
      </w:pPr>
      <w:r>
        <w:br w:type="page"/>
      </w:r>
      <w:bookmarkStart w:id="2" w:name="d258096dex991.htm"/>
      <w:bookmarkStart w:id="3" w:name="ksd258096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Mereo BioPharma Announces Listing Transfer to Nasdaq Capital Market </w:t>
      </w:r>
    </w:p>
    <w:p>
      <w:pPr>
        <w:pStyle w:val="TextBody"/>
        <w:spacing w:before="240" w:after="0"/>
        <w:jc w:val="left"/>
        <w:rPr>
          <w:rFonts w:ascii="Times New Roman" w:hAnsi="Times New Roman"/>
          <w:sz w:val="20"/>
        </w:rPr>
      </w:pPr>
      <w:r>
        <w:rPr>
          <w:rFonts w:ascii="Times New Roman" w:hAnsi="Times New Roman"/>
          <w:b/>
          <w:sz w:val="20"/>
        </w:rPr>
        <w:t>London, May</w:t>
      </w:r>
      <w:r>
        <w:rPr>
          <w:rFonts w:ascii="Times New Roman" w:hAnsi="Times New Roman"/>
          <w:sz w:val="20"/>
        </w:rPr>
        <w:t> </w:t>
      </w:r>
      <w:r>
        <w:rPr>
          <w:rFonts w:ascii="Times New Roman" w:hAnsi="Times New Roman"/>
          <w:b/>
          <w:sz w:val="20"/>
        </w:rPr>
        <w:t>5, 2023</w:t>
      </w:r>
      <w:r>
        <w:rPr>
          <w:rFonts w:ascii="Times New Roman" w:hAnsi="Times New Roman"/>
          <w:sz w:val="20"/>
        </w:rPr>
        <w:t xml:space="preserve"> - Mereo BioPharma Group plc (NASDAQ: MREO) (Mereo or the Company), a clinical-stage biopharmaceutical company focused on rare diseases, today announced that it has received approval from Listing Qualifications Department of the Nasdaq Stock Market (Nasdaq) to transfer the listing of its American Depositary Shares (ADSs) from the Nasdaq Global Market to the Nasdaq Capital Market. This transfer became effective at the opening of business on May 3, 2023. </w:t>
      </w:r>
    </w:p>
    <w:p>
      <w:pPr>
        <w:pStyle w:val="TextBody"/>
        <w:spacing w:before="240" w:after="0"/>
        <w:jc w:val="left"/>
        <w:rPr>
          <w:rFonts w:ascii="Times New Roman" w:hAnsi="Times New Roman"/>
          <w:sz w:val="20"/>
        </w:rPr>
      </w:pPr>
      <w:r>
        <w:rPr>
          <w:rFonts w:ascii="Times New Roman" w:hAnsi="Times New Roman"/>
          <w:sz w:val="20"/>
        </w:rPr>
        <w:t xml:space="preserve">The Nasdaq Global Market and the Nasdaq Capital Market are each market tiers of Nasdaq and the Nasdaq Capital Market is a continuous trading market that operates in the same manner as the Nasdaq Global Market. Therefore, the Companys ADSs continue to trade under the ticker symbol MREO and are not affected by this change to the listing. The approval by Nasdaq was based upon the Company meeting the applicable market value of publicly held shares requirement for continued listing and all other applicable requirements for initial listing on the Capital Market, except for the bid price requirement. </w:t>
      </w:r>
    </w:p>
    <w:p>
      <w:pPr>
        <w:pStyle w:val="TextBody"/>
        <w:spacing w:before="240" w:after="0"/>
        <w:jc w:val="left"/>
        <w:rPr>
          <w:rFonts w:ascii="Times New Roman" w:hAnsi="Times New Roman"/>
          <w:sz w:val="20"/>
        </w:rPr>
      </w:pPr>
      <w:r>
        <w:rPr>
          <w:rFonts w:ascii="Times New Roman" w:hAnsi="Times New Roman"/>
          <w:sz w:val="20"/>
        </w:rPr>
        <w:t xml:space="preserve">In connection with the transfer to the Nasdaq Capital Market, the Company became eligible for an additional 180-day period (or until October 30, 2023) to regain compliance with the requirement set forth in Nasdaq Listing Rule 5450(a)(1) that the bid price of the Companys ADSs meet or exceed $1.00 per ADS for at least ten consecutive business days. As of May 5, 2023, the closing bid price of the Companys ADSs had exceeded the $1.00 minimum per ADS for 10 consecutive business days and as a result, the Company believes that it has regained compliance with the relevant listing rule. The Company will provide a further update on its compliance upon receipt of a formal written notification from Nasdaq. </w:t>
      </w:r>
    </w:p>
    <w:p>
      <w:pPr>
        <w:pStyle w:val="TextBody"/>
        <w:spacing w:before="360" w:after="0"/>
        <w:jc w:val="left"/>
        <w:rPr>
          <w:rFonts w:ascii="Times New Roman" w:hAnsi="Times New Roman"/>
          <w:b/>
          <w:sz w:val="20"/>
        </w:rPr>
      </w:pPr>
      <w:r>
        <w:rPr>
          <w:rFonts w:ascii="Times New Roman" w:hAnsi="Times New Roman"/>
          <w:b/>
          <w:sz w:val="20"/>
        </w:rPr>
        <w:t xml:space="preserve">About Mereo BioPharma </w:t>
      </w:r>
    </w:p>
    <w:p>
      <w:pPr>
        <w:pStyle w:val="TextBody"/>
        <w:spacing w:before="120" w:after="0"/>
        <w:jc w:val="left"/>
        <w:rPr>
          <w:rFonts w:ascii="Times New Roman" w:hAnsi="Times New Roman"/>
          <w:sz w:val="20"/>
        </w:rPr>
      </w:pPr>
      <w:r>
        <w:rPr>
          <w:rFonts w:ascii="Times New Roman" w:hAnsi="Times New Roman"/>
          <w:sz w:val="20"/>
        </w:rPr>
        <w:t xml:space="preserve">Mereo BioPharma is a biopharmaceutical company focused on the development of innovative therapeutics for rare diseases. The Company has developed a robust portfolio of clinical stage product candidates. The Company has two rare disease product candidates, setrusumab for the treatment of osteogenesis imperfecta (OI) and alvelestat for the treatment of severe alpha-1-antitrypsin deficiency-associated lung disease (AATD-LD) and Bronchiolitis Obliterans Syndrome (BOS). The Companys partner, Ultragenyx Pharmaceutical, Inc., has initiated a pivotal Phase 2/3 pediatric study in young adults (5-25 years old) for setrusumab in OI and expects to initiate a study in pediatric patients (&lt;5 years old) in the first half of 2023. The partnership with Ultragenyx includes potential milestone payments of up to $254 million and royalties to Mereo on commercial sales in Ultragenyx territories. Mereo has retained EU and UK commercial rights and will pay Ultragenyx royalties on commercial sales in those territories.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 - cervical, ovarian, and endometrial; Navicixizumab, for the treatment of late line ovarian cancer, has completed a Phase 1 study and has been partnered with OncXerna Therapeutics, Inc. in a global licensing agreement that includes payments of up to $300 million in milestones and royalties.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073"/>
        <w:gridCol w:w="120"/>
        <w:gridCol w:w="4012"/>
      </w:tblGrid>
      <w:tr>
        <w:trPr/>
        <w:tc>
          <w:tcPr>
            <w:tcW w:w="60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12" w:type="dxa"/>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b/>
                <w:sz w:val="20"/>
              </w:rPr>
            </w:pPr>
            <w:r>
              <w:rPr>
                <w:rFonts w:ascii="Times New Roman" w:hAnsi="Times New Roman"/>
                <w:b/>
                <w:sz w:val="20"/>
              </w:rPr>
              <w:t>Mereo BioPharma Contacts:</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73" w:type="dxa"/>
            <w:tcBorders/>
            <w:shd w:fill="auto" w:val="clear"/>
            <w:vAlign w:val="center"/>
          </w:tcPr>
          <w:p>
            <w:pPr>
              <w:pStyle w:val="TableContents"/>
              <w:spacing w:before="0" w:after="283"/>
              <w:rPr>
                <w:sz w:val="4"/>
                <w:szCs w:val="4"/>
              </w:rPr>
            </w:pPr>
            <w:r>
              <w:rPr>
                <w:sz w:val="4"/>
                <w:szCs w:val="4"/>
              </w:rPr>
            </w:r>
          </w:p>
        </w:tc>
        <w:tc>
          <w:tcPr>
            <w:tcW w:w="4132" w:type="dxa"/>
            <w:gridSpan w:val="2"/>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b/>
                <w:sz w:val="20"/>
              </w:rPr>
            </w:pPr>
            <w:r>
              <w:rPr>
                <w:rFonts w:ascii="Times New Roman" w:hAnsi="Times New Roman"/>
                <w:b/>
                <w:sz w:val="20"/>
              </w:rPr>
              <w:t>Mereo</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b/>
              </w:rPr>
            </w:pPr>
            <w:r>
              <w:rPr>
                <w:b/>
              </w:rPr>
              <w:t>+44 (0)333 023 7300</w:t>
            </w:r>
          </w:p>
        </w:tc>
      </w:tr>
      <w:tr>
        <w:trPr>
          <w:trHeight w:val="120" w:hRule="atLeast"/>
        </w:trPr>
        <w:tc>
          <w:tcPr>
            <w:tcW w:w="6073" w:type="dxa"/>
            <w:tcBorders/>
            <w:shd w:fill="auto" w:val="clear"/>
            <w:vAlign w:val="center"/>
          </w:tcPr>
          <w:p>
            <w:pPr>
              <w:pStyle w:val="TableContents"/>
              <w:spacing w:before="0" w:after="283"/>
              <w:rPr>
                <w:sz w:val="4"/>
                <w:szCs w:val="4"/>
              </w:rPr>
            </w:pPr>
            <w:r>
              <w:rPr>
                <w:sz w:val="4"/>
                <w:szCs w:val="4"/>
              </w:rPr>
            </w:r>
          </w:p>
        </w:tc>
        <w:tc>
          <w:tcPr>
            <w:tcW w:w="4132" w:type="dxa"/>
            <w:gridSpan w:val="2"/>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sz w:val="20"/>
              </w:rPr>
            </w:pPr>
            <w:r>
              <w:rPr>
                <w:rFonts w:ascii="Times New Roman" w:hAnsi="Times New Roman"/>
                <w:sz w:val="20"/>
              </w:rPr>
              <w:t>Denise Scots-Knight, Chief Executive Officer</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73" w:type="dxa"/>
            <w:tcBorders/>
            <w:shd w:fill="auto" w:val="clear"/>
            <w:vAlign w:val="center"/>
          </w:tcPr>
          <w:p>
            <w:pPr>
              <w:pStyle w:val="TableContents"/>
              <w:spacing w:before="0" w:after="283"/>
              <w:rPr>
                <w:sz w:val="4"/>
                <w:szCs w:val="4"/>
              </w:rPr>
            </w:pPr>
            <w:r>
              <w:rPr>
                <w:sz w:val="4"/>
                <w:szCs w:val="4"/>
              </w:rPr>
            </w:r>
          </w:p>
        </w:tc>
        <w:tc>
          <w:tcPr>
            <w:tcW w:w="4132" w:type="dxa"/>
            <w:gridSpan w:val="2"/>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sz w:val="20"/>
              </w:rPr>
            </w:pPr>
            <w:r>
              <w:rPr>
                <w:rFonts w:ascii="Times New Roman" w:hAnsi="Times New Roman"/>
                <w:sz w:val="20"/>
              </w:rPr>
              <w:t>Christine Fox, Chief Financial Officer</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73" w:type="dxa"/>
            <w:tcBorders/>
            <w:shd w:fill="auto" w:val="clear"/>
            <w:vAlign w:val="center"/>
          </w:tcPr>
          <w:p>
            <w:pPr>
              <w:pStyle w:val="TableContents"/>
              <w:spacing w:before="0" w:after="283"/>
              <w:rPr>
                <w:sz w:val="4"/>
                <w:szCs w:val="4"/>
              </w:rPr>
            </w:pPr>
            <w:r>
              <w:rPr>
                <w:sz w:val="4"/>
                <w:szCs w:val="4"/>
              </w:rPr>
            </w:r>
          </w:p>
        </w:tc>
        <w:tc>
          <w:tcPr>
            <w:tcW w:w="4132" w:type="dxa"/>
            <w:gridSpan w:val="2"/>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b/>
                <w:sz w:val="20"/>
              </w:rPr>
            </w:pPr>
            <w:r>
              <w:rPr>
                <w:rFonts w:ascii="Times New Roman" w:hAnsi="Times New Roman"/>
                <w:b/>
                <w:sz w:val="20"/>
              </w:rPr>
              <w:t>Burns McClellan (Investor Relations Adviser to Mereo)</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b/>
              </w:rPr>
            </w:pPr>
            <w:r>
              <w:rPr>
                <w:b/>
              </w:rPr>
              <w:t>+01 646 930 4406</w:t>
            </w:r>
          </w:p>
        </w:tc>
      </w:tr>
      <w:tr>
        <w:trPr>
          <w:trHeight w:val="120" w:hRule="atLeast"/>
        </w:trPr>
        <w:tc>
          <w:tcPr>
            <w:tcW w:w="6073" w:type="dxa"/>
            <w:tcBorders/>
            <w:shd w:fill="auto" w:val="clear"/>
            <w:vAlign w:val="center"/>
          </w:tcPr>
          <w:p>
            <w:pPr>
              <w:pStyle w:val="TableContents"/>
              <w:spacing w:before="0" w:after="283"/>
              <w:rPr>
                <w:sz w:val="4"/>
                <w:szCs w:val="4"/>
              </w:rPr>
            </w:pPr>
            <w:r>
              <w:rPr>
                <w:sz w:val="4"/>
                <w:szCs w:val="4"/>
              </w:rPr>
            </w:r>
          </w:p>
        </w:tc>
        <w:tc>
          <w:tcPr>
            <w:tcW w:w="4132" w:type="dxa"/>
            <w:gridSpan w:val="2"/>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sz w:val="20"/>
              </w:rPr>
            </w:pPr>
            <w:r>
              <w:rPr>
                <w:rFonts w:ascii="Times New Roman" w:hAnsi="Times New Roman"/>
                <w:sz w:val="20"/>
              </w:rPr>
              <w:t>Lee Roth</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073" w:type="dxa"/>
            <w:tcBorders/>
            <w:shd w:fill="auto" w:val="clear"/>
            <w:vAlign w:val="center"/>
          </w:tcPr>
          <w:p>
            <w:pPr>
              <w:pStyle w:val="TableContents"/>
              <w:spacing w:before="0" w:after="283"/>
              <w:rPr>
                <w:sz w:val="4"/>
                <w:szCs w:val="4"/>
              </w:rPr>
            </w:pPr>
            <w:r>
              <w:rPr>
                <w:sz w:val="4"/>
                <w:szCs w:val="4"/>
              </w:rPr>
            </w:r>
          </w:p>
        </w:tc>
        <w:tc>
          <w:tcPr>
            <w:tcW w:w="4132" w:type="dxa"/>
            <w:gridSpan w:val="2"/>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tcPr>
          <w:p>
            <w:pPr>
              <w:pStyle w:val="TableContents"/>
              <w:spacing w:before="0" w:after="0"/>
              <w:rPr>
                <w:rFonts w:ascii="Times New Roman" w:hAnsi="Times New Roman"/>
                <w:b/>
                <w:sz w:val="20"/>
              </w:rPr>
            </w:pPr>
            <w:r>
              <w:rPr>
                <w:rFonts w:ascii="Times New Roman" w:hAnsi="Times New Roman"/>
                <w:b/>
                <w:sz w:val="20"/>
              </w:rPr>
              <w:t>Investors</w:t>
            </w:r>
          </w:p>
        </w:tc>
        <w:tc>
          <w:tcPr>
            <w:tcW w:w="120" w:type="dxa"/>
            <w:tcBorders/>
            <w:shd w:fill="auto" w:val="clear"/>
            <w:vAlign w:val="bottom"/>
          </w:tcPr>
          <w:p>
            <w:pPr>
              <w:pStyle w:val="TableContents"/>
              <w:spacing w:before="0" w:after="283"/>
              <w:rPr/>
            </w:pPr>
            <w:r>
              <w:rPr/>
              <w:t>  </w:t>
            </w:r>
          </w:p>
        </w:tc>
        <w:tc>
          <w:tcPr>
            <w:tcW w:w="4012" w:type="dxa"/>
            <w:tcBorders/>
            <w:shd w:fill="auto" w:val="clear"/>
            <w:vAlign w:val="bottom"/>
          </w:tcPr>
          <w:p>
            <w:pPr>
              <w:pStyle w:val="TableContents"/>
              <w:spacing w:before="0" w:after="283"/>
              <w:rPr>
                <w:u w:val="single"/>
              </w:rPr>
            </w:pPr>
            <w:r>
              <w:rPr>
                <w:u w:val="single"/>
              </w:rPr>
              <w:t>investors@mereobiopharma.com</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1748</Words>
  <CharactersWithSpaces>10698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