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29,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December 29, 2025, Mereo BioPharma Group plc (“Mereo” or the “Company”) issued a press release announcing the results from the Phase 3 Orbit and Cosmic studies evaluating setrusumab (UX143) in pediatric and young adult patients with osteogenesis imperfecta (OI). A copy of the press release is attached hereto as Exhibit 99.1.</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(the “Securities Act”) or the Exchange Act, except as shall be expressly set forth by reference in such a filing.</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December 29, 2025, the Company announced the results from the Phase 3 Orbit and Cosmic studies evaluating setrusumab (UX143) in pediatric and young adult patients with osteogenesis imperfecta (OI). Neither study achieved statistical significance against the primary endpoints of reduction in annualized clinical fracture rate compared to placebo or bisphosphonates, respectively. Both studies achieved their secondary endpoints of improvements in bone mineral density (BMD) against comparators (placebo and bisphosphonates) with strong statistical significance. There was no change in the safety profile observed.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ORBIT and COSMIC bone mineral density (BMD) improvements</w:t>
      </w:r>
    </w:p>
    <w:p>
      <w:pPr>
        <w:spacing w:after="0" w:line="24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the Orbit study, participants experienced statistically significant and substantial improvements in BMD compared to placebo, at levels consistent with the treatment effect observed in Phase 2 studies. These BMD changes were not accompanied by a corresponding reduction in annualized fracture rates and there was a low fracture rate in the placebo group.</w:t>
      </w:r>
    </w:p>
    <w:p>
      <w:pPr>
        <w:spacing w:after="0" w:line="189" w:lineRule="exact"/>
        <w:rPr>
          <w:sz w:val="20"/>
          <w:szCs w:val="20"/>
          <w:color w:val="auto"/>
        </w:rPr>
      </w:pPr>
    </w:p>
    <w:p>
      <w:pPr>
        <w:jc w:val="both"/>
        <w:ind w:right="180" w:firstLine="648"/>
        <w:spacing w:after="0" w:line="289" w:lineRule="auto"/>
        <w:rPr>
          <w:sz w:val="20"/>
          <w:szCs w:val="20"/>
          <w:color w:val="auto"/>
        </w:rPr>
      </w:pPr>
      <w:r>
        <w:rPr>
          <w:rFonts w:ascii="Times New Roman" w:cs="Times New Roman" w:eastAsia="Times New Roman" w:hAnsi="Times New Roman"/>
          <w:sz w:val="17"/>
          <w:szCs w:val="17"/>
          <w:color w:val="auto"/>
        </w:rPr>
        <w:t>In the pediatric Cosmic study, patients had a substantially higher baseline fracture rate compared to the patients enrolled in Orbit. In this younger patient population, meaningful improvements in BMD were associated with a reduction in annualized fracture rate for setrusumab treated patients over bisphosphonate treated patients, though the reduction did not meet statistical significance.</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Additional analyses on the data across both studies are being conducted, including in other bone health and clinical endpoints beyond fractures.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950595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2" w:name="page3"/>
    <w:bookmarkEnd w:id="2"/>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exhibit relating to Item 7.01 shall be deemed to be furnished, and not filed: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34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December 29, 2025</w:t>
            </w:r>
            <w:r>
              <w:rPr>
                <w:rFonts w:ascii="Times New Roman" w:cs="Times New Roman" w:eastAsia="Times New Roman" w:hAnsi="Times New Roman"/>
                <w:sz w:val="18"/>
                <w:szCs w:val="18"/>
                <w:color w:val="000000"/>
              </w:rPr>
              <w:t>.</w:t>
            </w:r>
          </w:p>
        </w:tc>
      </w:tr>
      <w:tr>
        <w:trPr>
          <w:trHeight w:val="20"/>
        </w:trPr>
        <w:tc>
          <w:tcPr>
            <w:tcW w:w="1640" w:type="dxa"/>
            <w:vAlign w:val="bottom"/>
            <w:gridSpan w:val="2"/>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EE"/>
            </w:tcBorders>
            <w:gridSpan w:val="2"/>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1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19"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980" w:type="dxa"/>
            <w:vAlign w:val="bottom"/>
            <w:gridSpan w:val="4"/>
          </w:tcPr>
          <w:p>
            <w:pPr>
              <w:ind w:left="156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December 29, 2025</w:t>
            </w:r>
          </w:p>
        </w:tc>
        <w:tc>
          <w:tcPr>
            <w:tcW w:w="6980" w:type="dxa"/>
            <w:vAlign w:val="bottom"/>
            <w:gridSpan w:val="4"/>
          </w:tcPr>
          <w:p>
            <w:pPr>
              <w:ind w:left="1560"/>
              <w:spacing w:after="0"/>
              <w:rPr>
                <w:sz w:val="20"/>
                <w:szCs w:val="20"/>
                <w:color w:val="auto"/>
              </w:rPr>
            </w:pPr>
            <w:r>
              <w:rPr>
                <w:rFonts w:ascii="Times New Roman" w:cs="Times New Roman" w:eastAsia="Times New Roman" w:hAnsi="Times New Roman"/>
                <w:sz w:val="18"/>
                <w:szCs w:val="18"/>
                <w:color w:val="auto"/>
              </w:rPr>
              <w:t>By:  /s/ Christine Fox</w:t>
            </w:r>
          </w:p>
        </w:tc>
      </w:tr>
      <w:tr>
        <w:trPr>
          <w:trHeight w:val="191"/>
        </w:trPr>
        <w:tc>
          <w:tcPr>
            <w:tcW w:w="4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Christine Fox</w:t>
            </w:r>
          </w:p>
        </w:tc>
        <w:tc>
          <w:tcPr>
            <w:tcW w:w="660" w:type="dxa"/>
            <w:vAlign w:val="bottom"/>
          </w:tcPr>
          <w:p>
            <w:pPr>
              <w:spacing w:after="0"/>
              <w:rPr>
                <w:sz w:val="16"/>
                <w:szCs w:val="16"/>
                <w:color w:val="auto"/>
              </w:rPr>
            </w:pPr>
          </w:p>
        </w:tc>
      </w:tr>
      <w:tr>
        <w:trPr>
          <w:trHeight w:val="234"/>
        </w:trPr>
        <w:tc>
          <w:tcPr>
            <w:tcW w:w="4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40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05"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Mereo BioPharma Announces Phase 3 ORBIT and COSMIC Results for Setrusumab (UX143)</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in Osteogenesis Imperfecta</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1"/>
          <w:szCs w:val="21"/>
          <w:i w:val="1"/>
          <w:iCs w:val="1"/>
          <w:color w:val="auto"/>
        </w:rPr>
        <w:t>Neither study achieved its primary endpoint of reduction in annualized clinical fracture rate compared</w:t>
      </w:r>
    </w:p>
    <w:p>
      <w:pPr>
        <w:spacing w:after="0" w:line="22" w:lineRule="exact"/>
        <w:rPr>
          <w:sz w:val="20"/>
          <w:szCs w:val="20"/>
          <w:color w:val="auto"/>
        </w:rPr>
      </w:pPr>
    </w:p>
    <w:p>
      <w:pPr>
        <w:ind w:left="2420"/>
        <w:spacing w:after="0"/>
        <w:rPr>
          <w:sz w:val="20"/>
          <w:szCs w:val="20"/>
          <w:color w:val="auto"/>
        </w:rPr>
      </w:pPr>
      <w:r>
        <w:rPr>
          <w:rFonts w:ascii="Arial" w:cs="Arial" w:eastAsia="Arial" w:hAnsi="Arial"/>
          <w:sz w:val="22"/>
          <w:szCs w:val="22"/>
          <w:i w:val="1"/>
          <w:iCs w:val="1"/>
          <w:color w:val="auto"/>
        </w:rPr>
        <w:t>to placebo (ORBIT) or bisphosphonates (COSMIC)</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Both studies achieved secondary endpoint of improvements in bone mineral density with strong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statistical significance</w:t>
      </w:r>
    </w:p>
    <w:p>
      <w:pPr>
        <w:spacing w:after="0" w:line="319"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b w:val="1"/>
          <w:bCs w:val="1"/>
          <w:color w:val="auto"/>
        </w:rPr>
        <w:t xml:space="preserve">London, December 29, 2025 </w:t>
      </w:r>
      <w:r>
        <w:rPr>
          <w:rFonts w:ascii="Arial" w:cs="Arial" w:eastAsia="Arial" w:hAnsi="Arial"/>
          <w:sz w:val="22"/>
          <w:szCs w:val="22"/>
          <w:color w:val="auto"/>
        </w:rPr>
        <w:t>– Mereo BioPharma Group plc (NASDAQ: MREO) (“Mereo”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clinical stage biopharmaceutical company focused on rare diseases, today announced results from the Phase 3 ORBIT and COSMIC studies for setrusumab (UX143) in Osteogenesis Imperfecta (OI). Neither study achieved statistical significance against the primary endpoints of reduction in annualized clinical fracture rate compared to placebo or bisphosphonates, respectively. Both studies achieved their secondary endpoints of improvements in bone mineral density (BMD) against comparators (placebo and bisphosphonates) with strong statistical significance. There was no change in the safety profile observed.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“Whilst we are disappointed by these results, we will be conducting additional analyses on the data, to assess next steps and the best path forward for the program, especially in pediatrics given the totality of the data and lack of other treatment options for individuals with OI. In the meantime, we are carefully managing our cash resources with immediate reductions in our pre-commercial and manufacturing activities, and we are continuing to advance partnering discussions for alvelestat,” said Dr. Denise Scots-Knight, Chief Executive Officer of Mereo.</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ORBIT and COSMIC bone mineral density (BMD) improvements</w:t>
      </w:r>
    </w:p>
    <w:p>
      <w:pPr>
        <w:spacing w:after="0" w:line="12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the ORBIT study, participants experienced statistically significant and substantial improvements in BMD compared to placebo, at levels consistent with the treatment effect observed in Phase 2 studies. These BMD changes were not accompanied by a corresponding reduction in annualized fracture rates and there was a low fracture rate in the placebo group.</w:t>
      </w:r>
    </w:p>
    <w:p>
      <w:pPr>
        <w:spacing w:after="0" w:line="10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In the pediatric COSMIC study, patients had a substantially higher baseline fracture rate compared to the patients enrolled in ORBIT. In this younger patient population, meaningful improvements in BMD were associated with a reduction in annualized fracture rate for setrusumab treated patients over bisphosphonate treated patients, though the reduction did not meet statistical significance.</w:t>
      </w:r>
    </w:p>
    <w:p>
      <w:pPr>
        <w:spacing w:after="0" w:line="109" w:lineRule="exact"/>
        <w:rPr>
          <w:sz w:val="20"/>
          <w:szCs w:val="20"/>
          <w:color w:val="auto"/>
        </w:rPr>
      </w:pPr>
    </w:p>
    <w:p>
      <w:pPr>
        <w:ind w:right="480"/>
        <w:spacing w:after="0" w:line="259" w:lineRule="auto"/>
        <w:rPr>
          <w:sz w:val="20"/>
          <w:szCs w:val="20"/>
          <w:color w:val="auto"/>
        </w:rPr>
      </w:pPr>
      <w:r>
        <w:rPr>
          <w:rFonts w:ascii="Arial" w:cs="Arial" w:eastAsia="Arial" w:hAnsi="Arial"/>
          <w:sz w:val="22"/>
          <w:szCs w:val="22"/>
          <w:color w:val="auto"/>
        </w:rPr>
        <w:t>Additional analyses on the data across both studies are being conducted, including in other bone health and clinical endpoints beyond fractures.</w:t>
      </w:r>
    </w:p>
    <w:p>
      <w:pPr>
        <w:spacing w:after="0" w:line="75" w:lineRule="exact"/>
        <w:rPr>
          <w:sz w:val="20"/>
          <w:szCs w:val="20"/>
          <w:color w:val="auto"/>
        </w:rPr>
      </w:pPr>
    </w:p>
    <w:p>
      <w:pPr>
        <w:ind w:right="200"/>
        <w:spacing w:after="0"/>
        <w:rPr>
          <w:sz w:val="20"/>
          <w:szCs w:val="20"/>
          <w:color w:val="auto"/>
        </w:rPr>
      </w:pPr>
      <w:r>
        <w:rPr>
          <w:rFonts w:ascii="Arial" w:cs="Arial" w:eastAsia="Arial" w:hAnsi="Arial"/>
          <w:sz w:val="22"/>
          <w:szCs w:val="22"/>
          <w:color w:val="212121"/>
        </w:rPr>
        <w:t xml:space="preserve">Mereo’s cash balance was $48.7 million at the end of the third quarter of 2025. The Company will </w:t>
      </w:r>
      <w:r>
        <w:rPr>
          <w:rFonts w:ascii="Arial" w:cs="Arial" w:eastAsia="Arial" w:hAnsi="Arial"/>
          <w:sz w:val="22"/>
          <w:szCs w:val="22"/>
          <w:color w:val="000000"/>
        </w:rPr>
        <w:t xml:space="preserve">tightly </w:t>
      </w:r>
      <w:r>
        <w:rPr>
          <w:rFonts w:ascii="Arial" w:cs="Arial" w:eastAsia="Arial" w:hAnsi="Arial"/>
          <w:sz w:val="22"/>
          <w:szCs w:val="22"/>
          <w:color w:val="212121"/>
        </w:rPr>
        <w:t>control costs in parallel with</w:t>
      </w:r>
      <w:r>
        <w:rPr>
          <w:rFonts w:ascii="Arial" w:cs="Arial" w:eastAsia="Arial" w:hAnsi="Arial"/>
          <w:sz w:val="22"/>
          <w:szCs w:val="22"/>
          <w:color w:val="000000"/>
        </w:rPr>
        <w:t xml:space="preserve"> conduct</w:t>
      </w:r>
      <w:r>
        <w:rPr>
          <w:rFonts w:ascii="Arial" w:cs="Arial" w:eastAsia="Arial" w:hAnsi="Arial"/>
          <w:sz w:val="22"/>
          <w:szCs w:val="22"/>
          <w:color w:val="212121"/>
        </w:rPr>
        <w:t>ing further analysis of the setrusumab data</w:t>
      </w:r>
      <w:r>
        <w:rPr>
          <w:rFonts w:ascii="Arial" w:cs="Arial" w:eastAsia="Arial" w:hAnsi="Arial"/>
          <w:sz w:val="22"/>
          <w:szCs w:val="22"/>
          <w:color w:val="000000"/>
        </w:rPr>
        <w:t xml:space="preserve"> to determine the best path forward</w:t>
      </w:r>
      <w:r>
        <w:rPr>
          <w:rFonts w:ascii="Arial" w:cs="Arial" w:eastAsia="Arial" w:hAnsi="Arial"/>
          <w:sz w:val="22"/>
          <w:szCs w:val="22"/>
          <w:color w:val="212121"/>
        </w:rPr>
        <w:t>. Meanwhile the Company will continue to seek to maximize value in its owned</w:t>
      </w:r>
      <w:r>
        <w:rPr>
          <w:rFonts w:ascii="Arial" w:cs="Arial" w:eastAsia="Arial" w:hAnsi="Arial"/>
          <w:sz w:val="22"/>
          <w:szCs w:val="22"/>
          <w:color w:val="000000"/>
        </w:rPr>
        <w:t xml:space="preserve"> </w:t>
      </w:r>
      <w:r>
        <w:rPr>
          <w:rFonts w:ascii="Arial" w:cs="Arial" w:eastAsia="Arial" w:hAnsi="Arial"/>
          <w:sz w:val="22"/>
          <w:szCs w:val="22"/>
          <w:color w:val="212121"/>
        </w:rPr>
        <w:t>and partnered programs,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596265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59" w:right="1099" w:bottom="1440" w:gutter="0" w:footer="0" w:header="0"/>
        </w:sectPr>
      </w:pPr>
    </w:p>
    <w:bookmarkStart w:id="5" w:name="page6"/>
    <w:bookmarkEnd w:id="5"/>
    <w:p>
      <w:pPr>
        <w:ind w:left="880" w:hanging="436"/>
        <w:spacing w:after="0"/>
        <w:tabs>
          <w:tab w:leader="none" w:pos="880" w:val="left"/>
        </w:tabs>
        <w:numPr>
          <w:ilvl w:val="0"/>
          <w:numId w:val="2"/>
        </w:numPr>
        <w:rPr>
          <w:rFonts w:ascii="Times New Roman" w:cs="Times New Roman" w:eastAsia="Times New Roman" w:hAnsi="Times New Roman"/>
          <w:sz w:val="22"/>
          <w:szCs w:val="22"/>
          <w:color w:val="212121"/>
        </w:rPr>
      </w:pPr>
      <w:r>
        <w:rPr>
          <w:rFonts w:ascii="Arial" w:cs="Arial" w:eastAsia="Arial" w:hAnsi="Arial"/>
          <w:sz w:val="22"/>
          <w:szCs w:val="22"/>
          <w:color w:val="212121"/>
        </w:rPr>
        <w:t>Alvelestat for AATD-lung disease – in partnering discussions</w:t>
      </w:r>
    </w:p>
    <w:p>
      <w:pPr>
        <w:spacing w:after="0" w:line="97" w:lineRule="exact"/>
        <w:rPr>
          <w:rFonts w:ascii="Times New Roman" w:cs="Times New Roman" w:eastAsia="Times New Roman" w:hAnsi="Times New Roman"/>
          <w:sz w:val="22"/>
          <w:szCs w:val="22"/>
          <w:color w:val="212121"/>
        </w:rPr>
      </w:pPr>
    </w:p>
    <w:p>
      <w:pPr>
        <w:ind w:left="880" w:hanging="436"/>
        <w:spacing w:after="0"/>
        <w:tabs>
          <w:tab w:leader="none" w:pos="880" w:val="left"/>
        </w:tabs>
        <w:numPr>
          <w:ilvl w:val="0"/>
          <w:numId w:val="2"/>
        </w:numPr>
        <w:rPr>
          <w:rFonts w:ascii="Times New Roman" w:cs="Times New Roman" w:eastAsia="Times New Roman" w:hAnsi="Times New Roman"/>
          <w:sz w:val="22"/>
          <w:szCs w:val="22"/>
          <w:color w:val="212121"/>
        </w:rPr>
      </w:pPr>
      <w:r>
        <w:rPr>
          <w:rFonts w:ascii="Arial" w:cs="Arial" w:eastAsia="Arial" w:hAnsi="Arial"/>
          <w:sz w:val="22"/>
          <w:szCs w:val="22"/>
          <w:color w:val="212121"/>
        </w:rPr>
        <w:t>Vantictumab for osteopetrosis – partnered with āshibio</w:t>
      </w:r>
    </w:p>
    <w:p>
      <w:pPr>
        <w:spacing w:after="0" w:line="97" w:lineRule="exact"/>
        <w:rPr>
          <w:rFonts w:ascii="Times New Roman" w:cs="Times New Roman" w:eastAsia="Times New Roman" w:hAnsi="Times New Roman"/>
          <w:sz w:val="22"/>
          <w:szCs w:val="22"/>
          <w:color w:val="212121"/>
        </w:rPr>
      </w:pPr>
    </w:p>
    <w:p>
      <w:pPr>
        <w:ind w:left="880" w:hanging="436"/>
        <w:spacing w:after="0"/>
        <w:tabs>
          <w:tab w:leader="none" w:pos="880" w:val="left"/>
        </w:tabs>
        <w:numPr>
          <w:ilvl w:val="0"/>
          <w:numId w:val="2"/>
        </w:numPr>
        <w:rPr>
          <w:rFonts w:ascii="Times New Roman" w:cs="Times New Roman" w:eastAsia="Times New Roman" w:hAnsi="Times New Roman"/>
          <w:sz w:val="22"/>
          <w:szCs w:val="22"/>
          <w:color w:val="212121"/>
        </w:rPr>
      </w:pPr>
      <w:r>
        <w:rPr>
          <w:rFonts w:ascii="Arial" w:cs="Arial" w:eastAsia="Arial" w:hAnsi="Arial"/>
          <w:sz w:val="22"/>
          <w:szCs w:val="22"/>
          <w:color w:val="212121"/>
        </w:rPr>
        <w:t>Leflutrozole for male infertility – partnered with ReproNovo.</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Setrusumab Phase 3 Program</w:t>
      </w:r>
    </w:p>
    <w:p>
      <w:pPr>
        <w:spacing w:after="0" w:line="12" w:lineRule="exact"/>
        <w:rPr>
          <w:sz w:val="20"/>
          <w:szCs w:val="20"/>
          <w:color w:val="auto"/>
        </w:rPr>
      </w:pPr>
    </w:p>
    <w:p>
      <w:pPr>
        <w:ind w:right="260"/>
        <w:spacing w:after="0" w:line="263" w:lineRule="auto"/>
        <w:rPr>
          <w:sz w:val="20"/>
          <w:szCs w:val="20"/>
          <w:color w:val="auto"/>
        </w:rPr>
      </w:pPr>
      <w:r>
        <w:rPr>
          <w:rFonts w:ascii="Arial" w:cs="Arial" w:eastAsia="Arial" w:hAnsi="Arial"/>
          <w:sz w:val="21"/>
          <w:szCs w:val="21"/>
          <w:color w:val="auto"/>
        </w:rPr>
        <w:t>Ultragenyx is developing setrusumab in pediatric and young adult patients across OI sub-types I, III and IV with two late-stage studies: the pivotal Phase 2/3 Orbit study and Phase 3 Cosmic study.</w:t>
      </w:r>
    </w:p>
    <w:p>
      <w:pPr>
        <w:spacing w:after="0" w:line="4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global, seamless Phase 2/3 Orbit study is evaluating the effect of setrusumab on clinical fracture rate in patients aged 5 to 25 years. The pivotal Phase 3 portion of the study enrolled 159 patients at 45 sites across 11 countries, with subjects randomized 2:1 to receive setrusumab or placebo, and a primary efficacy endpoint of annualized clinical fracture rate.</w:t>
      </w:r>
    </w:p>
    <w:p>
      <w:pPr>
        <w:spacing w:after="0" w:line="68"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global Phase 3 Cosmic study evaluated the effect of setrusumab on reduction in annualized fracture rate in patients aged 2 to &lt;7 years compared to bisphosphonates. The Cosmic study has enrolled 69 patients at 21 sites across 7 countries with patients randomized 1:1 to receive setrusumab or intravenous bisphosphonates (IV-BP) therapy.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Setrusumab (UX143)</w:t>
      </w:r>
    </w:p>
    <w:p>
      <w:pPr>
        <w:spacing w:after="0" w:line="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Setrusumab is a fully human monoclonal antibody that inhibits sclerostin, a negative regulator of bone formation. Blocking sclerostin is expected to increase new bone formation, bone mineral density and bone strength in OI. In mouse models of OI, the use of anti-sclerostin antibodies was shown to increase bone formation, improve bone mass to normal levels, and increase bone strength against fracture force testing to normal levels.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Osteogenesis Imperfecta (OI)</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Osteogenesis Imperfecta (OI) includes a group of genetic disorders impacting bone metabolism. Approximately 85% to 90% of OI cases are caused by genetic variants in the COL1A1 or COL1A2 genes, leading to either reduced or abnormal collagen and changes in bone metabolism. The collagen mutations in OI can result in increased bone brittleness, which contributes to a high rate of fractures. Patients with OI also exhibit inadequate production of new bone and excess bone resorption, resulting in decreased bone mineral density, bone fragility and weakness. OI can also lead to bone deformities, abnormal spine curvature, pain, decreased mobility, and short stature. No treatments are globally approved for OI, which affects approximately 60,000 people in commercially accessible geographies.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Mereo BioPharma</w:t>
      </w:r>
    </w:p>
    <w:p>
      <w:pPr>
        <w:spacing w:after="0" w:line="1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Company’s partner for setrusumab, Ultragenyx Pharmaceutical, Inc., has reported results from the Phase 3 portion of a pivotal Phase 2/3 study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457835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869" w:right="109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2"/>
          <w:szCs w:val="22"/>
          <w:color w:val="auto"/>
        </w:rPr>
        <w:t>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7"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557530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1" w:right="1119" w:bottom="1440" w:gutter="0" w:footer="0" w:header="0"/>
        </w:sectPr>
      </w:pPr>
    </w:p>
    <w:bookmarkStart w:id="7" w:name="page8"/>
    <w:bookmarkEnd w:id="7"/>
    <w:p>
      <w:pPr>
        <w:ind w:left="660" w:right="700"/>
        <w:spacing w:after="0" w:line="236" w:lineRule="auto"/>
        <w:rPr>
          <w:sz w:val="20"/>
          <w:szCs w:val="20"/>
          <w:color w:val="auto"/>
        </w:rPr>
      </w:pPr>
      <w:r>
        <w:rPr>
          <w:rFonts w:ascii="Arial" w:cs="Arial" w:eastAsia="Arial" w:hAnsi="Arial"/>
          <w:sz w:val="22"/>
          <w:szCs w:val="22"/>
          <w:color w:val="auto"/>
        </w:rPr>
        <w:t>“Risk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520" w:type="dxa"/>
            <w:vAlign w:val="bottom"/>
          </w:tcPr>
          <w:p>
            <w:pPr>
              <w:ind w:left="660"/>
              <w:spacing w:after="0"/>
              <w:rPr>
                <w:sz w:val="20"/>
                <w:szCs w:val="20"/>
                <w:color w:val="auto"/>
              </w:rPr>
            </w:pPr>
            <w:r>
              <w:rPr>
                <w:rFonts w:ascii="Arial" w:cs="Arial" w:eastAsia="Arial" w:hAnsi="Arial"/>
                <w:sz w:val="22"/>
                <w:szCs w:val="22"/>
                <w:b w:val="1"/>
                <w:bCs w:val="1"/>
                <w:color w:val="auto"/>
              </w:rPr>
              <w:t>Mereo BioPharma Contacts:</w:t>
            </w:r>
          </w:p>
        </w:tc>
        <w:tc>
          <w:tcPr>
            <w:tcW w:w="4520" w:type="dxa"/>
            <w:vAlign w:val="bottom"/>
          </w:tcPr>
          <w:p>
            <w:pPr>
              <w:spacing w:after="0"/>
              <w:rPr>
                <w:sz w:val="24"/>
                <w:szCs w:val="24"/>
                <w:color w:val="auto"/>
              </w:rPr>
            </w:pPr>
          </w:p>
        </w:tc>
      </w:tr>
      <w:tr>
        <w:trPr>
          <w:trHeight w:val="434"/>
        </w:trPr>
        <w:tc>
          <w:tcPr>
            <w:tcW w:w="6520" w:type="dxa"/>
            <w:vAlign w:val="bottom"/>
          </w:tcPr>
          <w:p>
            <w:pPr>
              <w:ind w:left="660"/>
              <w:spacing w:after="0"/>
              <w:rPr>
                <w:sz w:val="20"/>
                <w:szCs w:val="20"/>
                <w:color w:val="auto"/>
              </w:rPr>
            </w:pPr>
            <w:r>
              <w:rPr>
                <w:rFonts w:ascii="Arial" w:cs="Arial" w:eastAsia="Arial" w:hAnsi="Arial"/>
                <w:sz w:val="22"/>
                <w:szCs w:val="22"/>
                <w:b w:val="1"/>
                <w:bCs w:val="1"/>
                <w:color w:val="auto"/>
              </w:rPr>
              <w:t>Mereo</w:t>
            </w:r>
          </w:p>
        </w:tc>
        <w:tc>
          <w:tcPr>
            <w:tcW w:w="4520" w:type="dxa"/>
            <w:vAlign w:val="bottom"/>
          </w:tcPr>
          <w:p>
            <w:pPr>
              <w:jc w:val="right"/>
              <w:ind w:right="1772"/>
              <w:spacing w:after="0"/>
              <w:rPr>
                <w:sz w:val="20"/>
                <w:szCs w:val="20"/>
                <w:color w:val="auto"/>
              </w:rPr>
            </w:pPr>
            <w:r>
              <w:rPr>
                <w:rFonts w:ascii="Arial" w:cs="Arial" w:eastAsia="Arial" w:hAnsi="Arial"/>
                <w:sz w:val="22"/>
                <w:szCs w:val="22"/>
                <w:b w:val="1"/>
                <w:bCs w:val="1"/>
                <w:color w:val="auto"/>
              </w:rPr>
              <w:t>+44 (0)333 023 7300</w:t>
            </w:r>
          </w:p>
        </w:tc>
      </w:tr>
      <w:tr>
        <w:trPr>
          <w:trHeight w:val="243"/>
        </w:trPr>
        <w:tc>
          <w:tcPr>
            <w:tcW w:w="6520" w:type="dxa"/>
            <w:vAlign w:val="bottom"/>
          </w:tcPr>
          <w:p>
            <w:pPr>
              <w:ind w:left="720"/>
              <w:spacing w:after="0" w:line="243" w:lineRule="exact"/>
              <w:rPr>
                <w:sz w:val="20"/>
                <w:szCs w:val="20"/>
                <w:color w:val="auto"/>
              </w:rPr>
            </w:pPr>
            <w:r>
              <w:rPr>
                <w:rFonts w:ascii="Arial" w:cs="Arial" w:eastAsia="Arial" w:hAnsi="Arial"/>
                <w:sz w:val="22"/>
                <w:szCs w:val="22"/>
                <w:color w:val="auto"/>
              </w:rPr>
              <w:t>Denise Scots-Knight, Chief Executive Officer</w:t>
            </w:r>
          </w:p>
        </w:tc>
        <w:tc>
          <w:tcPr>
            <w:tcW w:w="4520" w:type="dxa"/>
            <w:vAlign w:val="bottom"/>
          </w:tcPr>
          <w:p>
            <w:pPr>
              <w:spacing w:after="0"/>
              <w:rPr>
                <w:sz w:val="21"/>
                <w:szCs w:val="21"/>
                <w:color w:val="auto"/>
              </w:rPr>
            </w:pPr>
          </w:p>
        </w:tc>
      </w:tr>
      <w:tr>
        <w:trPr>
          <w:trHeight w:val="283"/>
        </w:trPr>
        <w:tc>
          <w:tcPr>
            <w:tcW w:w="6520" w:type="dxa"/>
            <w:vAlign w:val="bottom"/>
          </w:tcPr>
          <w:p>
            <w:pPr>
              <w:ind w:left="720"/>
              <w:spacing w:after="0"/>
              <w:rPr>
                <w:sz w:val="20"/>
                <w:szCs w:val="20"/>
                <w:color w:val="auto"/>
              </w:rPr>
            </w:pPr>
            <w:r>
              <w:rPr>
                <w:rFonts w:ascii="Arial" w:cs="Arial" w:eastAsia="Arial" w:hAnsi="Arial"/>
                <w:sz w:val="22"/>
                <w:szCs w:val="22"/>
                <w:color w:val="auto"/>
              </w:rPr>
              <w:t>Christine Fox, Chief Financial Officer</w:t>
            </w:r>
          </w:p>
        </w:tc>
        <w:tc>
          <w:tcPr>
            <w:tcW w:w="4520" w:type="dxa"/>
            <w:vAlign w:val="bottom"/>
          </w:tcPr>
          <w:p>
            <w:pPr>
              <w:spacing w:after="0"/>
              <w:rPr>
                <w:sz w:val="24"/>
                <w:szCs w:val="24"/>
                <w:color w:val="auto"/>
              </w:rPr>
            </w:pPr>
          </w:p>
        </w:tc>
      </w:tr>
      <w:tr>
        <w:trPr>
          <w:trHeight w:val="446"/>
        </w:trPr>
        <w:tc>
          <w:tcPr>
            <w:tcW w:w="6520" w:type="dxa"/>
            <w:vAlign w:val="bottom"/>
          </w:tcPr>
          <w:p>
            <w:pPr>
              <w:ind w:left="660"/>
              <w:spacing w:after="0"/>
              <w:rPr>
                <w:sz w:val="20"/>
                <w:szCs w:val="20"/>
                <w:color w:val="auto"/>
              </w:rPr>
            </w:pPr>
            <w:r>
              <w:rPr>
                <w:rFonts w:ascii="Arial" w:cs="Arial" w:eastAsia="Arial" w:hAnsi="Arial"/>
                <w:sz w:val="22"/>
                <w:szCs w:val="22"/>
                <w:b w:val="1"/>
                <w:bCs w:val="1"/>
                <w:color w:val="auto"/>
              </w:rPr>
              <w:t>Burns McClellan (Investor Relations Adviser to Mereo)</w:t>
            </w:r>
          </w:p>
        </w:tc>
        <w:tc>
          <w:tcPr>
            <w:tcW w:w="4520" w:type="dxa"/>
            <w:vAlign w:val="bottom"/>
          </w:tcPr>
          <w:p>
            <w:pPr>
              <w:jc w:val="right"/>
              <w:ind w:right="2412"/>
              <w:spacing w:after="0"/>
              <w:rPr>
                <w:sz w:val="20"/>
                <w:szCs w:val="20"/>
                <w:color w:val="auto"/>
              </w:rPr>
            </w:pPr>
            <w:r>
              <w:rPr>
                <w:rFonts w:ascii="Arial" w:cs="Arial" w:eastAsia="Arial" w:hAnsi="Arial"/>
                <w:sz w:val="22"/>
                <w:szCs w:val="22"/>
                <w:b w:val="1"/>
                <w:bCs w:val="1"/>
                <w:color w:val="auto"/>
              </w:rPr>
              <w:t>+01 646 930 4406</w:t>
            </w:r>
          </w:p>
        </w:tc>
      </w:tr>
      <w:tr>
        <w:trPr>
          <w:trHeight w:val="283"/>
        </w:trPr>
        <w:tc>
          <w:tcPr>
            <w:tcW w:w="6520" w:type="dxa"/>
            <w:vAlign w:val="bottom"/>
          </w:tcPr>
          <w:p>
            <w:pPr>
              <w:ind w:left="660"/>
              <w:spacing w:after="0"/>
              <w:rPr>
                <w:sz w:val="20"/>
                <w:szCs w:val="20"/>
                <w:color w:val="auto"/>
              </w:rPr>
            </w:pPr>
            <w:r>
              <w:rPr>
                <w:rFonts w:ascii="Arial" w:cs="Arial" w:eastAsia="Arial" w:hAnsi="Arial"/>
                <w:sz w:val="22"/>
                <w:szCs w:val="22"/>
                <w:color w:val="auto"/>
              </w:rPr>
              <w:t>Lee Roth</w:t>
            </w:r>
          </w:p>
        </w:tc>
        <w:tc>
          <w:tcPr>
            <w:tcW w:w="4520" w:type="dxa"/>
            <w:vAlign w:val="bottom"/>
          </w:tcPr>
          <w:p>
            <w:pPr>
              <w:spacing w:after="0"/>
              <w:rPr>
                <w:sz w:val="24"/>
                <w:szCs w:val="24"/>
                <w:color w:val="auto"/>
              </w:rPr>
            </w:pPr>
          </w:p>
        </w:tc>
      </w:tr>
      <w:tr>
        <w:trPr>
          <w:trHeight w:val="498"/>
        </w:trPr>
        <w:tc>
          <w:tcPr>
            <w:tcW w:w="6520" w:type="dxa"/>
            <w:vAlign w:val="bottom"/>
          </w:tcPr>
          <w:p>
            <w:pPr>
              <w:ind w:left="660"/>
              <w:spacing w:after="0"/>
              <w:rPr>
                <w:sz w:val="20"/>
                <w:szCs w:val="20"/>
                <w:color w:val="auto"/>
              </w:rPr>
            </w:pPr>
            <w:r>
              <w:rPr>
                <w:rFonts w:ascii="Arial" w:cs="Arial" w:eastAsia="Arial" w:hAnsi="Arial"/>
                <w:sz w:val="22"/>
                <w:szCs w:val="22"/>
                <w:b w:val="1"/>
                <w:bCs w:val="1"/>
                <w:color w:val="auto"/>
              </w:rPr>
              <w:t>Investors</w:t>
            </w:r>
          </w:p>
        </w:tc>
        <w:tc>
          <w:tcPr>
            <w:tcW w:w="4520" w:type="dxa"/>
            <w:vAlign w:val="bottom"/>
          </w:tcPr>
          <w:p>
            <w:pPr>
              <w:jc w:val="right"/>
              <w:ind w:right="592"/>
              <w:spacing w:after="0"/>
              <w:rPr>
                <w:sz w:val="20"/>
                <w:szCs w:val="20"/>
                <w:color w:val="auto"/>
              </w:rPr>
            </w:pPr>
            <w:r>
              <w:rPr>
                <w:rFonts w:ascii="Arial" w:cs="Arial" w:eastAsia="Arial" w:hAnsi="Arial"/>
                <w:sz w:val="22"/>
                <w:szCs w:val="22"/>
                <w:b w:val="1"/>
                <w:bCs w:val="1"/>
                <w:color w:val="467886"/>
              </w:rPr>
              <w:t>investors@mereobiopharma.com</w:t>
            </w:r>
          </w:p>
        </w:tc>
      </w:tr>
      <w:tr>
        <w:trPr>
          <w:trHeight w:val="1749"/>
        </w:trPr>
        <w:tc>
          <w:tcPr>
            <w:tcW w:w="65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1" w:right="4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2025-12-29T08:23:27Z</dcterms:created>
  <dcterms:modified xsi:type="dcterms:W3CDTF">2025-12-29T08:23:27Z</dcterms:modified>
</cp:coreProperties>
</file>