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15)*</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**There is no CUSIP number assigned to the Ordinary Shares. CUSIP number 589492107 has been assigned to the American Depositary Receipts ("</w:t>
      </w: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 of the Issuer, which are quoted on the Nasdaq Global Market under the symbol "MREO." Each ADS represents 5 Ordinary Shares.</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6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4"/>
          <w:szCs w:val="24"/>
          <w:color w:val="auto"/>
        </w:rPr>
      </w:pPr>
    </w:p>
    <w:p>
      <w:pPr>
        <w:ind w:right="40" w:firstLine="8"/>
        <w:spacing w:after="0" w:line="260"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1"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2 of 6 Pages</w:t>
            </w: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3700" w:type="dxa"/>
            <w:vAlign w:val="bottom"/>
            <w:tcBorders>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r>
    </w:tbl>
    <w:p>
      <w:pPr>
        <w:spacing w:after="0" w:line="211" w:lineRule="exact"/>
        <w:rPr>
          <w:sz w:val="20"/>
          <w:szCs w:val="20"/>
          <w:color w:val="auto"/>
        </w:rPr>
      </w:pPr>
    </w:p>
    <w:p>
      <w:pPr>
        <w:jc w:val="right"/>
        <w:ind w:left="1960" w:right="6980" w:hanging="1234"/>
        <w:spacing w:after="0" w:line="184" w:lineRule="auto"/>
        <w:tabs>
          <w:tab w:leader="none" w:pos="1636" w:val="left"/>
        </w:tabs>
        <w:numPr>
          <w:ilvl w:val="0"/>
          <w:numId w:val="2"/>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NAME OF REPORTING PERSON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26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00" w:type="dxa"/>
            <w:vAlign w:val="bottom"/>
            <w:tcBorders>
              <w:top w:val="single" w:sz="8" w:color="auto"/>
            </w:tcBorders>
          </w:tcPr>
          <w:p>
            <w:pPr>
              <w:ind w:left="20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600" w:type="dxa"/>
            <w:vAlign w:val="bottom"/>
          </w:tcPr>
          <w:p>
            <w:pPr>
              <w:ind w:left="20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124" w:lineRule="exact"/>
        <w:rPr>
          <w:sz w:val="20"/>
          <w:szCs w:val="20"/>
          <w:color w:val="auto"/>
        </w:rPr>
      </w:pPr>
    </w:p>
    <w:p>
      <w:pPr>
        <w:ind w:left="1960" w:right="7980" w:hanging="1234"/>
        <w:spacing w:after="0" w:line="184" w:lineRule="auto"/>
        <w:tabs>
          <w:tab w:leader="none" w:pos="1636" w:val="left"/>
        </w:tabs>
        <w:numPr>
          <w:ilvl w:val="0"/>
          <w:numId w:val="4"/>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SOURCE OF FUNDS AF</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 or 2(e)</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0"/>
          <w:szCs w:val="20"/>
          <w:color w:val="auto"/>
        </w:rPr>
      </w:pPr>
    </w:p>
    <w:p>
      <w:pPr>
        <w:ind w:left="1960" w:right="5920" w:hanging="1234"/>
        <w:spacing w:after="0" w:line="184" w:lineRule="auto"/>
        <w:tabs>
          <w:tab w:leader="none" w:pos="1636" w:val="left"/>
        </w:tabs>
        <w:numPr>
          <w:ilvl w:val="0"/>
          <w:numId w:val="5"/>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CITIZENSHIP OR PLACE OF ORGANIZATION State of Delaware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0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Pr>
          <w:p>
            <w:pPr>
              <w:spacing w:after="0"/>
              <w:rPr>
                <w:sz w:val="7"/>
                <w:szCs w:val="7"/>
                <w:color w:val="auto"/>
              </w:rPr>
            </w:pPr>
          </w:p>
        </w:tc>
        <w:tc>
          <w:tcPr>
            <w:tcW w:w="1080" w:type="dxa"/>
            <w:vAlign w:val="bottom"/>
            <w:tcBorders>
              <w:right w:val="single" w:sz="8" w:color="auto"/>
            </w:tcBorders>
            <w:gridSpan w:val="2"/>
            <w:vMerge w:val="continue"/>
          </w:tcPr>
          <w:p>
            <w:pPr>
              <w:spacing w:after="0"/>
              <w:rPr>
                <w:sz w:val="7"/>
                <w:szCs w:val="7"/>
                <w:color w:val="auto"/>
              </w:rPr>
            </w:pPr>
          </w:p>
        </w:tc>
        <w:tc>
          <w:tcPr>
            <w:tcW w:w="6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8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520" w:type="dxa"/>
            <w:vAlign w:val="bottom"/>
            <w:vMerge w:val="continue"/>
          </w:tcPr>
          <w:p>
            <w:pPr>
              <w:spacing w:after="0"/>
              <w:rPr>
                <w:sz w:val="9"/>
                <w:szCs w:val="9"/>
                <w:color w:val="auto"/>
              </w:rPr>
            </w:pPr>
          </w:p>
        </w:tc>
        <w:tc>
          <w:tcPr>
            <w:tcW w:w="10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tcBorders>
              <w:right w:val="single" w:sz="8" w:color="auto"/>
            </w:tcBorders>
            <w:gridSpan w:val="2"/>
            <w:vMerge w:val="continue"/>
          </w:tcPr>
          <w:p>
            <w:pPr>
              <w:spacing w:after="0"/>
              <w:rPr>
                <w:sz w:val="8"/>
                <w:szCs w:val="8"/>
                <w:color w:val="auto"/>
              </w:rPr>
            </w:pPr>
          </w:p>
        </w:tc>
        <w:tc>
          <w:tcPr>
            <w:tcW w:w="80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080" w:type="dxa"/>
            <w:vAlign w:val="bottom"/>
            <w:tcBorders>
              <w:right w:val="single" w:sz="8" w:color="auto"/>
            </w:tcBorders>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460" w:type="dxa"/>
            <w:vAlign w:val="bottom"/>
            <w:gridSpan w:val="2"/>
            <w:vMerge w:val="restart"/>
            <w:shd w:val="clear" w:color="auto" w:fill="F8F8F8"/>
          </w:tcPr>
          <w:p>
            <w:pPr>
              <w:spacing w:after="0" w:line="202" w:lineRule="exact"/>
              <w:rPr>
                <w:sz w:val="20"/>
                <w:szCs w:val="20"/>
                <w:color w:val="auto"/>
              </w:rPr>
            </w:pPr>
            <w:r>
              <w:rPr>
                <w:rFonts w:ascii="Times New Roman" w:cs="Times New Roman" w:eastAsia="Times New Roman" w:hAnsi="Times New Roman"/>
                <w:sz w:val="18"/>
                <w:szCs w:val="18"/>
                <w:color w:val="1D1C1D"/>
                <w:highlight w:val="white"/>
                <w:w w:val="99"/>
              </w:rPr>
              <w:t>108,486,735 Ordinary Shares (including 76,536,735 Ordinary Shares represented by 15,307,347 ADSs)</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5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7460" w:type="dxa"/>
            <w:vAlign w:val="bottom"/>
            <w:gridSpan w:val="2"/>
            <w:vMerge w:val="continue"/>
            <w:shd w:val="clear" w:color="auto" w:fill="F8F8F8"/>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7460" w:type="dxa"/>
            <w:vAlign w:val="bottom"/>
            <w:gridSpan w:val="2"/>
            <w:vMerge w:val="continue"/>
            <w:shd w:val="clear" w:color="auto" w:fill="F8F8F8"/>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20" w:type="dxa"/>
            <w:vAlign w:val="bottom"/>
            <w:vMerge w:val="continue"/>
          </w:tcPr>
          <w:p>
            <w:pPr>
              <w:spacing w:after="0"/>
              <w:rPr>
                <w:sz w:val="8"/>
                <w:szCs w:val="8"/>
                <w:color w:val="auto"/>
              </w:rPr>
            </w:pPr>
          </w:p>
        </w:tc>
        <w:tc>
          <w:tcPr>
            <w:tcW w:w="10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040" w:type="dxa"/>
            <w:vAlign w:val="bottom"/>
            <w:gridSpan w:val="4"/>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080" w:type="dxa"/>
            <w:vAlign w:val="bottom"/>
            <w:tcBorders>
              <w:right w:val="single" w:sz="8" w:color="auto"/>
            </w:tcBorders>
            <w:gridSpan w:val="2"/>
            <w:vMerge w:val="continue"/>
          </w:tcPr>
          <w:p>
            <w:pPr>
              <w:spacing w:after="0"/>
              <w:rPr>
                <w:sz w:val="8"/>
                <w:szCs w:val="8"/>
                <w:color w:val="auto"/>
              </w:rPr>
            </w:pPr>
          </w:p>
        </w:tc>
        <w:tc>
          <w:tcPr>
            <w:tcW w:w="80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6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68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0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8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1080" w:type="dxa"/>
            <w:vAlign w:val="bottom"/>
            <w:tcBorders>
              <w:right w:val="single" w:sz="8" w:color="auto"/>
            </w:tcBorders>
            <w:gridSpan w:val="2"/>
            <w:vMerge w:val="continue"/>
          </w:tcPr>
          <w:p>
            <w:pPr>
              <w:spacing w:after="0"/>
              <w:rPr>
                <w:sz w:val="9"/>
                <w:szCs w:val="9"/>
                <w:color w:val="auto"/>
              </w:rPr>
            </w:pPr>
          </w:p>
        </w:tc>
        <w:tc>
          <w:tcPr>
            <w:tcW w:w="804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1080" w:type="dxa"/>
            <w:vAlign w:val="bottom"/>
            <w:tcBorders>
              <w:right w:val="single" w:sz="8" w:color="auto"/>
            </w:tcBorders>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460" w:type="dxa"/>
            <w:vAlign w:val="bottom"/>
            <w:gridSpan w:val="2"/>
            <w:vMerge w:val="restart"/>
            <w:shd w:val="clear" w:color="auto" w:fill="F8F8F8"/>
          </w:tcPr>
          <w:p>
            <w:pPr>
              <w:spacing w:after="0" w:line="202" w:lineRule="exact"/>
              <w:rPr>
                <w:sz w:val="20"/>
                <w:szCs w:val="20"/>
                <w:color w:val="auto"/>
              </w:rPr>
            </w:pPr>
            <w:r>
              <w:rPr>
                <w:rFonts w:ascii="Times New Roman" w:cs="Times New Roman" w:eastAsia="Times New Roman" w:hAnsi="Times New Roman"/>
                <w:sz w:val="18"/>
                <w:szCs w:val="18"/>
                <w:color w:val="1D1C1D"/>
                <w:highlight w:val="white"/>
                <w:w w:val="99"/>
              </w:rPr>
              <w:t>108,486,735 Ordinary Shares (including 76,536,735 Ordinary Shares represented by 15,307,347 ADSs)</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460" w:type="dxa"/>
            <w:vAlign w:val="bottom"/>
            <w:gridSpan w:val="2"/>
            <w:vMerge w:val="continue"/>
            <w:shd w:val="clear" w:color="auto" w:fill="F8F8F8"/>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3"/>
              </w:rPr>
              <w:t>AGGREGATE</w:t>
            </w:r>
          </w:p>
        </w:tc>
        <w:tc>
          <w:tcPr>
            <w:tcW w:w="80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AMOUNT BENEFICIALLY OWNED BY EACH PERSON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80" w:type="dxa"/>
            <w:vAlign w:val="bottom"/>
            <w:gridSpan w:val="3"/>
            <w:vMerge w:val="restart"/>
            <w:shd w:val="clear" w:color="auto" w:fill="F8F8F8"/>
          </w:tcPr>
          <w:p>
            <w:pPr>
              <w:spacing w:after="0" w:line="202" w:lineRule="exact"/>
              <w:rPr>
                <w:sz w:val="20"/>
                <w:szCs w:val="20"/>
                <w:color w:val="auto"/>
              </w:rPr>
            </w:pPr>
            <w:r>
              <w:rPr>
                <w:rFonts w:ascii="Times New Roman" w:cs="Times New Roman" w:eastAsia="Times New Roman" w:hAnsi="Times New Roman"/>
                <w:sz w:val="18"/>
                <w:szCs w:val="18"/>
                <w:color w:val="1D1C1D"/>
                <w:highlight w:val="white"/>
                <w:w w:val="99"/>
              </w:rPr>
              <w:t>108,486,735 Ordinary Shares (including 76,536,735 Ordinary Shares represented by 15,307,347 ADSs)</w:t>
            </w: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80" w:type="dxa"/>
            <w:vAlign w:val="bottom"/>
            <w:gridSpan w:val="3"/>
            <w:vMerge w:val="continue"/>
            <w:shd w:val="clear" w:color="auto" w:fill="F8F8F8"/>
          </w:tcPr>
          <w:p>
            <w:pPr>
              <w:spacing w:after="0"/>
              <w:rPr>
                <w:sz w:val="11"/>
                <w:szCs w:val="11"/>
                <w:color w:val="auto"/>
              </w:rPr>
            </w:pPr>
          </w:p>
        </w:tc>
        <w:tc>
          <w:tcPr>
            <w:tcW w:w="1200" w:type="dxa"/>
            <w:vAlign w:val="bottom"/>
            <w:gridSpan w:val="2"/>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1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6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4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120" w:type="dxa"/>
            <w:vAlign w:val="bottom"/>
            <w:gridSpan w:val="6"/>
          </w:tcPr>
          <w:p>
            <w:pPr>
              <w:ind w:left="12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1520" w:type="dxa"/>
            <w:vAlign w:val="bottom"/>
            <w:vMerge w:val="continue"/>
          </w:tcPr>
          <w:p>
            <w:pPr>
              <w:spacing w:after="0"/>
              <w:rPr>
                <w:sz w:val="7"/>
                <w:szCs w:val="7"/>
                <w:color w:val="auto"/>
              </w:rPr>
            </w:pPr>
          </w:p>
        </w:tc>
        <w:tc>
          <w:tcPr>
            <w:tcW w:w="10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14.20%</w:t>
            </w:r>
          </w:p>
        </w:tc>
        <w:tc>
          <w:tcPr>
            <w:tcW w:w="440" w:type="dxa"/>
            <w:vAlign w:val="bottom"/>
          </w:tcPr>
          <w:p>
            <w:pPr>
              <w:spacing w:after="0"/>
              <w:rPr>
                <w:sz w:val="7"/>
                <w:szCs w:val="7"/>
                <w:color w:val="auto"/>
              </w:rPr>
            </w:pPr>
          </w:p>
        </w:tc>
        <w:tc>
          <w:tcPr>
            <w:tcW w:w="6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120" w:type="dxa"/>
            <w:vAlign w:val="bottom"/>
            <w:gridSpan w:val="6"/>
          </w:tcPr>
          <w:p>
            <w:pPr>
              <w:ind w:left="12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1520" w:type="dxa"/>
            <w:vAlign w:val="bottom"/>
            <w:vMerge w:val="continue"/>
          </w:tcPr>
          <w:p>
            <w:pPr>
              <w:spacing w:after="0"/>
              <w:rPr>
                <w:sz w:val="7"/>
                <w:szCs w:val="7"/>
                <w:color w:val="auto"/>
              </w:rPr>
            </w:pPr>
          </w:p>
        </w:tc>
        <w:tc>
          <w:tcPr>
            <w:tcW w:w="10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PN, IA</w:t>
            </w:r>
          </w:p>
        </w:tc>
        <w:tc>
          <w:tcPr>
            <w:tcW w:w="440" w:type="dxa"/>
            <w:vAlign w:val="bottom"/>
          </w:tcPr>
          <w:p>
            <w:pPr>
              <w:spacing w:after="0"/>
              <w:rPr>
                <w:sz w:val="7"/>
                <w:szCs w:val="7"/>
                <w:color w:val="auto"/>
              </w:rPr>
            </w:pPr>
          </w:p>
        </w:tc>
        <w:tc>
          <w:tcPr>
            <w:tcW w:w="6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8"/>
        </w:trPr>
        <w:tc>
          <w:tcPr>
            <w:tcW w:w="1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3700" w:type="dxa"/>
            <w:vAlign w:val="bottom"/>
            <w:tcBorders>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r>
    </w:tbl>
    <w:p>
      <w:pPr>
        <w:spacing w:after="0" w:line="211" w:lineRule="exact"/>
        <w:rPr>
          <w:sz w:val="20"/>
          <w:szCs w:val="20"/>
          <w:color w:val="auto"/>
        </w:rPr>
      </w:pPr>
    </w:p>
    <w:p>
      <w:pPr>
        <w:ind w:left="1960" w:right="7020" w:hanging="1234"/>
        <w:spacing w:after="0" w:line="184" w:lineRule="auto"/>
        <w:tabs>
          <w:tab w:leader="none" w:pos="1636" w:val="left"/>
        </w:tabs>
        <w:numPr>
          <w:ilvl w:val="0"/>
          <w:numId w:val="6"/>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26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600" w:type="dxa"/>
            <w:vAlign w:val="bottom"/>
            <w:tcBorders>
              <w:top w:val="single" w:sz="8" w:color="auto"/>
            </w:tcBorders>
          </w:tcPr>
          <w:p>
            <w:pPr>
              <w:ind w:left="204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600" w:type="dxa"/>
            <w:vAlign w:val="bottom"/>
          </w:tcPr>
          <w:p>
            <w:pPr>
              <w:ind w:left="20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124" w:lineRule="exact"/>
        <w:rPr>
          <w:sz w:val="20"/>
          <w:szCs w:val="20"/>
          <w:color w:val="auto"/>
        </w:rPr>
      </w:pPr>
    </w:p>
    <w:p>
      <w:pPr>
        <w:ind w:left="1960" w:right="7980" w:hanging="1234"/>
        <w:spacing w:after="0" w:line="184" w:lineRule="auto"/>
        <w:tabs>
          <w:tab w:leader="none" w:pos="1636" w:val="left"/>
        </w:tabs>
        <w:numPr>
          <w:ilvl w:val="0"/>
          <w:numId w:val="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SOURCE OF FUNDS AF</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9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 or 2(e)</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0"/>
          <w:szCs w:val="20"/>
          <w:color w:val="auto"/>
        </w:rPr>
      </w:pPr>
    </w:p>
    <w:p>
      <w:pPr>
        <w:ind w:left="1960" w:right="5920" w:hanging="1234"/>
        <w:spacing w:after="0" w:line="184" w:lineRule="auto"/>
        <w:tabs>
          <w:tab w:leader="none" w:pos="1636" w:val="left"/>
        </w:tabs>
        <w:numPr>
          <w:ilvl w:val="0"/>
          <w:numId w:val="9"/>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CITIZENSHIP OR PLACE OF ORGANIZATION United States of America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0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Pr>
          <w:p>
            <w:pPr>
              <w:spacing w:after="0"/>
              <w:rPr>
                <w:sz w:val="7"/>
                <w:szCs w:val="7"/>
                <w:color w:val="auto"/>
              </w:rPr>
            </w:pPr>
          </w:p>
        </w:tc>
        <w:tc>
          <w:tcPr>
            <w:tcW w:w="1080" w:type="dxa"/>
            <w:vAlign w:val="bottom"/>
            <w:tcBorders>
              <w:right w:val="single" w:sz="8" w:color="auto"/>
            </w:tcBorders>
            <w:gridSpan w:val="2"/>
            <w:vMerge w:val="continue"/>
          </w:tcPr>
          <w:p>
            <w:pPr>
              <w:spacing w:after="0"/>
              <w:rPr>
                <w:sz w:val="7"/>
                <w:szCs w:val="7"/>
                <w:color w:val="auto"/>
              </w:rPr>
            </w:pPr>
          </w:p>
        </w:tc>
        <w:tc>
          <w:tcPr>
            <w:tcW w:w="6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84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520" w:type="dxa"/>
            <w:vAlign w:val="bottom"/>
            <w:vMerge w:val="continue"/>
          </w:tcPr>
          <w:p>
            <w:pPr>
              <w:spacing w:after="0"/>
              <w:rPr>
                <w:sz w:val="9"/>
                <w:szCs w:val="9"/>
                <w:color w:val="auto"/>
              </w:rPr>
            </w:pPr>
          </w:p>
        </w:tc>
        <w:tc>
          <w:tcPr>
            <w:tcW w:w="10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tcBorders>
              <w:right w:val="single" w:sz="8" w:color="auto"/>
            </w:tcBorders>
            <w:gridSpan w:val="2"/>
            <w:vMerge w:val="continue"/>
          </w:tcPr>
          <w:p>
            <w:pPr>
              <w:spacing w:after="0"/>
              <w:rPr>
                <w:sz w:val="8"/>
                <w:szCs w:val="8"/>
                <w:color w:val="auto"/>
              </w:rPr>
            </w:pPr>
          </w:p>
        </w:tc>
        <w:tc>
          <w:tcPr>
            <w:tcW w:w="80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1080" w:type="dxa"/>
            <w:vAlign w:val="bottom"/>
            <w:tcBorders>
              <w:right w:val="single" w:sz="8" w:color="auto"/>
            </w:tcBorders>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460" w:type="dxa"/>
            <w:vAlign w:val="bottom"/>
            <w:gridSpan w:val="2"/>
            <w:vMerge w:val="restart"/>
            <w:shd w:val="clear" w:color="auto" w:fill="F8F8F8"/>
          </w:tcPr>
          <w:p>
            <w:pPr>
              <w:spacing w:after="0" w:line="202" w:lineRule="exact"/>
              <w:rPr>
                <w:sz w:val="20"/>
                <w:szCs w:val="20"/>
                <w:color w:val="auto"/>
              </w:rPr>
            </w:pPr>
            <w:r>
              <w:rPr>
                <w:rFonts w:ascii="Times New Roman" w:cs="Times New Roman" w:eastAsia="Times New Roman" w:hAnsi="Times New Roman"/>
                <w:sz w:val="18"/>
                <w:szCs w:val="18"/>
                <w:color w:val="1D1C1D"/>
                <w:highlight w:val="white"/>
                <w:w w:val="99"/>
              </w:rPr>
              <w:t>108,486,735 Ordinary Shares (including 76,536,735 Ordinary Shares represented by 15,307,347 ADSs)</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5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7460" w:type="dxa"/>
            <w:vAlign w:val="bottom"/>
            <w:gridSpan w:val="2"/>
            <w:vMerge w:val="continue"/>
            <w:shd w:val="clear" w:color="auto" w:fill="F8F8F8"/>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4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7460" w:type="dxa"/>
            <w:vAlign w:val="bottom"/>
            <w:gridSpan w:val="2"/>
            <w:vMerge w:val="continue"/>
            <w:shd w:val="clear" w:color="auto" w:fill="F8F8F8"/>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20" w:type="dxa"/>
            <w:vAlign w:val="bottom"/>
            <w:vMerge w:val="continue"/>
          </w:tcPr>
          <w:p>
            <w:pPr>
              <w:spacing w:after="0"/>
              <w:rPr>
                <w:sz w:val="8"/>
                <w:szCs w:val="8"/>
                <w:color w:val="auto"/>
              </w:rPr>
            </w:pPr>
          </w:p>
        </w:tc>
        <w:tc>
          <w:tcPr>
            <w:tcW w:w="10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040" w:type="dxa"/>
            <w:vAlign w:val="bottom"/>
            <w:gridSpan w:val="4"/>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1080" w:type="dxa"/>
            <w:vAlign w:val="bottom"/>
            <w:tcBorders>
              <w:right w:val="single" w:sz="8" w:color="auto"/>
            </w:tcBorders>
            <w:gridSpan w:val="2"/>
            <w:vMerge w:val="continue"/>
          </w:tcPr>
          <w:p>
            <w:pPr>
              <w:spacing w:after="0"/>
              <w:rPr>
                <w:sz w:val="8"/>
                <w:szCs w:val="8"/>
                <w:color w:val="auto"/>
              </w:rPr>
            </w:pPr>
          </w:p>
        </w:tc>
        <w:tc>
          <w:tcPr>
            <w:tcW w:w="80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080" w:type="dxa"/>
            <w:vAlign w:val="bottom"/>
            <w:tcBorders>
              <w:right w:val="single" w:sz="8" w:color="auto"/>
            </w:tcBorders>
            <w:gridSpan w:val="2"/>
            <w:vMerge w:val="continue"/>
          </w:tcPr>
          <w:p>
            <w:pPr>
              <w:spacing w:after="0"/>
              <w:rPr>
                <w:sz w:val="10"/>
                <w:szCs w:val="10"/>
                <w:color w:val="auto"/>
              </w:rPr>
            </w:pPr>
          </w:p>
        </w:tc>
        <w:tc>
          <w:tcPr>
            <w:tcW w:w="6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68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5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Borders>
              <w:bottom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0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80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1080" w:type="dxa"/>
            <w:vAlign w:val="bottom"/>
            <w:tcBorders>
              <w:right w:val="single" w:sz="8" w:color="auto"/>
            </w:tcBorders>
            <w:gridSpan w:val="2"/>
            <w:vMerge w:val="continue"/>
          </w:tcPr>
          <w:p>
            <w:pPr>
              <w:spacing w:after="0"/>
              <w:rPr>
                <w:sz w:val="9"/>
                <w:szCs w:val="9"/>
                <w:color w:val="auto"/>
              </w:rPr>
            </w:pPr>
          </w:p>
        </w:tc>
        <w:tc>
          <w:tcPr>
            <w:tcW w:w="804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1080" w:type="dxa"/>
            <w:vAlign w:val="bottom"/>
            <w:tcBorders>
              <w:right w:val="single" w:sz="8" w:color="auto"/>
            </w:tcBorders>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460" w:type="dxa"/>
            <w:vAlign w:val="bottom"/>
            <w:gridSpan w:val="2"/>
            <w:vMerge w:val="restart"/>
            <w:shd w:val="clear" w:color="auto" w:fill="F8F8F8"/>
          </w:tcPr>
          <w:p>
            <w:pPr>
              <w:spacing w:after="0" w:line="202" w:lineRule="exact"/>
              <w:rPr>
                <w:sz w:val="20"/>
                <w:szCs w:val="20"/>
                <w:color w:val="auto"/>
              </w:rPr>
            </w:pPr>
            <w:r>
              <w:rPr>
                <w:rFonts w:ascii="Times New Roman" w:cs="Times New Roman" w:eastAsia="Times New Roman" w:hAnsi="Times New Roman"/>
                <w:sz w:val="18"/>
                <w:szCs w:val="18"/>
                <w:color w:val="1D1C1D"/>
                <w:highlight w:val="white"/>
                <w:w w:val="99"/>
              </w:rPr>
              <w:t>108,486,735 Ordinary Shares (including 76,536,735 Ordinary Shares represented by 15,307,347 ADSs)</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460" w:type="dxa"/>
            <w:vAlign w:val="bottom"/>
            <w:gridSpan w:val="2"/>
            <w:vMerge w:val="continue"/>
            <w:shd w:val="clear" w:color="auto" w:fill="F8F8F8"/>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3"/>
              </w:rPr>
              <w:t>AGGREGATE</w:t>
            </w:r>
          </w:p>
        </w:tc>
        <w:tc>
          <w:tcPr>
            <w:tcW w:w="80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AMOUNT BENEFICIALLY OWNED BY EACH PERSON</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80" w:type="dxa"/>
            <w:vAlign w:val="bottom"/>
            <w:gridSpan w:val="3"/>
            <w:vMerge w:val="restart"/>
            <w:shd w:val="clear" w:color="auto" w:fill="F8F8F8"/>
          </w:tcPr>
          <w:p>
            <w:pPr>
              <w:spacing w:after="0" w:line="202" w:lineRule="exact"/>
              <w:rPr>
                <w:sz w:val="20"/>
                <w:szCs w:val="20"/>
                <w:color w:val="auto"/>
              </w:rPr>
            </w:pPr>
            <w:r>
              <w:rPr>
                <w:rFonts w:ascii="Times New Roman" w:cs="Times New Roman" w:eastAsia="Times New Roman" w:hAnsi="Times New Roman"/>
                <w:sz w:val="18"/>
                <w:szCs w:val="18"/>
                <w:color w:val="1D1C1D"/>
                <w:highlight w:val="white"/>
                <w:w w:val="99"/>
              </w:rPr>
              <w:t>108,486,735 Ordinary Shares (including 76,536,735 Ordinary Shares represented by 15,307,347 ADSs)</w:t>
            </w: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80" w:type="dxa"/>
            <w:vAlign w:val="bottom"/>
            <w:gridSpan w:val="3"/>
            <w:vMerge w:val="continue"/>
            <w:shd w:val="clear" w:color="auto" w:fill="F8F8F8"/>
          </w:tcPr>
          <w:p>
            <w:pPr>
              <w:spacing w:after="0"/>
              <w:rPr>
                <w:sz w:val="11"/>
                <w:szCs w:val="11"/>
                <w:color w:val="auto"/>
              </w:rPr>
            </w:pPr>
          </w:p>
        </w:tc>
        <w:tc>
          <w:tcPr>
            <w:tcW w:w="1200" w:type="dxa"/>
            <w:vAlign w:val="bottom"/>
            <w:gridSpan w:val="2"/>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1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6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4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9120" w:type="dxa"/>
            <w:vAlign w:val="bottom"/>
            <w:gridSpan w:val="6"/>
          </w:tcPr>
          <w:p>
            <w:pPr>
              <w:ind w:left="12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1520" w:type="dxa"/>
            <w:vAlign w:val="bottom"/>
            <w:vMerge w:val="continue"/>
          </w:tcPr>
          <w:p>
            <w:pPr>
              <w:spacing w:after="0"/>
              <w:rPr>
                <w:sz w:val="7"/>
                <w:szCs w:val="7"/>
                <w:color w:val="auto"/>
              </w:rPr>
            </w:pPr>
          </w:p>
        </w:tc>
        <w:tc>
          <w:tcPr>
            <w:tcW w:w="10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14.20%</w:t>
            </w:r>
          </w:p>
        </w:tc>
        <w:tc>
          <w:tcPr>
            <w:tcW w:w="440" w:type="dxa"/>
            <w:vAlign w:val="bottom"/>
          </w:tcPr>
          <w:p>
            <w:pPr>
              <w:spacing w:after="0"/>
              <w:rPr>
                <w:sz w:val="7"/>
                <w:szCs w:val="7"/>
                <w:color w:val="auto"/>
              </w:rPr>
            </w:pPr>
          </w:p>
        </w:tc>
        <w:tc>
          <w:tcPr>
            <w:tcW w:w="6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9120" w:type="dxa"/>
            <w:vAlign w:val="bottom"/>
            <w:gridSpan w:val="6"/>
          </w:tcPr>
          <w:p>
            <w:pPr>
              <w:ind w:left="12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1520" w:type="dxa"/>
            <w:vAlign w:val="bottom"/>
            <w:vMerge w:val="continue"/>
          </w:tcPr>
          <w:p>
            <w:pPr>
              <w:spacing w:after="0"/>
              <w:rPr>
                <w:sz w:val="7"/>
                <w:szCs w:val="7"/>
                <w:color w:val="auto"/>
              </w:rPr>
            </w:pPr>
          </w:p>
        </w:tc>
        <w:tc>
          <w:tcPr>
            <w:tcW w:w="10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tcPr>
          <w:p>
            <w:pPr>
              <w:spacing w:after="0"/>
              <w:rPr>
                <w:sz w:val="7"/>
                <w:szCs w:val="7"/>
                <w:color w:val="auto"/>
              </w:rPr>
            </w:pPr>
          </w:p>
        </w:tc>
        <w:tc>
          <w:tcPr>
            <w:tcW w:w="6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8"/>
        </w:trPr>
        <w:tc>
          <w:tcPr>
            <w:tcW w:w="1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3700" w:type="dxa"/>
            <w:vAlign w:val="bottom"/>
            <w:tcBorders>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Mereo BioPharma Group plc, a public limited company under the laws of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was subsequently amended on June 9, 2022, June 14, 2022, August 24, 2022, September 23, 2022, October 28, 2022, June 14, 2023, October 31, 2023, November 2, 2023, November 6, 2023, November 8, 2023, November 13, 2023, November 15, 2023, November 20, 2023, and April 16, 2024 (collectively, including this amendment,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by adding the following.</w:t>
      </w:r>
    </w:p>
    <w:p>
      <w:pPr>
        <w:spacing w:after="0" w:line="225"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On June 14, 2024, the Issuer filed a Form 8-K dated June 14, 2024 (the “Form 8-K”), and a Form 424B5 dated June 14, 2024, with the Securities and Exchange Commission in connection with an underwritten offering of 12,531,300 ADSs (such Form 424B5, “Form 424B5,” and such offering, the “Offering”) by the Issuer. The Reporting Persons have purchased 1,754,350 ADSs in the Offering. The Reporting Persons are subject to a lock-up agreement with respect to such ADSs, a form of which is attached as an exhibit to the Underwriting Agreement dated June 14, 2024 between the Issuer and the underwriters to the Offering (the “Underwriting Agreement,” a form of which is attached as Exhibit 1.1 to the Form 8-K).</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IN SECURITIES OF THE ISSUER</w:t>
      </w:r>
    </w:p>
    <w:p>
      <w:pPr>
        <w:spacing w:after="0" w:line="229" w:lineRule="exact"/>
        <w:rPr>
          <w:sz w:val="20"/>
          <w:szCs w:val="20"/>
          <w:color w:val="auto"/>
        </w:rPr>
      </w:pPr>
    </w:p>
    <w:p>
      <w:pPr>
        <w:ind w:left="660" w:right="18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764,005,934 Ordinary Shares reported to be outstanding as of June 17, 2024 in Form 424B5.</w:t>
      </w:r>
    </w:p>
    <w:p>
      <w:pPr>
        <w:spacing w:after="0" w:line="176" w:lineRule="exact"/>
        <w:rPr>
          <w:sz w:val="20"/>
          <w:szCs w:val="20"/>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annexed hereto lists all transactions in the securities of the Issuer by the Reporting Persons since the filing of Amendment No. 13.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3700" w:type="dxa"/>
            <w:vAlign w:val="bottom"/>
            <w:tcBorders>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Operating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75"/>
        </w:trPr>
        <w:tc>
          <w:tcPr>
            <w:tcW w:w="3840" w:type="dxa"/>
            <w:vAlign w:val="bottom"/>
            <w:tcBorders>
              <w:left w:val="single" w:sz="8" w:color="auto"/>
              <w:bottom w:val="single" w:sz="8" w:color="auto"/>
              <w:right w:val="single" w:sz="8" w:color="auto"/>
            </w:tcBorders>
          </w:tcPr>
          <w:p>
            <w:pPr>
              <w:spacing w:after="0"/>
              <w:rPr>
                <w:sz w:val="15"/>
                <w:szCs w:val="15"/>
                <w:color w:val="auto"/>
              </w:rPr>
            </w:pPr>
          </w:p>
        </w:tc>
        <w:tc>
          <w:tcPr>
            <w:tcW w:w="3700" w:type="dxa"/>
            <w:vAlign w:val="bottom"/>
            <w:tcBorders>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Securities of the Issuer Since the Filing of Amendment No. 13</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tcBorders>
              <w:top w:val="single" w:sz="8" w:color="auto"/>
              <w:left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Purchased</w:t>
            </w:r>
          </w:p>
        </w:tc>
        <w:tc>
          <w:tcPr>
            <w:tcW w:w="270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Price per Security</w:t>
            </w:r>
          </w:p>
        </w:tc>
        <w:tc>
          <w:tcPr>
            <w:tcW w:w="27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Date of</w:t>
            </w:r>
          </w:p>
        </w:tc>
      </w:tr>
      <w:tr>
        <w:trPr>
          <w:trHeight w:val="238"/>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29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Purchase/Sale</w:t>
            </w:r>
          </w:p>
        </w:tc>
      </w:tr>
      <w:tr>
        <w:trPr>
          <w:trHeight w:val="20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 of ADS</w:t>
            </w:r>
          </w:p>
        </w:tc>
        <w:tc>
          <w:tcPr>
            <w:tcW w:w="2920" w:type="dxa"/>
            <w:vAlign w:val="bottom"/>
            <w:tcBorders>
              <w:bottom w:val="single" w:sz="8" w:color="auto"/>
              <w:right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1,754,350</w:t>
            </w:r>
          </w:p>
        </w:tc>
        <w:tc>
          <w:tcPr>
            <w:tcW w:w="2700" w:type="dxa"/>
            <w:vAlign w:val="bottom"/>
            <w:tcBorders>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3.99</w:t>
            </w:r>
          </w:p>
        </w:tc>
        <w:tc>
          <w:tcPr>
            <w:tcW w:w="27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06/17/2024</w:t>
            </w:r>
          </w:p>
        </w:tc>
      </w:tr>
      <w:tr>
        <w:trPr>
          <w:trHeight w:val="668"/>
        </w:trPr>
        <w:tc>
          <w:tcPr>
            <w:tcW w:w="28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6"/>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6"/>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2024-06-17T15:46:03Z</dcterms:created>
  <dcterms:modified xsi:type="dcterms:W3CDTF">2024-06-17T15:46:03Z</dcterms:modified>
</cp:coreProperties>
</file>