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9360" w:val="left"/>
        </w:tabs>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6, 2020</w:t>
      </w:r>
      <w:r>
        <w:rPr>
          <w:sz w:val="20"/>
          <w:szCs w:val="20"/>
          <w:color w:val="auto"/>
        </w:rPr>
        <w:tab/>
      </w:r>
      <w:r>
        <w:rPr>
          <w:rFonts w:ascii="Times New Roman" w:cs="Times New Roman" w:eastAsia="Times New Roman" w:hAnsi="Times New Roman"/>
          <w:sz w:val="18"/>
          <w:szCs w:val="18"/>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234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80"/>
        <w:spacing w:after="0" w:line="208" w:lineRule="auto"/>
        <w:rPr>
          <w:sz w:val="20"/>
          <w:szCs w:val="20"/>
          <w:color w:val="auto"/>
        </w:rPr>
      </w:pPr>
      <w:r>
        <w:rPr>
          <w:rFonts w:ascii="Times New Roman" w:cs="Times New Roman" w:eastAsia="Times New Roman" w:hAnsi="Times New Roman"/>
          <w:sz w:val="18"/>
          <w:szCs w:val="18"/>
          <w:b w:val="1"/>
          <w:bCs w:val="1"/>
          <w:color w:val="auto"/>
        </w:rPr>
        <w:t>10 East 40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Street, 10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Copies to:</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David S. Bakst, Esq.</w:t>
            </w: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4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Herman H. Raspé, Esq.</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6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Mayer Brown LLP</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6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1221 Avenue of the Americas</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6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New York, New York 10020-1001</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 10036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40" w:type="dxa"/>
            <w:vAlign w:val="bottom"/>
            <w:gridSpan w:val="6"/>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(212) 506-2551</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(212) 336-2301</w:t>
            </w: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540" w:type="dxa"/>
            <w:vAlign w:val="bottom"/>
            <w:gridSpan w:val="8"/>
          </w:tcPr>
          <w:p>
            <w:pPr>
              <w:jc w:val="center"/>
              <w:ind w:right="290"/>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11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immediately upon filing.</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Date and Time.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700" w:type="dxa"/>
            <w:vAlign w:val="bottom"/>
            <w:gridSpan w:val="14"/>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7"/>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20" w:type="dxa"/>
            <w:vAlign w:val="bottom"/>
          </w:tcPr>
          <w:p>
            <w:pPr>
              <w:spacing w:after="0"/>
              <w:rPr>
                <w:sz w:val="16"/>
                <w:szCs w:val="16"/>
                <w:color w:val="auto"/>
              </w:rPr>
            </w:pPr>
          </w:p>
        </w:tc>
        <w:tc>
          <w:tcPr>
            <w:tcW w:w="3220" w:type="dxa"/>
            <w:vAlign w:val="bottom"/>
            <w:tcBorders>
              <w:right w:val="single" w:sz="8" w:color="auto"/>
            </w:tcBorders>
            <w:gridSpan w:val="5"/>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rPr>
              <w:t>Title of Each Class of</w:t>
            </w:r>
          </w:p>
        </w:tc>
        <w:tc>
          <w:tcPr>
            <w:tcW w:w="240" w:type="dxa"/>
            <w:vAlign w:val="bottom"/>
          </w:tcPr>
          <w:p>
            <w:pPr>
              <w:spacing w:after="0"/>
              <w:rPr>
                <w:sz w:val="16"/>
                <w:szCs w:val="16"/>
                <w:color w:val="auto"/>
              </w:rPr>
            </w:pPr>
          </w:p>
        </w:tc>
        <w:tc>
          <w:tcPr>
            <w:tcW w:w="1660" w:type="dxa"/>
            <w:vAlign w:val="bottom"/>
            <w:tcBorders>
              <w:right w:val="single" w:sz="8" w:color="auto"/>
            </w:tcBorders>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rPr>
              <w:t>Amount to be</w:t>
            </w:r>
          </w:p>
        </w:tc>
        <w:tc>
          <w:tcPr>
            <w:tcW w:w="1720" w:type="dxa"/>
            <w:vAlign w:val="bottom"/>
            <w:gridSpan w:val="2"/>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20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gridSpan w:val="2"/>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340" w:type="dxa"/>
            <w:vAlign w:val="bottom"/>
          </w:tcPr>
          <w:p>
            <w:pPr>
              <w:spacing w:after="0"/>
              <w:rPr>
                <w:sz w:val="16"/>
                <w:szCs w:val="16"/>
                <w:color w:val="auto"/>
              </w:rPr>
            </w:pPr>
          </w:p>
        </w:tc>
        <w:tc>
          <w:tcPr>
            <w:tcW w:w="154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220" w:type="dxa"/>
            <w:vAlign w:val="bottom"/>
            <w:tcBorders>
              <w:right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8"/>
                <w:szCs w:val="18"/>
                <w:color w:val="auto"/>
              </w:rPr>
              <w:t>Securities to be Registered</w:t>
            </w:r>
          </w:p>
        </w:tc>
        <w:tc>
          <w:tcPr>
            <w:tcW w:w="240" w:type="dxa"/>
            <w:vAlign w:val="bottom"/>
          </w:tcPr>
          <w:p>
            <w:pPr>
              <w:spacing w:after="0"/>
              <w:rPr>
                <w:sz w:val="18"/>
                <w:szCs w:val="18"/>
                <w:color w:val="auto"/>
              </w:rPr>
            </w:pPr>
          </w:p>
        </w:tc>
        <w:tc>
          <w:tcPr>
            <w:tcW w:w="16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Registered</w:t>
            </w:r>
          </w:p>
        </w:tc>
        <w:tc>
          <w:tcPr>
            <w:tcW w:w="1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Aggregate Price Per</w:t>
            </w:r>
          </w:p>
        </w:tc>
        <w:tc>
          <w:tcPr>
            <w:tcW w:w="2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Aggregate Offering</w:t>
            </w:r>
          </w:p>
        </w:tc>
        <w:tc>
          <w:tcPr>
            <w:tcW w:w="340" w:type="dxa"/>
            <w:vAlign w:val="bottom"/>
          </w:tcPr>
          <w:p>
            <w:pPr>
              <w:spacing w:after="0"/>
              <w:rPr>
                <w:sz w:val="18"/>
                <w:szCs w:val="18"/>
                <w:color w:val="auto"/>
              </w:rPr>
            </w:pPr>
          </w:p>
        </w:tc>
        <w:tc>
          <w:tcPr>
            <w:tcW w:w="15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rPr>
              <w:t>Unit*</w:t>
            </w: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Price**</w:t>
            </w: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40" w:type="dxa"/>
            <w:vAlign w:val="bottom"/>
            <w:tcBorders>
              <w:right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w:t>
            </w:r>
          </w:p>
        </w:tc>
        <w:tc>
          <w:tcPr>
            <w:tcW w:w="240" w:type="dxa"/>
            <w:vAlign w:val="bottom"/>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righ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ADS representing the right to receive five (5)</w:t>
            </w:r>
          </w:p>
        </w:tc>
        <w:tc>
          <w:tcPr>
            <w:tcW w:w="240" w:type="dxa"/>
            <w:vAlign w:val="bottom"/>
          </w:tcPr>
          <w:p>
            <w:pPr>
              <w:spacing w:after="0"/>
              <w:rPr>
                <w:sz w:val="18"/>
                <w:szCs w:val="18"/>
                <w:color w:val="auto"/>
              </w:rPr>
            </w:pPr>
          </w:p>
        </w:tc>
        <w:tc>
          <w:tcPr>
            <w:tcW w:w="166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100,000,000 ADSs</w:t>
            </w:r>
          </w:p>
        </w:tc>
        <w:tc>
          <w:tcPr>
            <w:tcW w:w="1180" w:type="dxa"/>
            <w:vAlign w:val="bottom"/>
            <w:vMerge w:val="restart"/>
          </w:tcPr>
          <w:p>
            <w:pPr>
              <w:jc w:val="center"/>
              <w:ind w:left="630"/>
              <w:spacing w:after="0"/>
              <w:rPr>
                <w:sz w:val="20"/>
                <w:szCs w:val="20"/>
                <w:color w:val="auto"/>
              </w:rPr>
            </w:pPr>
            <w:r>
              <w:rPr>
                <w:rFonts w:ascii="Times New Roman" w:cs="Times New Roman" w:eastAsia="Times New Roman" w:hAnsi="Times New Roman"/>
                <w:sz w:val="18"/>
                <w:szCs w:val="18"/>
                <w:color w:val="auto"/>
              </w:rPr>
              <w:t>$5.00</w:t>
            </w:r>
          </w:p>
        </w:tc>
        <w:tc>
          <w:tcPr>
            <w:tcW w:w="5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$5,000,000</w:t>
            </w:r>
          </w:p>
        </w:tc>
        <w:tc>
          <w:tcPr>
            <w:tcW w:w="340" w:type="dxa"/>
            <w:vAlign w:val="bottom"/>
          </w:tcPr>
          <w:p>
            <w:pPr>
              <w:spacing w:after="0"/>
              <w:rPr>
                <w:sz w:val="18"/>
                <w:szCs w:val="18"/>
                <w:color w:val="auto"/>
              </w:rPr>
            </w:pPr>
          </w:p>
        </w:tc>
        <w:tc>
          <w:tcPr>
            <w:tcW w:w="15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$545.50</w:t>
            </w:r>
          </w:p>
        </w:tc>
        <w:tc>
          <w:tcPr>
            <w:tcW w:w="0" w:type="dxa"/>
            <w:vAlign w:val="bottom"/>
          </w:tcPr>
          <w:p>
            <w:pPr>
              <w:spacing w:after="0"/>
              <w:rPr>
                <w:sz w:val="1"/>
                <w:szCs w:val="1"/>
                <w:color w:val="auto"/>
              </w:rPr>
            </w:pPr>
          </w:p>
        </w:tc>
      </w:tr>
      <w:tr>
        <w:trPr>
          <w:trHeight w:val="126"/>
        </w:trPr>
        <w:tc>
          <w:tcPr>
            <w:tcW w:w="364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Ordinary Shares of Mereo BioPharma Group plc</w:t>
            </w:r>
          </w:p>
        </w:tc>
        <w:tc>
          <w:tcPr>
            <w:tcW w:w="240" w:type="dxa"/>
            <w:vAlign w:val="bottom"/>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40" w:type="dxa"/>
            <w:vAlign w:val="bottom"/>
            <w:tcBorders>
              <w:right w:val="single" w:sz="8" w:color="auto"/>
            </w:tcBorders>
            <w:gridSpan w:val="6"/>
            <w:vMerge w:val="continue"/>
          </w:tcPr>
          <w:p>
            <w:pPr>
              <w:spacing w:after="0"/>
              <w:rPr>
                <w:sz w:val="7"/>
                <w:szCs w:val="7"/>
                <w:color w:val="auto"/>
              </w:rPr>
            </w:pPr>
          </w:p>
        </w:tc>
        <w:tc>
          <w:tcPr>
            <w:tcW w:w="240" w:type="dxa"/>
            <w:vAlign w:val="bottom"/>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640" w:type="dxa"/>
            <w:vAlign w:val="bottom"/>
            <w:tcBorders>
              <w:right w:val="single" w:sz="8" w:color="auto"/>
            </w:tcBorders>
            <w:gridSpan w:val="6"/>
          </w:tcPr>
          <w:p>
            <w:pPr>
              <w:spacing w:after="0" w:line="194" w:lineRule="exact"/>
              <w:rPr>
                <w:sz w:val="20"/>
                <w:szCs w:val="20"/>
                <w:color w:val="auto"/>
              </w:rPr>
            </w:pPr>
            <w:r>
              <w:rPr>
                <w:rFonts w:ascii="Times New Roman" w:cs="Times New Roman" w:eastAsia="Times New Roman" w:hAnsi="Times New Roman"/>
                <w:sz w:val="18"/>
                <w:szCs w:val="18"/>
                <w:color w:val="auto"/>
              </w:rPr>
              <w:t>(the “Company”)</w:t>
            </w:r>
          </w:p>
        </w:tc>
        <w:tc>
          <w:tcPr>
            <w:tcW w:w="240" w:type="dxa"/>
            <w:vAlign w:val="bottom"/>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represents 100 ADSs.</w:t>
      </w:r>
    </w:p>
    <w:p>
      <w:pPr>
        <w:spacing w:after="0" w:line="27" w:lineRule="exact"/>
        <w:rPr>
          <w:sz w:val="24"/>
          <w:szCs w:val="24"/>
          <w:color w:val="auto"/>
        </w:rPr>
      </w:pPr>
    </w:p>
    <w:p>
      <w:pPr>
        <w:ind w:left="340" w:right="220" w:hanging="332"/>
        <w:spacing w:after="0" w:line="26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ectPr>
          <w:pgSz w:w="11900" w:h="16838" w:orient="portrait"/>
          <w:cols w:equalWidth="0" w:num="1">
            <w:col w:w="11240"/>
          </w:cols>
          <w:pgMar w:left="320" w:top="468" w:right="339" w:bottom="0" w:gutter="0" w:footer="0" w:header="0"/>
        </w:sectPr>
      </w:pPr>
    </w:p>
    <w:bookmarkStart w:id="1" w:name="page2"/>
    <w:bookmarkEnd w:id="1"/>
    <w:p>
      <w:pPr>
        <w:spacing w:after="0" w:line="260" w:lineRule="auto"/>
        <w:tabs>
          <w:tab w:leader="none" w:pos="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80" w:right="199"/>
        <w:spacing w:after="0" w:line="282" w:lineRule="auto"/>
        <w:rPr>
          <w:sz w:val="20"/>
          <w:szCs w:val="20"/>
          <w:color w:val="auto"/>
        </w:rPr>
      </w:pPr>
      <w:r>
        <w:rPr>
          <w:rFonts w:ascii="Times New Roman" w:cs="Times New Roman" w:eastAsia="Times New Roman" w:hAnsi="Times New Roman"/>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INFORMATION REQUIRED IN PROSPECTUS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Cross Reference Sheet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 OF SECURITIES TO BE REGISTERED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460" w:type="dxa"/>
            <w:vAlign w:val="bottom"/>
            <w:vMerge w:val="restart"/>
          </w:tcPr>
          <w:p>
            <w:pPr>
              <w:spacing w:after="0"/>
              <w:rPr>
                <w:sz w:val="17"/>
                <w:szCs w:val="17"/>
                <w:color w:val="auto"/>
              </w:rPr>
            </w:pPr>
          </w:p>
        </w:tc>
        <w:tc>
          <w:tcPr>
            <w:tcW w:w="45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46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460" w:type="dxa"/>
            <w:vAlign w:val="bottom"/>
            <w:vMerge w:val="continue"/>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Name of Depositary and address of its principal executive office</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Introductory Article.</w:t>
            </w:r>
          </w:p>
        </w:tc>
        <w:tc>
          <w:tcPr>
            <w:tcW w:w="0" w:type="dxa"/>
            <w:vAlign w:val="bottom"/>
          </w:tcPr>
          <w:p>
            <w:pPr>
              <w:spacing w:after="0"/>
              <w:rPr>
                <w:sz w:val="1"/>
                <w:szCs w:val="1"/>
                <w:color w:val="auto"/>
              </w:rPr>
            </w:pPr>
          </w:p>
        </w:tc>
      </w:tr>
      <w:tr>
        <w:trPr>
          <w:trHeight w:val="41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Title of Receipts and identity of deposited securities</w:t>
            </w:r>
          </w:p>
        </w:tc>
        <w:tc>
          <w:tcPr>
            <w:tcW w:w="1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Face of Receipt</w:t>
            </w:r>
          </w:p>
        </w:tc>
        <w:tc>
          <w:tcPr>
            <w:tcW w:w="3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Top Center.</w:t>
            </w: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6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Terms of Deposit: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amount of deposited securities represented by one American</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Face of Receipt</w:t>
            </w:r>
          </w:p>
        </w:tc>
        <w:tc>
          <w:tcPr>
            <w:tcW w:w="3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Upper right corner.</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Depositary Share ("ADSs")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procedure for voting, if any, the deposited securities</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Reverse of Receipt - Paragraphs (17) and (18).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(iii)</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collection and distribution of dividends</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Reverse of Receipt - Paragraph (15).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(iv)</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transmission of notices, reports and proxy soliciting material</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Face of Receipt</w:t>
            </w:r>
          </w:p>
        </w:tc>
        <w:tc>
          <w:tcPr>
            <w:tcW w:w="3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Paragraph (14);</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 (18).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sale or exercise of rights</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deposit or sale of securities resulting from dividends, splits or</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Paragraphs (3) and (6);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plans of reorganization</w:t>
            </w:r>
          </w:p>
        </w:tc>
        <w:tc>
          <w:tcPr>
            <w:tcW w:w="45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(vii)</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Amendment, extension or termination of the deposit agreement</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Reverse of Receipt - Paragraphs (23) and (24) (no provision for</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(viii)</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Rights of holders of Receipts to inspect the transfer books of the</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Depositary and the list of holders of ADSs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460" w:type="dxa"/>
            <w:vAlign w:val="bottom"/>
            <w:vMerge w:val="restart"/>
          </w:tcPr>
          <w:p>
            <w:pPr>
              <w:spacing w:after="0"/>
              <w:rPr>
                <w:sz w:val="17"/>
                <w:szCs w:val="17"/>
                <w:color w:val="auto"/>
              </w:rPr>
            </w:pPr>
          </w:p>
        </w:tc>
        <w:tc>
          <w:tcPr>
            <w:tcW w:w="45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46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460" w:type="dxa"/>
            <w:vAlign w:val="bottom"/>
            <w:vMerge w:val="continue"/>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(ix)</w:t>
            </w:r>
          </w:p>
        </w:tc>
        <w:tc>
          <w:tcPr>
            <w:tcW w:w="5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Restrictions upon the right to deposit or withdraw the underlying</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Face of Receipt – Paragraphs (2), (3), (4), (6), (7), (9) and (10).</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5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(20) and (21).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 holders of</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ADSs</w:t>
            </w:r>
          </w:p>
        </w:tc>
        <w:tc>
          <w:tcPr>
            <w:tcW w:w="1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5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at 100 F Street, N.E., Washington D.C. 20549.</w:t>
      </w:r>
    </w:p>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60" w:right="4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ind w:left="180" w:right="379"/>
        <w:spacing w:after="0" w:line="282" w:lineRule="auto"/>
        <w:rPr>
          <w:sz w:val="20"/>
          <w:szCs w:val="20"/>
          <w:color w:val="auto"/>
        </w:rPr>
      </w:pPr>
      <w:r>
        <w:rPr>
          <w:rFonts w:ascii="Times New Roman" w:cs="Times New Roman" w:eastAsia="Times New Roman" w:hAnsi="Times New Roman"/>
          <w:sz w:val="18"/>
          <w:szCs w:val="18"/>
          <w:color w:val="auto"/>
        </w:rPr>
        <w:t>The Prospectus consists of the form of American Depositary Receipt included as Exhibit A to the Deposit Agreement filed as Exhibit (a) to this Registration Statement on Form F-6 and is incorporated herein by reference.</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 w:name="page7"/>
    <w:bookmarkEnd w:id="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300" w:right="4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Agreement, dated as of April 23, 2019, by and among Mereo BioPharma Group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issued thereunder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 Filed herewith as Exhibit (a).</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 to which the Depositary is a party relating to the issuance of the American Depositary Shares registered hereunder or the custody of the deposited securities represented thereby. — None.</w:t>
      </w:r>
    </w:p>
    <w:p>
      <w:pPr>
        <w:spacing w:after="0" w:line="161"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material contract relating to the deposited securities between the Depositary and the issuer of the deposited securities in effect at any time within the last three years. — None.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counsel for the Depositary as to the legality of the securities to be registered. — Filed herewith as Exhibit (d).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under Rule 466. — Filed herewith as Exhibit (e).</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Attorney for certain officers and directors and the authorized representative of the Company. — Set forth on the signature pages hereto.</w:t>
      </w:r>
    </w:p>
    <w:p>
      <w:pPr>
        <w:spacing w:after="0" w:line="2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33" w:right="499"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130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 w:name="page9"/>
    <w:bookmarkEnd w:id="8"/>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to be created by the Deposit Agreement, by and among Mereo BioPharma Group plc, Citibank, N.A., as depositary, and all Holders and Beneficial Owners from time to time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6th day of October, 2020.</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Legal entity created by the Deposit Agreement under which the American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Depositary Shares registered hereunder are to be issued, each American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Depositary Share representing the right to receive Ordinary Shares of Mereo</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BioPharma Group plc.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CITIBANK, N.A., solely in its capacity as Depositary</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Leslie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Leslie DeLuca</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9" w:name="page10"/>
    <w:bookmarkEnd w:id="9"/>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Mereo BioPharma Group plc certifies that it has reasonable grounds to believe that all the requirements for filing on Form F-6 are met and has duly caused this Registration Statement on Form F-6 to be signed on its behalf by the undersigned thereunto duly authorized, in London, United Kingdom, on October 6, 2020.</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Denise Scots-Knight, Ph.D.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333" w:right="51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POWERS OF ATTORNEY</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each of Denise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Scots-Knight, Ph.D. and Michael S. Wyzga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F-6 has been signed by the following persons in the following capacities on October 6,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4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34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color w:val="auto"/>
                <w:w w:val="93"/>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669"/>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Denise Scots-Knight</w:t>
            </w:r>
          </w:p>
        </w:tc>
        <w:tc>
          <w:tcPr>
            <w:tcW w:w="632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auto"/>
              </w:rPr>
              <w:t>Chief Executive Officer and Member of the Board</w:t>
            </w:r>
          </w:p>
        </w:tc>
      </w:tr>
      <w:tr>
        <w:trPr>
          <w:trHeight w:val="228"/>
        </w:trPr>
        <w:tc>
          <w:tcPr>
            <w:tcW w:w="700" w:type="dxa"/>
            <w:vAlign w:val="bottom"/>
          </w:tcPr>
          <w:p>
            <w:pPr>
              <w:spacing w:after="0"/>
              <w:rPr>
                <w:sz w:val="19"/>
                <w:szCs w:val="19"/>
                <w:color w:val="auto"/>
              </w:rPr>
            </w:pPr>
          </w:p>
        </w:tc>
        <w:tc>
          <w:tcPr>
            <w:tcW w:w="34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Denise Scots-Knight, Ph.D.</w:t>
            </w:r>
          </w:p>
        </w:tc>
        <w:tc>
          <w:tcPr>
            <w:tcW w:w="632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auto"/>
                <w:w w:val="99"/>
              </w:rPr>
              <w:t>(Principal Executive Officer and Principal Financial Officer)</w:t>
            </w:r>
          </w:p>
        </w:tc>
      </w:tr>
      <w:tr>
        <w:trPr>
          <w:trHeight w:val="630"/>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S. Wyzga</w:t>
            </w:r>
          </w:p>
        </w:tc>
        <w:tc>
          <w:tcPr>
            <w:tcW w:w="632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Interim Chief Financial Officer and Member of the Board</w:t>
            </w:r>
          </w:p>
        </w:tc>
      </w:tr>
      <w:tr>
        <w:trPr>
          <w:trHeight w:val="228"/>
        </w:trPr>
        <w:tc>
          <w:tcPr>
            <w:tcW w:w="700" w:type="dxa"/>
            <w:vAlign w:val="bottom"/>
          </w:tcPr>
          <w:p>
            <w:pPr>
              <w:spacing w:after="0"/>
              <w:rPr>
                <w:sz w:val="19"/>
                <w:szCs w:val="19"/>
                <w:color w:val="auto"/>
              </w:rPr>
            </w:pPr>
          </w:p>
        </w:tc>
        <w:tc>
          <w:tcPr>
            <w:tcW w:w="34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Michael S. Wyzga</w:t>
            </w:r>
          </w:p>
        </w:tc>
        <w:tc>
          <w:tcPr>
            <w:tcW w:w="3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Peter Fellner</w:t>
            </w:r>
          </w:p>
        </w:tc>
        <w:tc>
          <w:tcPr>
            <w:tcW w:w="6320" w:type="dxa"/>
            <w:vAlign w:val="bottom"/>
            <w:gridSpan w:val="3"/>
          </w:tcPr>
          <w:p>
            <w:pPr>
              <w:jc w:val="center"/>
              <w:ind w:left="185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8"/>
        </w:trPr>
        <w:tc>
          <w:tcPr>
            <w:tcW w:w="700" w:type="dxa"/>
            <w:vAlign w:val="bottom"/>
          </w:tcPr>
          <w:p>
            <w:pPr>
              <w:spacing w:after="0"/>
              <w:rPr>
                <w:sz w:val="19"/>
                <w:szCs w:val="19"/>
                <w:color w:val="auto"/>
              </w:rPr>
            </w:pPr>
          </w:p>
        </w:tc>
        <w:tc>
          <w:tcPr>
            <w:tcW w:w="34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Peter Fellner, Ph.D.</w:t>
            </w:r>
          </w:p>
        </w:tc>
        <w:tc>
          <w:tcPr>
            <w:tcW w:w="3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Peter Bains</w:t>
            </w:r>
          </w:p>
        </w:tc>
        <w:tc>
          <w:tcPr>
            <w:tcW w:w="632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700" w:type="dxa"/>
            <w:vAlign w:val="bottom"/>
          </w:tcPr>
          <w:p>
            <w:pPr>
              <w:spacing w:after="0"/>
              <w:rPr>
                <w:sz w:val="19"/>
                <w:szCs w:val="19"/>
                <w:color w:val="auto"/>
              </w:rPr>
            </w:pPr>
          </w:p>
        </w:tc>
        <w:tc>
          <w:tcPr>
            <w:tcW w:w="34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Peter Bains</w:t>
            </w:r>
          </w:p>
        </w:tc>
        <w:tc>
          <w:tcPr>
            <w:tcW w:w="3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Jeremy Bender</w:t>
            </w:r>
          </w:p>
        </w:tc>
        <w:tc>
          <w:tcPr>
            <w:tcW w:w="632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700" w:type="dxa"/>
            <w:vAlign w:val="bottom"/>
          </w:tcPr>
          <w:p>
            <w:pPr>
              <w:spacing w:after="0"/>
              <w:rPr>
                <w:sz w:val="19"/>
                <w:szCs w:val="19"/>
                <w:color w:val="auto"/>
              </w:rPr>
            </w:pPr>
          </w:p>
        </w:tc>
        <w:tc>
          <w:tcPr>
            <w:tcW w:w="34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Jeremy Bender, Ph.D.</w:t>
            </w:r>
          </w:p>
        </w:tc>
        <w:tc>
          <w:tcPr>
            <w:tcW w:w="3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Anders Ekblom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23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Anders Ekblom, M.D., Ph.D.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Kunal Kashyap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23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Kunal Kashyap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Deepika R.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231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8"/>
          <w:szCs w:val="18"/>
          <w:color w:val="auto"/>
        </w:rPr>
        <w:t>Deepika R. Pakianathan, Ph.D.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231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Brian Schwartz</w:t>
      </w:r>
    </w:p>
    <w:p>
      <w:pPr>
        <w:spacing w:after="0" w:line="20" w:lineRule="exact"/>
        <w:rPr>
          <w:sz w:val="20"/>
          <w:szCs w:val="20"/>
          <w:color w:val="auto"/>
        </w:rPr>
      </w:pPr>
      <w:r>
        <w:rPr>
          <w:sz w:val="20"/>
          <w:szCs w:val="20"/>
          <w:color w:val="auto"/>
        </w:rPr>
        <w:br w:type="column"/>
      </w:r>
    </w:p>
    <w:p>
      <w:pPr>
        <w:jc w:val="center"/>
        <w:ind w:right="-960"/>
        <w:spacing w:after="0"/>
        <w:rPr>
          <w:sz w:val="20"/>
          <w:szCs w:val="20"/>
          <w:color w:val="auto"/>
        </w:rPr>
      </w:pPr>
      <w:r>
        <w:rPr>
          <w:rFonts w:ascii="Times New Roman" w:cs="Times New Roman" w:eastAsia="Times New Roman" w:hAnsi="Times New Roman"/>
          <w:sz w:val="18"/>
          <w:szCs w:val="18"/>
          <w:u w:val="single" w:color="auto"/>
          <w:color w:val="auto"/>
        </w:rPr>
        <w:t>Title</w:t>
      </w:r>
    </w:p>
    <w:p>
      <w:pPr>
        <w:spacing w:after="0" w:line="225"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18"/>
          <w:szCs w:val="18"/>
          <w:color w:val="auto"/>
        </w:rPr>
        <w:t>Member of the Board</w:t>
      </w:r>
    </w:p>
    <w:p>
      <w:pPr>
        <w:spacing w:after="0" w:line="200" w:lineRule="exact"/>
        <w:rPr>
          <w:sz w:val="20"/>
          <w:szCs w:val="20"/>
          <w:color w:val="auto"/>
        </w:rPr>
      </w:pPr>
    </w:p>
    <w:p>
      <w:pPr>
        <w:spacing w:after="0" w:line="255"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18"/>
          <w:szCs w:val="18"/>
          <w:color w:val="auto"/>
        </w:rPr>
        <w:t>Member of the Board</w:t>
      </w:r>
    </w:p>
    <w:p>
      <w:pPr>
        <w:spacing w:after="0" w:line="200" w:lineRule="exact"/>
        <w:rPr>
          <w:sz w:val="20"/>
          <w:szCs w:val="20"/>
          <w:color w:val="auto"/>
        </w:rPr>
      </w:pPr>
    </w:p>
    <w:p>
      <w:pPr>
        <w:spacing w:after="0" w:line="255"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18"/>
          <w:szCs w:val="18"/>
          <w:color w:val="auto"/>
        </w:rPr>
        <w:t>Member of the Board</w:t>
      </w:r>
    </w:p>
    <w:p>
      <w:pPr>
        <w:spacing w:after="0" w:line="200" w:lineRule="exact"/>
        <w:rPr>
          <w:sz w:val="20"/>
          <w:szCs w:val="20"/>
          <w:color w:val="auto"/>
        </w:rPr>
      </w:pPr>
    </w:p>
    <w:p>
      <w:pPr>
        <w:spacing w:after="0" w:line="255"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18"/>
          <w:szCs w:val="18"/>
          <w:color w:val="auto"/>
        </w:rPr>
        <w:t>Member of the Board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40" w:space="720"/>
            <w:col w:w="4679"/>
          </w:cols>
          <w:pgMar w:left="320" w:top="364"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 OF AUTHORIZED U.S. REPRESENTATIVE OF REGISTRANT</w:t>
      </w:r>
    </w:p>
    <w:p>
      <w:pPr>
        <w:spacing w:after="0" w:line="229" w:lineRule="exact"/>
        <w:rPr>
          <w:sz w:val="20"/>
          <w:szCs w:val="20"/>
          <w:color w:val="auto"/>
        </w:rPr>
      </w:pPr>
    </w:p>
    <w:p>
      <w:pPr>
        <w:ind w:firstLine="69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Mereo BioPharma Group plc has signed this registration statement on October 6, 2020.</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Mereo US Holdings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Denise Scots-Knight, Ph.D.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0"/>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2920" w:type="dxa"/>
            <w:vAlign w:val="bottom"/>
          </w:tcPr>
          <w:p>
            <w:pPr>
              <w:spacing w:after="0"/>
              <w:rPr>
                <w:sz w:val="17"/>
                <w:szCs w:val="17"/>
                <w:color w:val="auto"/>
              </w:rPr>
            </w:pPr>
          </w:p>
        </w:tc>
        <w:tc>
          <w:tcPr>
            <w:tcW w:w="2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Document</w:t>
            </w:r>
          </w:p>
        </w:tc>
        <w:tc>
          <w:tcPr>
            <w:tcW w:w="2940" w:type="dxa"/>
            <w:vAlign w:val="bottom"/>
            <w:gridSpan w:val="2"/>
          </w:tcPr>
          <w:p>
            <w:pPr>
              <w:ind w:left="17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9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 Agreement</w:t>
            </w:r>
          </w:p>
        </w:tc>
        <w:tc>
          <w:tcPr>
            <w:tcW w:w="17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Opinion of counsel to the Depositary</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 under Rule 466</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39"/>
          </w:cols>
          <w:pgMar w:left="320" w:top="324"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Depositary,</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ALL HOLDERS AND BENEFICIAL OWNERS OF</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Dated as of April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842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TABLE OF CONTENTS</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84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w:t>
            </w:r>
          </w:p>
        </w:tc>
        <w:tc>
          <w:tcPr>
            <w:tcW w:w="8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“ADS Record Date”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“Affiliate”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“American Depositary Receipt(s)”, “ADR(s)” and “Receipt(s)”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1.4</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1.5</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1.6</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“Articles of Association”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“Beneficial Owner”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1.8</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“Certificated ADS(s)”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1.9</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“Citibank”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1.10</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“Commission”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1.12</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“CREST”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1.13</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“Custodian”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1.14</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“Deliver” and “Delivery”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1.15</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 Agreement”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1.16</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“Depositary”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1.17</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“Deposited Property”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1.18</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“Deposited Securities”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1.19</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“Dollars” and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1.20</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“DTC”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1.21</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“DTC Participant”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1.22</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Act”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1.23</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1.24</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“Full Entitlement ADR(s)”, “Full Entitlement ADS(s)” and “Full Entitlement Share(s)”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1.25</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1.26</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“Partial Entitlement ADR(s)”, “Partial Entitlement ADS(s)” and “Partial Entitlement Share(s)”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1.27</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“Pounds”, “Pence” and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1.28</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Office”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1.29</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Securities”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1.31</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ADR(s)”, “Restricted ADS(s)” and “Restricted Shares”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1.32</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Act”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1.33</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Registrar”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1.34</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1.35</w:t>
            </w: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“Uncertificated ADS(s)”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1.36</w:t>
            </w:r>
          </w:p>
        </w:tc>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and “U.S.”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8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APPOINTMENT OF DEPOSITARY; FORM OF RECEIPTS;</w:t>
            </w: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 OF SHARES; EXECUTION AND</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TRANSFER AND SURRENDER OF RECEIPTS</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and Transferability of ADSs.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2.3</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Deposit of Shares.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2.4</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2.5</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ADSs.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2.6</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 Combination and Split-up of ADRs.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2.7</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Surrender of ADSs and Withdrawal of Deposited Securities.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2.8</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ADSs; Suspension of Delivery, Transfer,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2.9</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Lost ADRs, etc.</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Cancellation and Destruction of Surrendered ADRs; Maintenance of Records.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Escheatment.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2.12</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Partial Entitlement ADSs.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2.13</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Certificated/Uncertificated ADSs.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2.14</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ADSs.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CERTAIN OBLIGATIONS OF HOLDERS</w:t>
            </w: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BENEFICIAL OWNERS OF ADSs</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3.2</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3.3</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3.4</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3.5</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Ownership Restrictions.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3.6</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Obligations and Regulatory Approvals.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8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DEPOSITED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Distributions.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in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4.3</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4.4</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of Rights to Purchase Additional ADSs.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4.5</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4.6</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4.7</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4.8</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4.9</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Fixing of ADS Record Date.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4.10</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4.11</w:t>
            </w:r>
          </w:p>
        </w:tc>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4.12</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Available Information.</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4.13</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Reports.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4.14</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List of Holders.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4.15</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Taxation.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79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Exoneration.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Standard of Care.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5.4</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5.5</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Custodian.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5.6</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Notices and Reports.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5.7</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5.8</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Indemnification.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5.9</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ADS Fees and Charges.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5.10</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w:t>
            </w:r>
          </w:p>
        </w:tc>
        <w:tc>
          <w:tcPr>
            <w:tcW w:w="79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 AND TERMINATION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Amendment/Supplement.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6.2</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9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7.2</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7.3</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7.4</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7.5</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7.6</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7.7</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7.8</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Compliance with, and No Disclaimer under, U.S. Securities Laws.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7.9</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England and Wales Law References.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Titles and References.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EXHIBITS</w:t>
            </w:r>
          </w:p>
        </w:tc>
        <w:tc>
          <w:tcPr>
            <w:tcW w:w="79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ADR.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Schedule.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5"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April 23, 2019, by and among (i) Mereo BioPharma Group plc, a public limited company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CITIBANK, N.A., a national banking association organized under the laws of the United States of America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acting in its capacity as depositary, and any successor depositary hereunder (Citibank in such capacity,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(iii) all Holders and Beneficial Owners of American Depositary Shares issued hereunder (all such capitalized terms as hereinafter defined).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 THAT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with the Depositary an ADR facility to provide for the deposit of the Shares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71"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ADR facility upon the terms set forth in the Deposit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defined); and</w:t>
      </w:r>
    </w:p>
    <w:p>
      <w:pPr>
        <w:spacing w:after="0" w:line="15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any American Depositary Receipts issued pursuant to the terms of the Deposit Agreement are to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Deposit Agreement.</w:t>
      </w:r>
    </w:p>
    <w:p>
      <w:pPr>
        <w:spacing w:after="0" w:line="155"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1"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“ADS Record Date” </w:t>
      </w:r>
      <w:r>
        <w:rPr>
          <w:rFonts w:ascii="Times New Roman" w:cs="Times New Roman" w:eastAsia="Times New Roman" w:hAnsi="Times New Roman"/>
          <w:sz w:val="18"/>
          <w:szCs w:val="18"/>
          <w:color w:val="auto"/>
        </w:rPr>
        <w:t>shall have the meaning given to such term in Section 4.9.</w:t>
      </w:r>
    </w:p>
    <w:p>
      <w:pPr>
        <w:spacing w:after="0" w:line="22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such term by the Commission (as hereinafter defined) under Regulation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(as hereinafter defined), or under any successor regulation thereto.</w:t>
      </w:r>
    </w:p>
    <w:p>
      <w:pPr>
        <w:spacing w:after="0" w:line="15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“American Depositary Receipt(s)”, “ADR(s)” and “Receipt(s)”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certificate(s) issued by the Depositary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will, in the case of ADSs held through a central depository such as DTC and notwithstanding any other provision of this Agreement, be in the form of a “Balance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“American Depositary Share(s)” and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rights and interests in the Deposited Property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ind w:firstLine="8"/>
        <w:spacing w:after="0" w:line="251"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1.5</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“Applicant” </w:t>
      </w:r>
      <w:r>
        <w:rPr>
          <w:rFonts w:ascii="Times New Roman" w:cs="Times New Roman" w:eastAsia="Times New Roman" w:hAnsi="Times New Roman"/>
          <w:sz w:val="18"/>
          <w:szCs w:val="18"/>
          <w:color w:val="auto"/>
        </w:rPr>
        <w:t>shall have the meaning given to such term in Section 5.10.</w:t>
      </w:r>
    </w:p>
    <w:p>
      <w:pPr>
        <w:spacing w:after="0" w:line="22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1.6</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“Articles of Association” </w:t>
      </w:r>
      <w:r>
        <w:rPr>
          <w:rFonts w:ascii="Times New Roman" w:cs="Times New Roman" w:eastAsia="Times New Roman" w:hAnsi="Times New Roman"/>
          <w:sz w:val="17"/>
          <w:szCs w:val="17"/>
          <w:color w:val="auto"/>
        </w:rPr>
        <w:t>shall mean the Articles of Association of the Company, as amended and restated from time to time.</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u w:val="single" w:color="auto"/>
          <w:color w:val="auto"/>
        </w:rPr>
        <w:t>“Beneficial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as to any ADS, any person or entity having a beneficial interest deriving from the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 a brokerage account vs. as registered holder) may affect the rights and obligations of, the manner in which, and the extent to which, services are made available to, Beneficial Owners pursuant to the terms of the Deposit Agreement.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1.8</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“Certificated ADS(s)” </w:t>
      </w:r>
      <w:r>
        <w:rPr>
          <w:rFonts w:ascii="Times New Roman" w:cs="Times New Roman" w:eastAsia="Times New Roman" w:hAnsi="Times New Roman"/>
          <w:sz w:val="17"/>
          <w:szCs w:val="17"/>
          <w:color w:val="auto"/>
        </w:rPr>
        <w:t>shall have the meaning set forth in Section 2.13.</w:t>
      </w:r>
    </w:p>
    <w:p>
      <w:pPr>
        <w:spacing w:after="0" w:line="225"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b w:val="1"/>
          <w:bCs w:val="1"/>
          <w:u w:val="single" w:color="auto"/>
          <w:color w:val="auto"/>
        </w:rPr>
        <w:t>“Citibank”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and its successors.</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1.10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Securities and Exchange Commission of the United States or any successor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in the United States.</w:t>
      </w:r>
    </w:p>
    <w:p>
      <w:pPr>
        <w:spacing w:after="0" w:line="15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Mereo BioPharma Group plc, a public limited company incorporated under the laws of England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Wales, and its successors.</w:t>
      </w:r>
    </w:p>
    <w:p>
      <w:pPr>
        <w:spacing w:after="0" w:line="15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b w:val="1"/>
          <w:bCs w:val="1"/>
          <w:u w:val="single" w:color="auto"/>
          <w:color w:val="auto"/>
        </w:rPr>
        <w:t>“CREST”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system for the paperless settlement of trades in securities and the holding of uncertificated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by Euroclear UK &amp; Ireland Limited in accordance with the Uncertificated Securities Regulations 2001 (SI 2001 No. 3755), as amended from time to time, or any successor thereto.</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1.13 </w:t>
      </w:r>
      <w:r>
        <w:rPr>
          <w:rFonts w:ascii="Times New Roman" w:cs="Times New Roman" w:eastAsia="Times New Roman" w:hAnsi="Times New Roman"/>
          <w:sz w:val="18"/>
          <w:szCs w:val="18"/>
          <w:b w:val="1"/>
          <w:bCs w:val="1"/>
          <w:u w:val="single" w:color="auto"/>
          <w:color w:val="auto"/>
        </w:rPr>
        <w:t>“Custodian”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(i) as of the date hereof, Citibank N.A., London Branch, having its principal office at 25 Canada Square,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Canary 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79"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1.14 </w:t>
      </w:r>
      <w:r>
        <w:rPr>
          <w:rFonts w:ascii="Times New Roman" w:cs="Times New Roman" w:eastAsia="Times New Roman" w:hAnsi="Times New Roman"/>
          <w:sz w:val="18"/>
          <w:szCs w:val="18"/>
          <w:b w:val="1"/>
          <w:bCs w:val="1"/>
          <w:u w:val="single" w:color="auto"/>
          <w:color w:val="auto"/>
        </w:rPr>
        <w:t>“Deliver”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when used in respect of Shares and other Deposited Securities</w:t>
      </w:r>
      <w:r>
        <w:rPr>
          <w:rFonts w:ascii="Times New Roman" w:cs="Times New Roman" w:eastAsia="Times New Roman" w:hAnsi="Times New Roman"/>
          <w:sz w:val="18"/>
          <w:szCs w:val="18"/>
          <w:color w:val="auto"/>
        </w:rPr>
        <w:t>, either (i) the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of the certificate(s) representing such securities, or (ii) the book-entry transfer and recordation of such securities on the books of the Share Registrar (as hereinafter defined) or in the book-entry settlement of CREST, and (y) </w:t>
      </w:r>
      <w:r>
        <w:rPr>
          <w:rFonts w:ascii="Times New Roman" w:cs="Times New Roman" w:eastAsia="Times New Roman" w:hAnsi="Times New Roman"/>
          <w:sz w:val="18"/>
          <w:szCs w:val="18"/>
          <w:i w:val="1"/>
          <w:iCs w:val="1"/>
          <w:color w:val="auto"/>
        </w:rPr>
        <w:t>when used in respect of ADSs</w:t>
      </w:r>
      <w:r>
        <w:rPr>
          <w:rFonts w:ascii="Times New Roman" w:cs="Times New Roman" w:eastAsia="Times New Roman" w:hAnsi="Times New Roman"/>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right="6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1.15 </w:t>
      </w: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this Deposit Agreement and all exhibits hereto, as the same may from time to time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supplemented from time to time in accordance with the terms of the Deposit Agreement.</w:t>
      </w:r>
    </w:p>
    <w:p>
      <w:pPr>
        <w:spacing w:after="0" w:line="15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1.16 </w:t>
      </w:r>
      <w:r>
        <w:rPr>
          <w:rFonts w:ascii="Times New Roman" w:cs="Times New Roman" w:eastAsia="Times New Roman" w:hAnsi="Times New Roman"/>
          <w:sz w:val="18"/>
          <w:szCs w:val="18"/>
          <w:b w:val="1"/>
          <w:bCs w:val="1"/>
          <w:u w:val="single" w:color="auto"/>
          <w:color w:val="auto"/>
        </w:rPr>
        <w:t>“Depositary”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depositary under the terms of the Deposit Agreement, and any successor depositary hereunder.</w:t>
      </w:r>
    </w:p>
    <w:p>
      <w:pPr>
        <w:spacing w:after="0" w:line="15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1.17 </w:t>
      </w:r>
      <w:r>
        <w:rPr>
          <w:rFonts w:ascii="Times New Roman" w:cs="Times New Roman" w:eastAsia="Times New Roman" w:hAnsi="Times New Roman"/>
          <w:sz w:val="18"/>
          <w:szCs w:val="18"/>
          <w:b w:val="1"/>
          <w:bCs w:val="1"/>
          <w:u w:val="single" w:color="auto"/>
          <w:color w:val="auto"/>
        </w:rPr>
        <w:t>“Deposited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Deposited Securities and any cash and other property held on deposit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82"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1.18 </w:t>
      </w:r>
      <w:r>
        <w:rPr>
          <w:rFonts w:ascii="Times New Roman" w:cs="Times New Roman" w:eastAsia="Times New Roman" w:hAnsi="Times New Roman"/>
          <w:sz w:val="18"/>
          <w:szCs w:val="18"/>
          <w:b w:val="1"/>
          <w:bCs w:val="1"/>
          <w:u w:val="single" w:color="auto"/>
          <w:color w:val="auto"/>
        </w:rPr>
        <w:t>“Deposited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Shares and any other securities held on deposit by the Custodian from time to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ADSs under the Deposit Agreement and constituting Deposited Property.</w:t>
      </w:r>
    </w:p>
    <w:p>
      <w:pPr>
        <w:spacing w:after="0" w:line="15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1.19</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“Dollars” and “$” </w:t>
      </w:r>
      <w:r>
        <w:rPr>
          <w:rFonts w:ascii="Times New Roman" w:cs="Times New Roman" w:eastAsia="Times New Roman" w:hAnsi="Times New Roman"/>
          <w:sz w:val="17"/>
          <w:szCs w:val="17"/>
          <w:color w:val="auto"/>
        </w:rPr>
        <w:t>shall refer to the lawful currency of the United States.</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1.20 </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17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b w:val="1"/>
          <w:bCs w:val="1"/>
          <w:u w:val="single" w:color="auto"/>
          <w:color w:val="auto"/>
        </w:rPr>
        <w:t>“DTC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financial institution (or any nominee of such institution) having one or more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8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1.22</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“Exchange Act” </w:t>
      </w:r>
      <w:r>
        <w:rPr>
          <w:rFonts w:ascii="Times New Roman" w:cs="Times New Roman" w:eastAsia="Times New Roman" w:hAnsi="Times New Roman"/>
          <w:sz w:val="17"/>
          <w:szCs w:val="17"/>
          <w:color w:val="auto"/>
        </w:rPr>
        <w:t>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1.23</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“Foreign Currency” </w:t>
      </w:r>
      <w:r>
        <w:rPr>
          <w:rFonts w:ascii="Times New Roman" w:cs="Times New Roman" w:eastAsia="Times New Roman" w:hAnsi="Times New Roman"/>
          <w:sz w:val="17"/>
          <w:szCs w:val="17"/>
          <w:color w:val="auto"/>
        </w:rPr>
        <w:t>shall mean any currency other than Dollars.</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2" w:name="page23"/>
    <w:bookmarkEnd w:id="22"/>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1.24 </w:t>
      </w:r>
      <w:r>
        <w:rPr>
          <w:rFonts w:ascii="Times New Roman" w:cs="Times New Roman" w:eastAsia="Times New Roman" w:hAnsi="Times New Roman"/>
          <w:sz w:val="18"/>
          <w:szCs w:val="18"/>
          <w:b w:val="1"/>
          <w:bCs w:val="1"/>
          <w:u w:val="single" w:color="auto"/>
          <w:color w:val="auto"/>
        </w:rPr>
        <w:t>“Full Entitlement ADR(s)”, “Full Entitlement ADS(s)” and “Full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2.12.</w:t>
      </w:r>
    </w:p>
    <w:p>
      <w:pPr>
        <w:spacing w:after="0" w:line="15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1.25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person(s) in whose name the ADSs are registered on the books of the Depositary (or the Registrar,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the services are made available to, Holders pursuant to the terms of the Deposit Agreement.</w:t>
      </w:r>
    </w:p>
    <w:p>
      <w:pPr>
        <w:spacing w:after="0" w:line="179"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1.26 </w:t>
      </w:r>
      <w:r>
        <w:rPr>
          <w:rFonts w:ascii="Times New Roman" w:cs="Times New Roman" w:eastAsia="Times New Roman" w:hAnsi="Times New Roman"/>
          <w:sz w:val="18"/>
          <w:szCs w:val="18"/>
          <w:b w:val="1"/>
          <w:bCs w:val="1"/>
          <w:u w:val="single" w:color="auto"/>
          <w:color w:val="auto"/>
        </w:rPr>
        <w:t>“Partial Entitlement ADR(s)”, “Partial Entitlement ADS(s)” and “Partial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Section 2.12.</w:t>
      </w:r>
    </w:p>
    <w:p>
      <w:pPr>
        <w:spacing w:after="0" w:line="15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1.27</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“Pounds”, “Pence” and “£” </w:t>
      </w:r>
      <w:r>
        <w:rPr>
          <w:rFonts w:ascii="Times New Roman" w:cs="Times New Roman" w:eastAsia="Times New Roman" w:hAnsi="Times New Roman"/>
          <w:sz w:val="17"/>
          <w:szCs w:val="17"/>
          <w:color w:val="auto"/>
        </w:rPr>
        <w:t>shall refer to the lawful currency of England.</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1.28 </w:t>
      </w:r>
      <w:r>
        <w:rPr>
          <w:rFonts w:ascii="Times New Roman" w:cs="Times New Roman" w:eastAsia="Times New Roman" w:hAnsi="Times New Roman"/>
          <w:sz w:val="18"/>
          <w:szCs w:val="18"/>
          <w:b w:val="1"/>
          <w:bCs w:val="1"/>
          <w:u w:val="single" w:color="auto"/>
          <w:color w:val="auto"/>
        </w:rPr>
        <w:t>“Principal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Deposit Agreement, is located at 388 Greenwich Street, New York, New York 10013, U.S.A.</w:t>
      </w:r>
    </w:p>
    <w:p>
      <w:pPr>
        <w:spacing w:after="0" w:line="17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1.29 </w:t>
      </w:r>
      <w:r>
        <w:rPr>
          <w:rFonts w:ascii="Times New Roman" w:cs="Times New Roman" w:eastAsia="Times New Roman" w:hAnsi="Times New Roman"/>
          <w:sz w:val="18"/>
          <w:szCs w:val="18"/>
          <w:b w:val="1"/>
          <w:bCs w:val="1"/>
          <w:u w:val="single" w:color="auto"/>
          <w:color w:val="auto"/>
        </w:rPr>
        <w:t>“Registrar”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Depositary or any bank or trust company having an office in the Borough of Manhattan,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7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1.30 </w:t>
      </w:r>
      <w:r>
        <w:rPr>
          <w:rFonts w:ascii="Times New Roman" w:cs="Times New Roman" w:eastAsia="Times New Roman" w:hAnsi="Times New Roman"/>
          <w:sz w:val="18"/>
          <w:szCs w:val="18"/>
          <w:b w:val="1"/>
          <w:bCs w:val="1"/>
          <w:u w:val="single" w:color="auto"/>
          <w:color w:val="auto"/>
        </w:rPr>
        <w:t>“Restricted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Shares, Deposited Securities or ADSs which (i) have been acquired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8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1.31</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“Restricted ADR(s)”, “Restricted ADS(s)” and “Restricted Shares” </w:t>
      </w:r>
      <w:r>
        <w:rPr>
          <w:rFonts w:ascii="Times New Roman" w:cs="Times New Roman" w:eastAsia="Times New Roman" w:hAnsi="Times New Roman"/>
          <w:sz w:val="17"/>
          <w:szCs w:val="17"/>
          <w:color w:val="auto"/>
        </w:rPr>
        <w:t>shall have the respective meanings set forth in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23" w:name="page24"/>
    <w:bookmarkEnd w:id="23"/>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1.32</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“Securities Act” </w:t>
      </w:r>
      <w:r>
        <w:rPr>
          <w:rFonts w:ascii="Times New Roman" w:cs="Times New Roman" w:eastAsia="Times New Roman" w:hAnsi="Times New Roman"/>
          <w:sz w:val="17"/>
          <w:szCs w:val="17"/>
          <w:color w:val="auto"/>
        </w:rPr>
        <w:t>shall mean the United States Securities Act of 1933, as amended from time to time.</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1.33 </w:t>
      </w:r>
      <w:r>
        <w:rPr>
          <w:rFonts w:ascii="Times New Roman" w:cs="Times New Roman" w:eastAsia="Times New Roman" w:hAnsi="Times New Roman"/>
          <w:sz w:val="18"/>
          <w:szCs w:val="18"/>
          <w:b w:val="1"/>
          <w:bCs w:val="1"/>
          <w:u w:val="single" w:color="auto"/>
          <w:color w:val="auto"/>
        </w:rPr>
        <w:t>“Share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Link Asset Services (UK) Limited, a company registered in England and Wales under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03376447 and whose registered office is at 6th Floor, 65 Gresham Street, London, United Kingdom, EC2V 7NQ or any other institution organized under the laws of England and Wales appointed by the Company from time to time to carry out the duties of registrar for the Shares, and any successor thereto.</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1.34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Company’s ordinary shares, nominal value £0.003 per share, validly issued and outstanding and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paid and may, if the Depositary so agrees after consultation with the Company, include evidence of the right to receive Shares;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 no event shall Shares include evidence of the right to receive Shares with respect to which the full purchase price has not been paid or Shares as to which preemptive rights have theretofore not been validly waived, disapplied or exercised;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there shall occur any change in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8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1.35</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“Uncertificated ADS(s)” </w:t>
      </w:r>
      <w:r>
        <w:rPr>
          <w:rFonts w:ascii="Times New Roman" w:cs="Times New Roman" w:eastAsia="Times New Roman" w:hAnsi="Times New Roman"/>
          <w:sz w:val="17"/>
          <w:szCs w:val="17"/>
          <w:color w:val="auto"/>
        </w:rPr>
        <w:t>shall have the meaning set forth in Section 2.13.</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1.36 </w:t>
      </w:r>
      <w:r>
        <w:rPr>
          <w:rFonts w:ascii="Times New Roman" w:cs="Times New Roman" w:eastAsia="Times New Roman" w:hAnsi="Times New Roman"/>
          <w:sz w:val="18"/>
          <w:szCs w:val="18"/>
          <w:b w:val="1"/>
          <w:bCs w:val="1"/>
          <w:u w:val="single" w:color="auto"/>
          <w:color w:val="auto"/>
        </w:rPr>
        <w:t>“United States”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APPOINTMENT OF DEPOSITARY; FORM OF RECEIPTS;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 OF SHARES; EXECUTION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DELIVERY, TRANSFER AND SURRENDER OF RECEIPTS</w:t>
      </w:r>
    </w:p>
    <w:p>
      <w:pPr>
        <w:spacing w:after="0" w:line="20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u w:val="single" w:color="auto"/>
          <w:color w:val="auto"/>
        </w:rPr>
        <w:t>Form and Transferability of ADSs.</w:t>
      </w:r>
    </w:p>
    <w:p>
      <w:pPr>
        <w:spacing w:after="0" w:line="225" w:lineRule="exact"/>
        <w:rPr>
          <w:sz w:val="20"/>
          <w:szCs w:val="20"/>
          <w:color w:val="auto"/>
        </w:rPr>
      </w:pPr>
    </w:p>
    <w:p>
      <w:pPr>
        <w:ind w:right="100" w:firstLine="656"/>
        <w:spacing w:after="0" w:line="253" w:lineRule="auto"/>
        <w:tabs>
          <w:tab w:leader="none" w:pos="1487"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Certificated ADSs shall be evidenced by definitive ADRs which shall be engraved, printed, lithographed or produced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manner as may be agreed upon by the Company and the Depositary. ADRs may be issued under the Deposit Agreement in denominations of any whole number of ADSs. The ADRs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4" w:name="page25"/>
    <w:bookmarkEnd w:id="24"/>
    <w:p>
      <w:pPr>
        <w:jc w:val="both"/>
        <w:ind w:left="-8" w:right="120" w:firstLine="656"/>
        <w:spacing w:after="0" w:line="263" w:lineRule="auto"/>
        <w:tabs>
          <w:tab w:leader="none" w:pos="1489"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ADRs may be endorsed with, or have incorporated in the text thereof, such legends or recitals not inconsistent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Deposit Agreement as may be (i) necessary to enable the Depositary and the Company to perform their respective obligations hereunder,</w:t>
      </w:r>
    </w:p>
    <w:p>
      <w:pPr>
        <w:ind w:left="-8" w:firstLine="8"/>
        <w:spacing w:after="0" w:line="252" w:lineRule="auto"/>
        <w:tabs>
          <w:tab w:leader="none" w:pos="2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85" w:lineRule="exact"/>
        <w:rPr>
          <w:rFonts w:ascii="Times New Roman" w:cs="Times New Roman" w:eastAsia="Times New Roman" w:hAnsi="Times New Roman"/>
          <w:sz w:val="18"/>
          <w:szCs w:val="18"/>
          <w:color w:val="auto"/>
        </w:rPr>
      </w:pPr>
    </w:p>
    <w:p>
      <w:pPr>
        <w:ind w:left="-8" w:right="40" w:firstLine="656"/>
        <w:spacing w:after="0" w:line="255" w:lineRule="auto"/>
        <w:tabs>
          <w:tab w:leader="none" w:pos="151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herein and in the ADR, title to an ADR (and to each Certificated ADS evidenced thereby)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28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25" w:name="page26"/>
    <w:bookmarkEnd w:id="25"/>
    <w:p>
      <w:pPr>
        <w:ind w:right="40" w:firstLine="656"/>
        <w:spacing w:after="0" w:line="252" w:lineRule="auto"/>
        <w:tabs>
          <w:tab w:leader="none" w:pos="149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Book-Entry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arrangements for the acceptance of the ADSs into DTC. All ADSs held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DTC will be registered in the name of the nominee for DTC (currently “Cede &amp; Co.”). As such, the nominee for DTC will be the only “Holder” of all ADSs held through DTC.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9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the Deposit Agreement and applicable law, Shares or evidence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Times New Roman" w:cs="Times New Roman" w:eastAsia="Times New Roman" w:hAnsi="Times New Roman"/>
          <w:sz w:val="18"/>
          <w:szCs w:val="18"/>
          <w:i w:val="1"/>
          <w:iCs w:val="1"/>
          <w:color w:val="auto"/>
        </w:rPr>
        <w:t>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case of Shares represented by certificates issued in registered form</w:t>
      </w:r>
      <w:r>
        <w:rPr>
          <w:rFonts w:ascii="Times New Roman" w:cs="Times New Roman" w:eastAsia="Times New Roman" w:hAnsi="Times New Roman"/>
          <w:sz w:val="18"/>
          <w:szCs w:val="18"/>
          <w:color w:val="auto"/>
        </w:rPr>
        <w:t>, appropriate instruments of transfer or endorsement, in a form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Custodian, (ii) </w:t>
      </w:r>
      <w:r>
        <w:rPr>
          <w:rFonts w:ascii="Times New Roman" w:cs="Times New Roman" w:eastAsia="Times New Roman" w:hAnsi="Times New Roman"/>
          <w:sz w:val="18"/>
          <w:szCs w:val="18"/>
          <w:i w:val="1"/>
          <w:iCs w:val="1"/>
          <w:color w:val="auto"/>
        </w:rPr>
        <w:t>in the case of Shares represented by certificates in bearer form,</w:t>
      </w:r>
      <w:r>
        <w:rPr>
          <w:rFonts w:ascii="Times New Roman" w:cs="Times New Roman" w:eastAsia="Times New Roman" w:hAnsi="Times New Roman"/>
          <w:sz w:val="18"/>
          <w:szCs w:val="18"/>
          <w:color w:val="auto"/>
        </w:rPr>
        <w:t xml:space="preserve"> the requisite coupons and talons pertaining thereto, and (iii) </w:t>
      </w:r>
      <w:r>
        <w:rPr>
          <w:rFonts w:ascii="Times New Roman" w:cs="Times New Roman" w:eastAsia="Times New Roman" w:hAnsi="Times New Roman"/>
          <w:sz w:val="18"/>
          <w:szCs w:val="18"/>
          <w:i w:val="1"/>
          <w:iCs w:val="1"/>
          <w:color w:val="auto"/>
        </w:rPr>
        <w:t>in the case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delivered by book-entry transfer and recordation</w:t>
      </w:r>
      <w:r>
        <w:rPr>
          <w:rFonts w:ascii="Times New Roman" w:cs="Times New Roman" w:eastAsia="Times New Roman" w:hAnsi="Times New Roman"/>
          <w:sz w:val="18"/>
          <w:szCs w:val="18"/>
          <w:color w:val="auto"/>
        </w:rPr>
        <w:t>, confirmation of such book-entry transfer and recordation in the books of the Share Registrar 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CREST, as applicable, to the Custodian or that irrevocable instructions have been given to cause such Shares to be so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9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Registration and Safekeeping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instruct the Custodian upon each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7" w:name="page28"/>
    <w:bookmarkEnd w:id="27"/>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Issuance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made arrangements with the Custodian for the Custodian to confirm to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on the books of CREST,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of Shares and issuing ADSs (as set forth in Section 5.9 and Exhibit B hereto) and all taxes and governmental charges and fees payable in connection with such deposit and the transfer of the Shares and the issuance of the ADS(s). The Depositary shall only issue ADSs in whole numbers and deliver, if applicable, ADR(s) evidencing whole numbers of ADSs.</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u w:val="single" w:color="auto"/>
          <w:color w:val="auto"/>
        </w:rPr>
        <w:t>Transfer, Combination and Split-up of ADRs.</w:t>
      </w:r>
    </w:p>
    <w:p>
      <w:pPr>
        <w:spacing w:after="0" w:line="225" w:lineRule="exact"/>
        <w:rPr>
          <w:sz w:val="20"/>
          <w:szCs w:val="20"/>
          <w:color w:val="auto"/>
        </w:rPr>
      </w:pPr>
    </w:p>
    <w:p>
      <w:pPr>
        <w:ind w:firstLine="656"/>
        <w:spacing w:after="0" w:line="269" w:lineRule="auto"/>
        <w:tabs>
          <w:tab w:leader="none" w:pos="1352" w:val="left"/>
        </w:tabs>
        <w:numPr>
          <w:ilvl w:val="1"/>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Transfer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Registrar shall register the transfer of ADRs (and of the ADSs represented thereby) on the books maintained for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3" w:lineRule="exact"/>
        <w:rPr>
          <w:rFonts w:ascii="Times New Roman" w:cs="Times New Roman" w:eastAsia="Times New Roman" w:hAnsi="Times New Roman"/>
          <w:sz w:val="17"/>
          <w:szCs w:val="17"/>
          <w:b w:val="1"/>
          <w:bCs w:val="1"/>
          <w:color w:val="auto"/>
        </w:rPr>
      </w:pPr>
    </w:p>
    <w:p>
      <w:pPr>
        <w:jc w:val="both"/>
        <w:ind w:right="220" w:firstLine="8"/>
        <w:spacing w:after="0" w:line="253"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applicable ADRs, of the Deposit Agreement and of applicable law, in each case as in effect at the time thereof.</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8" w:name="page29"/>
    <w:bookmarkEnd w:id="28"/>
    <w:p>
      <w:pPr>
        <w:ind w:firstLine="656"/>
        <w:spacing w:after="0" w:line="255" w:lineRule="auto"/>
        <w:tabs>
          <w:tab w:leader="none" w:pos="149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Combination &amp;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split-up or combination of ADRs (and of the ADSs represented thereby)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applicable ADRs, of the Deposit Agreement and of applicable law, in each case as in effect at the time thereof.</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2.7</w:t>
      </w:r>
      <w:r>
        <w:rPr>
          <w:sz w:val="20"/>
          <w:szCs w:val="20"/>
          <w:color w:val="auto"/>
        </w:rPr>
        <w:tab/>
      </w:r>
      <w:r>
        <w:rPr>
          <w:rFonts w:ascii="Times New Roman" w:cs="Times New Roman" w:eastAsia="Times New Roman" w:hAnsi="Times New Roman"/>
          <w:sz w:val="17"/>
          <w:szCs w:val="17"/>
          <w:b w:val="1"/>
          <w:bCs w:val="1"/>
          <w:u w:val="single" w:color="auto"/>
          <w:color w:val="auto"/>
        </w:rPr>
        <w:t>Surrender of ADSs and Withdrawal of Deposited Securities.</w:t>
      </w:r>
    </w:p>
    <w:p>
      <w:pPr>
        <w:spacing w:after="0" w:line="22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The Holder of ADSs shall be entitled to Delivery (at the 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w:t>
      </w:r>
    </w:p>
    <w:p>
      <w:pPr>
        <w:spacing w:after="0" w:line="2" w:lineRule="exact"/>
        <w:rPr>
          <w:sz w:val="20"/>
          <w:szCs w:val="20"/>
          <w:color w:val="auto"/>
        </w:rPr>
      </w:pPr>
    </w:p>
    <w:p>
      <w:pPr>
        <w:ind w:right="40" w:firstLine="8"/>
        <w:spacing w:after="0" w:line="250" w:lineRule="auto"/>
        <w:tabs>
          <w:tab w:leader="none" w:pos="3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and Exhibit B)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ADRs evidencing the surrendered ADSs, of the Deposit Agreement, of the Company’s Articles of Association and of any applicable laws and the rules of CREST, and to any provisions of or governing the Deposited Securities, in each case as in effect at the time thereof. Upon satisfaction of each of the conditions specified above, the Depositary</w:t>
      </w:r>
    </w:p>
    <w:p>
      <w:pPr>
        <w:spacing w:after="0" w:line="1" w:lineRule="exact"/>
        <w:rPr>
          <w:rFonts w:ascii="Times New Roman" w:cs="Times New Roman" w:eastAsia="Times New Roman" w:hAnsi="Times New Roman"/>
          <w:sz w:val="18"/>
          <w:szCs w:val="18"/>
          <w:color w:val="auto"/>
        </w:rPr>
      </w:pPr>
    </w:p>
    <w:p>
      <w:pPr>
        <w:ind w:right="20" w:firstLine="8"/>
        <w:spacing w:after="0" w:line="265" w:lineRule="auto"/>
        <w:tabs>
          <w:tab w:leader="none" w:pos="2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7"/>
          <w:szCs w:val="17"/>
          <w:i w:val="1"/>
          <w:iCs w:val="1"/>
          <w:color w:val="auto"/>
        </w:rPr>
        <w:t>subject however, in each case,</w:t>
      </w:r>
      <w:r>
        <w:rPr>
          <w:rFonts w:ascii="Times New Roman" w:cs="Times New Roman" w:eastAsia="Times New Roman" w:hAnsi="Times New Roman"/>
          <w:sz w:val="17"/>
          <w:szCs w:val="17"/>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 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w:t>
      </w:r>
    </w:p>
    <w:p>
      <w:pPr>
        <w:spacing w:after="0" w:line="1" w:lineRule="exact"/>
        <w:rPr>
          <w:rFonts w:ascii="Times New Roman" w:cs="Times New Roman" w:eastAsia="Times New Roman" w:hAnsi="Times New Roman"/>
          <w:sz w:val="17"/>
          <w:szCs w:val="17"/>
          <w:color w:val="auto"/>
        </w:rPr>
      </w:pPr>
    </w:p>
    <w:p>
      <w:pPr>
        <w:ind w:right="160" w:firstLine="8"/>
        <w:spacing w:after="0" w:line="260"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cause to be sold the fractional Share represented by the ADSs so surrendered and remit the proceeds of such sale (net of (a) applicable fees and charges of, and expenses incurred by, the Depositary and (b) applicable taxes withheld) to the person surrendering the ADSs.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9" w:name="page30"/>
    <w:bookmarkEnd w:id="29"/>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ind w:right="60" w:firstLine="656"/>
        <w:spacing w:after="0" w:line="254" w:lineRule="auto"/>
        <w:tabs>
          <w:tab w:leader="none" w:pos="1487"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(ii) the production of proof satisfactory to it as to the identity and genuineness of any signature or any other matter contemplated by Section 3.1, and (iii) compliance with</w:t>
      </w:r>
    </w:p>
    <w:p>
      <w:pPr>
        <w:spacing w:after="0" w:line="3"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or governmental regulations relating to the execution and Delivery of ADRs or ADSs or to the withdrawal of Deposited Securities and</w:t>
      </w:r>
    </w:p>
    <w:p>
      <w:pPr>
        <w:spacing w:after="0" w:line="9" w:lineRule="exact"/>
        <w:rPr>
          <w:rFonts w:ascii="Times New Roman" w:cs="Times New Roman" w:eastAsia="Times New Roman" w:hAnsi="Times New Roman"/>
          <w:sz w:val="18"/>
          <w:szCs w:val="18"/>
          <w:color w:val="auto"/>
        </w:rPr>
      </w:pPr>
    </w:p>
    <w:p>
      <w:pPr>
        <w:ind w:right="120" w:firstLine="8"/>
        <w:spacing w:after="0" w:line="260" w:lineRule="auto"/>
        <w:tabs>
          <w:tab w:leader="none" w:pos="2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reasonable regulations as the Depositary and the Company may establish consistent with the provisions of the representative ADR, if applicable, the Deposit Agreement and applicable law.</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0" w:name="page31"/>
    <w:bookmarkEnd w:id="30"/>
    <w:p>
      <w:pPr>
        <w:ind w:firstLine="656"/>
        <w:spacing w:after="0" w:line="256" w:lineRule="auto"/>
        <w:tabs>
          <w:tab w:leader="none" w:pos="1497"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ADSs against deposits of Shares generally or against deposits of particular Shares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82" w:lineRule="exact"/>
        <w:rPr>
          <w:rFonts w:ascii="Times New Roman" w:cs="Times New Roman" w:eastAsia="Times New Roman" w:hAnsi="Times New Roman"/>
          <w:sz w:val="18"/>
          <w:szCs w:val="18"/>
          <w:b w:val="1"/>
          <w:bCs w:val="1"/>
          <w:color w:val="auto"/>
        </w:rPr>
      </w:pPr>
    </w:p>
    <w:p>
      <w:pPr>
        <w:ind w:right="40" w:firstLine="656"/>
        <w:spacing w:after="0" w:line="257" w:lineRule="auto"/>
        <w:tabs>
          <w:tab w:leader="none" w:pos="152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 of the Deposit Agreement or any ADR(s) to the contrary, Holders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ADR shall be mutilated, destroyed, lost, or stolen, the Depositary shall execute and deliver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ADR of like tenor at the expense of the Holder (a) </w:t>
      </w:r>
      <w:r>
        <w:rPr>
          <w:rFonts w:ascii="Times New Roman" w:cs="Times New Roman" w:eastAsia="Times New Roman" w:hAnsi="Times New Roman"/>
          <w:sz w:val="18"/>
          <w:szCs w:val="18"/>
          <w:i w:val="1"/>
          <w:iCs w:val="1"/>
          <w:color w:val="auto"/>
        </w:rPr>
        <w:t>in the case of a mutilated ADR,</w:t>
      </w:r>
      <w:r>
        <w:rPr>
          <w:rFonts w:ascii="Times New Roman" w:cs="Times New Roman" w:eastAsia="Times New Roman" w:hAnsi="Times New Roman"/>
          <w:sz w:val="18"/>
          <w:szCs w:val="18"/>
          <w:color w:val="auto"/>
        </w:rPr>
        <w:t xml:space="preserve"> in exchange of and substitution for such mutilated ADR upon cancellation thereof, or (b) </w:t>
      </w:r>
      <w:r>
        <w:rPr>
          <w:rFonts w:ascii="Times New Roman" w:cs="Times New Roman" w:eastAsia="Times New Roman" w:hAnsi="Times New Roman"/>
          <w:sz w:val="18"/>
          <w:szCs w:val="18"/>
          <w:i w:val="1"/>
          <w:iCs w:val="1"/>
          <w:color w:val="auto"/>
        </w:rPr>
        <w:t>in the case of a destroyed, lost or stolen ADR,</w:t>
      </w:r>
      <w:r>
        <w:rPr>
          <w:rFonts w:ascii="Times New Roman" w:cs="Times New Roman" w:eastAsia="Times New Roman" w:hAnsi="Times New Roman"/>
          <w:sz w:val="18"/>
          <w:szCs w:val="18"/>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83"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ADRs surrendered to the Depositary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Escheatment.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unclaimed property relating to the ADSs, for any reason, is in the possession of Depositary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76"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2.12 </w:t>
      </w:r>
      <w:r>
        <w:rPr>
          <w:rFonts w:ascii="Times New Roman" w:cs="Times New Roman" w:eastAsia="Times New Roman" w:hAnsi="Times New Roman"/>
          <w:sz w:val="17"/>
          <w:szCs w:val="17"/>
          <w:b w:val="1"/>
          <w:bCs w:val="1"/>
          <w:u w:val="single" w:color="auto"/>
          <w:color w:val="auto"/>
        </w:rPr>
        <w:t>Partial Entitlement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any Shares are deposited which (i) entitle the holders thereof to receive a per-share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 or other entitlement in an amount different from the Shares then on deposit or (ii) are not fully fungible (including, without limitation, as to settlement or trading) with the Shares then on deposit (the Shares then on deposit collectively, “Full Entitlement Shares” and the Shares with different entitlement, “Partial Entitlement Shares”),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(“Partial Entitlement ADSs/ADRs” and “Full Entitlement ADSs/ADRs”,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w:t>
      </w:r>
    </w:p>
    <w:p>
      <w:pPr>
        <w:spacing w:after="0" w:line="2" w:lineRule="exact"/>
        <w:rPr>
          <w:sz w:val="20"/>
          <w:szCs w:val="20"/>
          <w:color w:val="auto"/>
        </w:rPr>
      </w:pPr>
    </w:p>
    <w:p>
      <w:pPr>
        <w:ind w:right="20" w:firstLine="8"/>
        <w:spacing w:after="0" w:line="251"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Certificated/Uncertificated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1.4 but notwithstanding any other provision of the Deposit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may, at any time and from time to time, issue ADSs that are not evidenced by ADRs issued to the Holders thereof (such ADSs, the “Uncertificated ADS(s)” and the ADS(s) evidenced by ADR(s) issued to the Holders thereof, the “Certificated ADS(s)”).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ind w:right="220"/>
        <w:spacing w:after="0" w:line="276" w:lineRule="auto"/>
        <w:rPr>
          <w:sz w:val="20"/>
          <w:szCs w:val="20"/>
          <w:color w:val="auto"/>
        </w:rPr>
      </w:pPr>
      <w:r>
        <w:rPr>
          <w:rFonts w:ascii="Times New Roman" w:cs="Times New Roman" w:eastAsia="Times New Roman" w:hAnsi="Times New Roman"/>
          <w:sz w:val="17"/>
          <w:szCs w:val="17"/>
          <w:color w:val="auto"/>
        </w:rPr>
        <w:t>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w:t>
      </w:r>
    </w:p>
    <w:p>
      <w:pPr>
        <w:spacing w:after="0" w:line="1" w:lineRule="exact"/>
        <w:rPr>
          <w:sz w:val="20"/>
          <w:szCs w:val="20"/>
          <w:color w:val="auto"/>
        </w:rPr>
      </w:pPr>
    </w:p>
    <w:p>
      <w:pPr>
        <w:ind w:firstLine="8"/>
        <w:spacing w:after="0" w:line="250"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3" w:name="page34"/>
    <w:bookmarkEnd w:id="33"/>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of Shares that are Restricted Securities in order to enable the holder of such Shares to hold its ownership interests in such Restricted Securities in the form of ADSs issued under the terms hereof (such Shares, “Restricted Shares”).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“Restricted ADSs,” and the ADRs evidencing such Restricted ADSs, the “Restricted ADRs”). Subject to Section 1.4 but notwithstanding anything contained in this Section 2.14, the Depositary and the Company may, to the extent not prohibited by law, agree to issue the Restricted ADSs in uncertificated form (“Uncertificated Restricted ADSs”) upon such terms and conditions as the Company and the Depositary may deem necessary and appropriate. The Company shall assist the Depositary in the establishment of such procedures and agrees that it shall take all steps necessary and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4" w:name="page35"/>
    <w:bookmarkEnd w:id="34"/>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the Restricted ADRs, the Restricted ADSs and the Restricted Shares cease to be Restricted Securities, the Depositary, upon receipt of (x)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w:t>
      </w:r>
    </w:p>
    <w:p>
      <w:pPr>
        <w:spacing w:after="0" w:line="3" w:lineRule="exact"/>
        <w:rPr>
          <w:sz w:val="20"/>
          <w:szCs w:val="20"/>
          <w:color w:val="auto"/>
        </w:rPr>
      </w:pPr>
    </w:p>
    <w:p>
      <w:pPr>
        <w:ind w:right="20" w:firstLine="8"/>
        <w:spacing w:after="0" w:line="253"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OBLIGATIONS OF 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BENEFICIAL OWNERS OF ADSs</w:t>
      </w:r>
    </w:p>
    <w:p>
      <w:pPr>
        <w:spacing w:after="0" w:line="20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6" w:name="page37"/>
    <w:bookmarkEnd w:id="36"/>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any ADR(s),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Beneficial Owner agrees to comply with requests from the Company pursuant to applicable law, the rules and requirements of The NASDAQ Global Market and any other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8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the Deposit Agreement or any ADR(s)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of a cash dividend or other cash distribution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of any Deposited Securities,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for determining the holders of Deposited Securities entitled to receive such distribution. Upon the timely receipt of such notice, the Depositary shall establish the ADS Record Date upon the terms described in Section 4.9. Upon receipt of confirmation of the receipt of (x) any cash dividend or other cash distribution on any Deposited Securities, or (y) proceeds from the sale of any Deposited Property held in respect of the ADSs under the terms hereof, the Depositary will (i) if at the time of receipt thereof any amounts received in a Foreign Currency can, in the judgment of the Depositary (pursuant to Section 4.8), be converted on a practicable basis into Dollars transferable to the United States, promptly convert or cause to be converted such cash dividend, distribution or proceeds into Dollars (on the terms described in Section 4.8), (ii) if applicable and unless previously established, establish the ADS Record Date upon the terms described in Section 4.9, and (iii) distribute promptly the amount thus received (net of (a) the applicable fees and charges of, and expenses incurred by, the Depositary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that consists of a dividend in, or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of, Shares,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w:t>
      </w:r>
    </w:p>
    <w:p>
      <w:pPr>
        <w:spacing w:after="0" w:line="8" w:lineRule="exact"/>
        <w:rPr>
          <w:sz w:val="20"/>
          <w:szCs w:val="20"/>
          <w:color w:val="auto"/>
        </w:rPr>
      </w:pPr>
    </w:p>
    <w:p>
      <w:pPr>
        <w:ind w:right="20" w:firstLine="8"/>
        <w:spacing w:after="0" w:line="251"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9" w:name="page40"/>
    <w:bookmarkEnd w:id="39"/>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payable at the 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of 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184"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4.4</w:t>
      </w:r>
      <w:r>
        <w:rPr>
          <w:sz w:val="20"/>
          <w:szCs w:val="20"/>
          <w:color w:val="auto"/>
        </w:rPr>
        <w:tab/>
      </w:r>
      <w:r>
        <w:rPr>
          <w:rFonts w:ascii="Times New Roman" w:cs="Times New Roman" w:eastAsia="Times New Roman" w:hAnsi="Times New Roman"/>
          <w:sz w:val="18"/>
          <w:szCs w:val="18"/>
          <w:b w:val="1"/>
          <w:bCs w:val="1"/>
          <w:u w:val="single" w:color="auto"/>
          <w:color w:val="auto"/>
        </w:rPr>
        <w:t>Distribution of Rights to Purchase Additional ADSs.</w:t>
      </w:r>
    </w:p>
    <w:p>
      <w:pPr>
        <w:spacing w:after="0" w:line="225" w:lineRule="exact"/>
        <w:rPr>
          <w:sz w:val="20"/>
          <w:szCs w:val="20"/>
          <w:color w:val="auto"/>
        </w:rPr>
      </w:pPr>
    </w:p>
    <w:p>
      <w:pPr>
        <w:ind w:firstLine="656"/>
        <w:spacing w:after="0" w:line="252" w:lineRule="auto"/>
        <w:tabs>
          <w:tab w:leader="none" w:pos="1442"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Distribution to ADS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distribute to the holders of the Deposited Securities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w:t>
      </w:r>
    </w:p>
    <w:p>
      <w:pPr>
        <w:spacing w:after="0" w:line="6" w:lineRule="exact"/>
        <w:rPr>
          <w:rFonts w:ascii="Times New Roman" w:cs="Times New Roman" w:eastAsia="Times New Roman" w:hAnsi="Times New Roman"/>
          <w:sz w:val="18"/>
          <w:szCs w:val="18"/>
          <w:b w:val="1"/>
          <w:bCs w:val="1"/>
          <w:color w:val="auto"/>
        </w:rPr>
      </w:pPr>
    </w:p>
    <w:p>
      <w:pPr>
        <w:ind w:right="160" w:firstLine="8"/>
        <w:spacing w:after="0" w:line="253"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ind w:right="100" w:firstLine="656"/>
        <w:spacing w:after="0" w:line="256" w:lineRule="auto"/>
        <w:tabs>
          <w:tab w:leader="none" w:pos="1497"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 the Company does not timely request the Depositary to make the rights available to Holders or requests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82" w:lineRule="exact"/>
        <w:rPr>
          <w:rFonts w:ascii="Times New Roman" w:cs="Times New Roman" w:eastAsia="Times New Roman" w:hAnsi="Times New Roman"/>
          <w:sz w:val="18"/>
          <w:szCs w:val="18"/>
          <w:b w:val="1"/>
          <w:bCs w:val="1"/>
          <w:color w:val="auto"/>
        </w:rPr>
      </w:pPr>
    </w:p>
    <w:p>
      <w:pPr>
        <w:ind w:right="180" w:firstLine="656"/>
        <w:spacing w:after="0" w:line="286" w:lineRule="auto"/>
        <w:tabs>
          <w:tab w:leader="none" w:pos="152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Lapse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Depositary is unable to make any rights available to Holders upon the terms described in Section 4.4(a)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 for the sale of the rights upon the terms described in Section 4.4(b), the Depositary shall allow such rights to lapse.</w:t>
      </w:r>
    </w:p>
    <w:p>
      <w:pPr>
        <w:spacing w:after="0" w:line="15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4.5</w:t>
      </w:r>
      <w:r>
        <w:rPr>
          <w:sz w:val="20"/>
          <w:szCs w:val="20"/>
          <w:color w:val="auto"/>
        </w:rPr>
        <w:tab/>
      </w:r>
      <w:r>
        <w:rPr>
          <w:rFonts w:ascii="Times New Roman" w:cs="Times New Roman" w:eastAsia="Times New Roman" w:hAnsi="Times New Roman"/>
          <w:sz w:val="17"/>
          <w:szCs w:val="17"/>
          <w:b w:val="1"/>
          <w:bCs w:val="1"/>
          <w:u w:val="single" w:color="auto"/>
          <w:color w:val="auto"/>
        </w:rPr>
        <w:t>Distributions Other Than Cash, Shares or Rights to Purchase Shares.</w:t>
      </w:r>
    </w:p>
    <w:p>
      <w:pPr>
        <w:spacing w:after="0" w:line="229" w:lineRule="exact"/>
        <w:rPr>
          <w:sz w:val="20"/>
          <w:szCs w:val="20"/>
          <w:color w:val="auto"/>
        </w:rPr>
      </w:pPr>
    </w:p>
    <w:p>
      <w:pPr>
        <w:ind w:firstLine="656"/>
        <w:spacing w:after="0" w:line="255" w:lineRule="auto"/>
        <w:tabs>
          <w:tab w:leader="none" w:pos="144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88" w:lineRule="exact"/>
        <w:rPr>
          <w:rFonts w:ascii="Times New Roman" w:cs="Times New Roman" w:eastAsia="Times New Roman" w:hAnsi="Times New Roman"/>
          <w:sz w:val="18"/>
          <w:szCs w:val="18"/>
          <w:b w:val="1"/>
          <w:bCs w:val="1"/>
          <w:color w:val="auto"/>
        </w:rPr>
      </w:pPr>
    </w:p>
    <w:p>
      <w:pPr>
        <w:ind w:right="140" w:firstLine="656"/>
        <w:spacing w:after="0" w:line="255" w:lineRule="auto"/>
        <w:tabs>
          <w:tab w:leader="none" w:pos="1497"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right="20" w:firstLine="656"/>
        <w:spacing w:after="0" w:line="270" w:lineRule="auto"/>
        <w:tabs>
          <w:tab w:leader="none" w:pos="1522" w:val="left"/>
        </w:tabs>
        <w:numPr>
          <w:ilvl w:val="1"/>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2" w:lineRule="exact"/>
        <w:rPr>
          <w:rFonts w:ascii="Times New Roman" w:cs="Times New Roman" w:eastAsia="Times New Roman" w:hAnsi="Times New Roman"/>
          <w:sz w:val="17"/>
          <w:szCs w:val="17"/>
          <w:b w:val="1"/>
          <w:bCs w:val="1"/>
          <w:color w:val="auto"/>
        </w:rPr>
      </w:pPr>
    </w:p>
    <w:p>
      <w:pPr>
        <w:ind w:right="340" w:firstLine="8"/>
        <w:spacing w:after="0" w:line="255"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8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497"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Article IV, distributions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applicable taxes) multiplied by the number of Deposited Securities represented by each ADS redeemed.</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3" w:name="page44"/>
    <w:bookmarkEnd w:id="43"/>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7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any applicable fees, any reasonable and customary expenses incurred in such conversion and any expenses incurred on behalf of the Holders in complying with currency exchange control or other governmental requirements) in accordance with the terms of the applicable sections of the Deposit Agreement.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4" w:name="page45"/>
    <w:bookmarkEnd w:id="44"/>
    <w:p>
      <w:pPr>
        <w:ind w:right="8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voting instructions may be deemed to have been given in accordance with this Section 4.10 if no instructions are received prior to the deadline set for such purposes to the Depositary to give a discretionary proxy to a person designated by the Company.</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with the Company’s prior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show of hands unless a poll is demanded in accordance with the Articles of Association. The Depositary will not join in demanding a poll, whether or not requested to do so by Holders of ADSs. Under the Articles of Association of the Company as in effect on the date of the Deposit Agreement, a poll may be demanded by (a) the chairman of the Company’s board of directors, (b) a majority of the directors of the Company, (c) two or more shareholders present and having the right to vote on the resolution, or (d) any shareholder(s) representing not less than 10% of the total voting rights of all the shareholders having the right to vote on the resolution (excluding any Shares held in treasury).</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timely received from a majority of Holders of ADSs who provided voting instructions, and (b) in the event voting takes place at a shareholders’ meeting by poll,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timely provided voting instructions, and (b) as contemplated in this Section 4.10).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6" w:name="page47"/>
    <w:bookmarkEnd w:id="46"/>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4.11 </w:t>
      </w:r>
      <w:r>
        <w:rPr>
          <w:rFonts w:ascii="Times New Roman" w:cs="Times New Roman" w:eastAsia="Times New Roman" w:hAnsi="Times New Roman"/>
          <w:sz w:val="17"/>
          <w:szCs w:val="17"/>
          <w:b w:val="1"/>
          <w:bCs w:val="1"/>
          <w:u w:val="single" w:color="auto"/>
          <w:color w:val="auto"/>
        </w:rPr>
        <w:t>Changes Affecting Deposited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any change in nominal or par value, split-up, cancellation, consolidation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w:t>
      </w:r>
    </w:p>
    <w:p>
      <w:pPr>
        <w:spacing w:after="0" w:line="8" w:lineRule="exact"/>
        <w:rPr>
          <w:sz w:val="20"/>
          <w:szCs w:val="20"/>
          <w:color w:val="auto"/>
        </w:rPr>
      </w:pPr>
    </w:p>
    <w:p>
      <w:pPr>
        <w:ind w:firstLine="8"/>
        <w:spacing w:after="0" w:line="251"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4.12</w:t>
      </w:r>
      <w:r>
        <w:rPr>
          <w:sz w:val="20"/>
          <w:szCs w:val="20"/>
          <w:color w:val="auto"/>
        </w:rPr>
        <w:tab/>
      </w:r>
      <w:r>
        <w:rPr>
          <w:rFonts w:ascii="Times New Roman" w:cs="Times New Roman" w:eastAsia="Times New Roman" w:hAnsi="Times New Roman"/>
          <w:sz w:val="17"/>
          <w:szCs w:val="17"/>
          <w:b w:val="1"/>
          <w:bCs w:val="1"/>
          <w:u w:val="single" w:color="auto"/>
          <w:color w:val="auto"/>
        </w:rPr>
        <w:t>Available Information.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Exchange Act and, accordingly, is required to file or furnish certain reports with the Commission. These reports can be retrieved from the Commission's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located (as of the date of the Deposit Agreement) at 100 F Street, N.E., Washington D.C. 20549.</w:t>
      </w:r>
    </w:p>
    <w:p>
      <w:pPr>
        <w:spacing w:after="0" w:line="172"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any reports and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76"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names, addresses and holdings of ADSs of all Holders.</w:t>
      </w:r>
    </w:p>
    <w:p>
      <w:pPr>
        <w:spacing w:after="0" w:line="15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will, and will instruct the Custodian to, forward to the Company or its agents such information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8" w:name="page49"/>
    <w:bookmarkEnd w:id="48"/>
    <w:p>
      <w:pPr>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2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termination of the Deposit Agreement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9" w:name="page50"/>
    <w:bookmarkEnd w:id="49"/>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accordance with any requirements of such exchanges or systems. Such Registrar or co-registrars may be removed and a substitute or substitutes appointed by the Depositary.</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be obligated to do or perform any act which is inconsistent with the provisions of the Deposit Agreement or incur any liability (to the extent not limited by Section 7.8(b)) (i) if the Depositary or the Company shall be prevented or forbidden from, or delayed in, doing or performing any act or thing required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(including lost profits) for any breach of the terms of the Deposit Agreement.</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72"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7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left="220" w:hanging="212"/>
        <w:spacing w:after="0"/>
        <w:tabs>
          <w:tab w:leader="none" w:pos="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after delivery thereof to the Depositary (whereupon the Depositary shall be entitled to take the actions contemplated in Section 6.2), or</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by the Company of a successor depositary and its acceptance of such appointment as hereinafter provided.</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9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London Branch, as Custodian for the purpose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The Custodian or its successors in acting hereunder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2" w:name="page53"/>
    <w:bookmarkEnd w:id="52"/>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87"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The Company will also transmit to the Depositary (a) an English language version of the other notices, reports and communications which are made generally available by the Company to holders of its Shares or other Deposited Securities and (b) the English-language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Shares, ADSs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w:t>
      </w:r>
    </w:p>
    <w:p>
      <w:pPr>
        <w:ind w:firstLine="8"/>
        <w:spacing w:after="0" w:line="251"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9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or the Custodian (for so long as the Custodian is a branch of Citibank, N.A.) against (x) any liability or expense arising out of information relating to the Depositary or such Custodian, as the case may be, furnished in a signed writing to the Company, executed by the Depositary expressly for use in any registration statement, prospectus or preliminary prospectus relating to any Deposited Securities represented by the ADSs or (y) any fees, charges or expenses payable by third party Holders or Beneficial Owners under this Deposit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Deposit Agreement and the succession or substitution of any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the Holders, the Beneficial Owners, persons depositing Shares or withdrawing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in connection with the issuance and cancellation of ADSs, and persons receiving ADSs upon issuance or whose ADSs are being cancelled shall be required to pay the ADS fees and charges identified as payable by them respectively in the ADS fee schedule attached hereto as Exhibit B. All ADS fees and charges so payable may be deducted from distributions or must be remitted to the Depositary, or its designee, may be waived by the Depositary in full or in part with respect to some or all ADSs upon such terms, and subject to such conditions, as the Depositary and Company may determine in its sole discretion, and may, at any time and from time to time, be changed by agreement between the Depositary and the Company, but, in the case of ADS fees and charges payable by Holders and Beneficial Owners, any such change (excluding any changes to the waiver by the Depositary of fees and charges contemplated herein) may be made only in the manner contemplated in Section 6.1. The Depositary shall provide, without charge, a copy of its latest ADS fee schedule to anyone upon request.</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5" w:name="page56"/>
    <w:bookmarkEnd w:id="55"/>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7"/>
          <w:szCs w:val="17"/>
          <w:color w:val="auto"/>
        </w:rPr>
        <w:t>The obligations of Holders and Beneficial Owners to pay ADS fees and charges shall survive the termination of the Deposit Agreement. As to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upon the resignation or removal of such Depositary as described in Section 5.4, the right to collect ADS fees and charges shall extend for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fees and charges incurred prior to the effectiveness of such resignation or removal.</w:t>
      </w:r>
    </w:p>
    <w:p>
      <w:pPr>
        <w:spacing w:after="0" w:line="203"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Section 6.1 and applicable law, the ADRs outstanding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7" w:name="page58"/>
    <w:bookmarkEnd w:id="57"/>
    <w:p>
      <w:pPr>
        <w:ind w:right="1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w:t>
      </w:r>
    </w:p>
    <w:p>
      <w:pPr>
        <w:ind w:right="140" w:firstLine="8"/>
        <w:spacing w:after="0" w:line="252"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“Termination Date”. Until the Termination Date, the Depositary shall continue to perform all of its obligations under the Deposit Agreement, and the Holders and Beneficial Owners will be entitled to all of their rights under the Deposit Agreement.</w:t>
      </w:r>
    </w:p>
    <w:p>
      <w:pPr>
        <w:spacing w:after="0" w:line="19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may be executed in any number of counterparts, each of which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1"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7.2 </w:t>
      </w:r>
      <w:r>
        <w:rPr>
          <w:rFonts w:ascii="Times New Roman" w:cs="Times New Roman" w:eastAsia="Times New Roman" w:hAnsi="Times New Roman"/>
          <w:sz w:val="17"/>
          <w:szCs w:val="17"/>
          <w:b w:val="1"/>
          <w:bCs w:val="1"/>
          <w:u w:val="single" w:color="auto"/>
          <w:color w:val="auto"/>
        </w:rPr>
        <w:t>No Third-Party Beneficiaries.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Deposit Agreement is for the exclusive benefit of the parties hereto (and their successors)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sz w:val="20"/>
          <w:szCs w:val="20"/>
          <w:color w:val="auto"/>
        </w:rPr>
      </w:pPr>
    </w:p>
    <w:p>
      <w:pPr>
        <w:ind w:right="80" w:firstLine="8"/>
        <w:spacing w:after="0" w:line="253" w:lineRule="auto"/>
        <w:tabs>
          <w:tab w:leader="none" w:pos="3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and (v) the Depositary shall not be deemed to have knowledge of any information any other division of Citibank or any of its Affiliates may have about the Company, the Holders, the Beneficial Owners, or any of their respective Affiliates.</w:t>
      </w: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9" w:name="page60"/>
    <w:bookmarkEnd w:id="59"/>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Deposit Agreement or in the ADRs should be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invalid, illegal or unenforceable in any respect, the validity, legality and enforceability of the remaining provisions contained herein or therein shall in no way be affected, prejudiced or disturbed thereby.</w:t>
      </w:r>
    </w:p>
    <w:p>
      <w:pPr>
        <w:spacing w:after="0" w:line="171"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and Beneficial Owners from time to time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 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mail, air courier or cable, telex or facsimile transmission, confirmed by letter personally delivered or sent by mail or air courier, addressed to Mereo BioPharma Group plc, Fourth Floor, One Cavendish Place, London W1G 0QF, United Kingdom, Attention: General Counsel, or to any other address which the Company may specify in writing to the Depositary.</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Depositary Receipts Department, or to any other address which the Depositary may specify in writing to the Company.</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as the ADSs in their DTC accounts and to the Beneficial Owners of such ADSs.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76"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the ADRs and the ADSs shall be interpreted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Cogency Global Inc.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now at 10 East 40th Street, 10th Floor, New York, New York 10016,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1" w:name="page62"/>
    <w:bookmarkEnd w:id="61"/>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that a Holder or Beneficial Owner brings a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9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79"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5.4, the Deposit Agreement may not be assigned by either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w:t>
      </w:r>
    </w:p>
    <w:p>
      <w:pPr>
        <w:spacing w:after="0" w:line="15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7.8</w:t>
      </w:r>
      <w:r>
        <w:rPr>
          <w:sz w:val="20"/>
          <w:szCs w:val="20"/>
          <w:color w:val="auto"/>
        </w:rPr>
        <w:tab/>
      </w:r>
      <w:r>
        <w:rPr>
          <w:rFonts w:ascii="Times New Roman" w:cs="Times New Roman" w:eastAsia="Times New Roman" w:hAnsi="Times New Roman"/>
          <w:sz w:val="17"/>
          <w:szCs w:val="17"/>
          <w:b w:val="1"/>
          <w:bCs w:val="1"/>
          <w:u w:val="single" w:color="auto"/>
          <w:color w:val="auto"/>
        </w:rPr>
        <w:t>Compliance with, and No Disclaimer under, U.S. Securities Laws.</w:t>
      </w:r>
    </w:p>
    <w:p>
      <w:pPr>
        <w:spacing w:after="0" w:line="229" w:lineRule="exact"/>
        <w:rPr>
          <w:sz w:val="20"/>
          <w:szCs w:val="20"/>
          <w:color w:val="auto"/>
        </w:rPr>
      </w:pPr>
    </w:p>
    <w:p>
      <w:pPr>
        <w:ind w:right="380" w:firstLine="656"/>
        <w:spacing w:after="0" w:line="266" w:lineRule="auto"/>
        <w:tabs>
          <w:tab w:leader="none" w:pos="12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2" w:name="page63"/>
    <w:bookmarkEnd w:id="62"/>
    <w:p>
      <w:pPr>
        <w:ind w:right="40" w:firstLine="656"/>
        <w:spacing w:after="0" w:line="266" w:lineRule="auto"/>
        <w:tabs>
          <w:tab w:leader="none" w:pos="11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b w:val="1"/>
          <w:bCs w:val="1"/>
          <w:u w:val="single" w:color="auto"/>
          <w:color w:val="auto"/>
        </w:rPr>
        <w:t>England and Wales Law 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summary of the laws and regulations of England and Wales and of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18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7.10</w:t>
      </w:r>
      <w:r>
        <w:rPr>
          <w:sz w:val="20"/>
          <w:szCs w:val="20"/>
          <w:color w:val="auto"/>
        </w:rPr>
        <w:tab/>
      </w:r>
      <w:r>
        <w:rPr>
          <w:rFonts w:ascii="Times New Roman" w:cs="Times New Roman" w:eastAsia="Times New Roman" w:hAnsi="Times New Roman"/>
          <w:sz w:val="17"/>
          <w:szCs w:val="17"/>
          <w:b w:val="1"/>
          <w:bCs w:val="1"/>
          <w:u w:val="single" w:color="auto"/>
          <w:color w:val="auto"/>
        </w:rPr>
        <w:t>Titles and References.</w:t>
      </w:r>
    </w:p>
    <w:p>
      <w:pPr>
        <w:spacing w:after="0" w:line="225" w:lineRule="exact"/>
        <w:rPr>
          <w:sz w:val="20"/>
          <w:szCs w:val="20"/>
          <w:color w:val="auto"/>
        </w:rPr>
      </w:pPr>
    </w:p>
    <w:p>
      <w:pPr>
        <w:ind w:right="40" w:firstLine="656"/>
        <w:spacing w:after="0" w:line="254" w:lineRule="auto"/>
        <w:tabs>
          <w:tab w:leader="none" w:pos="144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the Deposit Agreement to exhibits, articles, sections, subsections, and other subdivisions refer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55" w:lineRule="auto"/>
        <w:tabs>
          <w:tab w:leader="none" w:pos="1497"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any ADR(s) to paragraphs, exhibits, articles, sections, subsections, and other subdivisions refer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ADRs, ADSs or Deposited Property as in effect at the relevant time of determination, unless otherwise required by law or regulation.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MEREO BIOPHARMA GROUP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Denise Scots-Knight</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Keith Galfo</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ADR]</w:t>
      </w:r>
    </w:p>
    <w:p>
      <w:pPr>
        <w:sectPr>
          <w:pgSz w:w="11900" w:h="16838" w:orient="portrait"/>
          <w:cols w:equalWidth="0" w:num="1">
            <w:col w:w="11240"/>
          </w:cols>
          <w:pgMar w:left="320" w:top="333"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NUMBER: _____________</w:t>
      </w:r>
    </w:p>
    <w:p>
      <w:pPr>
        <w:spacing w:after="0" w:line="38" w:lineRule="exact"/>
        <w:rPr>
          <w:sz w:val="20"/>
          <w:szCs w:val="20"/>
          <w:color w:val="auto"/>
        </w:rPr>
      </w:pPr>
    </w:p>
    <w:p>
      <w:pPr>
        <w:sectPr>
          <w:pgSz w:w="11900" w:h="16838" w:orient="portrait"/>
          <w:cols w:equalWidth="0" w:num="2">
            <w:col w:w="7940" w:space="720"/>
            <w:col w:w="2580"/>
          </w:cols>
          <w:pgMar w:left="320" w:top="33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American Depositary Shares (each American Depositary</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Share representing the right to receive five (5) fully paid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ordinary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England and Wales)</w:t>
      </w:r>
    </w:p>
    <w:p>
      <w:pPr>
        <w:spacing w:after="0" w:line="225" w:lineRule="exact"/>
        <w:rPr>
          <w:sz w:val="20"/>
          <w:szCs w:val="20"/>
          <w:color w:val="auto"/>
        </w:rPr>
      </w:pPr>
    </w:p>
    <w:p>
      <w:pPr>
        <w:ind w:right="560" w:firstLine="648"/>
        <w:spacing w:after="0" w:line="276" w:lineRule="auto"/>
        <w:rPr>
          <w:sz w:val="20"/>
          <w:szCs w:val="20"/>
          <w:color w:val="auto"/>
        </w:rPr>
      </w:pPr>
      <w:r>
        <w:rPr>
          <w:rFonts w:ascii="Times New Roman" w:cs="Times New Roman" w:eastAsia="Times New Roman" w:hAnsi="Times New Roman"/>
          <w:sz w:val="17"/>
          <w:szCs w:val="17"/>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deposited ordinary shares, including evidence of rights to receive such ordinary shares (the “Shares”), of Mereo BioPharma Group plc, a public limited company incorporated under the laws of England and Wales (the “Company”). As of the date of issuance of this ADR, each ADS represents the right to receive five (5) Shares deposited under the Deposit Agreement (as hereinafter defined) with the Custodian, which at the date of execution of the Deposit Agreement is Citibank, N.A. London Branch (the “Custodian”). The ADS(s)-to-Share(s) ratio is subject to amendment as provided in Articles IV and VI of the Deposit Agreement. The Depositary’s Principal Office is located at 388 Greenwich Street, New York, New York 10013, U.S.A.</w:t>
      </w:r>
    </w:p>
    <w:p>
      <w:pPr>
        <w:spacing w:after="0" w:line="183" w:lineRule="exact"/>
        <w:rPr>
          <w:sz w:val="20"/>
          <w:szCs w:val="20"/>
          <w:color w:val="auto"/>
        </w:rPr>
      </w:pPr>
    </w:p>
    <w:p>
      <w:pPr>
        <w:ind w:right="20" w:firstLine="656"/>
        <w:spacing w:after="0" w:line="253" w:lineRule="auto"/>
        <w:tabs>
          <w:tab w:leader="none" w:pos="153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be issued upon the terms and conditions set forth in the Deposit Agreement, dated as of April 23, 2019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5" w:name="page66"/>
    <w:bookmarkEnd w:id="65"/>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ind w:firstLine="656"/>
        <w:spacing w:after="0" w:line="253" w:lineRule="auto"/>
        <w:tabs>
          <w:tab w:leader="none" w:pos="153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6" w:name="page67"/>
    <w:bookmarkEnd w:id="66"/>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Deposit Agreement, of this ADR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withheld) to the person surrendering the ADSs.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right="80" w:firstLine="656"/>
        <w:spacing w:after="0" w:line="254" w:lineRule="auto"/>
        <w:tabs>
          <w:tab w:leader="none" w:pos="153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7" w:name="page68"/>
    <w:bookmarkEnd w:id="67"/>
    <w:p>
      <w:pPr>
        <w:ind w:right="40" w:firstLine="648"/>
        <w:spacing w:after="0" w:line="269" w:lineRule="auto"/>
        <w:rPr>
          <w:sz w:val="20"/>
          <w:szCs w:val="20"/>
          <w:color w:val="auto"/>
        </w:rPr>
      </w:pPr>
      <w:r>
        <w:rPr>
          <w:rFonts w:ascii="Times New Roman" w:cs="Times New Roman" w:eastAsia="Times New Roman" w:hAnsi="Times New Roman"/>
          <w:sz w:val="17"/>
          <w:szCs w:val="17"/>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thereof, and</w:t>
      </w:r>
    </w:p>
    <w:p>
      <w:pPr>
        <w:spacing w:after="0" w:line="3" w:lineRule="exact"/>
        <w:rPr>
          <w:sz w:val="20"/>
          <w:szCs w:val="20"/>
          <w:color w:val="auto"/>
        </w:rPr>
      </w:pPr>
    </w:p>
    <w:p>
      <w:pPr>
        <w:ind w:right="260" w:firstLine="8"/>
        <w:spacing w:after="0" w:line="255"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ind w:firstLine="656"/>
        <w:spacing w:after="0" w:line="254" w:lineRule="auto"/>
        <w:tabs>
          <w:tab w:leader="none" w:pos="1532"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paragraph (25) of this ADR and Section 7.8 of the Deposit Agreement. Notwithstanding any provision of the Deposit Agreement or this ADR to the contrary, Holders are 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8" w:name="page69"/>
    <w:bookmarkEnd w:id="68"/>
    <w:p>
      <w:pPr>
        <w:ind w:left="-20" w:right="60" w:firstLine="656"/>
        <w:spacing w:after="0" w:line="254" w:lineRule="auto"/>
        <w:tabs>
          <w:tab w:leader="none" w:pos="151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Beneficial Owner of the ADSs represented hereby agrees to comply with requests from the Company pursuant to applicable law, the rules and requirements of The NASDAQ Global Market and any other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88" w:lineRule="exact"/>
        <w:rPr>
          <w:rFonts w:ascii="Times New Roman" w:cs="Times New Roman" w:eastAsia="Times New Roman" w:hAnsi="Times New Roman"/>
          <w:sz w:val="18"/>
          <w:szCs w:val="18"/>
          <w:b w:val="1"/>
          <w:bCs w:val="1"/>
          <w:color w:val="auto"/>
        </w:rPr>
      </w:pPr>
    </w:p>
    <w:p>
      <w:pPr>
        <w:ind w:left="-20" w:firstLine="656"/>
        <w:spacing w:after="0" w:line="254" w:lineRule="auto"/>
        <w:tabs>
          <w:tab w:leader="none" w:pos="151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69" w:name="page70"/>
    <w:bookmarkEnd w:id="69"/>
    <w:p>
      <w:pPr>
        <w:ind w:left="-20" w:firstLine="656"/>
        <w:spacing w:after="0" w:line="256" w:lineRule="auto"/>
        <w:tabs>
          <w:tab w:leader="none" w:pos="151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82" w:lineRule="exact"/>
        <w:rPr>
          <w:rFonts w:ascii="Times New Roman" w:cs="Times New Roman" w:eastAsia="Times New Roman" w:hAnsi="Times New Roman"/>
          <w:sz w:val="18"/>
          <w:szCs w:val="18"/>
          <w:b w:val="1"/>
          <w:bCs w:val="1"/>
          <w:color w:val="auto"/>
        </w:rPr>
      </w:pPr>
    </w:p>
    <w:p>
      <w:pPr>
        <w:ind w:left="-20" w:firstLine="656"/>
        <w:spacing w:after="0" w:line="253" w:lineRule="auto"/>
        <w:tabs>
          <w:tab w:leader="none" w:pos="151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5" w:lineRule="exact"/>
        <w:rPr>
          <w:rFonts w:ascii="Times New Roman" w:cs="Times New Roman" w:eastAsia="Times New Roman" w:hAnsi="Times New Roman"/>
          <w:sz w:val="18"/>
          <w:szCs w:val="18"/>
          <w:b w:val="1"/>
          <w:bCs w:val="1"/>
          <w:color w:val="auto"/>
        </w:rPr>
      </w:pPr>
    </w:p>
    <w:p>
      <w:pPr>
        <w:ind w:left="-20" w:right="20" w:firstLine="656"/>
        <w:spacing w:after="0" w:line="254" w:lineRule="auto"/>
        <w:tabs>
          <w:tab w:leader="none" w:pos="151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33" w:right="359" w:bottom="1440" w:gutter="0" w:footer="0" w:header="0"/>
        </w:sectPr>
      </w:pPr>
    </w:p>
    <w:bookmarkStart w:id="70" w:name="page71"/>
    <w:bookmarkEnd w:id="70"/>
    <w:p>
      <w:pPr>
        <w:ind w:left="-20" w:firstLine="656"/>
        <w:spacing w:after="0" w:line="252" w:lineRule="auto"/>
        <w:tabs>
          <w:tab w:leader="none" w:pos="142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the terms of Section 7.8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91" w:lineRule="exact"/>
        <w:rPr>
          <w:rFonts w:ascii="Times New Roman" w:cs="Times New Roman" w:eastAsia="Times New Roman" w:hAnsi="Times New Roman"/>
          <w:sz w:val="18"/>
          <w:szCs w:val="18"/>
          <w:b w:val="1"/>
          <w:bCs w:val="1"/>
          <w:color w:val="auto"/>
        </w:rPr>
      </w:pPr>
    </w:p>
    <w:p>
      <w:pPr>
        <w:ind w:left="1420" w:hanging="784"/>
        <w:spacing w:after="0"/>
        <w:tabs>
          <w:tab w:leader="none" w:pos="14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are payable under the terms of the Deposit Agreement:</w:t>
      </w:r>
    </w:p>
    <w:p>
      <w:pPr>
        <w:spacing w:after="0" w:line="227" w:lineRule="exact"/>
        <w:rPr>
          <w:rFonts w:ascii="Times New Roman" w:cs="Times New Roman" w:eastAsia="Times New Roman" w:hAnsi="Times New Roman"/>
          <w:sz w:val="18"/>
          <w:szCs w:val="18"/>
          <w:b w:val="1"/>
          <w:bCs w:val="1"/>
          <w:color w:val="auto"/>
        </w:rPr>
      </w:pPr>
    </w:p>
    <w:p>
      <w:pPr>
        <w:ind w:left="1940" w:right="120" w:hanging="656"/>
        <w:spacing w:after="0" w:line="261" w:lineRule="auto"/>
        <w:tabs>
          <w:tab w:leader="none" w:pos="19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to whom the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of ADSs upon a deposit of Shares, upon a change in the ADS(s)-to-Share(s) ratio, or for any other reason), excluding ADS issuances as a result of distributions described in paragraph (iv) below, a fee not in excess of U.S. $5.00 per 100 ADSs (or fraction thereof) issued under the terms of the Deposit Agreement;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33" w:right="359" w:bottom="1440" w:gutter="0" w:footer="0" w:header="0"/>
        </w:sectPr>
      </w:pPr>
    </w:p>
    <w:bookmarkStart w:id="71" w:name="page72"/>
    <w:bookmarkEnd w:id="71"/>
    <w:p>
      <w:pPr>
        <w:jc w:val="both"/>
        <w:ind w:left="840" w:right="60" w:hanging="656"/>
        <w:spacing w:after="0" w:line="267" w:lineRule="auto"/>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whose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75"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sale of rights and other entitlements);</w:t>
      </w:r>
    </w:p>
    <w:p>
      <w:pPr>
        <w:spacing w:after="0" w:line="161" w:lineRule="exact"/>
        <w:rPr>
          <w:rFonts w:ascii="Times New Roman" w:cs="Times New Roman" w:eastAsia="Times New Roman" w:hAnsi="Times New Roman"/>
          <w:sz w:val="18"/>
          <w:szCs w:val="18"/>
          <w:color w:val="auto"/>
        </w:rPr>
      </w:pPr>
    </w:p>
    <w:p>
      <w:pPr>
        <w:jc w:val="both"/>
        <w:ind w:left="840" w:right="120" w:hanging="656"/>
        <w:spacing w:after="0" w:line="266" w:lineRule="auto"/>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(a) the distribution of stock dividends or other free stock distributions or (b) the exercise of rights to purchase additional ADSs;</w:t>
      </w:r>
    </w:p>
    <w:p>
      <w:pPr>
        <w:spacing w:after="0" w:line="175" w:lineRule="exact"/>
        <w:rPr>
          <w:rFonts w:ascii="Times New Roman" w:cs="Times New Roman" w:eastAsia="Times New Roman" w:hAnsi="Times New Roman"/>
          <w:sz w:val="18"/>
          <w:szCs w:val="18"/>
          <w:color w:val="auto"/>
        </w:rPr>
      </w:pPr>
    </w:p>
    <w:p>
      <w:pPr>
        <w:ind w:left="840" w:right="120" w:hanging="656"/>
        <w:spacing w:after="0" w:line="282" w:lineRule="auto"/>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w:t>
      </w:r>
    </w:p>
    <w:p>
      <w:pPr>
        <w:spacing w:after="0" w:line="161"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color w:val="auto"/>
        </w:rPr>
      </w:pPr>
    </w:p>
    <w:p>
      <w:pPr>
        <w:ind w:left="840" w:right="40" w:hanging="656"/>
        <w:spacing w:after="0" w:line="282" w:lineRule="auto"/>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Fee</w:t>
      </w:r>
      <w:r>
        <w:rPr>
          <w:rFonts w:ascii="Times New Roman" w:cs="Times New Roman" w:eastAsia="Times New Roman" w:hAnsi="Times New Roman"/>
          <w:sz w:val="18"/>
          <w:szCs w:val="18"/>
          <w:color w:val="auto"/>
        </w:rPr>
        <w:t>: by any Holder of ADS(s) being transferred or by any person to whom ADSs are transferred, a fee not in excess of U.S. $5.00 per 100 ADSs (or fraction thereof) transferred; and</w:t>
      </w:r>
    </w:p>
    <w:p>
      <w:pPr>
        <w:spacing w:after="0" w:line="161" w:lineRule="exact"/>
        <w:rPr>
          <w:rFonts w:ascii="Times New Roman" w:cs="Times New Roman" w:eastAsia="Times New Roman" w:hAnsi="Times New Roman"/>
          <w:sz w:val="18"/>
          <w:szCs w:val="18"/>
          <w:color w:val="auto"/>
        </w:rPr>
      </w:pPr>
    </w:p>
    <w:p>
      <w:pPr>
        <w:ind w:left="840" w:hanging="656"/>
        <w:spacing w:after="0" w:line="261" w:lineRule="auto"/>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Fee</w:t>
      </w:r>
      <w:r>
        <w:rPr>
          <w:rFonts w:ascii="Times New Roman" w:cs="Times New Roman" w:eastAsia="Times New Roman" w:hAnsi="Times New Roman"/>
          <w:sz w:val="18"/>
          <w:szCs w:val="18"/>
          <w:color w:val="auto"/>
        </w:rPr>
        <w:t>: by any Holder of ADS(s) being transferred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 Entitlement ADSs for Full Entitlement ADSs, or upon conversion of Restricted ADSs into freely transferrable ADSs).</w:t>
      </w:r>
    </w:p>
    <w:p>
      <w:pPr>
        <w:spacing w:after="0" w:line="27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335" w:right="399" w:bottom="1440" w:gutter="0" w:footer="0" w:header="0"/>
        </w:sectPr>
      </w:pPr>
    </w:p>
    <w:bookmarkStart w:id="72" w:name="page73"/>
    <w:bookmarkEnd w:id="72"/>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the issuance and cancellation of ADSs, persons receiving ADSs upon issuance, and persons whose ADSs are being cancelled shall be responsible for the following ADS charges under the terms of the Deposit Agreement:</w:t>
      </w:r>
    </w:p>
    <w:p>
      <w:pPr>
        <w:spacing w:after="0" w:line="176" w:lineRule="exact"/>
        <w:rPr>
          <w:sz w:val="20"/>
          <w:szCs w:val="20"/>
          <w:color w:val="auto"/>
        </w:rPr>
      </w:pPr>
    </w:p>
    <w:p>
      <w:pPr>
        <w:ind w:left="1960" w:hanging="656"/>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1960" w:right="160" w:hanging="656"/>
        <w:spacing w:after="0" w:line="266"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in the conversion of foreign currency;</w:t>
      </w:r>
    </w:p>
    <w:p>
      <w:pPr>
        <w:spacing w:after="0" w:line="225"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fees and expenses as are incurred by the Depositary in connection with compliance with exchange control regulations and other regulatory requirements applicable to Shares, Deposited Securities, ADSs and ADRs; and</w:t>
      </w:r>
    </w:p>
    <w:p>
      <w:pPr>
        <w:spacing w:after="0" w:line="161" w:lineRule="exact"/>
        <w:rPr>
          <w:rFonts w:ascii="Times New Roman" w:cs="Times New Roman" w:eastAsia="Times New Roman" w:hAnsi="Times New Roman"/>
          <w:sz w:val="18"/>
          <w:szCs w:val="18"/>
          <w:color w:val="auto"/>
        </w:rPr>
      </w:pPr>
    </w:p>
    <w:p>
      <w:pPr>
        <w:ind w:left="1960" w:right="320" w:hanging="656"/>
        <w:spacing w:after="0" w:line="282"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All ADS fees and charges so payable may be deducted from distributions or must be remitted to the Depositary, or its designee, may be waived by the Depositary in full or in part with respect to some or all ADSs upon such terms, and subject to such conditions, as the Depositary and Company may determine in its sole discretion and may, at any time and from time to time, be changed by agreement between the Depositary and the Company, but, in the case of ADS fees and charges payable by Holders and Beneficial Owners, any such change (excluding any changes to the waiver by the Depositary of fees and charges contemplated herein) may be made only in the manner contemplated by paragraph (23) of this ADR and as contemplated in Section 6.1 of the Deposit Agreement. The Depositary shall provide, without charge, a copy of its latest ADS fee schedule to anyone upon request.</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right="40" w:firstLine="656"/>
        <w:spacing w:after="0" w:line="254" w:lineRule="auto"/>
        <w:tabs>
          <w:tab w:leader="none" w:pos="144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ind w:right="60" w:firstLine="656"/>
        <w:spacing w:after="0" w:line="256" w:lineRule="auto"/>
        <w:tabs>
          <w:tab w:leader="none" w:pos="144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62" w:lineRule="auto"/>
        <w:tabs>
          <w:tab w:leader="none" w:pos="144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and, accordingly, is required to file or furnish certain reports with the Commission. These reports can be retrieved from the Commission's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Until termination of the Deposit Agreement in accordance with 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 of the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337"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__________________________________</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620"/>
          </w:cols>
          <w:pgMar w:left="320" w:top="337" w:right="339" w:bottom="1440" w:gutter="0" w:footer="0" w:header="0"/>
          <w:type w:val="continuous"/>
        </w:sectPr>
      </w:pPr>
    </w:p>
    <w:p>
      <w:pPr>
        <w:spacing w:after="0" w:line="3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ind w:right="120" w:firstLine="656"/>
        <w:spacing w:after="0" w:line="263" w:lineRule="auto"/>
        <w:tabs>
          <w:tab w:leader="none" w:pos="1442"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cash dividend or other cash distribution in respect of any Deposited Securities, the Company shall give notice thereof to the Depositary at least twenty</w:t>
      </w:r>
    </w:p>
    <w:p>
      <w:pPr>
        <w:ind w:firstLine="8"/>
        <w:spacing w:after="0" w:line="250" w:lineRule="auto"/>
        <w:tabs>
          <w:tab w:leader="none" w:pos="3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for determining the holders of Deposited Securities entitled to receive such distribution. Upon the timely receipt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notice, the Depositary shall establish the ADS Record Date upon the terms described in Section 4.9 of the Deposit Agreement. Upon receipt of confirmation of the receipt of (x) any cash dividend or other cash distribution on any Deposited Securities, or (y) proceeds from the sale of any Deposited Property held in respect of the ADSs under the terms of the Deposit Agreement, the Depositary will (i) if at the time of receipt thereof any amounts received in a Foreign Currency can, in the judgment of the Depositary (pursuant to Section 4.8 of the Deposit Agreement), be converted on a practicable basis into Dollars transferable to the United States, promptly convert or cause to be converted such cash dividend, distribution or proceeds into Dollars (on the terms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of, and expenses incurred by, the Depositary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03" w:lineRule="exact"/>
        <w:rPr>
          <w:sz w:val="20"/>
          <w:szCs w:val="20"/>
          <w:color w:val="auto"/>
        </w:rPr>
      </w:pPr>
    </w:p>
    <w:p>
      <w:pPr>
        <w:ind w:right="20" w:firstLine="656"/>
        <w:spacing w:after="0" w:line="251" w:lineRule="auto"/>
        <w:tabs>
          <w:tab w:leader="none" w:pos="11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 Distributions: </w:t>
      </w:r>
      <w:r>
        <w:rPr>
          <w:rFonts w:ascii="Times New Roman" w:cs="Times New Roman" w:eastAsia="Times New Roman" w:hAnsi="Times New Roman"/>
          <w:sz w:val="18"/>
          <w:szCs w:val="18"/>
          <w:color w:val="auto"/>
        </w:rPr>
        <w:t>Whenever the Company intends to make a distribution that consists of a dividend in, or free distribution of,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Upon the timely receipt of such notice from the Company,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 In the event that the Depositary determines that any distribution in property (including Shares) is subject to any tax or other governmental charges which the Depositary is obligated to withhold, or, if the Company in the fulfillment of its obligation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ind w:left="-40" w:firstLine="656"/>
        <w:spacing w:after="0" w:line="251" w:lineRule="auto"/>
        <w:tabs>
          <w:tab w:leader="none" w:pos="112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Elective Distributions in Cash or Shares: </w:t>
      </w:r>
      <w:r>
        <w:rPr>
          <w:rFonts w:ascii="Times New Roman" w:cs="Times New Roman" w:eastAsia="Times New Roman" w:hAnsi="Times New Roman"/>
          <w:sz w:val="18"/>
          <w:szCs w:val="18"/>
          <w:color w:val="auto"/>
        </w:rPr>
        <w:t>Whenever the Company intends to make a distribution payable at the election of the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not satisfied or if the Company requests such elective distribution not to be made available to Holders of ADSs, the Depositary shall establish the ADS Record Date on the terms described in Section 4.9 of the Deposit Agreement and, to the extent permitted by law, distribute to the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If the above conditions are satisfied, the Depositary shall establish an ADS Record Date on the terms described in Section 4.9 of the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Deposit Agreement, or (Y) in ADSs, the distribution shall be made upon the terms described in Section 4.2 of the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33" w:right="379" w:bottom="1440" w:gutter="0" w:footer="0" w:header="0"/>
        </w:sectPr>
      </w:pPr>
    </w:p>
    <w:bookmarkStart w:id="78" w:name="page79"/>
    <w:bookmarkEnd w:id="78"/>
    <w:p>
      <w:pPr>
        <w:ind w:left="-8" w:firstLine="656"/>
        <w:spacing w:after="0" w:line="252" w:lineRule="auto"/>
        <w:tabs>
          <w:tab w:leader="none" w:pos="116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Distribution of Rights to Purchase Additional ADSs: </w:t>
      </w:r>
      <w:r>
        <w:rPr>
          <w:rFonts w:ascii="Times New Roman" w:cs="Times New Roman" w:eastAsia="Times New Roman" w:hAnsi="Times New Roman"/>
          <w:sz w:val="18"/>
          <w:szCs w:val="18"/>
          <w:color w:val="auto"/>
        </w:rPr>
        <w:t>Whenever the Company intends to distribute to the holders of the Deposited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Securities rights to 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of the Deposit Agreement. In the event all conditions set forth above are satisfied, the Depositary shall establish the ADS Record Date (upon the terms described in Section 4.9 of the Deposit Agreement) and establish procedures to</w:t>
      </w:r>
    </w:p>
    <w:p>
      <w:pPr>
        <w:spacing w:after="0" w:line="6" w:lineRule="exact"/>
        <w:rPr>
          <w:rFonts w:ascii="Times New Roman" w:cs="Times New Roman" w:eastAsia="Times New Roman" w:hAnsi="Times New Roman"/>
          <w:sz w:val="18"/>
          <w:szCs w:val="18"/>
          <w:color w:val="auto"/>
        </w:rPr>
      </w:pPr>
    </w:p>
    <w:p>
      <w:pPr>
        <w:ind w:left="-8" w:firstLine="8"/>
        <w:spacing w:after="0" w:line="253" w:lineRule="auto"/>
        <w:tabs>
          <w:tab w:leader="none" w:pos="2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8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33" w:right="359" w:bottom="1440" w:gutter="0" w:footer="0" w:header="0"/>
        </w:sectPr>
      </w:pPr>
    </w:p>
    <w:bookmarkStart w:id="79" w:name="page80"/>
    <w:bookmarkEnd w:id="79"/>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of the Deposit Agreement.</w:t>
      </w:r>
    </w:p>
    <w:p>
      <w:pPr>
        <w:spacing w:after="0" w:line="189" w:lineRule="exact"/>
        <w:rPr>
          <w:sz w:val="20"/>
          <w:szCs w:val="20"/>
          <w:color w:val="auto"/>
        </w:rPr>
      </w:pPr>
    </w:p>
    <w:p>
      <w:pPr>
        <w:jc w:val="both"/>
        <w:ind w:right="400" w:firstLine="648"/>
        <w:spacing w:after="0" w:line="282" w:lineRule="auto"/>
        <w:rPr>
          <w:sz w:val="20"/>
          <w:szCs w:val="20"/>
          <w:color w:val="auto"/>
        </w:rPr>
      </w:pPr>
      <w:r>
        <w:rPr>
          <w:rFonts w:ascii="Times New Roman" w:cs="Times New Roman" w:eastAsia="Times New Roman" w:hAnsi="Times New Roman"/>
          <w:sz w:val="18"/>
          <w:szCs w:val="18"/>
          <w:color w:val="auto"/>
        </w:rPr>
        <w:t>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Section 4.4 of the Deposit Agreement,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0" w:name="page81"/>
    <w:bookmarkEnd w:id="80"/>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right="120" w:firstLine="656"/>
        <w:spacing w:after="0" w:line="270" w:lineRule="auto"/>
        <w:tabs>
          <w:tab w:leader="none" w:pos="1162"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Distributions Other Than Cash, Shares or Rights to Purchase Shares: </w:t>
      </w:r>
      <w:r>
        <w:rPr>
          <w:rFonts w:ascii="Times New Roman" w:cs="Times New Roman" w:eastAsia="Times New Roman" w:hAnsi="Times New Roman"/>
          <w:sz w:val="17"/>
          <w:szCs w:val="17"/>
          <w:color w:val="auto"/>
        </w:rPr>
        <w:t>Whenever the Company intends to distribute to the holders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w:t>
      </w:r>
    </w:p>
    <w:p>
      <w:pPr>
        <w:spacing w:after="0" w:line="2" w:lineRule="exact"/>
        <w:rPr>
          <w:rFonts w:ascii="Times New Roman" w:cs="Times New Roman" w:eastAsia="Times New Roman" w:hAnsi="Times New Roman"/>
          <w:sz w:val="17"/>
          <w:szCs w:val="17"/>
          <w:color w:val="auto"/>
        </w:rPr>
      </w:pPr>
    </w:p>
    <w:p>
      <w:pPr>
        <w:ind w:right="40" w:firstLine="8"/>
        <w:spacing w:after="0" w:line="255" w:lineRule="auto"/>
        <w:tabs>
          <w:tab w:leader="none" w:pos="2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the Depositary to make such distribution to Holders, (ii) the Depositary shall have received satisfactory documentation within the terms of Section 5.7 of the Deposit Agreement, and (iii) the Depositary shall have determined that such distribution is reasonably practicable.</w:t>
      </w:r>
    </w:p>
    <w:p>
      <w:pPr>
        <w:spacing w:after="0" w:line="18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(i) the Company does not request the Depositary to make such distribution to Holders or requests the Depositary not to make such distribution to Holders, (ii) the Depositary does not receive satisfactory documentation within the terms of Section 5.7 of the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Deposit Agreement. If the Depositary is unable to sell such property, the Depositary may dispose of such property for the account of the Holders in any way it deems reasonably practicable under the circumstances.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ind w:firstLine="656"/>
        <w:spacing w:after="0" w:line="253" w:lineRule="auto"/>
        <w:tabs>
          <w:tab w:leader="none" w:pos="144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color w:val="auto"/>
        </w:rPr>
        <w:t>. If the Company intends to exercise any right of redemption in respect of any of the Deposited Securities,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2" w:name="page83"/>
    <w:bookmarkEnd w:id="82"/>
    <w:p>
      <w:pPr>
        <w:ind w:firstLine="656"/>
        <w:spacing w:after="0" w:line="253" w:lineRule="auto"/>
        <w:tabs>
          <w:tab w:leader="none" w:pos="144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of the Deposit Agreement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7" w:lineRule="exact"/>
        <w:rPr>
          <w:rFonts w:ascii="Times New Roman" w:cs="Times New Roman" w:eastAsia="Times New Roman" w:hAnsi="Times New Roman"/>
          <w:sz w:val="18"/>
          <w:szCs w:val="18"/>
          <w:b w:val="1"/>
          <w:bCs w:val="1"/>
          <w:color w:val="auto"/>
        </w:rPr>
      </w:pPr>
    </w:p>
    <w:p>
      <w:pPr>
        <w:ind w:firstLine="656"/>
        <w:spacing w:after="0" w:line="253" w:lineRule="auto"/>
        <w:tabs>
          <w:tab w:leader="none" w:pos="144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voting instructions may be deemed to have been given in accordance with Section 4.10 of the Deposit Agreement if no instructions are received prior to the deadline set for such purposes to the Depositary to give a discretionary proxy to a person designated by the Company.</w:t>
      </w:r>
    </w:p>
    <w:p>
      <w:pPr>
        <w:spacing w:after="0" w:line="1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with the Company’s prior written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3" w:name="page84"/>
    <w:bookmarkEnd w:id="83"/>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show of hands unless a poll is demanded in accordance with the Articles of Association. The Depositary will not join in demanding a poll, whether or not requested to do so by Holders of ADSs. Under the Articles of Association of the Company as in effect on the date of the Deposit Agreement, a poll may be demanded by (a) the chairman of the Company’s board of directors, (b) a majority of the directors of the Company, (c) two or more shareholders present and having the right to vote on the resolution, or (d) any shareholder(s) representing not less than 10% of the total voting rights of all the shareholders having the right to vote on the resolution (excluding any Shares held in treasury).</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timely received from a majority of Holders of ADSs who provided voting instructions, and (b) in the event voting takes place at a shareholders’ meeting by poll,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timely provided voting instructions, and (b) as contemplated in Section 4.10 of the Deposit Agreement).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4" w:name="page85"/>
    <w:bookmarkEnd w:id="84"/>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ind w:right="40" w:firstLine="656"/>
        <w:spacing w:after="0" w:line="267" w:lineRule="auto"/>
        <w:tabs>
          <w:tab w:leader="none" w:pos="1442" w:val="left"/>
        </w:tabs>
        <w:numPr>
          <w:ilvl w:val="1"/>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Changes Affecting Deposited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any change in nominal or par value, split-up, cancellation, consolidation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w:t>
      </w:r>
    </w:p>
    <w:p>
      <w:pPr>
        <w:spacing w:after="0" w:line="7" w:lineRule="exact"/>
        <w:rPr>
          <w:rFonts w:ascii="Times New Roman" w:cs="Times New Roman" w:eastAsia="Times New Roman" w:hAnsi="Times New Roman"/>
          <w:sz w:val="17"/>
          <w:szCs w:val="17"/>
          <w:b w:val="1"/>
          <w:bCs w:val="1"/>
          <w:color w:val="auto"/>
        </w:rPr>
      </w:pPr>
    </w:p>
    <w:p>
      <w:pPr>
        <w:ind w:firstLine="8"/>
        <w:spacing w:after="0" w:line="251" w:lineRule="auto"/>
        <w:tabs>
          <w:tab w:leader="none" w:pos="2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ind w:right="20" w:firstLine="656"/>
        <w:spacing w:after="0" w:line="253" w:lineRule="auto"/>
        <w:tabs>
          <w:tab w:leader="none" w:pos="144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obligated to do or perform any act which is inconsistent with the provisions of the Deposit Agreement or incur any liability (to the extent not limited by paragraph (25) hereof) (i) if the Depositary or the Company shall be prevented or forbidden from, or delayed in, doing or performing any act or thing required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(including lost profits) for any breach of the terms of the Deposit Agreement.</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72" w:lineRule="exact"/>
        <w:rPr>
          <w:sz w:val="20"/>
          <w:szCs w:val="20"/>
          <w:color w:val="auto"/>
        </w:rPr>
      </w:pPr>
    </w:p>
    <w:p>
      <w:pPr>
        <w:ind w:right="200" w:firstLine="656"/>
        <w:spacing w:after="0" w:line="268" w:lineRule="auto"/>
        <w:tabs>
          <w:tab w:leader="none" w:pos="144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or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7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right="100" w:firstLine="656"/>
        <w:spacing w:after="0" w:line="274" w:lineRule="auto"/>
        <w:tabs>
          <w:tab w:leader="none" w:pos="1442" w:val="left"/>
        </w:tabs>
        <w:numPr>
          <w:ilvl w:val="1"/>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Resignation and Removal of the Depositary; Appointment of Successor Depositary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Depositary may at any time resign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w:t>
      </w:r>
    </w:p>
    <w:p>
      <w:pPr>
        <w:ind w:left="280" w:hanging="272"/>
        <w:spacing w:after="0"/>
        <w:tabs>
          <w:tab w:leader="none" w:pos="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by the Company of a successor depositary and its acceptance of such appointment as hereinafter provided.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right="200" w:firstLine="8"/>
        <w:spacing w:after="0" w:line="255" w:lineRule="auto"/>
        <w:tabs>
          <w:tab w:leader="none" w:pos="2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after delivery thereof to the Depositary (whereupon the Depositary shall be entitled to take the actions contemplated in Section 6.2 of the Deposit Agreement), or (ii) upon the appointment by the Company of a successor depositary and its acceptance of such appointment as hereinafter provided.</w:t>
      </w:r>
    </w:p>
    <w:p>
      <w:pPr>
        <w:spacing w:after="0" w:line="18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9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ind w:firstLine="656"/>
        <w:spacing w:after="0" w:line="252" w:lineRule="auto"/>
        <w:tabs>
          <w:tab w:leader="none" w:pos="1442"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Section 6.1 of the Deposit Agreement and applicable law, the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outstanding at 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8" w:name="page89"/>
    <w:bookmarkEnd w:id="88"/>
    <w:p>
      <w:pPr>
        <w:ind w:right="140" w:firstLine="656"/>
        <w:spacing w:after="0" w:line="259" w:lineRule="auto"/>
        <w:tabs>
          <w:tab w:leader="none" w:pos="1442"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w:t>
      </w:r>
    </w:p>
    <w:p>
      <w:pPr>
        <w:ind w:right="40" w:firstLine="8"/>
        <w:spacing w:after="0" w:line="252" w:lineRule="auto"/>
        <w:tabs>
          <w:tab w:leader="none" w:pos="2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Depositary a written notice of the removal of the Depositary, and, in either case, a successor depositary shall not have been appointed and accepted its appointment as provided in Section 5.4 of the Deposit Agreement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9" w:name="page90"/>
    <w:bookmarkEnd w:id="89"/>
    <w:p>
      <w:pPr>
        <w:ind w:firstLine="648"/>
        <w:spacing w:after="0" w:line="253" w:lineRule="auto"/>
        <w:rPr>
          <w:sz w:val="20"/>
          <w:szCs w:val="20"/>
          <w:color w:val="auto"/>
        </w:rPr>
      </w:pPr>
      <w:r>
        <w:rPr>
          <w:rFonts w:ascii="Times New Roman" w:cs="Times New Roman" w:eastAsia="Times New Roman" w:hAnsi="Times New Roman"/>
          <w:sz w:val="18"/>
          <w:szCs w:val="18"/>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in this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3" w:lineRule="exact"/>
        <w:rPr>
          <w:sz w:val="20"/>
          <w:szCs w:val="20"/>
          <w:color w:val="auto"/>
        </w:rPr>
      </w:pPr>
    </w:p>
    <w:p>
      <w:pPr>
        <w:ind w:left="1460" w:hanging="804"/>
        <w:spacing w:after="0"/>
        <w:tabs>
          <w:tab w:leader="none" w:pos="14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0" w:firstLine="656"/>
        <w:spacing w:after="0" w:line="266" w:lineRule="auto"/>
        <w:tabs>
          <w:tab w:leader="none" w:pos="12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117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ind w:right="20" w:firstLine="656"/>
        <w:spacing w:after="0" w:line="268" w:lineRule="auto"/>
        <w:tabs>
          <w:tab w:leader="none" w:pos="1442" w:val="left"/>
        </w:tabs>
        <w:numPr>
          <w:ilvl w:val="1"/>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Third Party Beneficiaries/Acknowledgements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Deposit Agreement is for the exclusive benefit of the parties hereto (and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7"/>
          <w:szCs w:val="17"/>
          <w:b w:val="1"/>
          <w:bCs w:val="1"/>
          <w:color w:val="auto"/>
        </w:rPr>
      </w:pPr>
    </w:p>
    <w:p>
      <w:pPr>
        <w:ind w:right="80" w:firstLine="8"/>
        <w:spacing w:after="0" w:line="251" w:lineRule="auto"/>
        <w:tabs>
          <w:tab w:leader="none" w:pos="3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United Kingdom,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89" w:lineRule="exact"/>
        <w:rPr>
          <w:rFonts w:ascii="Times New Roman" w:cs="Times New Roman" w:eastAsia="Times New Roman" w:hAnsi="Times New Roman"/>
          <w:sz w:val="18"/>
          <w:szCs w:val="18"/>
          <w:color w:val="auto"/>
        </w:rPr>
      </w:pPr>
    </w:p>
    <w:p>
      <w:pPr>
        <w:ind w:right="20" w:firstLine="656"/>
        <w:spacing w:after="0" w:line="257" w:lineRule="auto"/>
        <w:tabs>
          <w:tab w:leader="none" w:pos="1442"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4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74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3820" w:type="dxa"/>
            <w:vAlign w:val="bottom"/>
          </w:tcPr>
          <w:p>
            <w:pPr>
              <w:spacing w:after="0"/>
              <w:rPr>
                <w:sz w:val="24"/>
                <w:szCs w:val="24"/>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with the name as written upon the face of the within instrument in every</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whatsoever.</w:t>
            </w:r>
          </w:p>
        </w:tc>
        <w:tc>
          <w:tcPr>
            <w:tcW w:w="0" w:type="dxa"/>
            <w:vAlign w:val="bottom"/>
          </w:tcPr>
          <w:p>
            <w:pPr>
              <w:spacing w:after="0"/>
              <w:rPr>
                <w:sz w:val="1"/>
                <w:szCs w:val="1"/>
                <w:color w:val="auto"/>
              </w:rPr>
            </w:pPr>
          </w:p>
        </w:tc>
      </w:tr>
      <w:tr>
        <w:trPr>
          <w:trHeight w:val="414"/>
        </w:trPr>
        <w:tc>
          <w:tcPr>
            <w:tcW w:w="3820" w:type="dxa"/>
            <w:vAlign w:val="bottom"/>
          </w:tcPr>
          <w:p>
            <w:pPr>
              <w:spacing w:after="0"/>
              <w:rPr>
                <w:sz w:val="24"/>
                <w:szCs w:val="24"/>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full title in such capacity and proper evidence of authority to act in such</w:t>
            </w:r>
          </w:p>
        </w:tc>
        <w:tc>
          <w:tcPr>
            <w:tcW w:w="0" w:type="dxa"/>
            <w:vAlign w:val="bottom"/>
          </w:tcPr>
          <w:p>
            <w:pPr>
              <w:spacing w:after="0"/>
              <w:rPr>
                <w:sz w:val="1"/>
                <w:szCs w:val="1"/>
                <w:color w:val="auto"/>
              </w:rPr>
            </w:pPr>
          </w:p>
        </w:tc>
      </w:tr>
      <w:tr>
        <w:trPr>
          <w:trHeight w:val="234"/>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9"/>
              </w:rPr>
              <w:t>capacity, if not on file with the Depositary, must be forwarded with this ADR.</w:t>
            </w:r>
          </w:p>
        </w:tc>
        <w:tc>
          <w:tcPr>
            <w:tcW w:w="0" w:type="dxa"/>
            <w:vAlign w:val="bottom"/>
          </w:tcPr>
          <w:p>
            <w:pPr>
              <w:spacing w:after="0"/>
              <w:rPr>
                <w:sz w:val="1"/>
                <w:szCs w:val="1"/>
                <w:color w:val="auto"/>
              </w:rPr>
            </w:pPr>
          </w:p>
        </w:tc>
      </w:tr>
      <w:tr>
        <w:trPr>
          <w:trHeight w:val="198"/>
        </w:trPr>
        <w:tc>
          <w:tcPr>
            <w:tcW w:w="3820" w:type="dxa"/>
            <w:vAlign w:val="bottom"/>
            <w:vMerge w:val="continue"/>
          </w:tcPr>
          <w:p>
            <w:pPr>
              <w:spacing w:after="0"/>
              <w:rPr>
                <w:sz w:val="17"/>
                <w:szCs w:val="17"/>
                <w:color w:val="auto"/>
              </w:rPr>
            </w:pPr>
          </w:p>
        </w:tc>
        <w:tc>
          <w:tcPr>
            <w:tcW w:w="7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400" w:type="dxa"/>
            <w:vAlign w:val="bottom"/>
            <w:vMerge w:val="restart"/>
          </w:tcPr>
          <w:p>
            <w:pPr>
              <w:ind w:left="180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 by a member</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7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Association, Inc.</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740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Legends</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Mereo BioPharma Group plc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 FEES AND RELATED CHARGES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72"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ADS fees are payable under the terms of the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8"/>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ADSs are issued.</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deposit of Shares, upon a change in the ADS(s)-to-</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 ratio, or for any other reason), excluding</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issuances as a result of distributions described in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8"/>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 Cancellation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ADSs are being cancelled.</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ADSs for Delivery of deposited Shares, upon a</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change in the ADS(s)-to-Share(s) ratio, or for any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 Distribution of cash dividends or other cash</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8"/>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 Distribution of ADSs pursuant to (i) stock</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dividends or other free stock distributions, or (ii) an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exercise of rights to 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 Distribution of securities other than ADSs or</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238"/>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35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ADS Services.</w:t>
            </w:r>
          </w:p>
        </w:tc>
        <w:tc>
          <w:tcPr>
            <w:tcW w:w="3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holding ADSs on the applicable record</w:t>
            </w:r>
          </w:p>
        </w:tc>
      </w:tr>
      <w:tr>
        <w:trPr>
          <w:trHeight w:val="216"/>
        </w:trPr>
        <w:tc>
          <w:tcPr>
            <w:tcW w:w="280" w:type="dxa"/>
            <w:vAlign w:val="bottom"/>
            <w:tcBorders>
              <w:lef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28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3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or to whom ADSs are</w:t>
            </w:r>
          </w:p>
        </w:tc>
      </w:tr>
      <w:tr>
        <w:trPr>
          <w:trHeight w:val="21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registration of the transfer of registered ownership</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transferred.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transferred.</w:t>
            </w:r>
          </w:p>
        </w:tc>
      </w:tr>
      <w:tr>
        <w:trPr>
          <w:trHeight w:val="214"/>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6"/>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3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Conversion of ADSs of one series for ADSs of</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ADSs are converted or to whom</w:t>
            </w:r>
          </w:p>
        </w:tc>
      </w:tr>
      <w:tr>
        <w:trPr>
          <w:trHeight w:val="218"/>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converted.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converted ADSs are delivered.</w:t>
            </w:r>
          </w:p>
        </w:tc>
      </w:tr>
      <w:tr>
        <w:trPr>
          <w:trHeight w:val="21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4"/>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21"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in the conversion of foreign currency;</w:t>
      </w:r>
    </w:p>
    <w:p>
      <w:pPr>
        <w:spacing w:after="0" w:line="225"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fees and expenses as are incurred by the Depositary in connection with compliance with exchange control regulations and other regulatory requirements applicable to Deposited Property, ADSs and ADRs;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154305</wp:posOffset>
            </wp:positionV>
            <wp:extent cx="5040630" cy="677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406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6,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We refer to the Registration Statement on Form F-6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the legal entity created by the Deposit Agreement, dated as of April 23, 2019 (as hereinafter defined) for the purpose of registering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100,000,000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to be issued under the Deposit Agreement, by and among Citibank, N.A., as Depositary, Mereo BioPharma Group plc, a public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all Holders and Beneficial Owners (each as defined in the Deposit Agreement and hereinafter used as so defined) of ADSs issued thereunder, a copy of which is being filed as Exhibit (a) to the Registration Statement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Each ADS will represent, subject to the terms and conditions of the Deposit Agreement, the laws of England and Wales and, if applicable, the American Depositary Receipt (“</w:t>
      </w:r>
      <w:r>
        <w:rPr>
          <w:rFonts w:ascii="Times New Roman" w:cs="Times New Roman" w:eastAsia="Times New Roman" w:hAnsi="Times New Roman"/>
          <w:sz w:val="18"/>
          <w:szCs w:val="18"/>
          <w:u w:val="single" w:color="auto"/>
          <w:color w:val="auto"/>
        </w:rPr>
        <w:t>ADR</w:t>
      </w:r>
      <w:r>
        <w:rPr>
          <w:rFonts w:ascii="Times New Roman" w:cs="Times New Roman" w:eastAsia="Times New Roman" w:hAnsi="Times New Roman"/>
          <w:sz w:val="18"/>
          <w:szCs w:val="18"/>
          <w:color w:val="auto"/>
        </w:rPr>
        <w:t>”) evidencing such ADS, the right to receive five (5) ordinary shares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62" w:lineRule="exact"/>
        <w:rPr>
          <w:sz w:val="20"/>
          <w:szCs w:val="20"/>
          <w:color w:val="auto"/>
        </w:rPr>
      </w:pPr>
    </w:p>
    <w:p>
      <w:pPr>
        <w:ind w:right="180" w:firstLine="1296"/>
        <w:spacing w:after="0" w:line="261" w:lineRule="auto"/>
        <w:rPr>
          <w:sz w:val="20"/>
          <w:szCs w:val="20"/>
          <w:color w:val="auto"/>
        </w:rPr>
      </w:pPr>
      <w:r>
        <w:rPr>
          <w:rFonts w:ascii="Times New Roman" w:cs="Times New Roman" w:eastAsia="Times New Roman" w:hAnsi="Times New Roman"/>
          <w:sz w:val="18"/>
          <w:szCs w:val="18"/>
          <w:color w:val="auto"/>
        </w:rPr>
        <w:t>Assuming that, at the time of their issuance, the Registration Statement will have been declared effective by the SEC,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180"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7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PATTERSON BELKNAP WEBB &amp; TYLER LLP</w:t>
      </w:r>
    </w:p>
    <w:p>
      <w:pPr>
        <w:spacing w:after="0" w:line="229" w:lineRule="exact"/>
        <w:rPr>
          <w:sz w:val="20"/>
          <w:szCs w:val="20"/>
          <w:color w:val="auto"/>
        </w:rPr>
      </w:pPr>
    </w:p>
    <w:p>
      <w:pPr>
        <w:jc w:val="both"/>
        <w:ind w:left="6320"/>
        <w:spacing w:after="0"/>
        <w:tabs>
          <w:tab w:leader="none" w:pos="6800" w:val="left"/>
        </w:tabs>
        <w:rPr>
          <w:sz w:val="20"/>
          <w:szCs w:val="20"/>
          <w:color w:val="auto"/>
        </w:rPr>
      </w:pPr>
      <w:r>
        <w:rPr>
          <w:rFonts w:ascii="Times New Roman" w:cs="Times New Roman" w:eastAsia="Times New Roman" w:hAnsi="Times New Roman"/>
          <w:sz w:val="18"/>
          <w:szCs w:val="18"/>
          <w:color w:val="auto"/>
        </w:rPr>
        <w:t>By:</w:t>
        <w:tab/>
        <w:t>/s/ Jean-Claude Lanza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jc w:val="right"/>
        <w:ind w:right="2780"/>
        <w:spacing w:after="0"/>
        <w:rPr>
          <w:sz w:val="20"/>
          <w:szCs w:val="20"/>
          <w:color w:val="auto"/>
        </w:rPr>
      </w:pPr>
      <w:r>
        <w:rPr>
          <w:rFonts w:ascii="Times New Roman" w:cs="Times New Roman" w:eastAsia="Times New Roman" w:hAnsi="Times New Roman"/>
          <w:sz w:val="18"/>
          <w:szCs w:val="18"/>
          <w:color w:val="auto"/>
        </w:rPr>
        <w:t>A Member of the Firm</w:t>
      </w:r>
    </w:p>
    <w:p>
      <w:pPr>
        <w:sectPr>
          <w:pgSz w:w="11900" w:h="16838" w:orient="portrait"/>
          <w:cols w:equalWidth="0" w:num="1">
            <w:col w:w="11240"/>
          </w:cols>
          <w:pgMar w:left="320" w:top="364" w:right="339" w:bottom="1440" w:gutter="0" w:footer="0" w:header="0"/>
        </w:sectPr>
      </w:pPr>
    </w:p>
    <w:bookmarkStart w:id="95" w:name="page96"/>
    <w:bookmarkEnd w:id="95"/>
    <w:p>
      <w:pPr>
        <w:jc w:val="center"/>
        <w:ind w:right="-59"/>
        <w:spacing w:after="0"/>
        <w:rPr>
          <w:sz w:val="20"/>
          <w:szCs w:val="20"/>
          <w:color w:val="auto"/>
        </w:rPr>
      </w:pPr>
      <w:r>
        <w:rPr>
          <w:rFonts w:ascii="Times New Roman" w:cs="Times New Roman" w:eastAsia="Times New Roman" w:hAnsi="Times New Roman"/>
          <w:sz w:val="18"/>
          <w:szCs w:val="18"/>
          <w:color w:val="auto"/>
        </w:rPr>
        <w:t>Exhibit (e)</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Rule 466 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Citibank, N.A., represents and certifies the following:</w:t>
      </w:r>
    </w:p>
    <w:p>
      <w:pPr>
        <w:spacing w:after="0" w:line="225" w:lineRule="exact"/>
        <w:rPr>
          <w:sz w:val="20"/>
          <w:szCs w:val="20"/>
          <w:color w:val="auto"/>
        </w:rPr>
      </w:pPr>
    </w:p>
    <w:p>
      <w:pPr>
        <w:ind w:left="1300" w:hanging="320"/>
        <w:spacing w:after="0" w:line="312" w:lineRule="auto"/>
        <w:tabs>
          <w:tab w:leader="none" w:pos="13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previously had filed a registration statement on Form F-6 (Registration No. 333-223890), which the U.S. Securities and Exchange Commission declared effective, with terms of deposit identical to the terms of deposit of this Form F-6 Registration Statement; and</w:t>
      </w:r>
    </w:p>
    <w:p>
      <w:pPr>
        <w:spacing w:after="0" w:line="139"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ability to designate the date and time of effectiveness under Rule 466 has not been suspended.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CITIBANK, N.A., as Depositary</w:t>
      </w:r>
    </w:p>
    <w:p>
      <w:pPr>
        <w:spacing w:after="0" w:line="225" w:lineRule="exact"/>
        <w:rPr>
          <w:sz w:val="20"/>
          <w:szCs w:val="20"/>
          <w:color w:val="auto"/>
        </w:rPr>
      </w:pPr>
    </w:p>
    <w:p>
      <w:pPr>
        <w:ind w:left="558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/s/ Leslie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 Leslie DeLuca</w:t>
      </w:r>
    </w:p>
    <w:p>
      <w:pPr>
        <w:spacing w:after="0" w:line="23" w:lineRule="exact"/>
        <w:rPr>
          <w:sz w:val="20"/>
          <w:szCs w:val="20"/>
          <w:color w:val="auto"/>
        </w:rPr>
      </w:pPr>
    </w:p>
    <w:p>
      <w:pPr>
        <w:ind w:left="602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sectPr>
      <w:pgSz w:w="11900" w:h="16838" w:orient="portrait"/>
      <w:cols w:equalWidth="0" w:num="1">
        <w:col w:w="11180"/>
      </w:cols>
      <w:pgMar w:left="320" w:top="36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lowerLetter"/>
      <w:start w:val="1"/>
    </w:lvl>
  </w:abstractNum>
  <w:abstractNum w:abstractNumId="3">
    <w:nsid w:val="5E884ADC"/>
    <w:multiLevelType w:val="hybridMultilevel"/>
    <w:lvl w:ilvl="0">
      <w:lvlJc w:val="left"/>
      <w:lvlText w:val="(%1)"/>
      <w:numFmt w:val="lowerLetter"/>
      <w:start w:val="1"/>
    </w:lvl>
  </w:abstractNum>
  <w:abstractNum w:abstractNumId="4">
    <w:nsid w:val="51EAD36B"/>
    <w:multiLevelType w:val="hybridMultilevel"/>
    <w:lvl w:ilvl="0">
      <w:lvlJc w:val="left"/>
      <w:lvlText w:val="(%1)"/>
      <w:numFmt w:val="lowerLetter"/>
      <w:start w:val="1"/>
    </w:lvl>
  </w:abstractNum>
  <w:abstractNum w:abstractNumId="5">
    <w:nsid w:val="2D517796"/>
    <w:multiLevelType w:val="hybridMultilevel"/>
    <w:lvl w:ilvl="0">
      <w:lvlJc w:val="left"/>
      <w:lvlText w:val="(%1)"/>
      <w:numFmt w:val="lowerLetter"/>
      <w:start w:val="1"/>
    </w:lvl>
  </w:abstractNum>
  <w:abstractNum w:abstractNumId="6">
    <w:nsid w:val="580BD78F"/>
    <w:multiLevelType w:val="hybridMultilevel"/>
    <w:lvl w:ilvl="0">
      <w:lvlJc w:val="left"/>
      <w:lvlText w:val="%1"/>
      <w:numFmt w:val="lowerLetter"/>
      <w:start w:val="1"/>
    </w:lvl>
    <w:lvl w:ilvl="1">
      <w:lvlJc w:val="left"/>
      <w:lvlText w:val="(%2)"/>
      <w:numFmt w:val="lowerLetter"/>
      <w:start w:val="2"/>
    </w:lvl>
  </w:abstractNum>
  <w:abstractNum w:abstractNumId="7">
    <w:nsid w:val="153EA438"/>
    <w:multiLevelType w:val="hybridMultilevel"/>
    <w:lvl w:ilvl="0">
      <w:lvlJc w:val="left"/>
      <w:lvlText w:val="(%1)"/>
      <w:numFmt w:val="lowerLetter"/>
      <w:start w:val="35"/>
    </w:lvl>
    <w:lvl w:ilvl="1">
      <w:lvlJc w:val="left"/>
      <w:lvlText w:val="(%2)"/>
      <w:numFmt w:val="lowerLetter"/>
      <w:start w:val="3"/>
    </w:lvl>
  </w:abstractNum>
  <w:abstractNum w:abstractNumId="8">
    <w:nsid w:val="3855585C"/>
    <w:multiLevelType w:val="hybridMultilevel"/>
    <w:lvl w:ilvl="0">
      <w:lvlJc w:val="left"/>
      <w:lvlText w:val="(%1)"/>
      <w:numFmt w:val="lowerLetter"/>
      <w:start w:val="4"/>
    </w:lvl>
  </w:abstractNum>
  <w:abstractNum w:abstractNumId="9">
    <w:nsid w:val="70A64E2A"/>
    <w:multiLevelType w:val="hybridMultilevel"/>
    <w:lvl w:ilvl="0">
      <w:lvlJc w:val="left"/>
      <w:lvlText w:val="%1"/>
      <w:numFmt w:val="lowerLetter"/>
      <w:start w:val="1"/>
    </w:lvl>
    <w:lvl w:ilvl="1">
      <w:lvlJc w:val="left"/>
      <w:lvlText w:val="(%2)"/>
      <w:numFmt w:val="lowerLetter"/>
      <w:start w:val="1"/>
    </w:lvl>
  </w:abstractNum>
  <w:abstractNum w:abstractNumId="10">
    <w:nsid w:val="6A2342EC"/>
    <w:multiLevelType w:val="hybridMultilevel"/>
    <w:lvl w:ilvl="0">
      <w:lvlJc w:val="left"/>
      <w:lvlText w:val="(%1)"/>
      <w:numFmt w:val="lowerLetter"/>
      <w:start w:val="61"/>
    </w:lvl>
    <w:lvl w:ilvl="1">
      <w:lvlJc w:val="left"/>
      <w:lvlText w:val="%2"/>
      <w:numFmt w:val="lowerLetter"/>
      <w:start w:val="1"/>
    </w:lvl>
  </w:abstractNum>
  <w:abstractNum w:abstractNumId="11">
    <w:nsid w:val="2A487CB0"/>
    <w:multiLevelType w:val="hybridMultilevel"/>
    <w:lvl w:ilvl="0">
      <w:lvlJc w:val="left"/>
      <w:lvlText w:val="(%1)"/>
      <w:numFmt w:val="lowerLetter"/>
      <w:start w:val="2"/>
    </w:lvl>
  </w:abstractNum>
  <w:abstractNum w:abstractNumId="12">
    <w:nsid w:val="1D4ED43B"/>
    <w:multiLevelType w:val="hybridMultilevel"/>
    <w:lvl w:ilvl="0">
      <w:lvlJc w:val="left"/>
      <w:lvlText w:val="(%1)"/>
      <w:numFmt w:val="lowerRoman"/>
      <w:start w:val="4"/>
    </w:lvl>
  </w:abstractNum>
  <w:abstractNum w:abstractNumId="13">
    <w:nsid w:val="725A06FB"/>
    <w:multiLevelType w:val="hybridMultilevel"/>
    <w:lvl w:ilvl="0">
      <w:lvlJc w:val="left"/>
      <w:lvlText w:val="(%1)"/>
      <w:numFmt w:val="lowerRoman"/>
      <w:start w:val="1"/>
    </w:lvl>
  </w:abstractNum>
  <w:abstractNum w:abstractNumId="14">
    <w:nsid w:val="2CD89A32"/>
    <w:multiLevelType w:val="hybridMultilevel"/>
    <w:lvl w:ilvl="0">
      <w:lvlJc w:val="left"/>
      <w:lvlText w:val="%1"/>
      <w:numFmt w:val="upperLetter"/>
      <w:start w:val="1"/>
    </w:lvl>
    <w:lvl w:ilvl="1">
      <w:lvlJc w:val="left"/>
      <w:lvlText w:val="(%2)"/>
      <w:numFmt w:val="lowerLetter"/>
      <w:start w:val="1"/>
    </w:lvl>
  </w:abstractNum>
  <w:abstractNum w:abstractNumId="15">
    <w:nsid w:val="57E4CCAF"/>
    <w:multiLevelType w:val="hybridMultilevel"/>
    <w:lvl w:ilvl="0">
      <w:lvlJc w:val="left"/>
      <w:lvlText w:val="(%1)"/>
      <w:numFmt w:val="upperLetter"/>
      <w:start w:val="1"/>
    </w:lvl>
    <w:lvl w:ilvl="1">
      <w:lvlJc w:val="left"/>
      <w:lvlText w:val="%2"/>
      <w:numFmt w:val="lowerLetter"/>
      <w:start w:val="1"/>
    </w:lvl>
  </w:abstractNum>
  <w:abstractNum w:abstractNumId="16">
    <w:nsid w:val="7A6D8D3C"/>
    <w:multiLevelType w:val="hybridMultilevel"/>
    <w:lvl w:ilvl="0">
      <w:lvlJc w:val="left"/>
      <w:lvlText w:val="(%1)"/>
      <w:numFmt w:val="lowerLetter"/>
      <w:start w:val="2"/>
    </w:lvl>
  </w:abstractNum>
  <w:abstractNum w:abstractNumId="17">
    <w:nsid w:val="4B588F54"/>
    <w:multiLevelType w:val="hybridMultilevel"/>
    <w:lvl w:ilvl="0">
      <w:lvlJc w:val="left"/>
      <w:lvlText w:val="(%1)"/>
      <w:numFmt w:val="lowerLetter"/>
      <w:start w:val="2"/>
    </w:lvl>
  </w:abstractNum>
  <w:abstractNum w:abstractNumId="18">
    <w:nsid w:val="542289EC"/>
    <w:multiLevelType w:val="hybridMultilevel"/>
    <w:lvl w:ilvl="0">
      <w:lvlJc w:val="left"/>
      <w:lvlText w:val="(%1)"/>
      <w:numFmt w:val="lowerLetter"/>
      <w:start w:val="3"/>
    </w:lvl>
  </w:abstractNum>
  <w:abstractNum w:abstractNumId="19">
    <w:nsid w:val="6DE91B18"/>
    <w:multiLevelType w:val="hybridMultilevel"/>
    <w:lvl w:ilvl="0">
      <w:lvlJc w:val="left"/>
      <w:lvlText w:val="(%1)"/>
      <w:numFmt w:val="lowerRoman"/>
      <w:start w:val="2"/>
    </w:lvl>
  </w:abstractNum>
  <w:abstractNum w:abstractNumId="20">
    <w:nsid w:val="38437FDB"/>
    <w:multiLevelType w:val="hybridMultilevel"/>
    <w:lvl w:ilvl="0">
      <w:lvlJc w:val="left"/>
      <w:lvlText w:val="(%1)"/>
      <w:numFmt w:val="lowerLetter"/>
      <w:start w:val="2"/>
    </w:lvl>
  </w:abstractNum>
  <w:abstractNum w:abstractNumId="21">
    <w:nsid w:val="7644A45C"/>
    <w:multiLevelType w:val="hybridMultilevel"/>
    <w:lvl w:ilvl="0">
      <w:lvlJc w:val="left"/>
      <w:lvlText w:val="%1"/>
      <w:numFmt w:val="lowerLetter"/>
      <w:start w:val="1"/>
    </w:lvl>
    <w:lvl w:ilvl="1">
      <w:lvlJc w:val="left"/>
      <w:lvlText w:val="(%2)"/>
      <w:numFmt w:val="lowerLetter"/>
      <w:start w:val="1"/>
    </w:lvl>
  </w:abstractNum>
  <w:abstractNum w:abstractNumId="22">
    <w:nsid w:val="32FFF902"/>
    <w:multiLevelType w:val="hybridMultilevel"/>
    <w:lvl w:ilvl="0">
      <w:lvlJc w:val="left"/>
      <w:lvlText w:val="(%1)"/>
      <w:numFmt w:val="lowerLetter"/>
      <w:start w:val="25"/>
    </w:lvl>
    <w:lvl w:ilvl="1">
      <w:lvlJc w:val="left"/>
      <w:lvlText w:val="%2"/>
      <w:numFmt w:val="lowerLetter"/>
      <w:start w:val="1"/>
    </w:lvl>
  </w:abstractNum>
  <w:abstractNum w:abstractNumId="23">
    <w:nsid w:val="684A481A"/>
    <w:multiLevelType w:val="hybridMultilevel"/>
    <w:lvl w:ilvl="0">
      <w:lvlJc w:val="left"/>
      <w:lvlText w:val="(%1)"/>
      <w:numFmt w:val="lowerLetter"/>
      <w:start w:val="2"/>
    </w:lvl>
  </w:abstractNum>
  <w:abstractNum w:abstractNumId="24">
    <w:nsid w:val="579478FE"/>
    <w:multiLevelType w:val="hybridMultilevel"/>
    <w:lvl w:ilvl="0">
      <w:lvlJc w:val="left"/>
      <w:lvlText w:val="(%1)"/>
      <w:numFmt w:val="lowerLetter"/>
      <w:start w:val="1"/>
    </w:lvl>
  </w:abstractNum>
  <w:abstractNum w:abstractNumId="25">
    <w:nsid w:val="749ABB43"/>
    <w:multiLevelType w:val="hybridMultilevel"/>
    <w:lvl w:ilvl="0">
      <w:lvlJc w:val="left"/>
      <w:lvlText w:val="%1"/>
      <w:numFmt w:val="lowerLetter"/>
      <w:start w:val="1"/>
    </w:lvl>
    <w:lvl w:ilvl="1">
      <w:lvlJc w:val="left"/>
      <w:lvlText w:val="(%2)"/>
      <w:numFmt w:val="lowerLetter"/>
      <w:start w:val="3"/>
    </w:lvl>
  </w:abstractNum>
  <w:abstractNum w:abstractNumId="26">
    <w:nsid w:val="3DC240FB"/>
    <w:multiLevelType w:val="hybridMultilevel"/>
    <w:lvl w:ilvl="0">
      <w:lvlJc w:val="left"/>
      <w:lvlText w:val="(%1)"/>
      <w:numFmt w:val="lowerLetter"/>
      <w:start w:val="35"/>
    </w:lvl>
    <w:lvl w:ilvl="1">
      <w:lvlJc w:val="left"/>
      <w:lvlText w:val="(%2)"/>
      <w:numFmt w:val="lowerLetter"/>
      <w:start w:val="4"/>
    </w:lvl>
  </w:abstractNum>
  <w:abstractNum w:abstractNumId="27">
    <w:nsid w:val="1BA026FA"/>
    <w:multiLevelType w:val="hybridMultilevel"/>
    <w:lvl w:ilvl="0">
      <w:lvlJc w:val="left"/>
      <w:lvlText w:val="(%1)"/>
      <w:numFmt w:val="lowerRoman"/>
      <w:start w:val="2"/>
    </w:lvl>
  </w:abstractNum>
  <w:abstractNum w:abstractNumId="28">
    <w:nsid w:val="79A1DEAA"/>
    <w:multiLevelType w:val="hybridMultilevel"/>
    <w:lvl w:ilvl="0">
      <w:lvlJc w:val="left"/>
      <w:lvlText w:val="(%1)"/>
      <w:numFmt w:val="lowerRoman"/>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lowerRoman"/>
      <w:start w:val="2"/>
    </w:lvl>
  </w:abstractNum>
  <w:abstractNum w:abstractNumId="31">
    <w:nsid w:val="70C6A529"/>
    <w:multiLevelType w:val="hybridMultilevel"/>
    <w:lvl w:ilvl="0">
      <w:lvlJc w:val="left"/>
      <w:lvlText w:val="(%1)"/>
      <w:numFmt w:val="lowerRoman"/>
      <w:start w:val="4"/>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1)"/>
      <w:numFmt w:val="lowerLetter"/>
      <w:start w:val="2"/>
    </w:lvl>
  </w:abstractNum>
  <w:abstractNum w:abstractNumId="34">
    <w:nsid w:val="4F4EF005"/>
    <w:multiLevelType w:val="hybridMultilevel"/>
    <w:lvl w:ilvl="0">
      <w:lvlJc w:val="left"/>
      <w:lvlText w:val="(%1)"/>
      <w:numFmt w:val="lowerLetter"/>
      <w:start w:val="1"/>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decimal"/>
      <w:start w:val="2"/>
    </w:lvl>
  </w:abstractNum>
  <w:abstractNum w:abstractNumId="37">
    <w:nsid w:val="275AC794"/>
    <w:multiLevelType w:val="hybridMultilevel"/>
    <w:lvl w:ilvl="0">
      <w:lvlJc w:val="left"/>
      <w:lvlText w:val="(%1)"/>
      <w:numFmt w:val="decimal"/>
      <w:start w:val="3"/>
    </w:lvl>
  </w:abstractNum>
  <w:abstractNum w:abstractNumId="38">
    <w:nsid w:val="39386575"/>
    <w:multiLevelType w:val="hybridMultilevel"/>
    <w:lvl w:ilvl="0">
      <w:lvlJc w:val="left"/>
      <w:lvlText w:val="(%1)"/>
      <w:numFmt w:val="lowerRoman"/>
      <w:start w:val="2"/>
    </w:lvl>
    <w:lvl w:ilvl="1">
      <w:lvlJc w:val="left"/>
      <w:lvlText w:val="(%2)"/>
      <w:numFmt w:val="decimal"/>
      <w:start w:val="4"/>
    </w:lvl>
  </w:abstractNum>
  <w:abstractNum w:abstractNumId="39">
    <w:nsid w:val="1CF10FD8"/>
    <w:multiLevelType w:val="hybridMultilevel"/>
    <w:lvl w:ilvl="0">
      <w:lvlJc w:val="left"/>
      <w:lvlText w:val="(%1)"/>
      <w:numFmt w:val="decimal"/>
      <w:start w:val="5"/>
    </w:lvl>
  </w:abstractNum>
  <w:abstractNum w:abstractNumId="40">
    <w:nsid w:val="180115BE"/>
    <w:multiLevelType w:val="hybridMultilevel"/>
    <w:lvl w:ilvl="0">
      <w:lvlJc w:val="left"/>
      <w:lvlText w:val="(%1)"/>
      <w:numFmt w:val="decimal"/>
      <w:start w:val="7"/>
    </w:lvl>
  </w:abstractNum>
  <w:abstractNum w:abstractNumId="41">
    <w:nsid w:val="235BA861"/>
    <w:multiLevelType w:val="hybridMultilevel"/>
    <w:lvl w:ilvl="0">
      <w:lvlJc w:val="left"/>
      <w:lvlText w:val="(%1)"/>
      <w:numFmt w:val="decimal"/>
      <w:start w:val="10"/>
    </w:lvl>
    <w:lvl w:ilvl="1">
      <w:lvlJc w:val="left"/>
      <w:lvlText w:val="(%2)"/>
      <w:numFmt w:val="lowerRoman"/>
      <w:start w:val="1"/>
    </w:lvl>
  </w:abstractNum>
  <w:abstractNum w:abstractNumId="42">
    <w:nsid w:val="47398C89"/>
    <w:multiLevelType w:val="hybridMultilevel"/>
    <w:lvl w:ilvl="0">
      <w:lvlJc w:val="left"/>
      <w:lvlText w:val="(%1)"/>
      <w:numFmt w:val="lowerRoman"/>
      <w:start w:val="2"/>
    </w:lvl>
  </w:abstractNum>
  <w:abstractNum w:abstractNumId="43">
    <w:nsid w:val="354FE9F9"/>
    <w:multiLevelType w:val="hybridMultilevel"/>
    <w:lvl w:ilvl="0">
      <w:lvlJc w:val="left"/>
      <w:lvlText w:val="(%1)"/>
      <w:numFmt w:val="lowerLetter"/>
      <w:start w:val="1"/>
    </w:lvl>
  </w:abstractNum>
  <w:abstractNum w:abstractNumId="44">
    <w:nsid w:val="15B5AF5C"/>
    <w:multiLevelType w:val="hybridMultilevel"/>
    <w:lvl w:ilvl="0">
      <w:lvlJc w:val="left"/>
      <w:lvlText w:val="(%1)"/>
      <w:numFmt w:val="decimal"/>
      <w:start w:val="12"/>
    </w:lvl>
  </w:abstractNum>
  <w:abstractNum w:abstractNumId="45">
    <w:nsid w:val="741226BB"/>
    <w:multiLevelType w:val="hybridMultilevel"/>
    <w:lvl w:ilvl="0">
      <w:lvlJc w:val="left"/>
      <w:lvlText w:val="(%1)"/>
      <w:numFmt w:val="decimal"/>
      <w:start w:val="13"/>
    </w:lvl>
  </w:abstractNum>
  <w:abstractNum w:abstractNumId="46">
    <w:nsid w:val="D34B6A8"/>
    <w:multiLevelType w:val="hybridMultilevel"/>
    <w:lvl w:ilvl="0">
      <w:lvlJc w:val="left"/>
      <w:lvlText w:val="%1"/>
      <w:numFmt w:val="decimal"/>
      <w:start w:val="1"/>
    </w:lvl>
    <w:lvl w:ilvl="1">
      <w:lvlJc w:val="left"/>
      <w:lvlText w:val="(%2)"/>
      <w:numFmt w:val="decimal"/>
      <w:start w:val="15"/>
    </w:lvl>
  </w:abstractNum>
  <w:abstractNum w:abstractNumId="47">
    <w:nsid w:val="10233C99"/>
    <w:multiLevelType w:val="hybridMultilevel"/>
    <w:lvl w:ilvl="0">
      <w:lvlJc w:val="left"/>
      <w:lvlText w:val="(%1)"/>
      <w:numFmt w:val="decimal"/>
      <w:start w:val="20"/>
    </w:lvl>
    <w:lvl w:ilvl="1">
      <w:lvlJc w:val="left"/>
      <w:lvlText w:val="%2"/>
      <w:numFmt w:val="decimal"/>
      <w:start w:val="1"/>
    </w:lvl>
  </w:abstractNum>
  <w:abstractNum w:abstractNumId="48">
    <w:nsid w:val="3F6AB60F"/>
    <w:multiLevelType w:val="hybridMultilevel"/>
    <w:lvl w:ilvl="0">
      <w:lvlJc w:val="left"/>
      <w:lvlText w:val="(%1)"/>
      <w:numFmt w:val="lowerLetter"/>
      <w:start w:val="2"/>
    </w:lvl>
  </w:abstractNum>
  <w:abstractNum w:abstractNumId="49">
    <w:nsid w:val="61574095"/>
    <w:multiLevelType w:val="hybridMultilevel"/>
    <w:lvl w:ilvl="0">
      <w:lvlJc w:val="left"/>
      <w:lvlText w:val="(%1)"/>
      <w:numFmt w:val="lowerLetter"/>
      <w:start w:val="3"/>
    </w:lvl>
  </w:abstractNum>
  <w:abstractNum w:abstractNumId="50">
    <w:nsid w:val="7E0C57B1"/>
    <w:multiLevelType w:val="hybridMultilevel"/>
    <w:lvl w:ilvl="0">
      <w:lvlJc w:val="left"/>
      <w:lvlText w:val="%1"/>
      <w:numFmt w:val="lowerLetter"/>
      <w:start w:val="1"/>
    </w:lvl>
    <w:lvl w:ilvl="1">
      <w:lvlJc w:val="left"/>
      <w:lvlText w:val="(%2)"/>
      <w:numFmt w:val="lowerLetter"/>
      <w:start w:val="4"/>
    </w:lvl>
  </w:abstractNum>
  <w:abstractNum w:abstractNumId="51">
    <w:nsid w:val="77AE35EB"/>
    <w:multiLevelType w:val="hybridMultilevel"/>
    <w:lvl w:ilvl="0">
      <w:lvlJc w:val="left"/>
      <w:lvlText w:val="(%1)"/>
      <w:numFmt w:val="lowerLetter"/>
      <w:start w:val="24"/>
    </w:lvl>
    <w:lvl w:ilvl="1">
      <w:lvlJc w:val="left"/>
      <w:lvlText w:val="%2"/>
      <w:numFmt w:val="lowerLetter"/>
      <w:start w:val="1"/>
    </w:lvl>
  </w:abstractNum>
  <w:abstractNum w:abstractNumId="52">
    <w:nsid w:val="579BE4F1"/>
    <w:multiLevelType w:val="hybridMultilevel"/>
    <w:lvl w:ilvl="0">
      <w:lvlJc w:val="left"/>
      <w:lvlText w:val="%1"/>
      <w:numFmt w:val="lowerLetter"/>
      <w:start w:val="1"/>
    </w:lvl>
    <w:lvl w:ilvl="1">
      <w:lvlJc w:val="left"/>
      <w:lvlText w:val="(%2)"/>
      <w:numFmt w:val="lowerLetter"/>
      <w:start w:val="5"/>
    </w:lvl>
  </w:abstractNum>
  <w:abstractNum w:abstractNumId="53">
    <w:nsid w:val="310C50B3"/>
    <w:multiLevelType w:val="hybridMultilevel"/>
    <w:lvl w:ilvl="0">
      <w:lvlJc w:val="left"/>
      <w:lvlText w:val="(%1)"/>
      <w:numFmt w:val="lowerLetter"/>
      <w:start w:val="9"/>
    </w:lvl>
    <w:lvl w:ilvl="1">
      <w:lvlJc w:val="left"/>
      <w:lvlText w:val="%2"/>
      <w:numFmt w:val="lowerLetter"/>
      <w:start w:val="1"/>
    </w:lvl>
  </w:abstractNum>
  <w:abstractNum w:abstractNumId="54">
    <w:nsid w:val="5FF87E05"/>
    <w:multiLevelType w:val="hybridMultilevel"/>
    <w:lvl w:ilvl="0">
      <w:lvlJc w:val="left"/>
      <w:lvlText w:val="(%1)"/>
      <w:numFmt w:val="decimal"/>
      <w:start w:val="16"/>
    </w:lvl>
  </w:abstractNum>
  <w:abstractNum w:abstractNumId="55">
    <w:nsid w:val="2F305DEF"/>
    <w:multiLevelType w:val="hybridMultilevel"/>
    <w:lvl w:ilvl="0">
      <w:lvlJc w:val="left"/>
      <w:lvlText w:val="(%1)"/>
      <w:numFmt w:val="decimal"/>
      <w:start w:val="17"/>
    </w:lvl>
  </w:abstractNum>
  <w:abstractNum w:abstractNumId="56">
    <w:nsid w:val="25A70BF7"/>
    <w:multiLevelType w:val="hybridMultilevel"/>
    <w:lvl w:ilvl="0">
      <w:lvlJc w:val="left"/>
      <w:lvlText w:val="%1"/>
      <w:numFmt w:val="lowerRoman"/>
      <w:start w:val="1"/>
    </w:lvl>
    <w:lvl w:ilvl="1">
      <w:lvlJc w:val="left"/>
      <w:lvlText w:val="(%2)"/>
      <w:numFmt w:val="decimal"/>
      <w:start w:val="19"/>
    </w:lvl>
  </w:abstractNum>
  <w:abstractNum w:abstractNumId="57">
    <w:nsid w:val="1DBABF00"/>
    <w:multiLevelType w:val="hybridMultilevel"/>
    <w:lvl w:ilvl="0">
      <w:lvlJc w:val="left"/>
      <w:lvlText w:val="(%1)"/>
      <w:numFmt w:val="lowerRoman"/>
      <w:start w:val="2"/>
    </w:lvl>
    <w:lvl w:ilvl="1">
      <w:lvlJc w:val="left"/>
      <w:lvlText w:val="%2"/>
      <w:numFmt w:val="decimal"/>
      <w:start w:val="1"/>
    </w:lvl>
  </w:abstractNum>
  <w:abstractNum w:abstractNumId="58">
    <w:nsid w:val="4AD084E9"/>
    <w:multiLevelType w:val="hybridMultilevel"/>
    <w:lvl w:ilvl="0">
      <w:lvlJc w:val="left"/>
      <w:lvlText w:val="(%1)"/>
      <w:numFmt w:val="decimal"/>
      <w:start w:val="20"/>
    </w:lvl>
  </w:abstractNum>
  <w:abstractNum w:abstractNumId="59">
    <w:nsid w:val="1F48EAA1"/>
    <w:multiLevelType w:val="hybridMultilevel"/>
    <w:lvl w:ilvl="0">
      <w:lvlJc w:val="left"/>
      <w:lvlText w:val="(%1)"/>
      <w:numFmt w:val="decimal"/>
      <w:start w:val="21"/>
    </w:lvl>
  </w:abstractNum>
  <w:abstractNum w:abstractNumId="60">
    <w:nsid w:val="1381823A"/>
    <w:multiLevelType w:val="hybridMultilevel"/>
    <w:lvl w:ilvl="0">
      <w:lvlJc w:val="left"/>
      <w:lvlText w:val="%1"/>
      <w:numFmt w:val="lowerRoman"/>
      <w:start w:val="1"/>
    </w:lvl>
    <w:lvl w:ilvl="1">
      <w:lvlJc w:val="left"/>
      <w:lvlText w:val="(%2)"/>
      <w:numFmt w:val="decimal"/>
      <w:start w:val="22"/>
    </w:lvl>
  </w:abstractNum>
  <w:abstractNum w:abstractNumId="61">
    <w:nsid w:val="5DB70AE5"/>
    <w:multiLevelType w:val="hybridMultilevel"/>
    <w:lvl w:ilvl="0">
      <w:lvlJc w:val="left"/>
      <w:lvlText w:val="(%1)"/>
      <w:numFmt w:val="lowerRoman"/>
      <w:start w:val="2"/>
    </w:lvl>
    <w:lvl w:ilvl="1">
      <w:lvlJc w:val="left"/>
      <w:lvlText w:val="%2"/>
      <w:numFmt w:val="decimal"/>
      <w:start w:val="1"/>
    </w:lvl>
  </w:abstractNum>
  <w:abstractNum w:abstractNumId="62">
    <w:nsid w:val="100F8FCA"/>
    <w:multiLevelType w:val="hybridMultilevel"/>
    <w:lvl w:ilvl="0">
      <w:lvlJc w:val="left"/>
      <w:lvlText w:val="(%1)"/>
      <w:numFmt w:val="lowerRoman"/>
      <w:start w:val="1"/>
    </w:lvl>
  </w:abstractNum>
  <w:abstractNum w:abstractNumId="63">
    <w:nsid w:val="6590700B"/>
    <w:multiLevelType w:val="hybridMultilevel"/>
    <w:lvl w:ilvl="0">
      <w:lvlJc w:val="left"/>
      <w:lvlText w:val="(%1)"/>
      <w:numFmt w:val="decimal"/>
      <w:start w:val="23"/>
    </w:lvl>
  </w:abstractNum>
  <w:abstractNum w:abstractNumId="64">
    <w:nsid w:val="15014ACB"/>
    <w:multiLevelType w:val="hybridMultilevel"/>
    <w:lvl w:ilvl="0">
      <w:lvlJc w:val="left"/>
      <w:lvlText w:val="%1"/>
      <w:numFmt w:val="lowerRoman"/>
      <w:start w:val="1"/>
    </w:lvl>
    <w:lvl w:ilvl="1">
      <w:lvlJc w:val="left"/>
      <w:lvlText w:val="(%2)"/>
      <w:numFmt w:val="decimal"/>
      <w:start w:val="24"/>
    </w:lvl>
  </w:abstractNum>
  <w:abstractNum w:abstractNumId="65">
    <w:nsid w:val="5F5E7FD0"/>
    <w:multiLevelType w:val="hybridMultilevel"/>
    <w:lvl w:ilvl="0">
      <w:lvlJc w:val="left"/>
      <w:lvlText w:val="(%1)"/>
      <w:numFmt w:val="lowerRoman"/>
      <w:start w:val="2"/>
    </w:lvl>
    <w:lvl w:ilvl="1">
      <w:lvlJc w:val="left"/>
      <w:lvlText w:val="%2"/>
      <w:numFmt w:val="decimal"/>
      <w:start w:val="1"/>
    </w:lvl>
  </w:abstractNum>
  <w:abstractNum w:abstractNumId="66">
    <w:nsid w:val="98A3148"/>
    <w:multiLevelType w:val="hybridMultilevel"/>
    <w:lvl w:ilvl="0">
      <w:lvlJc w:val="left"/>
      <w:lvlText w:val="(%1)"/>
      <w:numFmt w:val="decimal"/>
      <w:start w:val="25"/>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lowerRoman"/>
      <w:start w:val="1"/>
    </w:lvl>
    <w:lvl w:ilvl="1">
      <w:lvlJc w:val="left"/>
      <w:lvlText w:val="(%2)"/>
      <w:numFmt w:val="decimal"/>
      <w:start w:val="26"/>
    </w:lvl>
  </w:abstractNum>
  <w:abstractNum w:abstractNumId="69">
    <w:nsid w:val="42C296BD"/>
    <w:multiLevelType w:val="hybridMultilevel"/>
    <w:lvl w:ilvl="0">
      <w:lvlJc w:val="left"/>
      <w:lvlText w:val="(%1)"/>
      <w:numFmt w:val="lowerRoman"/>
      <w:start w:val="4"/>
    </w:lvl>
    <w:lvl w:ilvl="1">
      <w:lvlJc w:val="left"/>
      <w:lvlText w:val="(%2)"/>
      <w:numFmt w:val="decimal"/>
      <w:start w:val="27"/>
    </w:lvl>
  </w:abstractNum>
  <w:abstractNum w:abstractNumId="70">
    <w:nsid w:val="168E121F"/>
    <w:multiLevelType w:val="hybridMultilevel"/>
    <w:lvl w:ilvl="0">
      <w:lvlJc w:val="left"/>
      <w:lvlText w:val="%1."/>
      <w:numFmt w:val="upperLetter"/>
      <w:start w:val="9"/>
    </w:lvl>
  </w:abstractNum>
  <w:abstractNum w:abstractNumId="71">
    <w:nsid w:val="1EBA5D23"/>
    <w:multiLevelType w:val="hybridMultilevel"/>
    <w:lvl w:ilvl="0">
      <w:lvlJc w:val="left"/>
      <w:lvlText w:val="%1."/>
      <w:numFmt w:val="upperLetter"/>
      <w:start w:val="35"/>
    </w:lvl>
  </w:abstractNum>
  <w:abstractNum w:abstractNumId="72">
    <w:nsid w:val="661E3F1E"/>
    <w:multiLevelType w:val="hybridMultilevel"/>
    <w:lvl w:ilvl="0">
      <w:lvlJc w:val="left"/>
      <w:lvlText w:val="(%1)"/>
      <w:numFmt w:val="lowerRoman"/>
      <w:start w:val="1"/>
    </w:lvl>
  </w:abstractNum>
  <w:abstractNum w:abstractNumId="73">
    <w:nsid w:val="5DC79EA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2020-10-06T15:14:21Z</dcterms:created>
  <dcterms:modified xsi:type="dcterms:W3CDTF">2020-10-06T15:14:21Z</dcterms:modified>
</cp:coreProperties>
</file>