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12, 2020</w:t>
      </w:r>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14605</wp:posOffset>
            </wp:positionV>
            <wp:extent cx="2375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Sermon</w:t>
      </w:r>
    </w:p>
    <w:p>
      <w:pPr>
        <w:spacing w:after="0" w:line="23"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w:t>
      </w:r>
    </w:p>
    <w:p>
      <w:pPr>
        <w:sectPr>
          <w:pgSz w:w="11900" w:h="16838" w:orient="portrait"/>
          <w:cols w:equalWidth="0" w:num="1">
            <w:col w:w="10720"/>
          </w:cols>
          <w:pgMar w:left="440" w:top="270" w:right="739" w:bottom="1440" w:gutter="0" w:footer="0" w:header="0"/>
        </w:sectPr>
      </w:pPr>
    </w:p>
    <w:bookmarkStart w:id="3" w:name="page4"/>
    <w:bookmarkEnd w:id="3"/>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MEREO BIOPHARMA ANNOUNCES UPDATE ON DISTRIBUTION RELATED TO CONTINGENT VALUE RIGHTS FOLLOWING RECENT ONCOLOGIE LICENSING AGREEMENT FOR NAVICIXIZUMAB</w:t>
      </w:r>
    </w:p>
    <w:p>
      <w:pPr>
        <w:spacing w:after="0" w:line="1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London and Redwood City, Calif., February 12, 2020 </w:t>
      </w:r>
      <w:r>
        <w:rPr>
          <w:rFonts w:ascii="Arial" w:cs="Arial" w:eastAsia="Arial" w:hAnsi="Arial"/>
          <w:sz w:val="17"/>
          <w:szCs w:val="17"/>
          <w:color w:val="auto"/>
        </w:rPr>
        <w:t>- Mereo BioPharma Group plc (NASDAQ: MREO, AIM: MPH), “Mereo” 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today announced that it is distributing approximately 1.2 cents cash per Contingent Value Right (“CVR”), a total of approximately $463,748, related to the $4 million upfront milestone payment from the global license agreement with Oncologie, Inc. (after deduction of costs, charges and expenditures) for the development and commercialization of navicixizumab (the “License Agreement”), completed on January 13, 2020. The distribution will be made by Computershare Inc. to holders of the CVRs by March 17, 2020 in accordance with the terms and conditions of the Contingent Value Rights Agreement for former stockholders of OncoMed Pharmaceuticals, Inc. (“OncoMed”), dated April 23, 2019, by and among Mereo and Computershare Inc., as rights agent, (the “Mereo CVR Agreement”).</w:t>
      </w:r>
    </w:p>
    <w:p>
      <w:pPr>
        <w:spacing w:after="0" w:line="1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Holders of CVRs pursuant to the Mereo CVR Agreement will be entitled to receive additional eligible cash milestone payments made to Mereo under the License Agreement relating to navicixizumab. Pursuant to the terms of the Mereo CVR Agreement, if a milestone occurs prior to the fifth anniversary of the closing of Mereo’s merger with OncoMed, then holders of CVRs will be entitled to receive an amount in cash equal to 70% of the aggregate principal amount received by Mereo after deduction of costs, charges and expenditures set out in detail in the Mereo CVR Agreement. Such milestone payments are also subject to a cash consideration cap, pursuant to which the aggregate principal amount of all cash payments made to holders of CVRs under the Mereo CVR Agreement shall in no case exceed $79.7 million.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further details of the Mereo CVR Agreement, please refer to the Company’s April 2019 Form 20-F Filing with the U.S. Securities and Exchange Commission.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outcomes for patients with rare diseases. Mereo’s strategy is to selectively acquire product candidates for rare diseases that have already received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 investment from pharmaceutical and large biotechnology companies and that have substantial preclinical, clinical and manufacturing data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packages. Mereo’s lead rare disease product candidate, setrusumab, has completed a Phase 2b dose ranging study in adult patients 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osteogenesis imperfecta (“OI”). Mereo’s second lead product candidate, alvelestat, is being investigated in a Phase 2 proof-of-concept clinical trial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patients with alpha-1 antitrypsin deficiency (“AATD”). Mereo’s broader pipeline consists of four additional clinical-stage product candidates;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acumapimod for the treatment of acute exacerbations of chronic obstructive pulmonary disease (“AECOPD”), leflutrozole for the treatment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hypogonadotropic hypogonadism (“HH”) in obese men, and etigilimab for patients with advanced or metastatic solid tumors.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including the prospects for future payments, if any, to be made by Mereo to Holders of CVRs pursuant to the Mereo CVR Agreement.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Factors that could cause actual results to differ materially from those in the forward-looking statements include risks relating to unanticipated costs, liabilities or delays; failure or delays in research and development programs, including expected timing of topline data for the Phase 2 proof-of-concept clinical trial evaluating the Company’s second lead product candidate, alvelestat, in patients with alpha-1 antitrypsin deficiency; the safety and efficacy of the Company’s product candidates and the likelihood of clinical data to be positive and of such product candidates to be approved by the applicable regulatory authorities; unanticipated changes relating to competitive factors in the Company’s industry; the prospects for future payments, if any, to Holders of CVRs pursuant to the Mereo CVR Agreement; risks relating to the Company’s capitalization, resources and ownership structure, including as a result of circumstances affecting the Company’s former principal shareholder; the availability of sufficient resources for company operations and to conduct or continue planned clinical development programs, including the Company’s ability to continue as a going concern; changes in law or regulations affecting the Company.</w:t>
      </w:r>
    </w:p>
    <w:p>
      <w:pPr>
        <w:spacing w:after="0" w:line="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Contacts:</w:t>
      </w:r>
    </w:p>
    <w:p>
      <w:pPr>
        <w:spacing w:after="0" w:line="27" w:lineRule="exact"/>
        <w:rPr>
          <w:sz w:val="20"/>
          <w:szCs w:val="20"/>
          <w:color w:val="auto"/>
        </w:rPr>
      </w:pPr>
    </w:p>
    <w:p>
      <w:pPr>
        <w:spacing w:after="0"/>
        <w:tabs>
          <w:tab w:leader="none" w:pos="9460" w:val="left"/>
        </w:tabs>
        <w:rPr>
          <w:sz w:val="20"/>
          <w:szCs w:val="20"/>
          <w:color w:val="auto"/>
        </w:rPr>
      </w:pPr>
      <w:r>
        <w:rPr>
          <w:rFonts w:ascii="Arial" w:cs="Arial" w:eastAsia="Arial" w:hAnsi="Arial"/>
          <w:sz w:val="17"/>
          <w:szCs w:val="17"/>
          <w:b w:val="1"/>
          <w:bCs w:val="1"/>
          <w:color w:val="auto"/>
        </w:rPr>
        <w:t>Mereo</w:t>
      </w:r>
      <w:r>
        <w:rPr>
          <w:sz w:val="20"/>
          <w:szCs w:val="20"/>
          <w:color w:val="auto"/>
        </w:rPr>
        <w:tab/>
      </w:r>
      <w:r>
        <w:rPr>
          <w:rFonts w:ascii="Arial" w:cs="Arial" w:eastAsia="Arial" w:hAnsi="Arial"/>
          <w:sz w:val="17"/>
          <w:szCs w:val="17"/>
          <w:b w:val="1"/>
          <w:bCs w:val="1"/>
          <w:color w:val="auto"/>
        </w:rPr>
        <w:t>+44(0)333 023 7300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Denise Scots-Knight,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Richard Jones, Chief Financial Officer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r>
      <w:tr>
        <w:trPr>
          <w:trHeight w:val="218"/>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Cantor Fitzgerald Europe (Nominated Adviser and Broker to Mereo)</w:t>
            </w: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+44(0)20 7894 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699770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Phil Davies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Will 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699770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Burns McClellan (US Public Relations Adviser to Mereo)</w:t>
      </w:r>
    </w:p>
    <w:p>
      <w:pPr>
        <w:spacing w:after="0" w:line="27" w:lineRule="exact"/>
        <w:rPr>
          <w:sz w:val="20"/>
          <w:szCs w:val="20"/>
          <w:color w:val="auto"/>
        </w:rPr>
      </w:pPr>
    </w:p>
    <w:p>
      <w:pPr>
        <w:spacing w:after="0"/>
        <w:tabs>
          <w:tab w:leader="none" w:pos="9460" w:val="left"/>
        </w:tabs>
        <w:rPr>
          <w:sz w:val="20"/>
          <w:szCs w:val="20"/>
          <w:color w:val="auto"/>
        </w:rPr>
      </w:pPr>
      <w:r>
        <w:rPr>
          <w:rFonts w:ascii="Arial" w:cs="Arial" w:eastAsia="Arial" w:hAnsi="Arial"/>
          <w:sz w:val="18"/>
          <w:szCs w:val="18"/>
          <w:color w:val="auto"/>
        </w:rPr>
        <w:t>Lisa Burns</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01(0)212 213 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Steve Klass</w:t>
      </w:r>
    </w:p>
    <w:p>
      <w:pPr>
        <w:sectPr>
          <w:pgSz w:w="11900" w:h="16838" w:orient="portrait"/>
          <w:cols w:equalWidth="0" w:num="1">
            <w:col w:w="11040"/>
          </w:cols>
          <w:pgMar w:left="440" w:top="121" w:right="41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688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Simon Conway</w:t>
            </w:r>
          </w:p>
        </w:tc>
        <w:tc>
          <w:tcPr>
            <w:tcW w:w="4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+44(0)20 3727 1000</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Ciara Martin</w:t>
            </w:r>
          </w:p>
        </w:tc>
        <w:tc>
          <w:tcPr>
            <w:tcW w:w="4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97790</wp:posOffset>
            </wp:positionV>
            <wp:extent cx="699770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-273685</wp:posOffset>
            </wp:positionV>
            <wp:extent cx="699770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0</wp:posOffset>
            </wp:positionV>
            <wp:extent cx="699770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investors@mereobiopharma.com</w:t>
      </w:r>
    </w:p>
    <w:sectPr>
      <w:pgSz w:w="11900" w:h="16838" w:orient="portrait"/>
      <w:cols w:equalWidth="0" w:num="1">
        <w:col w:w="10960"/>
      </w:cols>
      <w:pgMar w:left="440" w:top="35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2020-02-12T08:50:26Z</dcterms:created>
  <dcterms:modified xsi:type="dcterms:W3CDTF">2020-02-12T08:50:26Z</dcterms:modified>
</cp:coreProperties>
</file>