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42815dsc13g.htm"/>
      <w:bookmarkStart w:id="1" w:name="ksd542815dsc13g"/>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MEREO BIOPHARMA GROUP PLC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Ordinary Shares, £0.003 par value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589492107**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July 24,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240" w:after="0"/>
        <w:jc w:val="left"/>
        <w:rPr/>
      </w:pPr>
      <w:r>
        <w:rPr/>
        <w:t xml:space="preserve">☐ </w:t>
      </w:r>
      <w:r>
        <w:rPr>
          <w:rFonts w:ascii="Times New Roman" w:hAnsi="Times New Roman"/>
          <w:sz w:val="20"/>
        </w:rPr>
        <w:t xml:space="preserve">Rule 13d-1(b) </w:t>
      </w:r>
    </w:p>
    <w:p>
      <w:pPr>
        <w:pStyle w:val="TextBody"/>
        <w:bidi w:val="0"/>
        <w:spacing w:before="240" w:after="0"/>
        <w:jc w:val="left"/>
        <w:rPr/>
      </w:pPr>
      <w:r>
        <w:rPr/>
        <w:t xml:space="preserve">☒ </w:t>
      </w:r>
      <w:r>
        <w:rPr>
          <w:rFonts w:ascii="Times New Roman" w:hAnsi="Times New Roman"/>
          <w:sz w:val="20"/>
        </w:rPr>
        <w:t xml:space="preserve">Rule 13d-1(c) </w:t>
      </w:r>
    </w:p>
    <w:p>
      <w:pPr>
        <w:pStyle w:val="TextBody"/>
        <w:bidi w:val="0"/>
        <w:spacing w:before="240" w:after="0"/>
        <w:jc w:val="left"/>
        <w:rPr/>
      </w:pPr>
      <w:r>
        <w:rPr/>
        <w:t xml:space="preserve">☐ </w:t>
      </w:r>
      <w:r>
        <w:rPr>
          <w:rFonts w:ascii="Times New Roman" w:hAnsi="Times New Roman"/>
          <w:sz w:val="20"/>
        </w:rPr>
        <w:t xml:space="preserve">Rule 13d-1(d)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There is no CUSIP number assigned to the Ordinary Shares. CUSIP number 589492107 has been assigned to the American Depositary Receipts (</w:t>
            </w:r>
            <w:r>
              <w:rPr>
                <w:rFonts w:ascii="Times New Roman" w:hAnsi="Times New Roman"/>
                <w:sz w:val="20"/>
                <w:u w:val="single"/>
              </w:rPr>
              <w:t>ADRs</w:t>
            </w:r>
            <w:r>
              <w:rPr>
                <w:rFonts w:ascii="Times New Roman" w:hAnsi="Times New Roman"/>
                <w:sz w:val="20"/>
              </w:rPr>
              <w:t xml:space="preserve">) of the Issuer, which are quoted on the Nasdaq Global Market under the symbol MREO. Each ADR represents 5 Ordinary Shares.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589492107 </w:t>
      </w:r>
    </w:p>
    <w:p>
      <w:pPr>
        <w:pStyle w:val="TextBody"/>
        <w:bidi w:val="0"/>
        <w:spacing w:before="0" w:after="0"/>
        <w:jc w:val="left"/>
        <w:rPr/>
      </w:pPr>
      <w:r>
        <w:rPr/>
        <w:t>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622"/>
        <w:gridCol w:w="129"/>
        <w:gridCol w:w="740"/>
        <w:gridCol w:w="312"/>
        <w:gridCol w:w="307"/>
        <w:gridCol w:w="312"/>
        <w:gridCol w:w="7680"/>
      </w:tblGrid>
      <w:tr>
        <w:trPr/>
        <w:tc>
          <w:tcPr>
            <w:tcW w:w="62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7680" w:type="dxa"/>
            <w:tcBorders/>
            <w:vAlign w:val="center"/>
          </w:tcPr>
          <w:p>
            <w:pPr>
              <w:pStyle w:val="TableContents"/>
              <w:bidi w:val="0"/>
              <w:spacing w:before="0" w:after="283"/>
              <w:jc w:val="left"/>
              <w:rPr>
                <w:sz w:val="4"/>
                <w:szCs w:val="4"/>
              </w:rPr>
            </w:pPr>
            <w:r>
              <w:rPr>
                <w:sz w:val="4"/>
                <w:szCs w:val="4"/>
              </w:rPr>
            </w:r>
          </w:p>
        </w:tc>
      </w:tr>
      <w:tr>
        <w:trPr/>
        <w:tc>
          <w:tcPr>
            <w:tcW w:w="62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r>
              <w:rPr>
                <w:rFonts w:ascii="Times New Roman" w:hAnsi="Times New Roman"/>
                <w:sz w:val="20"/>
              </w:rPr>
              <w:t>I.R.S. IDENTIFICATION NOS. OF ABOVE PERSONS (ENTITIES ONLY)</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Soleus Private Equity Fund III, L.P.</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371"/>
        <w:gridCol w:w="125"/>
        <w:gridCol w:w="7324"/>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324"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18,145,160 (1)</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25" w:type="dxa"/>
            <w:tcBorders>
              <w:left w:val="single" w:sz="2" w:space="0" w:color="000000"/>
            </w:tcBorders>
            <w:tcMar>
              <w:left w:w="28" w:type="dxa"/>
            </w:tcMar>
            <w:vAlign w:val="bottom"/>
          </w:tcPr>
          <w:p>
            <w:pPr>
              <w:pStyle w:val="TableContents"/>
              <w:bidi w:val="0"/>
              <w:spacing w:before="0" w:after="283"/>
              <w:jc w:val="left"/>
              <w:rPr/>
            </w:pPr>
            <w:r>
              <w:rPr/>
              <w:t> </w:t>
            </w:r>
          </w:p>
        </w:tc>
        <w:tc>
          <w:tcPr>
            <w:tcW w:w="732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18,145,160 (1)</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18,145,160 (1)</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2.8% (2)</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FOOTNOTES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are owned directly by Soleus Private Equity Fund III, L.P. (Soleus PE). Soleus Private Equity GP III, LLC (Soleus GP) is the sole general partner of Soleus PE. Soleus GP holds voting and dispositive power over the shares held by Soleus PE. Soleus PE GP III, LLC is the sole manager of Soleus GP. Mr. Guy Levy is the sole managing member of Soleus PE GP III, LLC. Each of Mr. Guy Levy, Soleus PE GP III, LLC and Soleus GP disclaims beneficial ownership of these securities held by Soleus PE and this report shall not be deemed an admission that they are the beneficial owners of such securities for purposes of Section 13(d) of the Securities Exchange Act of 1934, as amended (the Exchange Act), or for any other purpose, except to the extent of their respective pecuniary interests therein.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percentage is calculated based upon 643,204,794 ordinary shares outstanding of Mereo BioPharma Group plc (the Issuer) as of June 30, 2023, as set forth on the Issuers website.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CUSIP NO. 589492107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622"/>
        <w:gridCol w:w="129"/>
        <w:gridCol w:w="740"/>
        <w:gridCol w:w="312"/>
        <w:gridCol w:w="307"/>
        <w:gridCol w:w="312"/>
        <w:gridCol w:w="7680"/>
      </w:tblGrid>
      <w:tr>
        <w:trPr/>
        <w:tc>
          <w:tcPr>
            <w:tcW w:w="62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7680" w:type="dxa"/>
            <w:tcBorders/>
            <w:vAlign w:val="center"/>
          </w:tcPr>
          <w:p>
            <w:pPr>
              <w:pStyle w:val="TableContents"/>
              <w:bidi w:val="0"/>
              <w:spacing w:before="0" w:after="283"/>
              <w:jc w:val="left"/>
              <w:rPr>
                <w:sz w:val="4"/>
                <w:szCs w:val="4"/>
              </w:rPr>
            </w:pPr>
            <w:r>
              <w:rPr>
                <w:sz w:val="4"/>
                <w:szCs w:val="4"/>
              </w:rPr>
            </w:r>
          </w:p>
        </w:tc>
      </w:tr>
      <w:tr>
        <w:trPr/>
        <w:tc>
          <w:tcPr>
            <w:tcW w:w="62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r>
              <w:rPr>
                <w:rFonts w:ascii="Times New Roman" w:hAnsi="Times New Roman"/>
                <w:sz w:val="20"/>
              </w:rPr>
              <w:t>I.R.S. IDENTIFICATION NOS. OF ABOVE PERSONS (ENTITIES ONLY)</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Soleus Private Equity GP III, LLC</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371"/>
        <w:gridCol w:w="125"/>
        <w:gridCol w:w="7324"/>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324"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18,145,160 (1)</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25" w:type="dxa"/>
            <w:tcBorders>
              <w:left w:val="single" w:sz="2" w:space="0" w:color="000000"/>
            </w:tcBorders>
            <w:tcMar>
              <w:left w:w="28" w:type="dxa"/>
            </w:tcMar>
            <w:vAlign w:val="bottom"/>
          </w:tcPr>
          <w:p>
            <w:pPr>
              <w:pStyle w:val="TableContents"/>
              <w:bidi w:val="0"/>
              <w:spacing w:before="0" w:after="283"/>
              <w:jc w:val="left"/>
              <w:rPr/>
            </w:pPr>
            <w:r>
              <w:rPr/>
              <w:t> </w:t>
            </w:r>
          </w:p>
        </w:tc>
        <w:tc>
          <w:tcPr>
            <w:tcW w:w="732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18,145,160 (1)</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18,145,160 (1)</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2.8% (2)</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FOOTNOTES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reported in this row are owned directly by Soleus PE. Soleus GP is the sole general partner of Soleus PE. Soleus GP holds voting and dispositive power over the shares held by Soleus PE. Soleus PE GP III, LLC is the sole manager of Soleus GP. Mr. Guy Levy is the sole managing member of Soleus PE GP III,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percentage is calculated based upon 643,204,794 ordinary shares outstanding of the Issuer as of June 30, 2023.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CUSIP NO. 589492107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622"/>
        <w:gridCol w:w="129"/>
        <w:gridCol w:w="740"/>
        <w:gridCol w:w="312"/>
        <w:gridCol w:w="307"/>
        <w:gridCol w:w="312"/>
        <w:gridCol w:w="7680"/>
      </w:tblGrid>
      <w:tr>
        <w:trPr/>
        <w:tc>
          <w:tcPr>
            <w:tcW w:w="62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7680" w:type="dxa"/>
            <w:tcBorders/>
            <w:vAlign w:val="center"/>
          </w:tcPr>
          <w:p>
            <w:pPr>
              <w:pStyle w:val="TableContents"/>
              <w:bidi w:val="0"/>
              <w:spacing w:before="0" w:after="283"/>
              <w:jc w:val="left"/>
              <w:rPr>
                <w:sz w:val="4"/>
                <w:szCs w:val="4"/>
              </w:rPr>
            </w:pPr>
            <w:r>
              <w:rPr>
                <w:sz w:val="4"/>
                <w:szCs w:val="4"/>
              </w:rPr>
            </w:r>
          </w:p>
        </w:tc>
      </w:tr>
      <w:tr>
        <w:trPr/>
        <w:tc>
          <w:tcPr>
            <w:tcW w:w="62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r>
              <w:rPr>
                <w:rFonts w:ascii="Times New Roman" w:hAnsi="Times New Roman"/>
                <w:sz w:val="20"/>
              </w:rPr>
              <w:t>I.R.S. IDENTIFICATION NOS. OF ABOVE PERSONS (ENTITIES ONLY)</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Soleus PE GP III, LLC</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371"/>
        <w:gridCol w:w="125"/>
        <w:gridCol w:w="7324"/>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324"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18,145,160 (1)</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25" w:type="dxa"/>
            <w:tcBorders>
              <w:left w:val="single" w:sz="2" w:space="0" w:color="000000"/>
            </w:tcBorders>
            <w:tcMar>
              <w:left w:w="28" w:type="dxa"/>
            </w:tcMar>
            <w:vAlign w:val="bottom"/>
          </w:tcPr>
          <w:p>
            <w:pPr>
              <w:pStyle w:val="TableContents"/>
              <w:bidi w:val="0"/>
              <w:spacing w:before="0" w:after="283"/>
              <w:jc w:val="left"/>
              <w:rPr/>
            </w:pPr>
            <w:r>
              <w:rPr/>
              <w:t> </w:t>
            </w:r>
          </w:p>
        </w:tc>
        <w:tc>
          <w:tcPr>
            <w:tcW w:w="732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18,145,160 (1)</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18,145,160 (1)</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2.8% (2)</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FOOTNOTES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reported in this row are owned directly by Soleus PE. Soleus GP is the sole general partner of Soleus PE. Soleus GP holds voting and dispositive power over the shares held by Soleus PE. Soleus PE GP III, LLC is the sole manager of Soleus GP. Mr. Guy Levy is the sole managing member of Soleus PE GP III,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percentage is calculated based upon 643,204,794 ordinary shares outstanding of the Issuer as of June 30, 2023.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CUSIP NO. 589492107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622"/>
        <w:gridCol w:w="129"/>
        <w:gridCol w:w="740"/>
        <w:gridCol w:w="312"/>
        <w:gridCol w:w="307"/>
        <w:gridCol w:w="312"/>
        <w:gridCol w:w="7680"/>
      </w:tblGrid>
      <w:tr>
        <w:trPr/>
        <w:tc>
          <w:tcPr>
            <w:tcW w:w="62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7680" w:type="dxa"/>
            <w:tcBorders/>
            <w:vAlign w:val="center"/>
          </w:tcPr>
          <w:p>
            <w:pPr>
              <w:pStyle w:val="TableContents"/>
              <w:bidi w:val="0"/>
              <w:spacing w:before="0" w:after="283"/>
              <w:jc w:val="left"/>
              <w:rPr>
                <w:sz w:val="4"/>
                <w:szCs w:val="4"/>
              </w:rPr>
            </w:pPr>
            <w:r>
              <w:rPr>
                <w:sz w:val="4"/>
                <w:szCs w:val="4"/>
              </w:rPr>
            </w:r>
          </w:p>
        </w:tc>
      </w:tr>
      <w:tr>
        <w:trPr/>
        <w:tc>
          <w:tcPr>
            <w:tcW w:w="62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r>
              <w:rPr>
                <w:rFonts w:ascii="Times New Roman" w:hAnsi="Times New Roman"/>
                <w:sz w:val="20"/>
              </w:rPr>
              <w:t>I.R.S. IDENTIFICATION NOS. OF ABOVE PERSONS (ENTITIES ONLY)</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Soleus Capital Master Fund, L.P.</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Cayman Islands</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371"/>
        <w:gridCol w:w="125"/>
        <w:gridCol w:w="7324"/>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324"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30,241,935 (1)</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25" w:type="dxa"/>
            <w:tcBorders>
              <w:left w:val="single" w:sz="2" w:space="0" w:color="000000"/>
            </w:tcBorders>
            <w:tcMar>
              <w:left w:w="28" w:type="dxa"/>
            </w:tcMar>
            <w:vAlign w:val="bottom"/>
          </w:tcPr>
          <w:p>
            <w:pPr>
              <w:pStyle w:val="TableContents"/>
              <w:bidi w:val="0"/>
              <w:spacing w:before="0" w:after="283"/>
              <w:jc w:val="left"/>
              <w:rPr/>
            </w:pPr>
            <w:r>
              <w:rPr/>
              <w:t> </w:t>
            </w:r>
          </w:p>
        </w:tc>
        <w:tc>
          <w:tcPr>
            <w:tcW w:w="732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30,241,935 (1)</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30,241,935 (1)</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4.7% (2)</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FI</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FOOTNOTES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reported in this row are held by Soleus Capital Master Fund, L.P. (Master Fund). Soleus Capital, LLC is the sole general partner of Master Fund and thus holds voting and dispositive power over the shares held by Master Fund. Soleus Capital Group, LLC is the sole managing member of Soleus Capital, LLC. Mr. Guy Levy is the sole managing member of Soleus Capital Group, LLC. Each of Soleus Capital Group, LLC, Soleus Capital, LLC and Mr. Guy Levy disclaims beneficial ownership of these securities held by Master Fund and this report shall not be deemed an admission that they are the beneficial owners of such securities for purposes of Section 13(d) of the Exchange Act, or for any other purpose, except to the extent of their respective pecuniary interests therein.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percentage is calculated based upon 643,204,794 ordinary shares outstanding of the Issuer as of June 30, 2023.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CUSIP NO. 589492107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622"/>
        <w:gridCol w:w="129"/>
        <w:gridCol w:w="740"/>
        <w:gridCol w:w="312"/>
        <w:gridCol w:w="307"/>
        <w:gridCol w:w="312"/>
        <w:gridCol w:w="7680"/>
      </w:tblGrid>
      <w:tr>
        <w:trPr/>
        <w:tc>
          <w:tcPr>
            <w:tcW w:w="62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7680" w:type="dxa"/>
            <w:tcBorders/>
            <w:vAlign w:val="center"/>
          </w:tcPr>
          <w:p>
            <w:pPr>
              <w:pStyle w:val="TableContents"/>
              <w:bidi w:val="0"/>
              <w:spacing w:before="0" w:after="283"/>
              <w:jc w:val="left"/>
              <w:rPr>
                <w:sz w:val="4"/>
                <w:szCs w:val="4"/>
              </w:rPr>
            </w:pPr>
            <w:r>
              <w:rPr>
                <w:sz w:val="4"/>
                <w:szCs w:val="4"/>
              </w:rPr>
            </w:r>
          </w:p>
        </w:tc>
      </w:tr>
      <w:tr>
        <w:trPr/>
        <w:tc>
          <w:tcPr>
            <w:tcW w:w="62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r>
              <w:rPr>
                <w:rFonts w:ascii="Times New Roman" w:hAnsi="Times New Roman"/>
                <w:sz w:val="20"/>
              </w:rPr>
              <w:t>I.R.S. IDENTIFICATION NOS. OF ABOVE PERSONS (ENTITIES ONLY)</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Soleus Capital, LLC</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371"/>
        <w:gridCol w:w="125"/>
        <w:gridCol w:w="7324"/>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324"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30,241,935 (1)</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25" w:type="dxa"/>
            <w:tcBorders>
              <w:left w:val="single" w:sz="2" w:space="0" w:color="000000"/>
            </w:tcBorders>
            <w:tcMar>
              <w:left w:w="28" w:type="dxa"/>
            </w:tcMar>
            <w:vAlign w:val="bottom"/>
          </w:tcPr>
          <w:p>
            <w:pPr>
              <w:pStyle w:val="TableContents"/>
              <w:bidi w:val="0"/>
              <w:spacing w:before="0" w:after="283"/>
              <w:jc w:val="left"/>
              <w:rPr/>
            </w:pPr>
            <w:r>
              <w:rPr/>
              <w:t> </w:t>
            </w:r>
          </w:p>
        </w:tc>
        <w:tc>
          <w:tcPr>
            <w:tcW w:w="732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30,241,935 (1)</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30,241,935 (1)</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4.7% (2)</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FOOTNOTES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reported in this row are held by Master Fund. Soleus Capital, LLC is the sole general partner of Master Fund and thus holds voting and dispositive power over the shares held by Master Fund. Soleus Capital Group, LLC is the sole managing member of Soleus Capital, LLC. Mr. Guy Levy is the sole managing member of Soleus Capital Group,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percentage is calculated based upon 643,204,794 ordinary shares outstanding of the Issuer as of June 30, 2023.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CUSIP NO. 589492107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622"/>
        <w:gridCol w:w="129"/>
        <w:gridCol w:w="740"/>
        <w:gridCol w:w="312"/>
        <w:gridCol w:w="307"/>
        <w:gridCol w:w="312"/>
        <w:gridCol w:w="7680"/>
      </w:tblGrid>
      <w:tr>
        <w:trPr/>
        <w:tc>
          <w:tcPr>
            <w:tcW w:w="62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7680" w:type="dxa"/>
            <w:tcBorders/>
            <w:vAlign w:val="center"/>
          </w:tcPr>
          <w:p>
            <w:pPr>
              <w:pStyle w:val="TableContents"/>
              <w:bidi w:val="0"/>
              <w:spacing w:before="0" w:after="283"/>
              <w:jc w:val="left"/>
              <w:rPr>
                <w:sz w:val="4"/>
                <w:szCs w:val="4"/>
              </w:rPr>
            </w:pPr>
            <w:r>
              <w:rPr>
                <w:sz w:val="4"/>
                <w:szCs w:val="4"/>
              </w:rPr>
            </w:r>
          </w:p>
        </w:tc>
      </w:tr>
      <w:tr>
        <w:trPr/>
        <w:tc>
          <w:tcPr>
            <w:tcW w:w="62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r>
              <w:rPr>
                <w:rFonts w:ascii="Times New Roman" w:hAnsi="Times New Roman"/>
                <w:sz w:val="20"/>
              </w:rPr>
              <w:t>I.R.S. IDENTIFICATION NOS. OF ABOVE PERSONS (ENTITIES ONLY)</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Soleus Capital Group, LLC</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371"/>
        <w:gridCol w:w="125"/>
        <w:gridCol w:w="7324"/>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324"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30,241,935 (1)</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25" w:type="dxa"/>
            <w:tcBorders>
              <w:left w:val="single" w:sz="2" w:space="0" w:color="000000"/>
            </w:tcBorders>
            <w:tcMar>
              <w:left w:w="28" w:type="dxa"/>
            </w:tcMar>
            <w:vAlign w:val="bottom"/>
          </w:tcPr>
          <w:p>
            <w:pPr>
              <w:pStyle w:val="TableContents"/>
              <w:bidi w:val="0"/>
              <w:spacing w:before="0" w:after="283"/>
              <w:jc w:val="left"/>
              <w:rPr/>
            </w:pPr>
            <w:r>
              <w:rPr/>
              <w:t> </w:t>
            </w:r>
          </w:p>
        </w:tc>
        <w:tc>
          <w:tcPr>
            <w:tcW w:w="732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30,241,935 (1)</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30,241,935 (1)</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4.7% (2)</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FOOTNOTES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reported in this row are held by Master Fund. Soleus Capital, LLC is the sole general partner of Master Fund and thus holds voting and dispositive power over the shares held by Master Fund. Soleus Capital Group, LLC is the sole managing member of Soleus Capital,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percentage is calculated based upon 643,204,794 ordinary shares outstanding of the Issuer as of June 30, 2023.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CUSIP NO. 589492107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622"/>
        <w:gridCol w:w="129"/>
        <w:gridCol w:w="740"/>
        <w:gridCol w:w="312"/>
        <w:gridCol w:w="307"/>
        <w:gridCol w:w="312"/>
        <w:gridCol w:w="7680"/>
      </w:tblGrid>
      <w:tr>
        <w:trPr/>
        <w:tc>
          <w:tcPr>
            <w:tcW w:w="62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7680" w:type="dxa"/>
            <w:tcBorders/>
            <w:vAlign w:val="center"/>
          </w:tcPr>
          <w:p>
            <w:pPr>
              <w:pStyle w:val="TableContents"/>
              <w:bidi w:val="0"/>
              <w:spacing w:before="0" w:after="283"/>
              <w:jc w:val="left"/>
              <w:rPr>
                <w:sz w:val="4"/>
                <w:szCs w:val="4"/>
              </w:rPr>
            </w:pPr>
            <w:r>
              <w:rPr>
                <w:sz w:val="4"/>
                <w:szCs w:val="4"/>
              </w:rPr>
            </w:r>
          </w:p>
        </w:tc>
      </w:tr>
      <w:tr>
        <w:trPr/>
        <w:tc>
          <w:tcPr>
            <w:tcW w:w="62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r>
              <w:rPr>
                <w:rFonts w:ascii="Times New Roman" w:hAnsi="Times New Roman"/>
                <w:sz w:val="20"/>
              </w:rPr>
              <w:t>I.R.S. IDENTIFICATION NOS. OF ABOVE PERSONS (ENTITIES ONLY)</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Guy Levy</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6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371"/>
        <w:gridCol w:w="125"/>
        <w:gridCol w:w="7324"/>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324"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48,387,095 (1)</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25" w:type="dxa"/>
            <w:tcBorders>
              <w:left w:val="single" w:sz="2" w:space="0" w:color="000000"/>
            </w:tcBorders>
            <w:tcMar>
              <w:left w:w="28" w:type="dxa"/>
            </w:tcMar>
            <w:vAlign w:val="bottom"/>
          </w:tcPr>
          <w:p>
            <w:pPr>
              <w:pStyle w:val="TableContents"/>
              <w:bidi w:val="0"/>
              <w:spacing w:before="0" w:after="283"/>
              <w:jc w:val="left"/>
              <w:rPr/>
            </w:pPr>
            <w:r>
              <w:rPr/>
              <w:t> </w:t>
            </w:r>
          </w:p>
        </w:tc>
        <w:tc>
          <w:tcPr>
            <w:tcW w:w="732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48,387,095 (1)</w:t>
            </w:r>
          </w:p>
        </w:tc>
      </w:tr>
    </w:tbl>
    <w:tbl>
      <w:tblPr>
        <w:tblW w:w="4950" w:type="pct"/>
        <w:jc w:val="left"/>
        <w:tblInd w:w="0" w:type="dxa"/>
        <w:tblLayout w:type="fixed"/>
        <w:tblCellMar>
          <w:top w:w="0" w:type="dxa"/>
          <w:left w:w="0" w:type="dxa"/>
          <w:bottom w:w="0" w:type="dxa"/>
          <w:right w:w="0" w:type="dxa"/>
        </w:tblCellMar>
      </w:tblPr>
      <w:tblGrid>
        <w:gridCol w:w="619"/>
        <w:gridCol w:w="129"/>
        <w:gridCol w:w="722"/>
        <w:gridCol w:w="287"/>
        <w:gridCol w:w="280"/>
        <w:gridCol w:w="287"/>
        <w:gridCol w:w="7778"/>
      </w:tblGrid>
      <w:tr>
        <w:trPr/>
        <w:tc>
          <w:tcPr>
            <w:tcW w:w="61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7778" w:type="dxa"/>
            <w:tcBorders/>
            <w:vAlign w:val="center"/>
          </w:tcPr>
          <w:p>
            <w:pPr>
              <w:pStyle w:val="TableContents"/>
              <w:bidi w:val="0"/>
              <w:spacing w:before="0" w:after="283"/>
              <w:jc w:val="left"/>
              <w:rPr>
                <w:sz w:val="4"/>
                <w:szCs w:val="4"/>
              </w:rPr>
            </w:pPr>
            <w:r>
              <w:rPr>
                <w:sz w:val="4"/>
                <w:szCs w:val="4"/>
              </w:rPr>
            </w:r>
          </w:p>
        </w:tc>
      </w:tr>
      <w:tr>
        <w:trPr/>
        <w:tc>
          <w:tcPr>
            <w:tcW w:w="61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48,387,095 (1)</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7.5% (2)</w:t>
            </w:r>
          </w:p>
        </w:tc>
      </w:tr>
      <w:tr>
        <w:trPr/>
        <w:tc>
          <w:tcPr>
            <w:tcW w:w="61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FOOTNOTES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18,145,160 of the ordinary shares reported in this row are held directly by Soleus PE and 30,241,935 of the ordinary shares reported in this row are held directly by Master Fund. Soleus GP is the sole general partner of Soleus PE, Soleus PE GP III, LLC is the sole manager of Soleus GP, and Mr. Guy Levy is the sole managing member of Soleus PE GP III, LLC. Soleus Capital, LLC is the sole general partner of Master Fund, Soleus Capital Group, LLC is the sole managing member of Soleus Capital, LLC, and Mr. Guy Levy is the sole managing member of Soleus Capital Group, LLC. Mr. Guy Levy disclaims beneficial ownership of these securities held by Soleus PE and Master Fund, and this report shall not be deemed an admission that he is the beneficial owner of such securities for purposes of Section 13(d) of the Exchange Act, or for any other purpose, except to the extent of his pecuniary interest therein.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percentage is calculated based upon 643,204,794 ordinary shares outstanding of the Issuer as of June 30, 2023.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(a)</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Mereo BioPharma Group plc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(b)</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Issuers Principal Executive Offices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4th Floor, One Cavendish Place </w:t>
      </w:r>
    </w:p>
    <w:p>
      <w:pPr>
        <w:pStyle w:val="TextBody"/>
        <w:bidi w:val="0"/>
        <w:spacing w:before="0" w:after="0"/>
        <w:jc w:val="left"/>
        <w:rPr>
          <w:rFonts w:ascii="Times New Roman" w:hAnsi="Times New Roman"/>
          <w:sz w:val="20"/>
        </w:rPr>
      </w:pPr>
      <w:r>
        <w:rPr>
          <w:rFonts w:ascii="Times New Roman" w:hAnsi="Times New Roman"/>
          <w:sz w:val="20"/>
        </w:rPr>
        <w:t xml:space="preserve">London, W1G 0Qf, United Kingdom </w:t>
      </w:r>
    </w:p>
    <w:p>
      <w:pPr>
        <w:pStyle w:val="TextBody"/>
        <w:bidi w:val="0"/>
        <w:spacing w:before="360" w:after="0"/>
        <w:jc w:val="left"/>
        <w:rPr>
          <w:rFonts w:ascii="Times New Roman" w:hAnsi="Times New Roman"/>
          <w:b/>
          <w:sz w:val="20"/>
        </w:rPr>
      </w:pPr>
      <w:r>
        <w:rPr>
          <w:rFonts w:ascii="Times New Roman" w:hAnsi="Times New Roman"/>
          <w:b/>
          <w:sz w:val="20"/>
        </w:rPr>
        <w:t xml:space="preserve">Item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(a)</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Person(s) Filing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Soleus Private Equity GP III, LLC </w:t>
      </w:r>
    </w:p>
    <w:p>
      <w:pPr>
        <w:pStyle w:val="TextBody"/>
        <w:bidi w:val="0"/>
        <w:spacing w:before="0" w:after="0"/>
        <w:jc w:val="left"/>
        <w:rPr>
          <w:rFonts w:ascii="Times New Roman" w:hAnsi="Times New Roman"/>
          <w:sz w:val="20"/>
        </w:rPr>
      </w:pPr>
      <w:r>
        <w:rPr>
          <w:rFonts w:ascii="Times New Roman" w:hAnsi="Times New Roman"/>
          <w:sz w:val="20"/>
        </w:rPr>
        <w:t xml:space="preserve">Soleus Private Equity Fund III, L.P. </w:t>
      </w:r>
    </w:p>
    <w:p>
      <w:pPr>
        <w:pStyle w:val="TextBody"/>
        <w:bidi w:val="0"/>
        <w:spacing w:before="0" w:after="0"/>
        <w:jc w:val="left"/>
        <w:rPr>
          <w:rFonts w:ascii="Times New Roman" w:hAnsi="Times New Roman"/>
          <w:sz w:val="20"/>
        </w:rPr>
      </w:pPr>
      <w:r>
        <w:rPr>
          <w:rFonts w:ascii="Times New Roman" w:hAnsi="Times New Roman"/>
          <w:sz w:val="20"/>
        </w:rPr>
        <w:t xml:space="preserve">Soleus PE GP III, LLC </w:t>
      </w:r>
    </w:p>
    <w:p>
      <w:pPr>
        <w:pStyle w:val="TextBody"/>
        <w:bidi w:val="0"/>
        <w:spacing w:before="0" w:after="0"/>
        <w:jc w:val="left"/>
        <w:rPr>
          <w:rFonts w:ascii="Times New Roman" w:hAnsi="Times New Roman"/>
          <w:sz w:val="20"/>
        </w:rPr>
      </w:pPr>
      <w:r>
        <w:rPr>
          <w:rFonts w:ascii="Times New Roman" w:hAnsi="Times New Roman"/>
          <w:sz w:val="20"/>
        </w:rPr>
        <w:t xml:space="preserve">Soleus Capital Master Fund, L.P. </w:t>
      </w:r>
    </w:p>
    <w:p>
      <w:pPr>
        <w:pStyle w:val="TextBody"/>
        <w:bidi w:val="0"/>
        <w:spacing w:before="0" w:after="0"/>
        <w:jc w:val="left"/>
        <w:rPr>
          <w:rFonts w:ascii="Times New Roman" w:hAnsi="Times New Roman"/>
          <w:sz w:val="20"/>
        </w:rPr>
      </w:pPr>
      <w:r>
        <w:rPr>
          <w:rFonts w:ascii="Times New Roman" w:hAnsi="Times New Roman"/>
          <w:sz w:val="20"/>
        </w:rPr>
        <w:t xml:space="preserve">Soleus Capital, LLC </w:t>
      </w:r>
    </w:p>
    <w:p>
      <w:pPr>
        <w:pStyle w:val="TextBody"/>
        <w:bidi w:val="0"/>
        <w:spacing w:before="0" w:after="0"/>
        <w:jc w:val="left"/>
        <w:rPr>
          <w:rFonts w:ascii="Times New Roman" w:hAnsi="Times New Roman"/>
          <w:sz w:val="20"/>
        </w:rPr>
      </w:pPr>
      <w:r>
        <w:rPr>
          <w:rFonts w:ascii="Times New Roman" w:hAnsi="Times New Roman"/>
          <w:sz w:val="20"/>
        </w:rPr>
        <w:t xml:space="preserve">Soleus Capital Group, LLC </w:t>
      </w:r>
    </w:p>
    <w:p>
      <w:pPr>
        <w:pStyle w:val="TextBody"/>
        <w:bidi w:val="0"/>
        <w:spacing w:before="0" w:after="0"/>
        <w:jc w:val="left"/>
        <w:rPr>
          <w:rFonts w:ascii="Times New Roman" w:hAnsi="Times New Roman"/>
          <w:sz w:val="20"/>
        </w:rPr>
      </w:pPr>
      <w:r>
        <w:rPr>
          <w:rFonts w:ascii="Times New Roman" w:hAnsi="Times New Roman"/>
          <w:sz w:val="20"/>
        </w:rPr>
        <w:t xml:space="preserve">Guy Levy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(b)</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Principal Business Office or, if none, Residence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Soleus Private Equity GP III, LLC </w:t>
      </w:r>
    </w:p>
    <w:p>
      <w:pPr>
        <w:pStyle w:val="TextBody"/>
        <w:bidi w:val="0"/>
        <w:spacing w:before="0" w:after="0"/>
        <w:jc w:val="left"/>
        <w:rPr>
          <w:rFonts w:ascii="Times New Roman" w:hAnsi="Times New Roman"/>
          <w:sz w:val="20"/>
        </w:rPr>
      </w:pPr>
      <w:r>
        <w:rPr>
          <w:rFonts w:ascii="Times New Roman" w:hAnsi="Times New Roman"/>
          <w:sz w:val="20"/>
        </w:rPr>
        <w:t xml:space="preserve">104 Field Point Road, 2nd Floor </w:t>
      </w:r>
    </w:p>
    <w:p>
      <w:pPr>
        <w:pStyle w:val="TextBody"/>
        <w:bidi w:val="0"/>
        <w:spacing w:before="0" w:after="0"/>
        <w:jc w:val="left"/>
        <w:rPr>
          <w:rFonts w:ascii="Times New Roman" w:hAnsi="Times New Roman"/>
          <w:sz w:val="20"/>
        </w:rPr>
      </w:pPr>
      <w:r>
        <w:rPr>
          <w:rFonts w:ascii="Times New Roman" w:hAnsi="Times New Roman"/>
          <w:sz w:val="20"/>
        </w:rPr>
        <w:t xml:space="preserve">Greenwich, CT 06830 </w:t>
      </w:r>
    </w:p>
    <w:p>
      <w:pPr>
        <w:pStyle w:val="TextBody"/>
        <w:bidi w:val="0"/>
        <w:spacing w:before="120" w:after="0"/>
        <w:jc w:val="left"/>
        <w:rPr>
          <w:rFonts w:ascii="Times New Roman" w:hAnsi="Times New Roman"/>
          <w:sz w:val="20"/>
        </w:rPr>
      </w:pPr>
      <w:r>
        <w:rPr>
          <w:rFonts w:ascii="Times New Roman" w:hAnsi="Times New Roman"/>
          <w:sz w:val="20"/>
        </w:rPr>
        <w:t xml:space="preserve">Soleus Private Equity Fund III, L.P. </w:t>
      </w:r>
    </w:p>
    <w:p>
      <w:pPr>
        <w:pStyle w:val="TextBody"/>
        <w:bidi w:val="0"/>
        <w:spacing w:before="0" w:after="0"/>
        <w:jc w:val="left"/>
        <w:rPr>
          <w:rFonts w:ascii="Times New Roman" w:hAnsi="Times New Roman"/>
          <w:sz w:val="20"/>
        </w:rPr>
      </w:pPr>
      <w:r>
        <w:rPr>
          <w:rFonts w:ascii="Times New Roman" w:hAnsi="Times New Roman"/>
          <w:sz w:val="20"/>
        </w:rPr>
        <w:t xml:space="preserve">104 Field Point Road, 2nd Floor </w:t>
      </w:r>
    </w:p>
    <w:p>
      <w:pPr>
        <w:pStyle w:val="TextBody"/>
        <w:bidi w:val="0"/>
        <w:spacing w:before="0" w:after="0"/>
        <w:jc w:val="left"/>
        <w:rPr>
          <w:rFonts w:ascii="Times New Roman" w:hAnsi="Times New Roman"/>
          <w:sz w:val="20"/>
        </w:rPr>
      </w:pPr>
      <w:r>
        <w:rPr>
          <w:rFonts w:ascii="Times New Roman" w:hAnsi="Times New Roman"/>
          <w:sz w:val="20"/>
        </w:rPr>
        <w:t xml:space="preserve">Greenwich, CT 06830 </w:t>
      </w:r>
    </w:p>
    <w:p>
      <w:pPr>
        <w:pStyle w:val="TextBody"/>
        <w:bidi w:val="0"/>
        <w:spacing w:before="120" w:after="0"/>
        <w:jc w:val="left"/>
        <w:rPr>
          <w:rFonts w:ascii="Times New Roman" w:hAnsi="Times New Roman"/>
          <w:sz w:val="20"/>
        </w:rPr>
      </w:pPr>
      <w:r>
        <w:rPr>
          <w:rFonts w:ascii="Times New Roman" w:hAnsi="Times New Roman"/>
          <w:sz w:val="20"/>
        </w:rPr>
        <w:t xml:space="preserve">Soleus PE GP III, LLC </w:t>
      </w:r>
    </w:p>
    <w:p>
      <w:pPr>
        <w:pStyle w:val="TextBody"/>
        <w:bidi w:val="0"/>
        <w:spacing w:before="0" w:after="0"/>
        <w:jc w:val="left"/>
        <w:rPr>
          <w:rFonts w:ascii="Times New Roman" w:hAnsi="Times New Roman"/>
          <w:sz w:val="20"/>
        </w:rPr>
      </w:pPr>
      <w:r>
        <w:rPr>
          <w:rFonts w:ascii="Times New Roman" w:hAnsi="Times New Roman"/>
          <w:sz w:val="20"/>
        </w:rPr>
        <w:t xml:space="preserve">104 Field Point Road, 2nd Floor </w:t>
      </w:r>
    </w:p>
    <w:p>
      <w:pPr>
        <w:pStyle w:val="TextBody"/>
        <w:bidi w:val="0"/>
        <w:spacing w:before="0" w:after="0"/>
        <w:jc w:val="left"/>
        <w:rPr>
          <w:rFonts w:ascii="Times New Roman" w:hAnsi="Times New Roman"/>
          <w:sz w:val="20"/>
        </w:rPr>
      </w:pPr>
      <w:r>
        <w:rPr>
          <w:rFonts w:ascii="Times New Roman" w:hAnsi="Times New Roman"/>
          <w:sz w:val="20"/>
        </w:rPr>
        <w:t xml:space="preserve">Greenwich, CT 06830 </w:t>
      </w:r>
    </w:p>
    <w:p>
      <w:pPr>
        <w:pStyle w:val="TextBody"/>
        <w:bidi w:val="0"/>
        <w:spacing w:before="120" w:after="0"/>
        <w:jc w:val="left"/>
        <w:rPr>
          <w:rFonts w:ascii="Times New Roman" w:hAnsi="Times New Roman"/>
          <w:sz w:val="20"/>
        </w:rPr>
      </w:pPr>
      <w:r>
        <w:rPr>
          <w:rFonts w:ascii="Times New Roman" w:hAnsi="Times New Roman"/>
          <w:sz w:val="20"/>
        </w:rPr>
        <w:t xml:space="preserve">Soleus Capital Master Fund, L.P. </w:t>
      </w:r>
    </w:p>
    <w:p>
      <w:pPr>
        <w:pStyle w:val="TextBody"/>
        <w:bidi w:val="0"/>
        <w:spacing w:before="0" w:after="0"/>
        <w:jc w:val="left"/>
        <w:rPr>
          <w:rFonts w:ascii="Times New Roman" w:hAnsi="Times New Roman"/>
          <w:sz w:val="20"/>
        </w:rPr>
      </w:pPr>
      <w:r>
        <w:rPr>
          <w:rFonts w:ascii="Times New Roman" w:hAnsi="Times New Roman"/>
          <w:sz w:val="20"/>
        </w:rPr>
        <w:t xml:space="preserve">104 Field Point Road, 2nd Floor </w:t>
      </w:r>
    </w:p>
    <w:p>
      <w:pPr>
        <w:pStyle w:val="TextBody"/>
        <w:bidi w:val="0"/>
        <w:spacing w:before="0" w:after="0"/>
        <w:jc w:val="left"/>
        <w:rPr>
          <w:rFonts w:ascii="Times New Roman" w:hAnsi="Times New Roman"/>
          <w:sz w:val="20"/>
        </w:rPr>
      </w:pPr>
      <w:r>
        <w:rPr>
          <w:rFonts w:ascii="Times New Roman" w:hAnsi="Times New Roman"/>
          <w:sz w:val="20"/>
        </w:rPr>
        <w:t xml:space="preserve">Greenwich, CT 06830 </w:t>
      </w:r>
    </w:p>
    <w:p>
      <w:pPr>
        <w:pStyle w:val="TextBody"/>
        <w:bidi w:val="0"/>
        <w:spacing w:before="120" w:after="0"/>
        <w:jc w:val="left"/>
        <w:rPr>
          <w:rFonts w:ascii="Times New Roman" w:hAnsi="Times New Roman"/>
          <w:sz w:val="20"/>
        </w:rPr>
      </w:pPr>
      <w:r>
        <w:rPr>
          <w:rFonts w:ascii="Times New Roman" w:hAnsi="Times New Roman"/>
          <w:sz w:val="20"/>
        </w:rPr>
        <w:t xml:space="preserve">Soleus Capital, LLC </w:t>
      </w:r>
    </w:p>
    <w:p>
      <w:pPr>
        <w:pStyle w:val="TextBody"/>
        <w:bidi w:val="0"/>
        <w:spacing w:before="0" w:after="0"/>
        <w:jc w:val="left"/>
        <w:rPr>
          <w:rFonts w:ascii="Times New Roman" w:hAnsi="Times New Roman"/>
          <w:sz w:val="20"/>
        </w:rPr>
      </w:pPr>
      <w:r>
        <w:rPr>
          <w:rFonts w:ascii="Times New Roman" w:hAnsi="Times New Roman"/>
          <w:sz w:val="20"/>
        </w:rPr>
        <w:t xml:space="preserve">104 Field Point Road, 2nd Floor </w:t>
      </w:r>
    </w:p>
    <w:p>
      <w:pPr>
        <w:pStyle w:val="TextBody"/>
        <w:bidi w:val="0"/>
        <w:spacing w:before="0" w:after="0"/>
        <w:jc w:val="left"/>
        <w:rPr>
          <w:rFonts w:ascii="Times New Roman" w:hAnsi="Times New Roman"/>
          <w:sz w:val="20"/>
        </w:rPr>
      </w:pPr>
      <w:r>
        <w:rPr>
          <w:rFonts w:ascii="Times New Roman" w:hAnsi="Times New Roman"/>
          <w:sz w:val="20"/>
        </w:rPr>
        <w:t xml:space="preserve">Greenwich, CT 06830 </w:t>
      </w:r>
    </w:p>
    <w:p>
      <w:pPr>
        <w:pStyle w:val="TextBody"/>
        <w:bidi w:val="0"/>
        <w:spacing w:before="120" w:after="0"/>
        <w:jc w:val="left"/>
        <w:rPr>
          <w:rFonts w:ascii="Times New Roman" w:hAnsi="Times New Roman"/>
          <w:sz w:val="20"/>
        </w:rPr>
      </w:pPr>
      <w:r>
        <w:rPr>
          <w:rFonts w:ascii="Times New Roman" w:hAnsi="Times New Roman"/>
          <w:sz w:val="20"/>
        </w:rPr>
        <w:t xml:space="preserve">Soleus Capital Group, LLC </w:t>
      </w:r>
    </w:p>
    <w:p>
      <w:pPr>
        <w:pStyle w:val="TextBody"/>
        <w:bidi w:val="0"/>
        <w:spacing w:before="0" w:after="0"/>
        <w:jc w:val="left"/>
        <w:rPr>
          <w:rFonts w:ascii="Times New Roman" w:hAnsi="Times New Roman"/>
          <w:sz w:val="20"/>
        </w:rPr>
      </w:pPr>
      <w:r>
        <w:rPr>
          <w:rFonts w:ascii="Times New Roman" w:hAnsi="Times New Roman"/>
          <w:sz w:val="20"/>
        </w:rPr>
        <w:t xml:space="preserve">104 Field Point Road, 2nd Floor </w:t>
      </w:r>
    </w:p>
    <w:p>
      <w:pPr>
        <w:pStyle w:val="TextBody"/>
        <w:bidi w:val="0"/>
        <w:spacing w:before="0" w:after="0"/>
        <w:jc w:val="left"/>
        <w:rPr>
          <w:rFonts w:ascii="Times New Roman" w:hAnsi="Times New Roman"/>
          <w:sz w:val="20"/>
        </w:rPr>
      </w:pPr>
      <w:r>
        <w:rPr>
          <w:rFonts w:ascii="Times New Roman" w:hAnsi="Times New Roman"/>
          <w:sz w:val="20"/>
        </w:rPr>
        <w:t xml:space="preserve">Greenwich, CT 06830 </w:t>
      </w:r>
    </w:p>
    <w:p>
      <w:pPr>
        <w:pStyle w:val="TextBody"/>
        <w:bidi w:val="0"/>
        <w:spacing w:before="120" w:after="0"/>
        <w:jc w:val="left"/>
        <w:rPr>
          <w:rFonts w:ascii="Times New Roman" w:hAnsi="Times New Roman"/>
          <w:sz w:val="20"/>
        </w:rPr>
      </w:pPr>
      <w:r>
        <w:rPr>
          <w:rFonts w:ascii="Times New Roman" w:hAnsi="Times New Roman"/>
          <w:sz w:val="20"/>
        </w:rPr>
        <w:t xml:space="preserve">Guy Levy </w:t>
      </w:r>
    </w:p>
    <w:p>
      <w:pPr>
        <w:pStyle w:val="TextBody"/>
        <w:bidi w:val="0"/>
        <w:spacing w:before="0" w:after="0"/>
        <w:jc w:val="left"/>
        <w:rPr>
          <w:rFonts w:ascii="Times New Roman" w:hAnsi="Times New Roman"/>
          <w:sz w:val="20"/>
        </w:rPr>
      </w:pPr>
      <w:r>
        <w:rPr>
          <w:rFonts w:ascii="Times New Roman" w:hAnsi="Times New Roman"/>
          <w:sz w:val="20"/>
        </w:rPr>
        <w:t xml:space="preserve">c/o Soleus Capital Management, L.P. </w:t>
      </w:r>
    </w:p>
    <w:p>
      <w:pPr>
        <w:pStyle w:val="TextBody"/>
        <w:bidi w:val="0"/>
        <w:spacing w:before="0" w:after="0"/>
        <w:jc w:val="left"/>
        <w:rPr>
          <w:rFonts w:ascii="Times New Roman" w:hAnsi="Times New Roman"/>
          <w:sz w:val="20"/>
        </w:rPr>
      </w:pPr>
      <w:r>
        <w:rPr>
          <w:rFonts w:ascii="Times New Roman" w:hAnsi="Times New Roman"/>
          <w:sz w:val="20"/>
        </w:rPr>
        <w:t xml:space="preserve">104 Field Point Road, 2nd Floor </w:t>
      </w:r>
    </w:p>
    <w:p>
      <w:pPr>
        <w:pStyle w:val="TextBody"/>
        <w:bidi w:val="0"/>
        <w:spacing w:before="0" w:after="0"/>
        <w:jc w:val="left"/>
        <w:rPr>
          <w:rFonts w:ascii="Times New Roman" w:hAnsi="Times New Roman"/>
          <w:sz w:val="20"/>
        </w:rPr>
      </w:pPr>
      <w:r>
        <w:rPr>
          <w:rFonts w:ascii="Times New Roman" w:hAnsi="Times New Roman"/>
          <w:sz w:val="20"/>
        </w:rPr>
        <w:t xml:space="preserve">Greenwich, CT 06830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(c)</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Citizenship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Soleus Private Equity GP III, LLC  Delaware </w:t>
      </w:r>
    </w:p>
    <w:p>
      <w:pPr>
        <w:pStyle w:val="TextBody"/>
        <w:bidi w:val="0"/>
        <w:spacing w:before="0" w:after="0"/>
        <w:jc w:val="left"/>
        <w:rPr>
          <w:rFonts w:ascii="Times New Roman" w:hAnsi="Times New Roman"/>
          <w:sz w:val="20"/>
        </w:rPr>
      </w:pPr>
      <w:r>
        <w:rPr>
          <w:rFonts w:ascii="Times New Roman" w:hAnsi="Times New Roman"/>
          <w:sz w:val="20"/>
        </w:rPr>
        <w:t xml:space="preserve">Soleus Private Equity Fund III, L.P.  Delaware </w:t>
      </w:r>
    </w:p>
    <w:p>
      <w:pPr>
        <w:pStyle w:val="TextBody"/>
        <w:bidi w:val="0"/>
        <w:spacing w:before="0" w:after="0"/>
        <w:jc w:val="left"/>
        <w:rPr>
          <w:rFonts w:ascii="Times New Roman" w:hAnsi="Times New Roman"/>
          <w:sz w:val="20"/>
        </w:rPr>
      </w:pPr>
      <w:r>
        <w:rPr>
          <w:rFonts w:ascii="Times New Roman" w:hAnsi="Times New Roman"/>
          <w:sz w:val="20"/>
        </w:rPr>
        <w:t xml:space="preserve">Soleus PE GP III, LLC  Delaware </w:t>
      </w:r>
    </w:p>
    <w:p>
      <w:pPr>
        <w:pStyle w:val="TextBody"/>
        <w:bidi w:val="0"/>
        <w:spacing w:before="0" w:after="0"/>
        <w:jc w:val="left"/>
        <w:rPr>
          <w:rFonts w:ascii="Times New Roman" w:hAnsi="Times New Roman"/>
          <w:sz w:val="20"/>
        </w:rPr>
      </w:pPr>
      <w:r>
        <w:rPr>
          <w:rFonts w:ascii="Times New Roman" w:hAnsi="Times New Roman"/>
          <w:sz w:val="20"/>
        </w:rPr>
        <w:t xml:space="preserve">Soleus Capital Master Fund, L.P.  Cayman Islands </w:t>
      </w:r>
    </w:p>
    <w:p>
      <w:pPr>
        <w:pStyle w:val="TextBody"/>
        <w:bidi w:val="0"/>
        <w:spacing w:before="0" w:after="0"/>
        <w:jc w:val="left"/>
        <w:rPr>
          <w:rFonts w:ascii="Times New Roman" w:hAnsi="Times New Roman"/>
          <w:sz w:val="20"/>
        </w:rPr>
      </w:pPr>
      <w:r>
        <w:rPr>
          <w:rFonts w:ascii="Times New Roman" w:hAnsi="Times New Roman"/>
          <w:sz w:val="20"/>
        </w:rPr>
        <w:t xml:space="preserve">Soleus Capital, LLC  Delaware </w:t>
      </w:r>
    </w:p>
    <w:p>
      <w:pPr>
        <w:pStyle w:val="TextBody"/>
        <w:bidi w:val="0"/>
        <w:spacing w:before="0" w:after="0"/>
        <w:jc w:val="left"/>
        <w:rPr>
          <w:rFonts w:ascii="Times New Roman" w:hAnsi="Times New Roman"/>
          <w:sz w:val="20"/>
        </w:rPr>
      </w:pPr>
      <w:r>
        <w:rPr>
          <w:rFonts w:ascii="Times New Roman" w:hAnsi="Times New Roman"/>
          <w:sz w:val="20"/>
        </w:rPr>
        <w:t xml:space="preserve">Soleus Capital Group, LLC  Delaware </w:t>
      </w:r>
    </w:p>
    <w:p>
      <w:pPr>
        <w:pStyle w:val="TextBody"/>
        <w:bidi w:val="0"/>
        <w:spacing w:before="0" w:after="0"/>
        <w:jc w:val="left"/>
        <w:rPr>
          <w:rFonts w:ascii="Times New Roman" w:hAnsi="Times New Roman"/>
          <w:sz w:val="20"/>
        </w:rPr>
      </w:pPr>
      <w:r>
        <w:rPr>
          <w:rFonts w:ascii="Times New Roman" w:hAnsi="Times New Roman"/>
          <w:sz w:val="20"/>
        </w:rPr>
        <w:t xml:space="preserve">Guy Levy 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(d)</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Title of Class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Ordinary Shares, £0.003 par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(e)</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CUSIP Number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589492107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3.</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this statement is filed pursuant to §§240.13d-1(b) or 240.13d-2(b) or (c), check whether the person filing is a: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7"/>
        <w:gridCol w:w="121"/>
        <w:gridCol w:w="241"/>
        <w:gridCol w:w="121"/>
        <w:gridCol w:w="9485"/>
      </w:tblGrid>
      <w:tr>
        <w:trPr/>
        <w:tc>
          <w:tcPr>
            <w:tcW w:w="23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485" w:type="dxa"/>
            <w:tcBorders/>
            <w:vAlign w:val="center"/>
          </w:tcPr>
          <w:p>
            <w:pPr>
              <w:pStyle w:val="TableContents"/>
              <w:bidi w:val="0"/>
              <w:spacing w:before="0" w:after="283"/>
              <w:jc w:val="left"/>
              <w:rPr>
                <w:sz w:val="4"/>
                <w:szCs w:val="4"/>
              </w:rPr>
            </w:pPr>
            <w:r>
              <w:rPr>
                <w:sz w:val="4"/>
                <w:szCs w:val="4"/>
              </w:rPr>
            </w:r>
          </w:p>
        </w:tc>
      </w:tr>
      <w:tr>
        <w:trPr/>
        <w:tc>
          <w:tcPr>
            <w:tcW w:w="237" w:type="dxa"/>
            <w:tcBorders/>
          </w:tcPr>
          <w:p>
            <w:pPr>
              <w:pStyle w:val="TableContents"/>
              <w:bidi w:val="0"/>
              <w:spacing w:before="0" w:after="283"/>
              <w:jc w:val="left"/>
              <w:rPr/>
            </w:pPr>
            <w:r>
              <w:rPr/>
              <w:t>(a)</w:t>
            </w:r>
          </w:p>
        </w:tc>
        <w:tc>
          <w:tcPr>
            <w:tcW w:w="12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485" w:type="dxa"/>
            <w:tcBorders/>
          </w:tcPr>
          <w:p>
            <w:pPr>
              <w:pStyle w:val="TableContents"/>
              <w:bidi w:val="0"/>
              <w:spacing w:before="0" w:after="283"/>
              <w:jc w:val="left"/>
              <w:rPr/>
            </w:pPr>
            <w:r>
              <w:rPr/>
              <w:t>Broker or dealer registered under section 15 of the Act (15 U.S.C. 78o).</w:t>
            </w:r>
          </w:p>
        </w:tc>
      </w:tr>
      <w:tr>
        <w:trPr>
          <w:trHeight w:val="120" w:hRule="atLeast"/>
        </w:trPr>
        <w:tc>
          <w:tcPr>
            <w:tcW w:w="237" w:type="dxa"/>
            <w:tcBorders/>
            <w:vAlign w:val="center"/>
          </w:tcPr>
          <w:p>
            <w:pPr>
              <w:pStyle w:val="TableContents"/>
              <w:bidi w:val="0"/>
              <w:spacing w:before="0" w:after="283"/>
              <w:jc w:val="left"/>
              <w:rPr>
                <w:sz w:val="4"/>
                <w:szCs w:val="4"/>
              </w:rPr>
            </w:pPr>
            <w:r>
              <w:rPr>
                <w:sz w:val="4"/>
                <w:szCs w:val="4"/>
              </w:rPr>
            </w:r>
          </w:p>
        </w:tc>
        <w:tc>
          <w:tcPr>
            <w:tcW w:w="362" w:type="dxa"/>
            <w:gridSpan w:val="2"/>
            <w:tcBorders/>
            <w:vAlign w:val="center"/>
          </w:tcPr>
          <w:p>
            <w:pPr>
              <w:pStyle w:val="TableContents"/>
              <w:bidi w:val="0"/>
              <w:spacing w:before="0" w:after="283"/>
              <w:jc w:val="left"/>
              <w:rPr>
                <w:sz w:val="4"/>
                <w:szCs w:val="4"/>
              </w:rPr>
            </w:pPr>
            <w:r>
              <w:rPr>
                <w:sz w:val="4"/>
                <w:szCs w:val="4"/>
              </w:rPr>
            </w:r>
          </w:p>
        </w:tc>
        <w:tc>
          <w:tcPr>
            <w:tcW w:w="9606" w:type="dxa"/>
            <w:gridSpan w:val="2"/>
            <w:tcBorders/>
            <w:vAlign w:val="center"/>
          </w:tcPr>
          <w:p>
            <w:pPr>
              <w:pStyle w:val="TableContents"/>
              <w:bidi w:val="0"/>
              <w:spacing w:before="0" w:after="283"/>
              <w:jc w:val="left"/>
              <w:rPr>
                <w:sz w:val="4"/>
                <w:szCs w:val="4"/>
              </w:rPr>
            </w:pPr>
            <w:r>
              <w:rPr>
                <w:sz w:val="4"/>
                <w:szCs w:val="4"/>
              </w:rPr>
            </w:r>
          </w:p>
        </w:tc>
      </w:tr>
      <w:tr>
        <w:trPr/>
        <w:tc>
          <w:tcPr>
            <w:tcW w:w="237" w:type="dxa"/>
            <w:tcBorders/>
          </w:tcPr>
          <w:p>
            <w:pPr>
              <w:pStyle w:val="TableContents"/>
              <w:bidi w:val="0"/>
              <w:spacing w:before="0" w:after="283"/>
              <w:jc w:val="left"/>
              <w:rPr/>
            </w:pPr>
            <w:r>
              <w:rPr/>
              <w:t>(b)</w:t>
            </w:r>
          </w:p>
        </w:tc>
        <w:tc>
          <w:tcPr>
            <w:tcW w:w="12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485" w:type="dxa"/>
            <w:tcBorders/>
          </w:tcPr>
          <w:p>
            <w:pPr>
              <w:pStyle w:val="TableContents"/>
              <w:bidi w:val="0"/>
              <w:spacing w:before="0" w:after="283"/>
              <w:jc w:val="left"/>
              <w:rPr/>
            </w:pPr>
            <w:r>
              <w:rPr/>
              <w:t>Bank as defined in section 3(a)(6) of the Act (15 U.S.C. 78c).</w:t>
            </w:r>
          </w:p>
        </w:tc>
      </w:tr>
      <w:tr>
        <w:trPr>
          <w:trHeight w:val="120" w:hRule="atLeast"/>
        </w:trPr>
        <w:tc>
          <w:tcPr>
            <w:tcW w:w="237" w:type="dxa"/>
            <w:tcBorders/>
            <w:vAlign w:val="center"/>
          </w:tcPr>
          <w:p>
            <w:pPr>
              <w:pStyle w:val="TableContents"/>
              <w:bidi w:val="0"/>
              <w:spacing w:before="0" w:after="283"/>
              <w:jc w:val="left"/>
              <w:rPr>
                <w:sz w:val="4"/>
                <w:szCs w:val="4"/>
              </w:rPr>
            </w:pPr>
            <w:r>
              <w:rPr>
                <w:sz w:val="4"/>
                <w:szCs w:val="4"/>
              </w:rPr>
            </w:r>
          </w:p>
        </w:tc>
        <w:tc>
          <w:tcPr>
            <w:tcW w:w="362" w:type="dxa"/>
            <w:gridSpan w:val="2"/>
            <w:tcBorders/>
            <w:vAlign w:val="center"/>
          </w:tcPr>
          <w:p>
            <w:pPr>
              <w:pStyle w:val="TableContents"/>
              <w:bidi w:val="0"/>
              <w:spacing w:before="0" w:after="283"/>
              <w:jc w:val="left"/>
              <w:rPr>
                <w:sz w:val="4"/>
                <w:szCs w:val="4"/>
              </w:rPr>
            </w:pPr>
            <w:r>
              <w:rPr>
                <w:sz w:val="4"/>
                <w:szCs w:val="4"/>
              </w:rPr>
            </w:r>
          </w:p>
        </w:tc>
        <w:tc>
          <w:tcPr>
            <w:tcW w:w="9606" w:type="dxa"/>
            <w:gridSpan w:val="2"/>
            <w:tcBorders/>
            <w:vAlign w:val="center"/>
          </w:tcPr>
          <w:p>
            <w:pPr>
              <w:pStyle w:val="TableContents"/>
              <w:bidi w:val="0"/>
              <w:spacing w:before="0" w:after="283"/>
              <w:jc w:val="left"/>
              <w:rPr>
                <w:sz w:val="4"/>
                <w:szCs w:val="4"/>
              </w:rPr>
            </w:pPr>
            <w:r>
              <w:rPr>
                <w:sz w:val="4"/>
                <w:szCs w:val="4"/>
              </w:rPr>
            </w:r>
          </w:p>
        </w:tc>
      </w:tr>
      <w:tr>
        <w:trPr/>
        <w:tc>
          <w:tcPr>
            <w:tcW w:w="237" w:type="dxa"/>
            <w:tcBorders/>
          </w:tcPr>
          <w:p>
            <w:pPr>
              <w:pStyle w:val="TableContents"/>
              <w:bidi w:val="0"/>
              <w:spacing w:before="0" w:after="283"/>
              <w:jc w:val="left"/>
              <w:rPr/>
            </w:pPr>
            <w:r>
              <w:rPr/>
              <w:t>(c)</w:t>
            </w:r>
          </w:p>
        </w:tc>
        <w:tc>
          <w:tcPr>
            <w:tcW w:w="12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485" w:type="dxa"/>
            <w:tcBorders/>
          </w:tcPr>
          <w:p>
            <w:pPr>
              <w:pStyle w:val="TableContents"/>
              <w:bidi w:val="0"/>
              <w:spacing w:before="0" w:after="283"/>
              <w:jc w:val="left"/>
              <w:rPr/>
            </w:pPr>
            <w:r>
              <w:rPr/>
              <w:t>Insurance company as defined in section 3(a)(19) of the Act (15 U.S.C. ☐78c).</w:t>
            </w:r>
          </w:p>
        </w:tc>
      </w:tr>
      <w:tr>
        <w:trPr>
          <w:trHeight w:val="120" w:hRule="atLeast"/>
        </w:trPr>
        <w:tc>
          <w:tcPr>
            <w:tcW w:w="237" w:type="dxa"/>
            <w:tcBorders/>
            <w:vAlign w:val="center"/>
          </w:tcPr>
          <w:p>
            <w:pPr>
              <w:pStyle w:val="TableContents"/>
              <w:bidi w:val="0"/>
              <w:spacing w:before="0" w:after="283"/>
              <w:jc w:val="left"/>
              <w:rPr>
                <w:sz w:val="4"/>
                <w:szCs w:val="4"/>
              </w:rPr>
            </w:pPr>
            <w:r>
              <w:rPr>
                <w:sz w:val="4"/>
                <w:szCs w:val="4"/>
              </w:rPr>
            </w:r>
          </w:p>
        </w:tc>
        <w:tc>
          <w:tcPr>
            <w:tcW w:w="362" w:type="dxa"/>
            <w:gridSpan w:val="2"/>
            <w:tcBorders/>
            <w:vAlign w:val="center"/>
          </w:tcPr>
          <w:p>
            <w:pPr>
              <w:pStyle w:val="TableContents"/>
              <w:bidi w:val="0"/>
              <w:spacing w:before="0" w:after="283"/>
              <w:jc w:val="left"/>
              <w:rPr>
                <w:sz w:val="4"/>
                <w:szCs w:val="4"/>
              </w:rPr>
            </w:pPr>
            <w:r>
              <w:rPr>
                <w:sz w:val="4"/>
                <w:szCs w:val="4"/>
              </w:rPr>
            </w:r>
          </w:p>
        </w:tc>
        <w:tc>
          <w:tcPr>
            <w:tcW w:w="9606" w:type="dxa"/>
            <w:gridSpan w:val="2"/>
            <w:tcBorders/>
            <w:vAlign w:val="center"/>
          </w:tcPr>
          <w:p>
            <w:pPr>
              <w:pStyle w:val="TableContents"/>
              <w:bidi w:val="0"/>
              <w:spacing w:before="0" w:after="283"/>
              <w:jc w:val="left"/>
              <w:rPr>
                <w:sz w:val="4"/>
                <w:szCs w:val="4"/>
              </w:rPr>
            </w:pPr>
            <w:r>
              <w:rPr>
                <w:sz w:val="4"/>
                <w:szCs w:val="4"/>
              </w:rPr>
            </w:r>
          </w:p>
        </w:tc>
      </w:tr>
      <w:tr>
        <w:trPr/>
        <w:tc>
          <w:tcPr>
            <w:tcW w:w="237" w:type="dxa"/>
            <w:tcBorders/>
          </w:tcPr>
          <w:p>
            <w:pPr>
              <w:pStyle w:val="TableContents"/>
              <w:bidi w:val="0"/>
              <w:spacing w:before="0" w:after="283"/>
              <w:jc w:val="left"/>
              <w:rPr/>
            </w:pPr>
            <w:r>
              <w:rPr/>
              <w:t>(d)</w:t>
            </w:r>
          </w:p>
        </w:tc>
        <w:tc>
          <w:tcPr>
            <w:tcW w:w="12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485" w:type="dxa"/>
            <w:tcBorders/>
          </w:tcPr>
          <w:p>
            <w:pPr>
              <w:pStyle w:val="TableContents"/>
              <w:bidi w:val="0"/>
              <w:spacing w:before="0" w:after="283"/>
              <w:jc w:val="left"/>
              <w:rPr/>
            </w:pPr>
            <w:r>
              <w:rPr/>
              <w:t>Investment company registered under section 8 of the Investment Company Act of 1940 (15 U.S.C 80a-8).</w:t>
            </w:r>
          </w:p>
        </w:tc>
      </w:tr>
      <w:tr>
        <w:trPr>
          <w:trHeight w:val="120" w:hRule="atLeast"/>
        </w:trPr>
        <w:tc>
          <w:tcPr>
            <w:tcW w:w="237" w:type="dxa"/>
            <w:tcBorders/>
            <w:vAlign w:val="center"/>
          </w:tcPr>
          <w:p>
            <w:pPr>
              <w:pStyle w:val="TableContents"/>
              <w:bidi w:val="0"/>
              <w:spacing w:before="0" w:after="283"/>
              <w:jc w:val="left"/>
              <w:rPr>
                <w:sz w:val="4"/>
                <w:szCs w:val="4"/>
              </w:rPr>
            </w:pPr>
            <w:r>
              <w:rPr>
                <w:sz w:val="4"/>
                <w:szCs w:val="4"/>
              </w:rPr>
            </w:r>
          </w:p>
        </w:tc>
        <w:tc>
          <w:tcPr>
            <w:tcW w:w="362" w:type="dxa"/>
            <w:gridSpan w:val="2"/>
            <w:tcBorders/>
            <w:vAlign w:val="center"/>
          </w:tcPr>
          <w:p>
            <w:pPr>
              <w:pStyle w:val="TableContents"/>
              <w:bidi w:val="0"/>
              <w:spacing w:before="0" w:after="283"/>
              <w:jc w:val="left"/>
              <w:rPr>
                <w:sz w:val="4"/>
                <w:szCs w:val="4"/>
              </w:rPr>
            </w:pPr>
            <w:r>
              <w:rPr>
                <w:sz w:val="4"/>
                <w:szCs w:val="4"/>
              </w:rPr>
            </w:r>
          </w:p>
        </w:tc>
        <w:tc>
          <w:tcPr>
            <w:tcW w:w="9606" w:type="dxa"/>
            <w:gridSpan w:val="2"/>
            <w:tcBorders/>
            <w:vAlign w:val="center"/>
          </w:tcPr>
          <w:p>
            <w:pPr>
              <w:pStyle w:val="TableContents"/>
              <w:bidi w:val="0"/>
              <w:spacing w:before="0" w:after="283"/>
              <w:jc w:val="left"/>
              <w:rPr>
                <w:sz w:val="4"/>
                <w:szCs w:val="4"/>
              </w:rPr>
            </w:pPr>
            <w:r>
              <w:rPr>
                <w:sz w:val="4"/>
                <w:szCs w:val="4"/>
              </w:rPr>
            </w:r>
          </w:p>
        </w:tc>
      </w:tr>
      <w:tr>
        <w:trPr/>
        <w:tc>
          <w:tcPr>
            <w:tcW w:w="237" w:type="dxa"/>
            <w:tcBorders/>
          </w:tcPr>
          <w:p>
            <w:pPr>
              <w:pStyle w:val="TableContents"/>
              <w:bidi w:val="0"/>
              <w:spacing w:before="0" w:after="283"/>
              <w:jc w:val="left"/>
              <w:rPr/>
            </w:pPr>
            <w:r>
              <w:rPr/>
              <w:t>(e)</w:t>
            </w:r>
          </w:p>
        </w:tc>
        <w:tc>
          <w:tcPr>
            <w:tcW w:w="12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485" w:type="dxa"/>
            <w:tcBorders/>
          </w:tcPr>
          <w:p>
            <w:pPr>
              <w:pStyle w:val="TableContents"/>
              <w:bidi w:val="0"/>
              <w:spacing w:before="0" w:after="283"/>
              <w:jc w:val="left"/>
              <w:rPr/>
            </w:pPr>
            <w:r>
              <w:rPr/>
              <w:t>An investment adviser in accordance with §240.13d-1(b)(1)(ii)(E);</w:t>
            </w:r>
          </w:p>
        </w:tc>
      </w:tr>
      <w:tr>
        <w:trPr>
          <w:trHeight w:val="120" w:hRule="atLeast"/>
        </w:trPr>
        <w:tc>
          <w:tcPr>
            <w:tcW w:w="237" w:type="dxa"/>
            <w:tcBorders/>
            <w:vAlign w:val="center"/>
          </w:tcPr>
          <w:p>
            <w:pPr>
              <w:pStyle w:val="TableContents"/>
              <w:bidi w:val="0"/>
              <w:spacing w:before="0" w:after="283"/>
              <w:jc w:val="left"/>
              <w:rPr>
                <w:sz w:val="4"/>
                <w:szCs w:val="4"/>
              </w:rPr>
            </w:pPr>
            <w:r>
              <w:rPr>
                <w:sz w:val="4"/>
                <w:szCs w:val="4"/>
              </w:rPr>
            </w:r>
          </w:p>
        </w:tc>
        <w:tc>
          <w:tcPr>
            <w:tcW w:w="362" w:type="dxa"/>
            <w:gridSpan w:val="2"/>
            <w:tcBorders/>
            <w:vAlign w:val="center"/>
          </w:tcPr>
          <w:p>
            <w:pPr>
              <w:pStyle w:val="TableContents"/>
              <w:bidi w:val="0"/>
              <w:spacing w:before="0" w:after="283"/>
              <w:jc w:val="left"/>
              <w:rPr>
                <w:sz w:val="4"/>
                <w:szCs w:val="4"/>
              </w:rPr>
            </w:pPr>
            <w:r>
              <w:rPr>
                <w:sz w:val="4"/>
                <w:szCs w:val="4"/>
              </w:rPr>
            </w:r>
          </w:p>
        </w:tc>
        <w:tc>
          <w:tcPr>
            <w:tcW w:w="9606" w:type="dxa"/>
            <w:gridSpan w:val="2"/>
            <w:tcBorders/>
            <w:vAlign w:val="center"/>
          </w:tcPr>
          <w:p>
            <w:pPr>
              <w:pStyle w:val="TableContents"/>
              <w:bidi w:val="0"/>
              <w:spacing w:before="0" w:after="283"/>
              <w:jc w:val="left"/>
              <w:rPr>
                <w:sz w:val="4"/>
                <w:szCs w:val="4"/>
              </w:rPr>
            </w:pPr>
            <w:r>
              <w:rPr>
                <w:sz w:val="4"/>
                <w:szCs w:val="4"/>
              </w:rPr>
            </w:r>
          </w:p>
        </w:tc>
      </w:tr>
      <w:tr>
        <w:trPr/>
        <w:tc>
          <w:tcPr>
            <w:tcW w:w="237" w:type="dxa"/>
            <w:tcBorders/>
          </w:tcPr>
          <w:p>
            <w:pPr>
              <w:pStyle w:val="TableContents"/>
              <w:bidi w:val="0"/>
              <w:spacing w:before="0" w:after="283"/>
              <w:jc w:val="left"/>
              <w:rPr/>
            </w:pPr>
            <w:r>
              <w:rPr/>
              <w:t>(f)</w:t>
            </w:r>
          </w:p>
        </w:tc>
        <w:tc>
          <w:tcPr>
            <w:tcW w:w="12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485" w:type="dxa"/>
            <w:tcBorders/>
          </w:tcPr>
          <w:p>
            <w:pPr>
              <w:pStyle w:val="TableContents"/>
              <w:bidi w:val="0"/>
              <w:spacing w:before="0" w:after="283"/>
              <w:jc w:val="left"/>
              <w:rPr/>
            </w:pPr>
            <w:r>
              <w:rPr/>
              <w:t>An employee benefit plan or endowment fund in accordance with §240.13d-1(b)(1)(ii)(F);</w:t>
            </w:r>
          </w:p>
        </w:tc>
      </w:tr>
      <w:tr>
        <w:trPr>
          <w:trHeight w:val="120" w:hRule="atLeast"/>
        </w:trPr>
        <w:tc>
          <w:tcPr>
            <w:tcW w:w="237" w:type="dxa"/>
            <w:tcBorders/>
            <w:vAlign w:val="center"/>
          </w:tcPr>
          <w:p>
            <w:pPr>
              <w:pStyle w:val="TableContents"/>
              <w:bidi w:val="0"/>
              <w:spacing w:before="0" w:after="283"/>
              <w:jc w:val="left"/>
              <w:rPr>
                <w:sz w:val="4"/>
                <w:szCs w:val="4"/>
              </w:rPr>
            </w:pPr>
            <w:r>
              <w:rPr>
                <w:sz w:val="4"/>
                <w:szCs w:val="4"/>
              </w:rPr>
            </w:r>
          </w:p>
        </w:tc>
        <w:tc>
          <w:tcPr>
            <w:tcW w:w="362" w:type="dxa"/>
            <w:gridSpan w:val="2"/>
            <w:tcBorders/>
            <w:vAlign w:val="center"/>
          </w:tcPr>
          <w:p>
            <w:pPr>
              <w:pStyle w:val="TableContents"/>
              <w:bidi w:val="0"/>
              <w:spacing w:before="0" w:after="283"/>
              <w:jc w:val="left"/>
              <w:rPr>
                <w:sz w:val="4"/>
                <w:szCs w:val="4"/>
              </w:rPr>
            </w:pPr>
            <w:r>
              <w:rPr>
                <w:sz w:val="4"/>
                <w:szCs w:val="4"/>
              </w:rPr>
            </w:r>
          </w:p>
        </w:tc>
        <w:tc>
          <w:tcPr>
            <w:tcW w:w="9606" w:type="dxa"/>
            <w:gridSpan w:val="2"/>
            <w:tcBorders/>
            <w:vAlign w:val="center"/>
          </w:tcPr>
          <w:p>
            <w:pPr>
              <w:pStyle w:val="TableContents"/>
              <w:bidi w:val="0"/>
              <w:spacing w:before="0" w:after="283"/>
              <w:jc w:val="left"/>
              <w:rPr>
                <w:sz w:val="4"/>
                <w:szCs w:val="4"/>
              </w:rPr>
            </w:pPr>
            <w:r>
              <w:rPr>
                <w:sz w:val="4"/>
                <w:szCs w:val="4"/>
              </w:rPr>
            </w:r>
          </w:p>
        </w:tc>
      </w:tr>
      <w:tr>
        <w:trPr/>
        <w:tc>
          <w:tcPr>
            <w:tcW w:w="237" w:type="dxa"/>
            <w:tcBorders/>
          </w:tcPr>
          <w:p>
            <w:pPr>
              <w:pStyle w:val="TableContents"/>
              <w:bidi w:val="0"/>
              <w:spacing w:before="0" w:after="283"/>
              <w:jc w:val="left"/>
              <w:rPr/>
            </w:pPr>
            <w:r>
              <w:rPr/>
              <w:t>(g)</w:t>
            </w:r>
          </w:p>
        </w:tc>
        <w:tc>
          <w:tcPr>
            <w:tcW w:w="12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485" w:type="dxa"/>
            <w:tcBorders/>
          </w:tcPr>
          <w:p>
            <w:pPr>
              <w:pStyle w:val="TableContents"/>
              <w:bidi w:val="0"/>
              <w:spacing w:before="0" w:after="283"/>
              <w:jc w:val="left"/>
              <w:rPr/>
            </w:pPr>
            <w:r>
              <w:rPr/>
              <w:t>A parent holding company or control person in accordance with § 240.13d-1(b)(1)(ii)(G);</w:t>
            </w:r>
          </w:p>
        </w:tc>
      </w:tr>
      <w:tr>
        <w:trPr>
          <w:trHeight w:val="120" w:hRule="atLeast"/>
        </w:trPr>
        <w:tc>
          <w:tcPr>
            <w:tcW w:w="237" w:type="dxa"/>
            <w:tcBorders/>
            <w:vAlign w:val="center"/>
          </w:tcPr>
          <w:p>
            <w:pPr>
              <w:pStyle w:val="TableContents"/>
              <w:bidi w:val="0"/>
              <w:spacing w:before="0" w:after="283"/>
              <w:jc w:val="left"/>
              <w:rPr>
                <w:sz w:val="4"/>
                <w:szCs w:val="4"/>
              </w:rPr>
            </w:pPr>
            <w:r>
              <w:rPr>
                <w:sz w:val="4"/>
                <w:szCs w:val="4"/>
              </w:rPr>
            </w:r>
          </w:p>
        </w:tc>
        <w:tc>
          <w:tcPr>
            <w:tcW w:w="362" w:type="dxa"/>
            <w:gridSpan w:val="2"/>
            <w:tcBorders/>
            <w:vAlign w:val="center"/>
          </w:tcPr>
          <w:p>
            <w:pPr>
              <w:pStyle w:val="TableContents"/>
              <w:bidi w:val="0"/>
              <w:spacing w:before="0" w:after="283"/>
              <w:jc w:val="left"/>
              <w:rPr>
                <w:sz w:val="4"/>
                <w:szCs w:val="4"/>
              </w:rPr>
            </w:pPr>
            <w:r>
              <w:rPr>
                <w:sz w:val="4"/>
                <w:szCs w:val="4"/>
              </w:rPr>
            </w:r>
          </w:p>
        </w:tc>
        <w:tc>
          <w:tcPr>
            <w:tcW w:w="9606" w:type="dxa"/>
            <w:gridSpan w:val="2"/>
            <w:tcBorders/>
            <w:vAlign w:val="center"/>
          </w:tcPr>
          <w:p>
            <w:pPr>
              <w:pStyle w:val="TableContents"/>
              <w:bidi w:val="0"/>
              <w:spacing w:before="0" w:after="283"/>
              <w:jc w:val="left"/>
              <w:rPr>
                <w:sz w:val="4"/>
                <w:szCs w:val="4"/>
              </w:rPr>
            </w:pPr>
            <w:r>
              <w:rPr>
                <w:sz w:val="4"/>
                <w:szCs w:val="4"/>
              </w:rPr>
            </w:r>
          </w:p>
        </w:tc>
      </w:tr>
      <w:tr>
        <w:trPr/>
        <w:tc>
          <w:tcPr>
            <w:tcW w:w="237" w:type="dxa"/>
            <w:tcBorders/>
          </w:tcPr>
          <w:p>
            <w:pPr>
              <w:pStyle w:val="TableContents"/>
              <w:bidi w:val="0"/>
              <w:spacing w:before="0" w:after="283"/>
              <w:jc w:val="left"/>
              <w:rPr/>
            </w:pPr>
            <w:r>
              <w:rPr/>
              <w:t>(h)</w:t>
            </w:r>
          </w:p>
        </w:tc>
        <w:tc>
          <w:tcPr>
            <w:tcW w:w="12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485" w:type="dxa"/>
            <w:tcBorders/>
          </w:tcPr>
          <w:p>
            <w:pPr>
              <w:pStyle w:val="TableContents"/>
              <w:bidi w:val="0"/>
              <w:spacing w:before="0" w:after="283"/>
              <w:jc w:val="left"/>
              <w:rPr/>
            </w:pPr>
            <w:r>
              <w:rPr/>
              <w:t>A savings associations as defined in Section 3(b) of the Federal Deposit Insurance Act (12 U.S.C. 1813);</w:t>
            </w:r>
          </w:p>
        </w:tc>
      </w:tr>
      <w:tr>
        <w:trPr>
          <w:trHeight w:val="120" w:hRule="atLeast"/>
        </w:trPr>
        <w:tc>
          <w:tcPr>
            <w:tcW w:w="237" w:type="dxa"/>
            <w:tcBorders/>
            <w:vAlign w:val="center"/>
          </w:tcPr>
          <w:p>
            <w:pPr>
              <w:pStyle w:val="TableContents"/>
              <w:bidi w:val="0"/>
              <w:spacing w:before="0" w:after="283"/>
              <w:jc w:val="left"/>
              <w:rPr>
                <w:sz w:val="4"/>
                <w:szCs w:val="4"/>
              </w:rPr>
            </w:pPr>
            <w:r>
              <w:rPr>
                <w:sz w:val="4"/>
                <w:szCs w:val="4"/>
              </w:rPr>
            </w:r>
          </w:p>
        </w:tc>
        <w:tc>
          <w:tcPr>
            <w:tcW w:w="362" w:type="dxa"/>
            <w:gridSpan w:val="2"/>
            <w:tcBorders/>
            <w:vAlign w:val="center"/>
          </w:tcPr>
          <w:p>
            <w:pPr>
              <w:pStyle w:val="TableContents"/>
              <w:bidi w:val="0"/>
              <w:spacing w:before="0" w:after="283"/>
              <w:jc w:val="left"/>
              <w:rPr>
                <w:sz w:val="4"/>
                <w:szCs w:val="4"/>
              </w:rPr>
            </w:pPr>
            <w:r>
              <w:rPr>
                <w:sz w:val="4"/>
                <w:szCs w:val="4"/>
              </w:rPr>
            </w:r>
          </w:p>
        </w:tc>
        <w:tc>
          <w:tcPr>
            <w:tcW w:w="9606" w:type="dxa"/>
            <w:gridSpan w:val="2"/>
            <w:tcBorders/>
            <w:vAlign w:val="center"/>
          </w:tcPr>
          <w:p>
            <w:pPr>
              <w:pStyle w:val="TableContents"/>
              <w:bidi w:val="0"/>
              <w:spacing w:before="0" w:after="283"/>
              <w:jc w:val="left"/>
              <w:rPr>
                <w:sz w:val="4"/>
                <w:szCs w:val="4"/>
              </w:rPr>
            </w:pPr>
            <w:r>
              <w:rPr>
                <w:sz w:val="4"/>
                <w:szCs w:val="4"/>
              </w:rPr>
            </w:r>
          </w:p>
        </w:tc>
      </w:tr>
      <w:tr>
        <w:trPr/>
        <w:tc>
          <w:tcPr>
            <w:tcW w:w="237" w:type="dxa"/>
            <w:tcBorders/>
          </w:tcPr>
          <w:p>
            <w:pPr>
              <w:pStyle w:val="TableContents"/>
              <w:bidi w:val="0"/>
              <w:spacing w:before="0" w:after="283"/>
              <w:jc w:val="left"/>
              <w:rPr/>
            </w:pPr>
            <w:r>
              <w:rPr/>
              <w:t>(i)</w:t>
            </w:r>
          </w:p>
        </w:tc>
        <w:tc>
          <w:tcPr>
            <w:tcW w:w="12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485" w:type="dxa"/>
            <w:tcBorders/>
          </w:tcPr>
          <w:p>
            <w:pPr>
              <w:pStyle w:val="TableContents"/>
              <w:bidi w:val="0"/>
              <w:spacing w:before="0" w:after="283"/>
              <w:jc w:val="left"/>
              <w:rPr/>
            </w:pPr>
            <w:r>
              <w:rPr/>
              <w:t>A church plan that is excluded from the definition of an investment company under section 3(c)(14) of the Investment Company Act of 1940 (15 U.S.C. 80a-3);</w:t>
            </w:r>
          </w:p>
        </w:tc>
      </w:tr>
      <w:tr>
        <w:trPr>
          <w:trHeight w:val="120" w:hRule="atLeast"/>
        </w:trPr>
        <w:tc>
          <w:tcPr>
            <w:tcW w:w="237" w:type="dxa"/>
            <w:tcBorders/>
            <w:vAlign w:val="center"/>
          </w:tcPr>
          <w:p>
            <w:pPr>
              <w:pStyle w:val="TableContents"/>
              <w:bidi w:val="0"/>
              <w:spacing w:before="0" w:after="283"/>
              <w:jc w:val="left"/>
              <w:rPr>
                <w:sz w:val="4"/>
                <w:szCs w:val="4"/>
              </w:rPr>
            </w:pPr>
            <w:r>
              <w:rPr>
                <w:sz w:val="4"/>
                <w:szCs w:val="4"/>
              </w:rPr>
            </w:r>
          </w:p>
        </w:tc>
        <w:tc>
          <w:tcPr>
            <w:tcW w:w="362" w:type="dxa"/>
            <w:gridSpan w:val="2"/>
            <w:tcBorders/>
            <w:vAlign w:val="center"/>
          </w:tcPr>
          <w:p>
            <w:pPr>
              <w:pStyle w:val="TableContents"/>
              <w:bidi w:val="0"/>
              <w:spacing w:before="0" w:after="283"/>
              <w:jc w:val="left"/>
              <w:rPr>
                <w:sz w:val="4"/>
                <w:szCs w:val="4"/>
              </w:rPr>
            </w:pPr>
            <w:r>
              <w:rPr>
                <w:sz w:val="4"/>
                <w:szCs w:val="4"/>
              </w:rPr>
            </w:r>
          </w:p>
        </w:tc>
        <w:tc>
          <w:tcPr>
            <w:tcW w:w="9606" w:type="dxa"/>
            <w:gridSpan w:val="2"/>
            <w:tcBorders/>
            <w:vAlign w:val="center"/>
          </w:tcPr>
          <w:p>
            <w:pPr>
              <w:pStyle w:val="TableContents"/>
              <w:bidi w:val="0"/>
              <w:spacing w:before="0" w:after="283"/>
              <w:jc w:val="left"/>
              <w:rPr>
                <w:sz w:val="4"/>
                <w:szCs w:val="4"/>
              </w:rPr>
            </w:pPr>
            <w:r>
              <w:rPr>
                <w:sz w:val="4"/>
                <w:szCs w:val="4"/>
              </w:rPr>
            </w:r>
          </w:p>
        </w:tc>
      </w:tr>
      <w:tr>
        <w:trPr/>
        <w:tc>
          <w:tcPr>
            <w:tcW w:w="237" w:type="dxa"/>
            <w:tcBorders/>
          </w:tcPr>
          <w:p>
            <w:pPr>
              <w:pStyle w:val="TableContents"/>
              <w:bidi w:val="0"/>
              <w:spacing w:before="0" w:after="283"/>
              <w:jc w:val="left"/>
              <w:rPr/>
            </w:pPr>
            <w:r>
              <w:rPr/>
              <w:t>(j)</w:t>
            </w:r>
          </w:p>
        </w:tc>
        <w:tc>
          <w:tcPr>
            <w:tcW w:w="12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485" w:type="dxa"/>
            <w:tcBorders/>
          </w:tcPr>
          <w:p>
            <w:pPr>
              <w:pStyle w:val="TableContents"/>
              <w:bidi w:val="0"/>
              <w:spacing w:before="0" w:after="283"/>
              <w:jc w:val="left"/>
              <w:rPr/>
            </w:pPr>
            <w:r>
              <w:rPr/>
              <w:t>A non-U.S. institution in accordance with §240.13d-1(b)(1)(ii)(J).</w:t>
            </w:r>
          </w:p>
        </w:tc>
      </w:tr>
      <w:tr>
        <w:trPr>
          <w:trHeight w:val="120" w:hRule="atLeast"/>
        </w:trPr>
        <w:tc>
          <w:tcPr>
            <w:tcW w:w="237" w:type="dxa"/>
            <w:tcBorders/>
            <w:vAlign w:val="center"/>
          </w:tcPr>
          <w:p>
            <w:pPr>
              <w:pStyle w:val="TableContents"/>
              <w:bidi w:val="0"/>
              <w:spacing w:before="0" w:after="283"/>
              <w:jc w:val="left"/>
              <w:rPr>
                <w:sz w:val="4"/>
                <w:szCs w:val="4"/>
              </w:rPr>
            </w:pPr>
            <w:r>
              <w:rPr>
                <w:sz w:val="4"/>
                <w:szCs w:val="4"/>
              </w:rPr>
            </w:r>
          </w:p>
        </w:tc>
        <w:tc>
          <w:tcPr>
            <w:tcW w:w="362" w:type="dxa"/>
            <w:gridSpan w:val="2"/>
            <w:tcBorders/>
            <w:vAlign w:val="center"/>
          </w:tcPr>
          <w:p>
            <w:pPr>
              <w:pStyle w:val="TableContents"/>
              <w:bidi w:val="0"/>
              <w:spacing w:before="0" w:after="283"/>
              <w:jc w:val="left"/>
              <w:rPr>
                <w:sz w:val="4"/>
                <w:szCs w:val="4"/>
              </w:rPr>
            </w:pPr>
            <w:r>
              <w:rPr>
                <w:sz w:val="4"/>
                <w:szCs w:val="4"/>
              </w:rPr>
            </w:r>
          </w:p>
        </w:tc>
        <w:tc>
          <w:tcPr>
            <w:tcW w:w="9606" w:type="dxa"/>
            <w:gridSpan w:val="2"/>
            <w:tcBorders/>
            <w:vAlign w:val="center"/>
          </w:tcPr>
          <w:p>
            <w:pPr>
              <w:pStyle w:val="TableContents"/>
              <w:bidi w:val="0"/>
              <w:spacing w:before="0" w:after="283"/>
              <w:jc w:val="left"/>
              <w:rPr>
                <w:sz w:val="4"/>
                <w:szCs w:val="4"/>
              </w:rPr>
            </w:pPr>
            <w:r>
              <w:rPr>
                <w:sz w:val="4"/>
                <w:szCs w:val="4"/>
              </w:rPr>
            </w:r>
          </w:p>
        </w:tc>
      </w:tr>
      <w:tr>
        <w:trPr/>
        <w:tc>
          <w:tcPr>
            <w:tcW w:w="237" w:type="dxa"/>
            <w:tcBorders/>
          </w:tcPr>
          <w:p>
            <w:pPr>
              <w:pStyle w:val="TableContents"/>
              <w:bidi w:val="0"/>
              <w:spacing w:before="0" w:after="283"/>
              <w:jc w:val="left"/>
              <w:rPr/>
            </w:pPr>
            <w:r>
              <w:rPr/>
              <w:t>(k)</w:t>
            </w:r>
          </w:p>
        </w:tc>
        <w:tc>
          <w:tcPr>
            <w:tcW w:w="12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485" w:type="dxa"/>
            <w:tcBorders/>
          </w:tcPr>
          <w:p>
            <w:pPr>
              <w:pStyle w:val="TableContents"/>
              <w:bidi w:val="0"/>
              <w:spacing w:before="0" w:after="283"/>
              <w:jc w:val="left"/>
              <w:rPr/>
            </w:pPr>
            <w:r>
              <w:rPr/>
              <w:t>Group, in accordance with §240.13d-1(b)(1)(ii)(K). If filing as a non-U.S. institution in accordance with §240.13d-1(b)(1)(ii)(J), please specify the type of institution: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Reference is made to Items 5  11 on the preceding pages of this Schedule 13G. </w:t>
      </w:r>
    </w:p>
    <w:p>
      <w:pPr>
        <w:pStyle w:val="TextBody"/>
        <w:bidi w:val="0"/>
        <w:spacing w:before="240" w:after="0"/>
        <w:jc w:val="left"/>
        <w:rPr>
          <w:rFonts w:ascii="Times New Roman" w:hAnsi="Times New Roman"/>
          <w:sz w:val="20"/>
        </w:rPr>
      </w:pPr>
      <w:r>
        <w:rPr>
          <w:rFonts w:ascii="Times New Roman" w:hAnsi="Times New Roman"/>
          <w:sz w:val="20"/>
        </w:rPr>
        <w:t xml:space="preserve">Master Fund and Soleus PE (collectively, the Funds) collectively hold, as of the close of business on July 24, 2023, an aggregate of 48,387,095 ordinary shares (the Shares) of the Issuer. </w:t>
      </w:r>
    </w:p>
    <w:p>
      <w:pPr>
        <w:pStyle w:val="TextBody"/>
        <w:bidi w:val="0"/>
        <w:spacing w:before="240" w:after="0"/>
        <w:jc w:val="left"/>
        <w:rPr>
          <w:rFonts w:ascii="Times New Roman" w:hAnsi="Times New Roman"/>
          <w:sz w:val="20"/>
        </w:rPr>
      </w:pPr>
      <w:r>
        <w:rPr>
          <w:rFonts w:ascii="Times New Roman" w:hAnsi="Times New Roman"/>
          <w:sz w:val="20"/>
        </w:rPr>
        <w:t xml:space="preserve">As the general partner of Soleus PE, Soleus GP may be deemed to have shared power to vote or direct the vote and to dispose or to direct the disposition of the Shares held by Soleus PE. As the sole manager of Soleus GP, Soleus PE GP III, LLC may be deemed to have shared power to vote or to direct the vote and to dispose or direct the disposition of the Shares held by Soleus PE. As the sole managing member of Soleus PE GP III, LLC, Mr. Guy Levy may be deemed to have shared power to vote or direct the vote and to dispose or to direct the disposition of the Shares held by Soleus PE. </w:t>
      </w:r>
    </w:p>
    <w:p>
      <w:pPr>
        <w:pStyle w:val="TextBody"/>
        <w:bidi w:val="0"/>
        <w:spacing w:before="240" w:after="0"/>
        <w:jc w:val="left"/>
        <w:rPr>
          <w:rFonts w:ascii="Times New Roman" w:hAnsi="Times New Roman"/>
          <w:sz w:val="20"/>
        </w:rPr>
      </w:pPr>
      <w:r>
        <w:rPr>
          <w:rFonts w:ascii="Times New Roman" w:hAnsi="Times New Roman"/>
          <w:sz w:val="20"/>
        </w:rPr>
        <w:t xml:space="preserve">As the general partner of Master Fund, Soleus Capital, LLC may be deemed to have shared power to vote or direct the vote and to dispose or to direct the disposition of the Shares held by Master Fund. As the sole managing member of Soleus Capital, LLC, Soleus Capital Group, LLC may be deemed to have shared power to vote or to direct the vote and to dispose or direct the disposition of the Shares held by Master Fund. As the sole managing member of Soleus Capital Group, LLC, Mr. Guy Levy may be deemed to have shared power to vote or direct the vote and to dispose or to direct the disposition of the Shares held by Master Fund.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the filing of this Schedule 13G nor any of its contents shall be deemed to constitute an admission that Mr. Levy, Soleus PE GP III, LLC, Soleus GP, Soleus Capital, LLC or Soleus Capital Group, LLC is the beneficial owner of the ordinary shares referred to herein for purposes of Section 13(d) of the Securities Exchange Act of 1934, as amended, or for any other purpose, except to the extent of their respective pecuniary interest therein, and such beneficial ownership is expressly disclaimed.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Five Percent or Less of a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More than Five Percent on Behalf of Another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7.</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the Subsidiary Which Acquired the Security Being Reported on By the Parent Holding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Members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9.</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Dissolution of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10.</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By signing below I certify that, to the best of my knowledge and belief, the securities referred to above were not acquired and are not held for the purpose, or with the effect, of changing or influencing the control of the issuer of the securities and were not acquired and are not held in connection with or as a participant in any transaction having that purpose or effect.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the undersigned certify that the information set forth in this statement is true, complete and correct.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3"/>
        <w:gridCol w:w="109"/>
        <w:gridCol w:w="393"/>
        <w:gridCol w:w="109"/>
        <w:gridCol w:w="608"/>
        <w:gridCol w:w="109"/>
        <w:gridCol w:w="4484"/>
      </w:tblGrid>
      <w:tr>
        <w:trPr/>
        <w:tc>
          <w:tcPr>
            <w:tcW w:w="439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84" w:type="dxa"/>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pPr>
            <w:r>
              <w:rPr/>
              <w:t>Soleus Private Equity Fund III, L.P.</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Soleus Private Equity GP III, LLC, its General Partner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Soleus PE GP III, LLC, its Manager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Managing Member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310" w:type="dxa"/>
            <w:gridSpan w:val="4"/>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pPr>
            <w:r>
              <w:rPr/>
              <w:t>Soleus Private Equity GP III, LLC</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Soleus PE GP III, LLC, its Manager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Managing Member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310" w:type="dxa"/>
            <w:gridSpan w:val="4"/>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pPr>
            <w:r>
              <w:rPr/>
              <w:t>Soleus PE GP III, LLC</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Managing Member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310" w:type="dxa"/>
            <w:gridSpan w:val="4"/>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pPr>
            <w:r>
              <w:rPr/>
              <w:t>Soleus Capital Master Fund, L.P.</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Soleus Capital, LLC, its General Partner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Soleus Capital Group, LLC, its Managing Manager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Managing Member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310" w:type="dxa"/>
            <w:gridSpan w:val="4"/>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pPr>
            <w:r>
              <w:rPr/>
              <w:t>Soleus Capital, LLC</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Soleus Capital Group, LLC, its Managing Manager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Managing Member</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393"/>
        <w:gridCol w:w="109"/>
        <w:gridCol w:w="393"/>
        <w:gridCol w:w="109"/>
        <w:gridCol w:w="608"/>
        <w:gridCol w:w="109"/>
        <w:gridCol w:w="4484"/>
      </w:tblGrid>
      <w:tr>
        <w:trPr/>
        <w:tc>
          <w:tcPr>
            <w:tcW w:w="439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8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310" w:type="dxa"/>
            <w:gridSpan w:val="4"/>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pPr>
            <w:r>
              <w:rPr/>
              <w:t>Soleus Capital Group, LLC</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Managing Member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310" w:type="dxa"/>
            <w:gridSpan w:val="4"/>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9"/>
        <w:gridCol w:w="221"/>
        <w:gridCol w:w="8965"/>
      </w:tblGrid>
      <w:tr>
        <w:trPr/>
        <w:tc>
          <w:tcPr>
            <w:tcW w:w="1019"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8965" w:type="dxa"/>
            <w:tcBorders/>
            <w:vAlign w:val="center"/>
          </w:tcPr>
          <w:p>
            <w:pPr>
              <w:pStyle w:val="TableContents"/>
              <w:bidi w:val="0"/>
              <w:spacing w:before="0" w:after="283"/>
              <w:jc w:val="left"/>
              <w:rPr>
                <w:sz w:val="4"/>
                <w:szCs w:val="4"/>
              </w:rPr>
            </w:pPr>
            <w:r>
              <w:rPr>
                <w:sz w:val="4"/>
                <w:szCs w:val="4"/>
              </w:rPr>
            </w:r>
          </w:p>
        </w:tc>
      </w:tr>
      <w:tr>
        <w:trPr/>
        <w:tc>
          <w:tcPr>
            <w:tcW w:w="1019" w:type="dxa"/>
            <w:tcBorders/>
          </w:tcPr>
          <w:p>
            <w:pPr>
              <w:pStyle w:val="TableContents"/>
              <w:bidi w:val="0"/>
              <w:spacing w:before="0" w:after="283"/>
              <w:jc w:val="left"/>
              <w:rPr>
                <w:b/>
              </w:rPr>
            </w:pPr>
            <w:r>
              <w:rPr>
                <w:b/>
              </w:rPr>
              <w:t>Footnotes:</w:t>
            </w:r>
          </w:p>
        </w:tc>
        <w:tc>
          <w:tcPr>
            <w:tcW w:w="221" w:type="dxa"/>
            <w:tcBorders/>
            <w:vAlign w:val="bottom"/>
          </w:tcPr>
          <w:p>
            <w:pPr>
              <w:pStyle w:val="TableContents"/>
              <w:bidi w:val="0"/>
              <w:spacing w:before="0" w:after="283"/>
              <w:jc w:val="left"/>
              <w:rPr/>
            </w:pPr>
            <w:r>
              <w:rPr/>
              <w:t>  </w:t>
            </w:r>
          </w:p>
        </w:tc>
        <w:tc>
          <w:tcPr>
            <w:tcW w:w="8965" w:type="dxa"/>
            <w:tcBorders/>
          </w:tcPr>
          <w:p>
            <w:pPr>
              <w:pStyle w:val="TableContents"/>
              <w:bidi w:val="0"/>
              <w:spacing w:before="0" w:after="283"/>
              <w:jc w:val="left"/>
              <w:rPr>
                <w:sz w:val="4"/>
                <w:szCs w:val="4"/>
              </w:rPr>
            </w:pPr>
            <w:r>
              <w:rPr>
                <w:sz w:val="4"/>
                <w:szCs w:val="4"/>
              </w:rPr>
            </w:r>
          </w:p>
        </w:tc>
      </w:tr>
      <w:tr>
        <w:trPr>
          <w:trHeight w:val="120" w:hRule="atLeast"/>
        </w:trPr>
        <w:tc>
          <w:tcPr>
            <w:tcW w:w="1019"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r>
      <w:tr>
        <w:trPr/>
        <w:tc>
          <w:tcPr>
            <w:tcW w:w="1019" w:type="dxa"/>
            <w:tcBorders/>
          </w:tcPr>
          <w:p>
            <w:pPr>
              <w:pStyle w:val="TableContents"/>
              <w:bidi w:val="0"/>
              <w:spacing w:before="0" w:after="283"/>
              <w:jc w:val="left"/>
              <w:rPr>
                <w:b/>
              </w:rPr>
            </w:pPr>
            <w:r>
              <w:rPr>
                <w:b/>
              </w:rPr>
              <w:t>Attention:</w:t>
            </w:r>
          </w:p>
        </w:tc>
        <w:tc>
          <w:tcPr>
            <w:tcW w:w="221" w:type="dxa"/>
            <w:tcBorders/>
            <w:vAlign w:val="bottom"/>
          </w:tcPr>
          <w:p>
            <w:pPr>
              <w:pStyle w:val="TableContents"/>
              <w:bidi w:val="0"/>
              <w:spacing w:before="0" w:after="283"/>
              <w:jc w:val="left"/>
              <w:rPr/>
            </w:pPr>
            <w:r>
              <w:rPr/>
              <w:t>  </w:t>
            </w:r>
          </w:p>
        </w:tc>
        <w:tc>
          <w:tcPr>
            <w:tcW w:w="8965" w:type="dxa"/>
            <w:tcBorders/>
          </w:tcPr>
          <w:p>
            <w:pPr>
              <w:pStyle w:val="TableContents"/>
              <w:bidi w:val="0"/>
              <w:spacing w:before="0" w:after="283"/>
              <w:jc w:val="left"/>
              <w:rPr>
                <w:b/>
              </w:rPr>
            </w:pPr>
            <w:r>
              <w:rPr>
                <w:b/>
              </w:rPr>
              <w:t>Intentional misstatements or omissions of fact constitute Federal criminal violations (See 18 U.S.C. 1001)</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2" w:name="d542815dex99a.htm"/>
      <w:bookmarkStart w:id="3" w:name="ksd542815dex99a"/>
      <w:bookmarkEnd w:id="2"/>
      <w:bookmarkEnd w:id="3"/>
      <w:r>
        <w:rPr>
          <w:rFonts w:ascii="Times New Roman" w:hAnsi="Times New Roman"/>
          <w:b/>
          <w:sz w:val="20"/>
        </w:rPr>
        <w:t xml:space="preserve">EXHIBIT 99.A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EXHIBIT A </w:t>
      </w:r>
    </w:p>
    <w:p>
      <w:pPr>
        <w:pStyle w:val="TextBody"/>
        <w:bidi w:val="0"/>
        <w:spacing w:before="0" w:after="0"/>
        <w:jc w:val="center"/>
        <w:rPr>
          <w:rFonts w:ascii="Times New Roman" w:hAnsi="Times New Roman"/>
          <w:sz w:val="20"/>
        </w:rPr>
      </w:pPr>
      <w:r>
        <w:rPr>
          <w:rFonts w:ascii="Times New Roman" w:hAnsi="Times New Roman"/>
          <w:sz w:val="20"/>
        </w:rPr>
        <w:t xml:space="preserve">JOINT FILING AGREEMENT </w:t>
      </w:r>
    </w:p>
    <w:p>
      <w:pPr>
        <w:pStyle w:val="TextBody"/>
        <w:bidi w:val="0"/>
        <w:spacing w:before="240" w:after="0"/>
        <w:jc w:val="left"/>
        <w:rPr>
          <w:rFonts w:ascii="Times New Roman" w:hAnsi="Times New Roman"/>
          <w:sz w:val="20"/>
        </w:rPr>
      </w:pPr>
      <w:r>
        <w:rPr>
          <w:rFonts w:ascii="Times New Roman" w:hAnsi="Times New Roman"/>
          <w:sz w:val="20"/>
        </w:rPr>
        <w:t xml:space="preserve">Soleus Private Equity GP III, LLC, a Delaware limited liability company, Soleus Private Equity Fund III, L.P., a Delaware limited partnership, Soleus PE GP III, LLC, a Delaware limited liability company, Soleus Capital Master Fund, L.P., a Cayman Islands exempted limited partnership, Soleus Capital, LLC, a Delaware limited liability company, Soleus Capital Group, LLC, a Delaware limited liability company, and Guy Levy, an individual, hereby agree to file jointly the statement on Schedule 13G to which this Joint Filing Agreement is attached, and any amendments thereto which may be deemed necessary, pursuant to Regulation 13D-G under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and agreed that a copy of this Agreement shall be attached as an exhibit to the statement on Schedule 13G, and any amendments hereto, filed on behalf of each of the parties 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3"/>
        <w:gridCol w:w="109"/>
        <w:gridCol w:w="393"/>
        <w:gridCol w:w="109"/>
        <w:gridCol w:w="608"/>
        <w:gridCol w:w="109"/>
        <w:gridCol w:w="4484"/>
      </w:tblGrid>
      <w:tr>
        <w:trPr/>
        <w:tc>
          <w:tcPr>
            <w:tcW w:w="439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84" w:type="dxa"/>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pPr>
            <w:r>
              <w:rPr/>
              <w:t>Soleus Private Equity Fund III, L.P.</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Soleus Private Equity GP III, LLC, its General Partner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Soleus PE GP III, LLC, its Manager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Managing Member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310" w:type="dxa"/>
            <w:gridSpan w:val="4"/>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pPr>
            <w:r>
              <w:rPr/>
              <w:t>Soleus Private Equity GP III, LLC</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Soleus PE GP III, LLC, its Manager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Managing Member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310" w:type="dxa"/>
            <w:gridSpan w:val="4"/>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pPr>
            <w:r>
              <w:rPr/>
              <w:t>Soleus PE GP III, LLC</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Managing Member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310" w:type="dxa"/>
            <w:gridSpan w:val="4"/>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pPr>
            <w:r>
              <w:rPr/>
              <w:t>Soleus Capital Master Fund, L.P.</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Soleus Capital, LLC, its General Partner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Soleus Capital Group, LLC, its Managing Manager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Managing Member</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393"/>
        <w:gridCol w:w="109"/>
        <w:gridCol w:w="393"/>
        <w:gridCol w:w="109"/>
        <w:gridCol w:w="608"/>
        <w:gridCol w:w="109"/>
        <w:gridCol w:w="4484"/>
      </w:tblGrid>
      <w:tr>
        <w:trPr/>
        <w:tc>
          <w:tcPr>
            <w:tcW w:w="439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84" w:type="dxa"/>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pPr>
            <w:r>
              <w:rPr/>
              <w:t>Soleus Capital, LLC</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Soleus Capital Group, LLC, its Managing Manager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Managing Member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310" w:type="dxa"/>
            <w:gridSpan w:val="4"/>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bidi w:val="0"/>
              <w:spacing w:before="0" w:after="283"/>
              <w:jc w:val="left"/>
              <w:rPr/>
            </w:pPr>
            <w:r>
              <w:rPr/>
              <w:t>Soleus Capital Group, LLC</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Managing Member</w:t>
            </w:r>
          </w:p>
        </w:tc>
      </w:tr>
      <w:tr>
        <w:trPr>
          <w:trHeight w:val="240" w:hRule="atLeast"/>
        </w:trPr>
        <w:tc>
          <w:tcPr>
            <w:tcW w:w="4393"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5310" w:type="dxa"/>
            <w:gridSpan w:val="4"/>
            <w:tcBorders/>
            <w:vAlign w:val="center"/>
          </w:tcPr>
          <w:p>
            <w:pPr>
              <w:pStyle w:val="TableContents"/>
              <w:bidi w:val="0"/>
              <w:spacing w:before="0" w:after="283"/>
              <w:jc w:val="left"/>
              <w:rPr>
                <w:sz w:val="4"/>
                <w:szCs w:val="4"/>
              </w:rPr>
            </w:pPr>
            <w:r>
              <w:rPr>
                <w:sz w:val="4"/>
                <w:szCs w:val="4"/>
              </w:rPr>
            </w:r>
          </w:p>
        </w:tc>
      </w:tr>
      <w:tr>
        <w:trPr/>
        <w:tc>
          <w:tcPr>
            <w:tcW w:w="4393" w:type="dxa"/>
            <w:tcBorders/>
          </w:tcPr>
          <w:p>
            <w:pPr>
              <w:pStyle w:val="TableContents"/>
              <w:bidi w:val="0"/>
              <w:spacing w:before="0" w:after="283"/>
              <w:jc w:val="left"/>
              <w:rPr/>
            </w:pPr>
            <w:r>
              <w:rPr>
                <w:b/>
              </w:rPr>
              <w:t>Date</w:t>
            </w:r>
            <w:r>
              <w:rPr/>
              <w:t>: July 26, 2023</w:t>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01"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Guy Levy</w:t>
            </w:r>
          </w:p>
        </w:tc>
      </w:tr>
      <w:tr>
        <w:trPr/>
        <w:tc>
          <w:tcPr>
            <w:tcW w:w="4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84" w:type="dxa"/>
            <w:tcBorders/>
          </w:tcPr>
          <w:p>
            <w:pPr>
              <w:pStyle w:val="TableContents"/>
              <w:bidi w:val="0"/>
              <w:spacing w:before="0" w:after="283"/>
              <w:jc w:val="left"/>
              <w:rPr/>
            </w:pPr>
            <w:r>
              <w:rPr/>
              <w:t>Guy Levy</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3546</Words>
  <Characters>17066</Characters>
  <CharactersWithSpaces>21100</CharactersWithSpaces>
  <Paragraphs>1081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EX-99.A</dc:title>
</cp:coreProperties>
</file>