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Ordinary shares, nominal value £0.003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jc w:val="both"/>
        <w:ind w:left="1300" w:right="8580" w:firstLine="4"/>
        <w:spacing w:after="0" w:line="563" w:lineRule="auto"/>
        <w:tabs>
          <w:tab w:leader="none" w:pos="15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01"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 w:name="page2"/>
    <w:bookmarkEnd w:id="1"/>
    <w:tbl>
      <w:tblPr>
        <w:tblLayout w:type="fixed"/>
        <w:tblInd w:w="10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22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w w:val="99"/>
              </w:rPr>
              <w:t>589492107</w:t>
            </w:r>
          </w:p>
        </w:tc>
      </w:tr>
    </w:tbl>
    <w:p>
      <w:pPr>
        <w:spacing w:after="0" w:line="200" w:lineRule="exact"/>
        <w:rPr>
          <w:sz w:val="20"/>
          <w:szCs w:val="20"/>
          <w:color w:val="auto"/>
        </w:rPr>
      </w:pPr>
    </w:p>
    <w:p>
      <w:pPr>
        <w:spacing w:after="0" w:line="218" w:lineRule="exact"/>
        <w:rPr>
          <w:sz w:val="20"/>
          <w:szCs w:val="20"/>
          <w:color w:val="auto"/>
        </w:rPr>
      </w:pPr>
    </w:p>
    <w:p>
      <w:pPr>
        <w:ind w:left="1000" w:hanging="895"/>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436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Suvretta Capital Management, LLC</w:t>
      </w:r>
    </w:p>
    <w:p>
      <w:pPr>
        <w:spacing w:after="0" w:line="1" w:lineRule="exact"/>
        <w:rPr>
          <w:rFonts w:ascii="Arial" w:cs="Arial" w:eastAsia="Arial" w:hAnsi="Arial"/>
          <w:sz w:val="18"/>
          <w:szCs w:val="18"/>
          <w:color w:val="auto"/>
        </w:rPr>
      </w:pPr>
    </w:p>
    <w:p>
      <w:pPr>
        <w:ind w:left="1000" w:hanging="895"/>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1000" w:hanging="895"/>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280" w:hanging="895"/>
        <w:spacing w:after="0" w:line="50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000" w:right="8100" w:hanging="895"/>
        <w:spacing w:after="0" w:line="500"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000" w:right="7820" w:hanging="895"/>
        <w:spacing w:after="0" w:line="500"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45,710,335</w:t>
      </w:r>
      <w:hyperlink w:anchor="page2">
        <w:r>
          <w:rPr>
            <w:rFonts w:ascii="Arial" w:cs="Arial" w:eastAsia="Arial" w:hAnsi="Arial"/>
            <w:sz w:val="11"/>
            <w:szCs w:val="11"/>
            <w:u w:val="single" w:color="auto"/>
            <w:color w:val="0000EE"/>
          </w:rPr>
          <w:t>1</w:t>
        </w:r>
      </w:hyperlink>
    </w:p>
    <w:p>
      <w:pPr>
        <w:spacing w:after="0" w:line="1" w:lineRule="exact"/>
        <w:rPr>
          <w:rFonts w:ascii="Arial" w:cs="Arial" w:eastAsia="Arial" w:hAnsi="Arial"/>
          <w:sz w:val="18"/>
          <w:szCs w:val="18"/>
          <w:color w:val="auto"/>
        </w:rPr>
      </w:pPr>
    </w:p>
    <w:p>
      <w:pPr>
        <w:ind w:left="1000" w:right="7700" w:hanging="895"/>
        <w:spacing w:after="0" w:line="500"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000" w:right="7420" w:hanging="895"/>
        <w:spacing w:after="0" w:line="500"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45,710,335</w:t>
      </w:r>
    </w:p>
    <w:p>
      <w:pPr>
        <w:spacing w:after="0" w:line="1" w:lineRule="exact"/>
        <w:rPr>
          <w:rFonts w:ascii="Arial" w:cs="Arial" w:eastAsia="Arial" w:hAnsi="Arial"/>
          <w:sz w:val="18"/>
          <w:szCs w:val="18"/>
          <w:color w:val="auto"/>
        </w:rPr>
      </w:pPr>
    </w:p>
    <w:p>
      <w:pPr>
        <w:ind w:left="1000" w:hanging="895"/>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45,710,335</w:t>
      </w:r>
    </w:p>
    <w:p>
      <w:pPr>
        <w:spacing w:after="0" w:line="225" w:lineRule="exact"/>
        <w:rPr>
          <w:sz w:val="20"/>
          <w:szCs w:val="20"/>
          <w:color w:val="auto"/>
        </w:rPr>
      </w:pPr>
    </w:p>
    <w:p>
      <w:pPr>
        <w:ind w:left="100"/>
        <w:spacing w:after="0"/>
        <w:tabs>
          <w:tab w:leader="none" w:pos="980" w:val="left"/>
          <w:tab w:leader="none" w:pos="102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[_]</w:t>
      </w:r>
    </w:p>
    <w:p>
      <w:pPr>
        <w:spacing w:after="0" w:line="225" w:lineRule="exact"/>
        <w:rPr>
          <w:sz w:val="20"/>
          <w:szCs w:val="20"/>
          <w:color w:val="auto"/>
        </w:rPr>
      </w:pPr>
    </w:p>
    <w:p>
      <w:pPr>
        <w:ind w:left="1000" w:right="4900" w:hanging="895"/>
        <w:spacing w:after="0" w:line="50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8.4%</w:t>
      </w:r>
    </w:p>
    <w:p>
      <w:pPr>
        <w:spacing w:after="0" w:line="1" w:lineRule="exact"/>
        <w:rPr>
          <w:rFonts w:ascii="Arial" w:cs="Arial" w:eastAsia="Arial" w:hAnsi="Arial"/>
          <w:sz w:val="18"/>
          <w:szCs w:val="18"/>
          <w:color w:val="auto"/>
        </w:rPr>
      </w:pPr>
    </w:p>
    <w:p>
      <w:pPr>
        <w:ind w:left="1000" w:right="5620" w:hanging="895"/>
        <w:spacing w:after="0" w:line="52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564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308" w:lineRule="auto"/>
        <w:rPr>
          <w:rFonts w:ascii="Arial" w:cs="Arial" w:eastAsia="Arial" w:hAnsi="Arial"/>
          <w:sz w:val="12"/>
          <w:szCs w:val="12"/>
          <w:color w:val="0000EE"/>
        </w:rPr>
      </w:pPr>
      <w:hyperlink w:anchor="page2">
        <w:r>
          <w:rPr>
            <w:rFonts w:ascii="Arial" w:cs="Arial" w:eastAsia="Arial" w:hAnsi="Arial"/>
            <w:sz w:val="12"/>
            <w:szCs w:val="12"/>
            <w:u w:val="single" w:color="auto"/>
            <w:color w:val="0000EE"/>
          </w:rPr>
          <w:t>1</w:t>
        </w:r>
      </w:hyperlink>
      <w:r>
        <w:rPr>
          <w:rFonts w:ascii="Arial" w:cs="Arial" w:eastAsia="Arial" w:hAnsi="Arial"/>
          <w:sz w:val="17"/>
          <w:szCs w:val="17"/>
          <w:color w:val="000000"/>
        </w:rPr>
        <w:t>The</w:t>
      </w:r>
      <w:r>
        <w:rPr>
          <w:rFonts w:ascii="Arial" w:cs="Arial" w:eastAsia="Arial" w:hAnsi="Arial"/>
          <w:sz w:val="12"/>
          <w:szCs w:val="12"/>
          <w:color w:val="0000EE"/>
        </w:rPr>
        <w:t xml:space="preserve"> </w:t>
      </w:r>
      <w:r>
        <w:rPr>
          <w:rFonts w:ascii="Arial" w:cs="Arial" w:eastAsia="Arial" w:hAnsi="Arial"/>
          <w:sz w:val="17"/>
          <w:szCs w:val="17"/>
          <w:color w:val="000000"/>
        </w:rPr>
        <w:t>reporting person has beneficial ownership of 9,142,067 American Depositary Shares (each American Depositary Share represents five (5) ordinary</w:t>
      </w:r>
      <w:r>
        <w:rPr>
          <w:rFonts w:ascii="Arial" w:cs="Arial" w:eastAsia="Arial" w:hAnsi="Arial"/>
          <w:sz w:val="12"/>
          <w:szCs w:val="12"/>
          <w:color w:val="0000EE"/>
        </w:rPr>
        <w:t xml:space="preserve"> </w:t>
      </w:r>
      <w:r>
        <w:rPr>
          <w:rFonts w:ascii="Arial" w:cs="Arial" w:eastAsia="Arial" w:hAnsi="Arial"/>
          <w:sz w:val="17"/>
          <w:szCs w:val="17"/>
          <w:color w:val="000000"/>
        </w:rPr>
        <w:t>shares), which are convertible into 45,710,335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960"/>
          </w:cols>
          <w:pgMar w:left="320" w:top="1286" w:right="619" w:bottom="1440" w:gutter="0" w:footer="0" w:header="0"/>
        </w:sectPr>
      </w:pPr>
    </w:p>
    <w:bookmarkStart w:id="2" w:name="page3"/>
    <w:bookmarkEnd w:id="2"/>
    <w:tbl>
      <w:tblPr>
        <w:tblLayout w:type="fixed"/>
        <w:tblInd w:w="10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CUSIP No.</w:t>
            </w:r>
          </w:p>
        </w:tc>
        <w:tc>
          <w:tcPr>
            <w:tcW w:w="19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7"/>
              </w:rPr>
              <w:t>589492107</w:t>
            </w:r>
          </w:p>
        </w:tc>
      </w:tr>
    </w:tbl>
    <w:p>
      <w:pPr>
        <w:spacing w:after="0" w:line="200" w:lineRule="exact"/>
        <w:rPr>
          <w:sz w:val="20"/>
          <w:szCs w:val="20"/>
          <w:color w:val="auto"/>
        </w:rPr>
      </w:pPr>
    </w:p>
    <w:p>
      <w:pPr>
        <w:spacing w:after="0" w:line="218" w:lineRule="exact"/>
        <w:rPr>
          <w:sz w:val="20"/>
          <w:szCs w:val="20"/>
          <w:color w:val="auto"/>
        </w:rPr>
      </w:pPr>
    </w:p>
    <w:p>
      <w:pPr>
        <w:ind w:left="1000" w:hanging="895"/>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436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Averill Master Fund, Ltd.</w:t>
      </w:r>
    </w:p>
    <w:p>
      <w:pPr>
        <w:spacing w:after="0" w:line="1" w:lineRule="exact"/>
        <w:rPr>
          <w:rFonts w:ascii="Arial" w:cs="Arial" w:eastAsia="Arial" w:hAnsi="Arial"/>
          <w:sz w:val="18"/>
          <w:szCs w:val="18"/>
          <w:color w:val="auto"/>
        </w:rPr>
      </w:pPr>
    </w:p>
    <w:p>
      <w:pPr>
        <w:ind w:left="1000" w:hanging="895"/>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1000" w:hanging="895"/>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280" w:hanging="895"/>
        <w:spacing w:after="0" w:line="500"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000" w:right="8100" w:hanging="895"/>
        <w:spacing w:after="0" w:line="500"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000" w:right="7820" w:hanging="895"/>
        <w:spacing w:after="0" w:line="500"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45,710,335</w:t>
      </w:r>
      <w:hyperlink w:anchor="page3">
        <w:r>
          <w:rPr>
            <w:rFonts w:ascii="Arial" w:cs="Arial" w:eastAsia="Arial" w:hAnsi="Arial"/>
            <w:sz w:val="11"/>
            <w:szCs w:val="11"/>
            <w:u w:val="single" w:color="auto"/>
            <w:color w:val="0000EE"/>
          </w:rPr>
          <w:t>2</w:t>
        </w:r>
      </w:hyperlink>
    </w:p>
    <w:p>
      <w:pPr>
        <w:spacing w:after="0" w:line="1" w:lineRule="exact"/>
        <w:rPr>
          <w:rFonts w:ascii="Arial" w:cs="Arial" w:eastAsia="Arial" w:hAnsi="Arial"/>
          <w:sz w:val="18"/>
          <w:szCs w:val="18"/>
          <w:color w:val="auto"/>
        </w:rPr>
      </w:pPr>
    </w:p>
    <w:p>
      <w:pPr>
        <w:ind w:left="1000" w:right="7700" w:hanging="895"/>
        <w:spacing w:after="0" w:line="500"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000" w:right="7420" w:hanging="895"/>
        <w:spacing w:after="0" w:line="500"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45,710,335</w:t>
      </w:r>
    </w:p>
    <w:p>
      <w:pPr>
        <w:spacing w:after="0" w:line="1" w:lineRule="exact"/>
        <w:rPr>
          <w:rFonts w:ascii="Arial" w:cs="Arial" w:eastAsia="Arial" w:hAnsi="Arial"/>
          <w:sz w:val="18"/>
          <w:szCs w:val="18"/>
          <w:color w:val="auto"/>
        </w:rPr>
      </w:pPr>
    </w:p>
    <w:p>
      <w:pPr>
        <w:ind w:left="1000" w:right="3400" w:hanging="895"/>
        <w:spacing w:after="0" w:line="500"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45,710,335</w:t>
      </w:r>
    </w:p>
    <w:p>
      <w:pPr>
        <w:spacing w:after="0" w:line="2" w:lineRule="exact"/>
        <w:rPr>
          <w:sz w:val="20"/>
          <w:szCs w:val="20"/>
          <w:color w:val="auto"/>
        </w:rPr>
      </w:pPr>
    </w:p>
    <w:p>
      <w:pPr>
        <w:ind w:left="100"/>
        <w:spacing w:after="0"/>
        <w:tabs>
          <w:tab w:leader="none" w:pos="980" w:val="left"/>
          <w:tab w:leader="none" w:pos="102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[_]</w:t>
      </w:r>
    </w:p>
    <w:p>
      <w:pPr>
        <w:spacing w:after="0" w:line="225" w:lineRule="exact"/>
        <w:rPr>
          <w:sz w:val="20"/>
          <w:szCs w:val="20"/>
          <w:color w:val="auto"/>
        </w:rPr>
      </w:pPr>
    </w:p>
    <w:p>
      <w:pPr>
        <w:ind w:left="1000" w:right="4900" w:hanging="895"/>
        <w:spacing w:after="0" w:line="500"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8.4%</w:t>
      </w:r>
    </w:p>
    <w:p>
      <w:pPr>
        <w:spacing w:after="0" w:line="1" w:lineRule="exact"/>
        <w:rPr>
          <w:rFonts w:ascii="Arial" w:cs="Arial" w:eastAsia="Arial" w:hAnsi="Arial"/>
          <w:sz w:val="18"/>
          <w:szCs w:val="18"/>
          <w:color w:val="auto"/>
        </w:rPr>
      </w:pPr>
    </w:p>
    <w:p>
      <w:pPr>
        <w:ind w:left="1000" w:right="5620" w:hanging="895"/>
        <w:spacing w:after="0" w:line="52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71564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308" w:lineRule="auto"/>
        <w:rPr>
          <w:rFonts w:ascii="Arial" w:cs="Arial" w:eastAsia="Arial" w:hAnsi="Arial"/>
          <w:sz w:val="12"/>
          <w:szCs w:val="12"/>
          <w:color w:val="0000EE"/>
        </w:rPr>
      </w:pPr>
      <w:hyperlink w:anchor="page3">
        <w:r>
          <w:rPr>
            <w:rFonts w:ascii="Arial" w:cs="Arial" w:eastAsia="Arial" w:hAnsi="Arial"/>
            <w:sz w:val="12"/>
            <w:szCs w:val="12"/>
            <w:u w:val="single" w:color="auto"/>
            <w:color w:val="0000EE"/>
          </w:rPr>
          <w:t>2</w:t>
        </w:r>
      </w:hyperlink>
      <w:r>
        <w:rPr>
          <w:rFonts w:ascii="Arial" w:cs="Arial" w:eastAsia="Arial" w:hAnsi="Arial"/>
          <w:sz w:val="17"/>
          <w:szCs w:val="17"/>
          <w:color w:val="000000"/>
        </w:rPr>
        <w:t>The</w:t>
      </w:r>
      <w:r>
        <w:rPr>
          <w:rFonts w:ascii="Arial" w:cs="Arial" w:eastAsia="Arial" w:hAnsi="Arial"/>
          <w:sz w:val="12"/>
          <w:szCs w:val="12"/>
          <w:color w:val="0000EE"/>
        </w:rPr>
        <w:t xml:space="preserve"> </w:t>
      </w:r>
      <w:r>
        <w:rPr>
          <w:rFonts w:ascii="Arial" w:cs="Arial" w:eastAsia="Arial" w:hAnsi="Arial"/>
          <w:sz w:val="17"/>
          <w:szCs w:val="17"/>
          <w:color w:val="000000"/>
        </w:rPr>
        <w:t>reporting person has beneficial ownership of 9,142,067 American Depositary Shares (each American Depositary Share represents five (5) ordinary</w:t>
      </w:r>
      <w:r>
        <w:rPr>
          <w:rFonts w:ascii="Arial" w:cs="Arial" w:eastAsia="Arial" w:hAnsi="Arial"/>
          <w:sz w:val="12"/>
          <w:szCs w:val="12"/>
          <w:color w:val="0000EE"/>
        </w:rPr>
        <w:t xml:space="preserve"> </w:t>
      </w:r>
      <w:r>
        <w:rPr>
          <w:rFonts w:ascii="Arial" w:cs="Arial" w:eastAsia="Arial" w:hAnsi="Arial"/>
          <w:sz w:val="17"/>
          <w:szCs w:val="17"/>
          <w:color w:val="000000"/>
        </w:rPr>
        <w:t>shares), which are convertible into 45,710,335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960"/>
          </w:cols>
          <w:pgMar w:left="320" w:top="1070" w:right="619" w:bottom="1440" w:gutter="0" w:footer="0" w:header="0"/>
        </w:sectPr>
      </w:pPr>
    </w:p>
    <w:bookmarkStart w:id="3" w:name="page4"/>
    <w:bookmarkEnd w:id="3"/>
    <w:tbl>
      <w:tblPr>
        <w:tblLayout w:type="fixed"/>
        <w:tblInd w:w="10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17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589492107</w:t>
            </w:r>
          </w:p>
        </w:tc>
      </w:tr>
    </w:tbl>
    <w:p>
      <w:pPr>
        <w:spacing w:after="0" w:line="200" w:lineRule="exact"/>
        <w:rPr>
          <w:sz w:val="20"/>
          <w:szCs w:val="20"/>
          <w:color w:val="auto"/>
        </w:rPr>
      </w:pPr>
    </w:p>
    <w:p>
      <w:pPr>
        <w:spacing w:after="0" w:line="218" w:lineRule="exact"/>
        <w:rPr>
          <w:sz w:val="20"/>
          <w:szCs w:val="20"/>
          <w:color w:val="auto"/>
        </w:rPr>
      </w:pPr>
    </w:p>
    <w:p>
      <w:pPr>
        <w:ind w:left="1000" w:hanging="895"/>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436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Aaron Cowen</w:t>
      </w:r>
    </w:p>
    <w:p>
      <w:pPr>
        <w:spacing w:after="0" w:line="1" w:lineRule="exact"/>
        <w:rPr>
          <w:rFonts w:ascii="Arial" w:cs="Arial" w:eastAsia="Arial" w:hAnsi="Arial"/>
          <w:sz w:val="18"/>
          <w:szCs w:val="18"/>
          <w:color w:val="auto"/>
        </w:rPr>
      </w:pPr>
    </w:p>
    <w:p>
      <w:pPr>
        <w:ind w:left="1000" w:hanging="895"/>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1000" w:hanging="895"/>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hanging="895"/>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U.S.A.</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000" w:right="8100" w:hanging="895"/>
        <w:spacing w:after="0" w:line="50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000" w:right="7820" w:hanging="895"/>
        <w:spacing w:after="0" w:line="50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VOTING POWER 45,710,335</w:t>
      </w:r>
      <w:hyperlink w:anchor="page4">
        <w:r>
          <w:rPr>
            <w:rFonts w:ascii="Arial" w:cs="Arial" w:eastAsia="Arial" w:hAnsi="Arial"/>
            <w:sz w:val="11"/>
            <w:szCs w:val="11"/>
            <w:u w:val="single" w:color="auto"/>
            <w:color w:val="0000EE"/>
          </w:rPr>
          <w:t>3</w:t>
        </w:r>
      </w:hyperlink>
    </w:p>
    <w:p>
      <w:pPr>
        <w:spacing w:after="0" w:line="1" w:lineRule="exact"/>
        <w:rPr>
          <w:rFonts w:ascii="Arial" w:cs="Arial" w:eastAsia="Arial" w:hAnsi="Arial"/>
          <w:sz w:val="18"/>
          <w:szCs w:val="18"/>
          <w:color w:val="auto"/>
        </w:rPr>
      </w:pPr>
    </w:p>
    <w:p>
      <w:pPr>
        <w:ind w:left="1000" w:right="7700" w:hanging="895"/>
        <w:spacing w:after="0" w:line="50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000" w:right="7420" w:hanging="895"/>
        <w:spacing w:after="0" w:line="50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45,710,335</w:t>
      </w:r>
    </w:p>
    <w:p>
      <w:pPr>
        <w:spacing w:after="0" w:line="1" w:lineRule="exact"/>
        <w:rPr>
          <w:rFonts w:ascii="Arial" w:cs="Arial" w:eastAsia="Arial" w:hAnsi="Arial"/>
          <w:sz w:val="18"/>
          <w:szCs w:val="18"/>
          <w:color w:val="auto"/>
        </w:rPr>
      </w:pPr>
    </w:p>
    <w:p>
      <w:pPr>
        <w:ind w:left="1000" w:right="3400" w:hanging="895"/>
        <w:spacing w:after="0" w:line="50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45,710,335</w:t>
      </w:r>
    </w:p>
    <w:p>
      <w:pPr>
        <w:spacing w:after="0" w:line="2" w:lineRule="exact"/>
        <w:rPr>
          <w:sz w:val="20"/>
          <w:szCs w:val="20"/>
          <w:color w:val="auto"/>
        </w:rPr>
      </w:pPr>
    </w:p>
    <w:p>
      <w:pPr>
        <w:ind w:left="100"/>
        <w:spacing w:after="0"/>
        <w:tabs>
          <w:tab w:leader="none" w:pos="980" w:val="left"/>
          <w:tab w:leader="none" w:pos="102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[_]</w:t>
      </w:r>
    </w:p>
    <w:p>
      <w:pPr>
        <w:spacing w:after="0" w:line="225" w:lineRule="exact"/>
        <w:rPr>
          <w:sz w:val="20"/>
          <w:szCs w:val="20"/>
          <w:color w:val="auto"/>
        </w:rPr>
      </w:pPr>
    </w:p>
    <w:p>
      <w:pPr>
        <w:ind w:left="1000" w:right="4900" w:hanging="895"/>
        <w:spacing w:after="0" w:line="500"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8.4%</w:t>
      </w:r>
    </w:p>
    <w:p>
      <w:pPr>
        <w:spacing w:after="0" w:line="1" w:lineRule="exact"/>
        <w:rPr>
          <w:rFonts w:ascii="Arial" w:cs="Arial" w:eastAsia="Arial" w:hAnsi="Arial"/>
          <w:sz w:val="18"/>
          <w:szCs w:val="18"/>
          <w:color w:val="auto"/>
        </w:rPr>
      </w:pPr>
    </w:p>
    <w:p>
      <w:pPr>
        <w:ind w:left="1000" w:right="5620" w:hanging="895"/>
        <w:spacing w:after="0" w:line="52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71564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308" w:lineRule="auto"/>
        <w:rPr>
          <w:rFonts w:ascii="Arial" w:cs="Arial" w:eastAsia="Arial" w:hAnsi="Arial"/>
          <w:sz w:val="12"/>
          <w:szCs w:val="12"/>
          <w:color w:val="0000EE"/>
        </w:rPr>
      </w:pPr>
      <w:hyperlink w:anchor="page4">
        <w:r>
          <w:rPr>
            <w:rFonts w:ascii="Arial" w:cs="Arial" w:eastAsia="Arial" w:hAnsi="Arial"/>
            <w:sz w:val="12"/>
            <w:szCs w:val="12"/>
            <w:u w:val="single" w:color="auto"/>
            <w:color w:val="0000EE"/>
          </w:rPr>
          <w:t>3</w:t>
        </w:r>
      </w:hyperlink>
      <w:r>
        <w:rPr>
          <w:rFonts w:ascii="Arial" w:cs="Arial" w:eastAsia="Arial" w:hAnsi="Arial"/>
          <w:sz w:val="17"/>
          <w:szCs w:val="17"/>
          <w:color w:val="000000"/>
        </w:rPr>
        <w:t>The</w:t>
      </w:r>
      <w:r>
        <w:rPr>
          <w:rFonts w:ascii="Arial" w:cs="Arial" w:eastAsia="Arial" w:hAnsi="Arial"/>
          <w:sz w:val="12"/>
          <w:szCs w:val="12"/>
          <w:color w:val="0000EE"/>
        </w:rPr>
        <w:t xml:space="preserve"> </w:t>
      </w:r>
      <w:r>
        <w:rPr>
          <w:rFonts w:ascii="Arial" w:cs="Arial" w:eastAsia="Arial" w:hAnsi="Arial"/>
          <w:sz w:val="17"/>
          <w:szCs w:val="17"/>
          <w:color w:val="000000"/>
        </w:rPr>
        <w:t>reporting person has beneficial ownership of 9,142,067 American Depositary Shares (each American Depositary Share represents five (5) ordinary</w:t>
      </w:r>
      <w:r>
        <w:rPr>
          <w:rFonts w:ascii="Arial" w:cs="Arial" w:eastAsia="Arial" w:hAnsi="Arial"/>
          <w:sz w:val="12"/>
          <w:szCs w:val="12"/>
          <w:color w:val="0000EE"/>
        </w:rPr>
        <w:t xml:space="preserve"> </w:t>
      </w:r>
      <w:r>
        <w:rPr>
          <w:rFonts w:ascii="Arial" w:cs="Arial" w:eastAsia="Arial" w:hAnsi="Arial"/>
          <w:sz w:val="17"/>
          <w:szCs w:val="17"/>
          <w:color w:val="000000"/>
        </w:rPr>
        <w:t>shares), which are convertible into 45,710,335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960"/>
          </w:cols>
          <w:pgMar w:left="320" w:top="1111" w:right="6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960" w:type="dxa"/>
            <w:vAlign w:val="bottom"/>
          </w:tcPr>
          <w:p>
            <w:pPr>
              <w:ind w:left="100"/>
              <w:spacing w:after="0"/>
              <w:rPr>
                <w:sz w:val="20"/>
                <w:szCs w:val="20"/>
                <w:color w:val="auto"/>
              </w:rPr>
            </w:pPr>
            <w:r>
              <w:rPr>
                <w:rFonts w:ascii="Arial" w:cs="Arial" w:eastAsia="Arial" w:hAnsi="Arial"/>
                <w:sz w:val="18"/>
                <w:szCs w:val="18"/>
                <w:color w:val="auto"/>
                <w:w w:val="95"/>
              </w:rPr>
              <w:t>CUSIP No.</w:t>
            </w:r>
          </w:p>
        </w:tc>
        <w:tc>
          <w:tcPr>
            <w:tcW w:w="520" w:type="dxa"/>
            <w:vAlign w:val="bottom"/>
          </w:tcPr>
          <w:p>
            <w:pPr>
              <w:spacing w:after="0"/>
              <w:rPr>
                <w:sz w:val="20"/>
                <w:szCs w:val="20"/>
                <w:color w:val="auto"/>
              </w:rPr>
            </w:pPr>
          </w:p>
        </w:tc>
        <w:tc>
          <w:tcPr>
            <w:tcW w:w="190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8"/>
                <w:szCs w:val="18"/>
                <w:color w:val="auto"/>
                <w:w w:val="97"/>
              </w:rPr>
              <w:t>589492107</w:t>
            </w:r>
          </w:p>
        </w:tc>
        <w:tc>
          <w:tcPr>
            <w:tcW w:w="7860" w:type="dxa"/>
            <w:vAlign w:val="bottom"/>
          </w:tcPr>
          <w:p>
            <w:pPr>
              <w:spacing w:after="0"/>
              <w:rPr>
                <w:sz w:val="20"/>
                <w:szCs w:val="20"/>
                <w:color w:val="auto"/>
              </w:rPr>
            </w:pPr>
          </w:p>
        </w:tc>
      </w:tr>
      <w:tr>
        <w:trPr>
          <w:trHeight w:val="642"/>
        </w:trPr>
        <w:tc>
          <w:tcPr>
            <w:tcW w:w="960" w:type="dxa"/>
            <w:vAlign w:val="bottom"/>
          </w:tcPr>
          <w:p>
            <w:pPr>
              <w:ind w:left="100"/>
              <w:spacing w:after="0"/>
              <w:rPr>
                <w:sz w:val="20"/>
                <w:szCs w:val="20"/>
                <w:color w:val="auto"/>
              </w:rPr>
            </w:pPr>
            <w:r>
              <w:rPr>
                <w:rFonts w:ascii="Arial" w:cs="Arial" w:eastAsia="Arial" w:hAnsi="Arial"/>
                <w:sz w:val="18"/>
                <w:szCs w:val="18"/>
                <w:color w:val="auto"/>
              </w:rPr>
              <w:t>Item 1.</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Name of Issuer:</w:t>
            </w:r>
          </w:p>
        </w:tc>
      </w:tr>
      <w:tr>
        <w:trPr>
          <w:trHeight w:val="432"/>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Mereo BioPharma Group plc</w:t>
            </w:r>
          </w:p>
        </w:tc>
      </w:tr>
      <w:tr>
        <w:trPr>
          <w:trHeight w:val="426"/>
        </w:trPr>
        <w:tc>
          <w:tcPr>
            <w:tcW w:w="96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Fourth Floor, One Cavendish Place</w:t>
            </w:r>
          </w:p>
        </w:tc>
      </w:tr>
      <w:tr>
        <w:trPr>
          <w:trHeight w:val="230"/>
        </w:trPr>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London, W1G 0QF, United Kingdom</w:t>
            </w:r>
          </w:p>
        </w:tc>
      </w:tr>
      <w:tr>
        <w:trPr>
          <w:trHeight w:val="216"/>
        </w:trPr>
        <w:tc>
          <w:tcPr>
            <w:tcW w:w="96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9420" w:type="dxa"/>
            <w:vAlign w:val="bottom"/>
            <w:tcBorders>
              <w:bottom w:val="single" w:sz="8" w:color="auto"/>
            </w:tcBorders>
            <w:gridSpan w:val="2"/>
          </w:tcPr>
          <w:p>
            <w:pPr>
              <w:spacing w:after="0"/>
              <w:rPr>
                <w:sz w:val="18"/>
                <w:szCs w:val="18"/>
                <w:color w:val="auto"/>
              </w:rPr>
            </w:pPr>
          </w:p>
        </w:tc>
      </w:tr>
      <w:tr>
        <w:trPr>
          <w:trHeight w:val="426"/>
        </w:trPr>
        <w:tc>
          <w:tcPr>
            <w:tcW w:w="960" w:type="dxa"/>
            <w:vAlign w:val="bottom"/>
          </w:tcPr>
          <w:p>
            <w:pPr>
              <w:ind w:left="100"/>
              <w:spacing w:after="0"/>
              <w:rPr>
                <w:sz w:val="20"/>
                <w:szCs w:val="20"/>
                <w:color w:val="auto"/>
              </w:rPr>
            </w:pPr>
            <w:r>
              <w:rPr>
                <w:rFonts w:ascii="Arial" w:cs="Arial" w:eastAsia="Arial" w:hAnsi="Arial"/>
                <w:sz w:val="18"/>
                <w:szCs w:val="18"/>
                <w:color w:val="auto"/>
              </w:rPr>
              <w:t>Item 2.</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(a) – (c)</w:t>
            </w: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Name, Principal Business Address, and Citizenship of Persons Filing:</w:t>
            </w:r>
          </w:p>
        </w:tc>
      </w:tr>
      <w:tr>
        <w:trPr>
          <w:trHeight w:val="418"/>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Suvretta Capital Management, LLC – Delaware</w:t>
            </w: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Averill Master Fund, Ltd. – Cayman Islands</w:t>
            </w:r>
          </w:p>
        </w:tc>
      </w:tr>
      <w:tr>
        <w:trPr>
          <w:trHeight w:val="230"/>
        </w:trPr>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Aaron Cowen – U.S.A.</w:t>
            </w:r>
          </w:p>
        </w:tc>
      </w:tr>
      <w:tr>
        <w:trPr>
          <w:trHeight w:val="411"/>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Suvretta Capital Management, LLC:</w:t>
            </w: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540 Madison Avenue, 7th Floor</w:t>
            </w: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New York, New York 10022</w:t>
            </w:r>
          </w:p>
        </w:tc>
      </w:tr>
      <w:tr>
        <w:trPr>
          <w:trHeight w:val="230"/>
        </w:trPr>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r>
      <w:tr>
        <w:trPr>
          <w:trHeight w:val="418"/>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Averill Master Fund, Ltd.:</w:t>
            </w: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c/o Maples Corporate Services Limited</w:t>
            </w: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P.O. Box 309</w:t>
            </w: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Ugland House</w:t>
            </w: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Grand Cayman KY1-1104</w:t>
            </w:r>
          </w:p>
        </w:tc>
      </w:tr>
      <w:tr>
        <w:trPr>
          <w:trHeight w:val="230"/>
        </w:trPr>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Cayman Islands</w:t>
            </w:r>
          </w:p>
        </w:tc>
      </w:tr>
      <w:tr>
        <w:trPr>
          <w:trHeight w:val="418"/>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Aaron Cowen:</w:t>
            </w: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c/o Suvretta Capital Management, LLC</w:t>
            </w: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540 Madison Avenue, 7th Floor</w:t>
            </w:r>
          </w:p>
        </w:tc>
      </w:tr>
      <w:tr>
        <w:trPr>
          <w:trHeight w:val="230"/>
        </w:trPr>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New York, New York 10022</w:t>
            </w:r>
          </w:p>
        </w:tc>
      </w:tr>
      <w:tr>
        <w:trPr>
          <w:trHeight w:val="426"/>
        </w:trPr>
        <w:tc>
          <w:tcPr>
            <w:tcW w:w="96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(d).</w:t>
            </w: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Ordinary shares, nominal value £0.003 per share (the “Ordinary Shares”)</w:t>
            </w:r>
          </w:p>
        </w:tc>
      </w:tr>
      <w:tr>
        <w:trPr>
          <w:trHeight w:val="426"/>
        </w:trPr>
        <w:tc>
          <w:tcPr>
            <w:tcW w:w="96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(e).</w:t>
            </w: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CUSIP Number:</w:t>
            </w:r>
          </w:p>
        </w:tc>
      </w:tr>
      <w:tr>
        <w:trPr>
          <w:trHeight w:val="432"/>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589492107</w:t>
            </w:r>
          </w:p>
        </w:tc>
        <w:tc>
          <w:tcPr>
            <w:tcW w:w="7860" w:type="dxa"/>
            <w:vAlign w:val="bottom"/>
            <w:tcBorders>
              <w:bottom w:val="single" w:sz="8" w:color="auto"/>
            </w:tcBorders>
          </w:tcPr>
          <w:p>
            <w:pPr>
              <w:spacing w:after="0"/>
              <w:rPr>
                <w:sz w:val="24"/>
                <w:szCs w:val="24"/>
                <w:color w:val="auto"/>
              </w:rPr>
            </w:pPr>
          </w:p>
        </w:tc>
      </w:tr>
      <w:tr>
        <w:trPr>
          <w:trHeight w:val="689"/>
        </w:trPr>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86" w:right="339" w:bottom="1440" w:gutter="0" w:footer="0" w:header="0"/>
        </w:sectPr>
      </w:pPr>
    </w:p>
    <w:bookmarkStart w:id="5" w:name="page6"/>
    <w:bookmarkEnd w:id="5"/>
    <w:p>
      <w:pPr>
        <w:spacing w:after="0"/>
        <w:tabs>
          <w:tab w:leader="none" w:pos="1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ss.240.13d-1(b) or 240.13d-2(b), or (c), check whether the person filing is a</w:t>
      </w:r>
    </w:p>
    <w:p>
      <w:pPr>
        <w:spacing w:after="0" w:line="200" w:lineRule="exact"/>
        <w:rPr>
          <w:sz w:val="20"/>
          <w:szCs w:val="20"/>
          <w:color w:val="auto"/>
        </w:rPr>
      </w:pPr>
    </w:p>
    <w:p>
      <w:pPr>
        <w:spacing w:after="0" w:line="241" w:lineRule="exact"/>
        <w:rPr>
          <w:sz w:val="20"/>
          <w:szCs w:val="20"/>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Broker or dealer registered under Section 15 of the Exchange Act (15 U.S.C. 78c).</w:t>
      </w:r>
    </w:p>
    <w:p>
      <w:pPr>
        <w:spacing w:after="0" w:line="225" w:lineRule="exact"/>
        <w:rPr>
          <w:rFonts w:ascii="Arial" w:cs="Arial" w:eastAsia="Arial" w:hAnsi="Arial"/>
          <w:sz w:val="18"/>
          <w:szCs w:val="18"/>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Bank as defined in Section 3(a)(6) of the Exchange Act (15 U.S.C. 78c).</w:t>
      </w:r>
    </w:p>
    <w:p>
      <w:pPr>
        <w:spacing w:after="0" w:line="225" w:lineRule="exact"/>
        <w:rPr>
          <w:rFonts w:ascii="Arial" w:cs="Arial" w:eastAsia="Arial" w:hAnsi="Arial"/>
          <w:sz w:val="18"/>
          <w:szCs w:val="18"/>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Insurance company as defined in Section 3(a)(19) of the Exchange Act (15 U.S.C. 78c).</w:t>
      </w:r>
    </w:p>
    <w:p>
      <w:pPr>
        <w:spacing w:after="0" w:line="225" w:lineRule="exact"/>
        <w:rPr>
          <w:rFonts w:ascii="Arial" w:cs="Arial" w:eastAsia="Arial" w:hAnsi="Arial"/>
          <w:sz w:val="18"/>
          <w:szCs w:val="18"/>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An investment adviser in accordance with § 240.13d-1(b)(1)(ii)(E);</w:t>
      </w:r>
    </w:p>
    <w:p>
      <w:pPr>
        <w:spacing w:after="0" w:line="225" w:lineRule="exact"/>
        <w:rPr>
          <w:rFonts w:ascii="Arial" w:cs="Arial" w:eastAsia="Arial" w:hAnsi="Arial"/>
          <w:sz w:val="18"/>
          <w:szCs w:val="18"/>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An employee benefit plan or endowment fund in accordance with § 240.13d-1(b)(1)(ii)(F);</w:t>
      </w:r>
    </w:p>
    <w:p>
      <w:pPr>
        <w:spacing w:after="0" w:line="225" w:lineRule="exact"/>
        <w:rPr>
          <w:rFonts w:ascii="Arial" w:cs="Arial" w:eastAsia="Arial" w:hAnsi="Arial"/>
          <w:sz w:val="18"/>
          <w:szCs w:val="18"/>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A parent holding company or control person in accordance with Rule 13d-1(b)(1)(ii)(G);</w:t>
      </w:r>
    </w:p>
    <w:p>
      <w:pPr>
        <w:spacing w:after="0" w:line="225" w:lineRule="exact"/>
        <w:rPr>
          <w:rFonts w:ascii="Arial" w:cs="Arial" w:eastAsia="Arial" w:hAnsi="Arial"/>
          <w:sz w:val="18"/>
          <w:szCs w:val="18"/>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A savings association as defined in Section 3(b) of the Federal Deposit Insurance Act (12 U.S.C.1813);</w:t>
      </w:r>
    </w:p>
    <w:p>
      <w:pPr>
        <w:spacing w:after="0" w:line="225" w:lineRule="exact"/>
        <w:rPr>
          <w:rFonts w:ascii="Arial" w:cs="Arial" w:eastAsia="Arial" w:hAnsi="Arial"/>
          <w:sz w:val="18"/>
          <w:szCs w:val="18"/>
          <w:color w:val="auto"/>
        </w:rPr>
      </w:pPr>
    </w:p>
    <w:p>
      <w:pPr>
        <w:ind w:left="2260" w:right="60" w:hanging="1350"/>
        <w:spacing w:after="0" w:line="277" w:lineRule="auto"/>
        <w:tabs>
          <w:tab w:leader="none" w:pos="1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Group, in accordance with s.240.13d-1(b)(1)(ii)(J).</w:t>
      </w:r>
    </w:p>
    <w:p>
      <w:pPr>
        <w:spacing w:after="0" w:line="200" w:lineRule="exact"/>
        <w:rPr>
          <w:sz w:val="20"/>
          <w:szCs w:val="20"/>
          <w:color w:val="auto"/>
        </w:rPr>
      </w:pPr>
    </w:p>
    <w:p>
      <w:pPr>
        <w:spacing w:after="0" w:line="24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440" w:hanging="665"/>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440" w:right="5840"/>
        <w:spacing w:after="0" w:line="299" w:lineRule="auto"/>
        <w:rPr>
          <w:rFonts w:ascii="Arial" w:cs="Arial" w:eastAsia="Arial" w:hAnsi="Arial"/>
          <w:sz w:val="18"/>
          <w:szCs w:val="18"/>
          <w:color w:val="auto"/>
        </w:rPr>
      </w:pPr>
      <w:r>
        <w:rPr>
          <w:rFonts w:ascii="Arial" w:cs="Arial" w:eastAsia="Arial" w:hAnsi="Arial"/>
          <w:sz w:val="16"/>
          <w:szCs w:val="16"/>
          <w:color w:val="auto"/>
        </w:rPr>
        <w:t>Suvretta Capital Management, LLC – 45,710,335 Averill Master Fund, Ltd. – 45,710,335</w:t>
      </w:r>
    </w:p>
    <w:p>
      <w:pPr>
        <w:spacing w:after="0" w:line="1"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Aaron Cowen – 45,710,335</w:t>
      </w:r>
    </w:p>
    <w:p>
      <w:pPr>
        <w:spacing w:after="0" w:line="237" w:lineRule="exact"/>
        <w:rPr>
          <w:rFonts w:ascii="Arial" w:cs="Arial" w:eastAsia="Arial" w:hAnsi="Arial"/>
          <w:sz w:val="18"/>
          <w:szCs w:val="18"/>
          <w:color w:val="auto"/>
        </w:rPr>
      </w:pPr>
    </w:p>
    <w:p>
      <w:pPr>
        <w:ind w:left="1440" w:hanging="665"/>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440" w:right="6280"/>
        <w:spacing w:after="0" w:line="266" w:lineRule="auto"/>
        <w:rPr>
          <w:rFonts w:ascii="Arial" w:cs="Arial" w:eastAsia="Arial" w:hAnsi="Arial"/>
          <w:sz w:val="18"/>
          <w:szCs w:val="18"/>
          <w:color w:val="auto"/>
        </w:rPr>
      </w:pPr>
      <w:r>
        <w:rPr>
          <w:rFonts w:ascii="Arial" w:cs="Arial" w:eastAsia="Arial" w:hAnsi="Arial"/>
          <w:sz w:val="18"/>
          <w:szCs w:val="18"/>
          <w:color w:val="auto"/>
        </w:rPr>
        <w:t>Suvretta Capital Management, LLC – 8.4% Averill Master Fund, Ltd. – 8.4%</w:t>
      </w:r>
    </w:p>
    <w:p>
      <w:pPr>
        <w:spacing w:after="0" w:line="1"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Aaron Cowen – 8.4%</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440" w:hanging="665"/>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160" w:hanging="724"/>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160" w:right="5840"/>
        <w:spacing w:after="0" w:line="266" w:lineRule="auto"/>
        <w:rPr>
          <w:rFonts w:ascii="Arial" w:cs="Arial" w:eastAsia="Arial" w:hAnsi="Arial"/>
          <w:sz w:val="18"/>
          <w:szCs w:val="18"/>
          <w:color w:val="auto"/>
        </w:rPr>
      </w:pPr>
      <w:r>
        <w:rPr>
          <w:rFonts w:ascii="Arial" w:cs="Arial" w:eastAsia="Arial" w:hAnsi="Arial"/>
          <w:sz w:val="18"/>
          <w:szCs w:val="18"/>
          <w:color w:val="auto"/>
        </w:rPr>
        <w:t>Suvretta Capital Management, LLC – 0 Averill Master Fund, Ltd. – 0</w:t>
      </w:r>
    </w:p>
    <w:p>
      <w:pPr>
        <w:spacing w:after="0" w:line="1" w:lineRule="exact"/>
        <w:rPr>
          <w:rFonts w:ascii="Arial" w:cs="Arial" w:eastAsia="Arial" w:hAnsi="Arial"/>
          <w:sz w:val="18"/>
          <w:szCs w:val="18"/>
          <w:color w:val="auto"/>
        </w:rPr>
      </w:pPr>
    </w:p>
    <w:p>
      <w:pPr>
        <w:ind w:left="2160"/>
        <w:spacing w:after="0"/>
        <w:rPr>
          <w:rFonts w:ascii="Arial" w:cs="Arial" w:eastAsia="Arial" w:hAnsi="Arial"/>
          <w:sz w:val="18"/>
          <w:szCs w:val="18"/>
          <w:color w:val="auto"/>
        </w:rPr>
      </w:pPr>
      <w:r>
        <w:rPr>
          <w:rFonts w:ascii="Arial" w:cs="Arial" w:eastAsia="Arial" w:hAnsi="Arial"/>
          <w:sz w:val="18"/>
          <w:szCs w:val="18"/>
          <w:color w:val="auto"/>
        </w:rPr>
        <w:t>Aaron Cowen – 0</w:t>
      </w:r>
    </w:p>
    <w:p>
      <w:pPr>
        <w:spacing w:after="0" w:line="237" w:lineRule="exact"/>
        <w:rPr>
          <w:rFonts w:ascii="Arial" w:cs="Arial" w:eastAsia="Arial" w:hAnsi="Arial"/>
          <w:sz w:val="18"/>
          <w:szCs w:val="18"/>
          <w:color w:val="auto"/>
        </w:rPr>
      </w:pPr>
    </w:p>
    <w:p>
      <w:pPr>
        <w:ind w:left="2160" w:hanging="724"/>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140" w:right="5140"/>
        <w:spacing w:after="0" w:line="299" w:lineRule="auto"/>
        <w:rPr>
          <w:rFonts w:ascii="Arial" w:cs="Arial" w:eastAsia="Arial" w:hAnsi="Arial"/>
          <w:sz w:val="18"/>
          <w:szCs w:val="18"/>
          <w:color w:val="auto"/>
        </w:rPr>
      </w:pPr>
      <w:r>
        <w:rPr>
          <w:rFonts w:ascii="Arial" w:cs="Arial" w:eastAsia="Arial" w:hAnsi="Arial"/>
          <w:sz w:val="16"/>
          <w:szCs w:val="16"/>
          <w:color w:val="auto"/>
        </w:rPr>
        <w:t>Suvretta Capital Management, LLC – 45,710,335 Averill Master Fund, Ltd. – 45,710,335</w:t>
      </w:r>
    </w:p>
    <w:p>
      <w:pPr>
        <w:spacing w:after="0" w:line="1" w:lineRule="exact"/>
        <w:rPr>
          <w:rFonts w:ascii="Arial" w:cs="Arial" w:eastAsia="Arial" w:hAnsi="Arial"/>
          <w:sz w:val="18"/>
          <w:szCs w:val="18"/>
          <w:color w:val="auto"/>
        </w:rPr>
      </w:pPr>
    </w:p>
    <w:p>
      <w:pPr>
        <w:ind w:left="2140"/>
        <w:spacing w:after="0"/>
        <w:rPr>
          <w:rFonts w:ascii="Arial" w:cs="Arial" w:eastAsia="Arial" w:hAnsi="Arial"/>
          <w:sz w:val="18"/>
          <w:szCs w:val="18"/>
          <w:color w:val="auto"/>
        </w:rPr>
      </w:pPr>
      <w:r>
        <w:rPr>
          <w:rFonts w:ascii="Arial" w:cs="Arial" w:eastAsia="Arial" w:hAnsi="Arial"/>
          <w:sz w:val="18"/>
          <w:szCs w:val="18"/>
          <w:color w:val="auto"/>
        </w:rPr>
        <w:t>Aaron Cowen – 45,710,335</w:t>
      </w:r>
    </w:p>
    <w:p>
      <w:pPr>
        <w:spacing w:after="0" w:line="237" w:lineRule="exact"/>
        <w:rPr>
          <w:rFonts w:ascii="Arial" w:cs="Arial" w:eastAsia="Arial" w:hAnsi="Arial"/>
          <w:sz w:val="18"/>
          <w:szCs w:val="18"/>
          <w:color w:val="auto"/>
        </w:rPr>
      </w:pPr>
    </w:p>
    <w:p>
      <w:pPr>
        <w:ind w:left="2140" w:hanging="704"/>
        <w:spacing w:after="0"/>
        <w:tabs>
          <w:tab w:leader="none" w:pos="2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2160" w:right="5840"/>
        <w:spacing w:after="0" w:line="266" w:lineRule="auto"/>
        <w:rPr>
          <w:rFonts w:ascii="Arial" w:cs="Arial" w:eastAsia="Arial" w:hAnsi="Arial"/>
          <w:sz w:val="18"/>
          <w:szCs w:val="18"/>
          <w:color w:val="auto"/>
        </w:rPr>
      </w:pPr>
      <w:r>
        <w:rPr>
          <w:rFonts w:ascii="Arial" w:cs="Arial" w:eastAsia="Arial" w:hAnsi="Arial"/>
          <w:sz w:val="18"/>
          <w:szCs w:val="18"/>
          <w:color w:val="auto"/>
        </w:rPr>
        <w:t>Suvretta Capital Management, LLC – 0 Averill Master Fund, Ltd. – 0</w:t>
      </w:r>
    </w:p>
    <w:p>
      <w:pPr>
        <w:spacing w:after="0" w:line="1" w:lineRule="exact"/>
        <w:rPr>
          <w:rFonts w:ascii="Arial" w:cs="Arial" w:eastAsia="Arial" w:hAnsi="Arial"/>
          <w:sz w:val="18"/>
          <w:szCs w:val="18"/>
          <w:color w:val="auto"/>
        </w:rPr>
      </w:pPr>
    </w:p>
    <w:p>
      <w:pPr>
        <w:ind w:left="2160"/>
        <w:spacing w:after="0"/>
        <w:rPr>
          <w:rFonts w:ascii="Arial" w:cs="Arial" w:eastAsia="Arial" w:hAnsi="Arial"/>
          <w:sz w:val="18"/>
          <w:szCs w:val="18"/>
          <w:color w:val="auto"/>
        </w:rPr>
      </w:pPr>
      <w:r>
        <w:rPr>
          <w:rFonts w:ascii="Arial" w:cs="Arial" w:eastAsia="Arial" w:hAnsi="Arial"/>
          <w:sz w:val="18"/>
          <w:szCs w:val="18"/>
          <w:color w:val="auto"/>
        </w:rPr>
        <w:t>Aaron Cowen – 0</w:t>
      </w:r>
    </w:p>
    <w:p>
      <w:pPr>
        <w:spacing w:after="0" w:line="237" w:lineRule="exact"/>
        <w:rPr>
          <w:rFonts w:ascii="Arial" w:cs="Arial" w:eastAsia="Arial" w:hAnsi="Arial"/>
          <w:sz w:val="18"/>
          <w:szCs w:val="18"/>
          <w:color w:val="auto"/>
        </w:rPr>
      </w:pPr>
    </w:p>
    <w:p>
      <w:pPr>
        <w:ind w:left="2160" w:hanging="724"/>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160" w:right="5120"/>
        <w:spacing w:after="0" w:line="299" w:lineRule="auto"/>
        <w:rPr>
          <w:rFonts w:ascii="Arial" w:cs="Arial" w:eastAsia="Arial" w:hAnsi="Arial"/>
          <w:sz w:val="18"/>
          <w:szCs w:val="18"/>
          <w:color w:val="auto"/>
        </w:rPr>
      </w:pPr>
      <w:r>
        <w:rPr>
          <w:rFonts w:ascii="Arial" w:cs="Arial" w:eastAsia="Arial" w:hAnsi="Arial"/>
          <w:sz w:val="16"/>
          <w:szCs w:val="16"/>
          <w:color w:val="auto"/>
        </w:rPr>
        <w:t>Suvretta Capital Management, LLC – 45,710,335 Averill Master Fund, Ltd. – 45,710,335</w:t>
      </w:r>
    </w:p>
    <w:p>
      <w:pPr>
        <w:spacing w:after="0" w:line="1" w:lineRule="exact"/>
        <w:rPr>
          <w:rFonts w:ascii="Arial" w:cs="Arial" w:eastAsia="Arial" w:hAnsi="Arial"/>
          <w:sz w:val="18"/>
          <w:szCs w:val="18"/>
          <w:color w:val="auto"/>
        </w:rPr>
      </w:pPr>
    </w:p>
    <w:p>
      <w:pPr>
        <w:ind w:left="2160"/>
        <w:spacing w:after="0"/>
        <w:rPr>
          <w:rFonts w:ascii="Arial" w:cs="Arial" w:eastAsia="Arial" w:hAnsi="Arial"/>
          <w:sz w:val="18"/>
          <w:szCs w:val="18"/>
          <w:color w:val="auto"/>
        </w:rPr>
      </w:pPr>
      <w:r>
        <w:rPr>
          <w:rFonts w:ascii="Arial" w:cs="Arial" w:eastAsia="Arial" w:hAnsi="Arial"/>
          <w:sz w:val="18"/>
          <w:szCs w:val="18"/>
          <w:color w:val="auto"/>
        </w:rPr>
        <w:t>Aaron Cowen – 45,710,335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1304290</wp:posOffset>
            </wp:positionH>
            <wp:positionV relativeFrom="paragraph">
              <wp:posOffset>14605</wp:posOffset>
            </wp:positionV>
            <wp:extent cx="57689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-130810</wp:posOffset>
            </wp:positionV>
            <wp:extent cx="57689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-276225</wp:posOffset>
            </wp:positionV>
            <wp:extent cx="57689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-833755</wp:posOffset>
            </wp:positionV>
            <wp:extent cx="57689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-979170</wp:posOffset>
            </wp:positionV>
            <wp:extent cx="57689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-1125220</wp:posOffset>
            </wp:positionV>
            <wp:extent cx="57689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-1682115</wp:posOffset>
            </wp:positionV>
            <wp:extent cx="57689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-1828165</wp:posOffset>
            </wp:positionV>
            <wp:extent cx="57689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-1973580</wp:posOffset>
            </wp:positionV>
            <wp:extent cx="57689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-2531110</wp:posOffset>
            </wp:positionV>
            <wp:extent cx="57689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-2676525</wp:posOffset>
            </wp:positionV>
            <wp:extent cx="57689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-2822575</wp:posOffset>
            </wp:positionV>
            <wp:extent cx="57689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-3782695</wp:posOffset>
            </wp:positionV>
            <wp:extent cx="62236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-3928110</wp:posOffset>
            </wp:positionV>
            <wp:extent cx="62236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-4074160</wp:posOffset>
            </wp:positionV>
            <wp:extent cx="6223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-4631055</wp:posOffset>
            </wp:positionV>
            <wp:extent cx="62236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-4777105</wp:posOffset>
            </wp:positionV>
            <wp:extent cx="62236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-4922520</wp:posOffset>
            </wp:positionV>
            <wp:extent cx="62236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314325</wp:posOffset>
            </wp:positionV>
            <wp:extent cx="713232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840"/>
          </w:cols>
          <w:pgMar w:left="420" w:top="1070" w:right="639" w:bottom="523" w:gutter="0" w:footer="0" w:header="0"/>
        </w:sectPr>
      </w:pPr>
    </w:p>
    <w:bookmarkStart w:id="6" w:name="page7"/>
    <w:bookmarkEnd w:id="6"/>
    <w:p>
      <w:pPr>
        <w:spacing w:after="0" w:line="6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right="220" w:firstLine="737"/>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14605</wp:posOffset>
            </wp:positionV>
            <wp:extent cx="64890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80" w:firstLine="725"/>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14605</wp:posOffset>
            </wp:positionV>
            <wp:extent cx="64890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firstLine="725"/>
        <w:spacing w:after="0" w:line="263" w:lineRule="auto"/>
        <w:rPr>
          <w:sz w:val="20"/>
          <w:szCs w:val="20"/>
          <w:color w:val="auto"/>
        </w:rPr>
      </w:pPr>
      <w:r>
        <w:rPr>
          <w:rFonts w:ascii="Arial" w:cs="Arial" w:eastAsia="Arial" w:hAnsi="Arial"/>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14605</wp:posOffset>
            </wp:positionV>
            <wp:extent cx="64890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right="120" w:firstLine="725"/>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14605</wp:posOffset>
            </wp:positionV>
            <wp:extent cx="64890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right="300" w:firstLine="725"/>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14605</wp:posOffset>
            </wp:positionV>
            <wp:extent cx="64890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ind w:left="1480" w:hanging="462"/>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rFonts w:ascii="Arial" w:cs="Arial" w:eastAsia="Arial" w:hAnsi="Arial"/>
          <w:sz w:val="18"/>
          <w:szCs w:val="18"/>
          <w:color w:val="auto"/>
        </w:rPr>
      </w:pPr>
    </w:p>
    <w:p>
      <w:pPr>
        <w:ind w:left="1480" w:right="20"/>
        <w:spacing w:after="0" w:line="259"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419100</wp:posOffset>
            </wp:positionV>
            <wp:extent cx="71323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980"/>
          </w:cols>
          <w:pgMar w:left="420" w:top="1440" w:right="4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February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14605</wp:posOffset>
            </wp:positionV>
            <wp:extent cx="38487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Suvretta Capital Management, LLC*</w:t>
      </w:r>
    </w:p>
    <w:p>
      <w:pPr>
        <w:spacing w:after="0" w:line="22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14605</wp:posOffset>
            </wp:positionV>
            <wp:extent cx="38487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14605</wp:posOffset>
            </wp:positionV>
            <wp:extent cx="38487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Averill Master Fund, Ltd.*</w:t>
      </w:r>
    </w:p>
    <w:p>
      <w:pPr>
        <w:spacing w:after="0" w:line="22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14605</wp:posOffset>
            </wp:positionV>
            <wp:extent cx="38487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14605</wp:posOffset>
            </wp:positionV>
            <wp:extent cx="38487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Aaron Cowen*</w:t>
      </w:r>
    </w:p>
    <w:p>
      <w:pPr>
        <w:spacing w:after="0" w:line="22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14605</wp:posOffset>
            </wp:positionV>
            <wp:extent cx="38487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*Each Reporting Person disclaims beneficial ownership over the securities reported herein except to the extent of its pecuniary interest therein.</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agree that this Amendment 1 to Schedule 13G dated February 11, 2022 relating to the Ordinary Shares, nominal value £0.003 per share of Mereo Biopharma Group plc shall be filed on behalf of the undersigned.</w:t>
      </w:r>
    </w:p>
    <w:p>
      <w:pPr>
        <w:spacing w:after="0" w:line="17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February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14605</wp:posOffset>
            </wp:positionV>
            <wp:extent cx="38487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Suvretta Capital Management, LLC</w:t>
      </w:r>
    </w:p>
    <w:p>
      <w:pPr>
        <w:spacing w:after="0" w:line="22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14605</wp:posOffset>
            </wp:positionV>
            <wp:extent cx="38487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14605</wp:posOffset>
            </wp:positionV>
            <wp:extent cx="38487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Averill Master Fund, Ltd.</w:t>
      </w:r>
    </w:p>
    <w:p>
      <w:pPr>
        <w:spacing w:after="0" w:line="22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14605</wp:posOffset>
            </wp:positionV>
            <wp:extent cx="38487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14605</wp:posOffset>
            </wp:positionV>
            <wp:extent cx="38487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Aaron Cowen</w:t>
      </w:r>
    </w:p>
    <w:p>
      <w:pPr>
        <w:spacing w:after="0" w:line="22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14605</wp:posOffset>
            </wp:positionV>
            <wp:extent cx="38487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Aaron Cowen has beneficial ownership by virtue of his role as a control person of Suvretta Capital Management, LLC.</w:t>
      </w:r>
    </w:p>
    <w:sectPr>
      <w:pgSz w:w="11900" w:h="16838" w:orient="portrait"/>
      <w:cols w:equalWidth="0" w:num="1">
        <w:col w:w="11240"/>
      </w:cols>
      <w:pgMar w:left="320" w:top="12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5"/>
    </w:lvl>
  </w:abstractNum>
  <w:abstractNum w:abstractNumId="4">
    <w:nsid w:val="216231B"/>
    <w:multiLevelType w:val="hybridMultilevel"/>
    <w:lvl w:ilvl="0">
      <w:lvlJc w:val="left"/>
      <w:lvlText w:val="%1."/>
      <w:numFmt w:val="decimal"/>
      <w:start w:val="1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3"/>
    </w:lvl>
  </w:abstractNum>
  <w:abstractNum w:abstractNumId="11">
    <w:nsid w:val="DED7263"/>
    <w:multiLevelType w:val="hybridMultilevel"/>
    <w:lvl w:ilvl="0">
      <w:lvlJc w:val="left"/>
      <w:lvlText w:val="%1."/>
      <w:numFmt w:val="decimal"/>
      <w:start w:val="5"/>
    </w:lvl>
  </w:abstractNum>
  <w:abstractNum w:abstractNumId="12">
    <w:nsid w:val="7FDCC233"/>
    <w:multiLevelType w:val="hybridMultilevel"/>
    <w:lvl w:ilvl="0">
      <w:lvlJc w:val="left"/>
      <w:lvlText w:val="%1."/>
      <w:numFmt w:val="decimal"/>
      <w:start w:val="1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lvl w:ilvl="1">
      <w:lvlJc w:val="left"/>
      <w:lvlText w:val="(%2)"/>
      <w:numFmt w:val="lowerRoman"/>
      <w:start w:val="1"/>
    </w:lvl>
  </w:abstractNum>
  <w:abstractNum w:abstractNumId="15">
    <w:nsid w:val="6B68079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2022-02-12T03:16:18Z</dcterms:created>
  <dcterms:modified xsi:type="dcterms:W3CDTF">2022-02-12T03:16:18Z</dcterms:modified>
</cp:coreProperties>
</file>